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dp253177_s1.htm"/>
      <w:bookmarkStart w:id="1" w:name="ksdp253177_s1"/>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September 11, 2026</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Registration No. 333-</w:t>
      </w:r>
      <w:r>
        <w:rPr>
          <w:rFonts w:ascii="Times New Roman;Times;Serif" w:hAnsi="Times New Roman;Times;Serif"/>
          <w:b w:val="false"/>
          <w:i w:val="false"/>
          <w:caps w:val="false"/>
          <w:smallCaps w:val="false"/>
          <w:sz w:val="20"/>
        </w:rPr>
        <w:t> </w:t>
      </w:r>
    </w:p>
    <w:p>
      <w:pPr>
        <w:pStyle w:val="TextBody"/>
        <w:bidi w:val="0"/>
        <w:jc w:val="left"/>
        <w:rPr>
          <w:bdr w:val="single" w:sz="24" w:space="1" w:color="000000"/>
        </w:rPr>
      </w:pPr>
      <w:r>
        <w:rPr>
          <w:bdr w:val="single" w:sz="24"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Washington, D.C. 20549</w:t>
      </w:r>
    </w:p>
    <w:p>
      <w:pPr>
        <w:pStyle w:val="TextBody"/>
        <w:bidi w:val="0"/>
        <w:spacing w:before="60" w:after="60"/>
        <w:jc w:val="center"/>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S-1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br/>
        <w:t>UNDER</w:t>
        <w:br/>
        <w:t>THE SECURITIES ACT OF 1933</w:t>
      </w:r>
    </w:p>
    <w:p>
      <w:pPr>
        <w:pStyle w:val="TextBody"/>
        <w:bidi w:val="0"/>
        <w:spacing w:before="60" w:after="60"/>
        <w:jc w:val="center"/>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RENT THE RUNWAY,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9828" w:type="dxa"/>
        <w:jc w:val="left"/>
        <w:tblInd w:w="0" w:type="dxa"/>
        <w:tblLayout w:type="fixed"/>
        <w:tblCellMar>
          <w:top w:w="0" w:type="dxa"/>
          <w:left w:w="0" w:type="dxa"/>
          <w:bottom w:w="0" w:type="dxa"/>
          <w:right w:w="0" w:type="dxa"/>
        </w:tblCellMar>
      </w:tblPr>
      <w:tblGrid>
        <w:gridCol w:w="3652"/>
        <w:gridCol w:w="3435"/>
        <w:gridCol w:w="2741"/>
      </w:tblGrid>
      <w:tr>
        <w:trPr/>
        <w:tc>
          <w:tcPr>
            <w:tcW w:w="3652" w:type="dxa"/>
            <w:tcBorders/>
            <w:vAlign w:val="center"/>
          </w:tcPr>
          <w:p>
            <w:pPr>
              <w:pStyle w:val="TableContents"/>
              <w:bidi w:val="0"/>
              <w:spacing w:before="0" w:after="283"/>
              <w:jc w:val="center"/>
              <w:rPr>
                <w:b/>
              </w:rPr>
            </w:pPr>
            <w:r>
              <w:rPr>
                <w:b/>
              </w:rPr>
              <w:t>Delaware</w:t>
            </w:r>
          </w:p>
        </w:tc>
        <w:tc>
          <w:tcPr>
            <w:tcW w:w="3435" w:type="dxa"/>
            <w:tcBorders/>
            <w:vAlign w:val="center"/>
          </w:tcPr>
          <w:p>
            <w:pPr>
              <w:pStyle w:val="TableContents"/>
              <w:bidi w:val="0"/>
              <w:spacing w:before="0" w:after="283"/>
              <w:jc w:val="center"/>
              <w:rPr>
                <w:b/>
              </w:rPr>
            </w:pPr>
            <w:r>
              <w:rPr>
                <w:b/>
              </w:rPr>
              <w:t>7389</w:t>
            </w:r>
          </w:p>
        </w:tc>
        <w:tc>
          <w:tcPr>
            <w:tcW w:w="2741" w:type="dxa"/>
            <w:tcBorders/>
            <w:vAlign w:val="center"/>
          </w:tcPr>
          <w:p>
            <w:pPr>
              <w:pStyle w:val="TableContents"/>
              <w:bidi w:val="0"/>
              <w:spacing w:before="0" w:after="283"/>
              <w:jc w:val="center"/>
              <w:rPr>
                <w:b/>
              </w:rPr>
            </w:pPr>
            <w:r>
              <w:rPr>
                <w:b/>
              </w:rPr>
              <w:t>80-0376379</w:t>
            </w:r>
          </w:p>
        </w:tc>
      </w:tr>
      <w:tr>
        <w:trPr/>
        <w:tc>
          <w:tcPr>
            <w:tcW w:w="3652" w:type="dxa"/>
            <w:tcBorders/>
            <w:vAlign w:val="center"/>
          </w:tcPr>
          <w:p>
            <w:pPr>
              <w:pStyle w:val="TableContents"/>
              <w:bidi w:val="0"/>
              <w:spacing w:before="0" w:after="283"/>
              <w:jc w:val="center"/>
              <w:rPr>
                <w:sz w:val="20"/>
              </w:rPr>
            </w:pPr>
            <w:r>
              <w:rPr>
                <w:sz w:val="20"/>
              </w:rPr>
              <w:t>(State or Other Jurisdiction of</w:t>
              <w:br/>
              <w:t>Incorporation or Organization)</w:t>
            </w:r>
          </w:p>
        </w:tc>
        <w:tc>
          <w:tcPr>
            <w:tcW w:w="3435" w:type="dxa"/>
            <w:tcBorders/>
            <w:vAlign w:val="center"/>
          </w:tcPr>
          <w:p>
            <w:pPr>
              <w:pStyle w:val="TableContents"/>
              <w:bidi w:val="0"/>
              <w:spacing w:before="0" w:after="283"/>
              <w:jc w:val="center"/>
              <w:rPr>
                <w:sz w:val="20"/>
              </w:rPr>
            </w:pPr>
            <w:r>
              <w:rPr>
                <w:sz w:val="20"/>
              </w:rPr>
              <w:t>(Primary Standard Industrial</w:t>
              <w:br/>
              <w:t>Classification Code Number)</w:t>
            </w:r>
          </w:p>
        </w:tc>
        <w:tc>
          <w:tcPr>
            <w:tcW w:w="2741" w:type="dxa"/>
            <w:tcBorders/>
            <w:vAlign w:val="center"/>
          </w:tcPr>
          <w:p>
            <w:pPr>
              <w:pStyle w:val="TableContents"/>
              <w:bidi w:val="0"/>
              <w:spacing w:before="0" w:after="283"/>
              <w:jc w:val="center"/>
              <w:rPr>
                <w:sz w:val="20"/>
              </w:rPr>
            </w:pPr>
            <w:r>
              <w:rPr>
                <w:sz w:val="20"/>
              </w:rPr>
              <w:t>(I.R.S. Employer</w:t>
              <w:br/>
              <w:t>Identification Number)</w:t>
            </w:r>
          </w:p>
        </w:tc>
      </w:tr>
      <w:tr>
        <w:trPr/>
        <w:tc>
          <w:tcPr>
            <w:tcW w:w="3652" w:type="dxa"/>
            <w:tcBorders/>
            <w:vAlign w:val="center"/>
          </w:tcPr>
          <w:p>
            <w:pPr>
              <w:pStyle w:val="TableContents"/>
              <w:bidi w:val="0"/>
              <w:spacing w:before="0" w:after="283"/>
              <w:jc w:val="left"/>
              <w:rPr/>
            </w:pPr>
            <w:r>
              <w:rPr/>
              <w:t> </w:t>
            </w:r>
          </w:p>
        </w:tc>
        <w:tc>
          <w:tcPr>
            <w:tcW w:w="343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Jay Street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Brooklyn, New York 11201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524-6860 </w:t>
            </w:r>
          </w:p>
        </w:tc>
        <w:tc>
          <w:tcPr>
            <w:tcW w:w="2741" w:type="dxa"/>
            <w:tcBorders/>
            <w:vAlign w:val="center"/>
          </w:tcPr>
          <w:p>
            <w:pPr>
              <w:pStyle w:val="TableContents"/>
              <w:bidi w:val="0"/>
              <w:spacing w:before="0" w:after="283"/>
              <w:jc w:val="left"/>
              <w:rPr/>
            </w:pPr>
            <w:r>
              <w:rPr/>
              <w:t> </w:t>
            </w:r>
          </w:p>
        </w:tc>
      </w:tr>
      <w:tr>
        <w:trPr/>
        <w:tc>
          <w:tcPr>
            <w:tcW w:w="9828" w:type="dxa"/>
            <w:gridSpan w:val="3"/>
            <w:tcBorders/>
            <w:vAlign w:val="center"/>
          </w:tcPr>
          <w:p>
            <w:pPr>
              <w:pStyle w:val="TableContents"/>
              <w:bidi w:val="0"/>
              <w:spacing w:before="0" w:after="283"/>
              <w:jc w:val="center"/>
              <w:rPr>
                <w:sz w:val="20"/>
              </w:rPr>
            </w:pPr>
            <w:r>
              <w:rPr>
                <w:sz w:val="20"/>
              </w:rPr>
              <w:t>(Address, Including Zip Code, and Telephone Number, Including Area Code, of Registrant’s Principal Executive Offices)</w:t>
            </w:r>
          </w:p>
        </w:tc>
      </w:tr>
    </w:tbl>
    <w:p>
      <w:pPr>
        <w:pStyle w:val="TextBody"/>
        <w:bidi w:val="0"/>
        <w:spacing w:before="60" w:after="60"/>
        <w:jc w:val="center"/>
        <w:rPr>
          <w:bdr w:val="single" w:sz="8" w:space="1" w:color="000000"/>
        </w:rPr>
      </w:pPr>
      <w:r>
        <w:rPr>
          <w:bdr w:val="single" w:sz="8" w:space="1" w:color="000000"/>
        </w:rPr>
        <w:t> </w:t>
      </w:r>
    </w:p>
    <w:tbl>
      <w:tblPr>
        <w:tblW w:w="8598" w:type="dxa"/>
        <w:jc w:val="left"/>
        <w:tblInd w:w="0" w:type="dxa"/>
        <w:tblLayout w:type="fixed"/>
        <w:tblCellMar>
          <w:top w:w="0" w:type="dxa"/>
          <w:left w:w="0" w:type="dxa"/>
          <w:bottom w:w="0" w:type="dxa"/>
          <w:right w:w="0" w:type="dxa"/>
        </w:tblCellMar>
      </w:tblPr>
      <w:tblGrid>
        <w:gridCol w:w="191"/>
        <w:gridCol w:w="8216"/>
        <w:gridCol w:w="191"/>
      </w:tblGrid>
      <w:tr>
        <w:trPr/>
        <w:tc>
          <w:tcPr>
            <w:tcW w:w="191" w:type="dxa"/>
            <w:tcBorders/>
            <w:vAlign w:val="center"/>
          </w:tcPr>
          <w:p>
            <w:pPr>
              <w:pStyle w:val="TableContents"/>
              <w:bidi w:val="0"/>
              <w:spacing w:before="0" w:after="283"/>
              <w:jc w:val="center"/>
              <w:rPr/>
            </w:pPr>
            <w:r>
              <w:rPr/>
              <w:t> </w:t>
            </w:r>
          </w:p>
        </w:tc>
        <w:tc>
          <w:tcPr>
            <w:tcW w:w="8216" w:type="dxa"/>
            <w:tcBorders/>
            <w:vAlign w:val="center"/>
          </w:tcPr>
          <w:p>
            <w:pPr>
              <w:pStyle w:val="TableContents"/>
              <w:bidi w:val="0"/>
              <w:spacing w:before="0" w:after="283"/>
              <w:jc w:val="center"/>
              <w:rPr>
                <w:b/>
              </w:rPr>
            </w:pPr>
            <w:r>
              <w:rPr>
                <w:b/>
              </w:rPr>
              <w:t>Teri Bariquit</w:t>
              <w:br/>
              <w:t>Interim Chief Executive Officer</w:t>
              <w:br/>
              <w:t>Rent the Runway, Inc.</w:t>
              <w:br/>
              <w:t>10 Jay Street</w:t>
              <w:br/>
              <w:t>Brooklyn, New York 11201</w:t>
              <w:br/>
              <w:t>(212) 524-6860</w:t>
            </w:r>
          </w:p>
        </w:tc>
        <w:tc>
          <w:tcPr>
            <w:tcW w:w="191" w:type="dxa"/>
            <w:tcBorders/>
            <w:vAlign w:val="center"/>
          </w:tcPr>
          <w:p>
            <w:pPr>
              <w:pStyle w:val="TableContents"/>
              <w:bidi w:val="0"/>
              <w:spacing w:before="0" w:after="283"/>
              <w:jc w:val="center"/>
              <w:rPr/>
            </w:pPr>
            <w:r>
              <w:rPr/>
              <w:t> </w:t>
            </w:r>
          </w:p>
        </w:tc>
      </w:tr>
      <w:tr>
        <w:trPr/>
        <w:tc>
          <w:tcPr>
            <w:tcW w:w="8598" w:type="dxa"/>
            <w:gridSpan w:val="3"/>
            <w:tcBorders/>
            <w:vAlign w:val="center"/>
          </w:tcPr>
          <w:p>
            <w:pPr>
              <w:pStyle w:val="TableContents"/>
              <w:bidi w:val="0"/>
              <w:spacing w:before="0" w:after="283"/>
              <w:jc w:val="center"/>
              <w:rPr>
                <w:sz w:val="20"/>
              </w:rPr>
            </w:pPr>
            <w:r>
              <w:rPr>
                <w:sz w:val="20"/>
              </w:rPr>
              <w:t>(Name, Address, Including Zip Code, and Telephone Number, Including Area Code, of Agent For Service)</w:t>
            </w:r>
          </w:p>
        </w:tc>
      </w:tr>
    </w:tbl>
    <w:p>
      <w:pPr>
        <w:pStyle w:val="TextBody"/>
        <w:bidi w:val="0"/>
        <w:spacing w:before="60" w:after="60"/>
        <w:jc w:val="center"/>
        <w:rPr>
          <w:bdr w:val="single" w:sz="8" w:space="1" w:color="000000"/>
        </w:rPr>
      </w:pPr>
      <w:r>
        <w:rPr>
          <w:bdr w:val="single" w:sz="8" w:space="1" w:color="000000"/>
        </w:rPr>
        <w:t> </w:t>
      </w:r>
    </w:p>
    <w:p>
      <w:pPr>
        <w:pStyle w:val="TextBody"/>
        <w:bidi w:val="0"/>
        <w:spacing w:before="0" w:after="12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Nicole Brookshire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Paul Scrivano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Pedro J. Bermeo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Davis Polk &amp; Wardwell LLP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450 Lexington Avenue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10017</w:t>
        <w:br/>
        <w:t>(212) 450-4000</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r>
        <w:rPr>
          <w:rFonts w:ascii="Times New Roman;Times;Serif" w:hAnsi="Times New Roman;Times;Serif"/>
          <w:b w:val="false"/>
          <w:i w:val="false"/>
          <w:caps w:val="false"/>
          <w:smallCaps w:val="false"/>
          <w:sz w:val="20"/>
        </w:rPr>
        <w:t>: As soon as practicable after the effective date of this registration statement.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360"/>
        <w:jc w:val="left"/>
        <w:rPr>
          <w:caps w:val="false"/>
          <w:smallCaps w:val="false"/>
        </w:rPr>
      </w:pPr>
      <w:r>
        <w:rPr>
          <w:caps w:val="false"/>
          <w:smallCaps w:val="false"/>
        </w:rPr>
        <w:t> </w:t>
      </w:r>
    </w:p>
    <w:tbl>
      <w:tblPr>
        <w:tblW w:w="4675" w:type="dxa"/>
        <w:jc w:val="left"/>
        <w:tblInd w:w="0" w:type="dxa"/>
        <w:tblLayout w:type="fixed"/>
        <w:tblCellMar>
          <w:top w:w="0" w:type="dxa"/>
          <w:left w:w="0" w:type="dxa"/>
          <w:bottom w:w="0" w:type="dxa"/>
          <w:right w:w="0" w:type="dxa"/>
        </w:tblCellMar>
      </w:tblPr>
      <w:tblGrid>
        <w:gridCol w:w="2135"/>
        <w:gridCol w:w="2540"/>
      </w:tblGrid>
      <w:tr>
        <w:trPr/>
        <w:tc>
          <w:tcPr>
            <w:tcW w:w="2135" w:type="dxa"/>
            <w:tcBorders/>
            <w:vAlign w:val="center"/>
          </w:tcPr>
          <w:p>
            <w:pPr>
              <w:pStyle w:val="TableContents"/>
              <w:bidi w:val="0"/>
              <w:spacing w:before="0" w:after="283"/>
              <w:ind w:left="0" w:right="0" w:hanging="0"/>
              <w:jc w:val="left"/>
              <w:rPr/>
            </w:pPr>
            <w:r>
              <w:rPr>
                <w:sz w:val="20"/>
              </w:rPr>
              <w:t>Large accelerated filer  </w:t>
            </w:r>
            <w:r>
              <w:rPr/>
              <w:t>☐</w:t>
            </w:r>
          </w:p>
        </w:tc>
        <w:tc>
          <w:tcPr>
            <w:tcW w:w="2540" w:type="dxa"/>
            <w:tcBorders/>
            <w:vAlign w:val="center"/>
          </w:tcPr>
          <w:p>
            <w:pPr>
              <w:pStyle w:val="TableContents"/>
              <w:bidi w:val="0"/>
              <w:spacing w:before="0" w:after="283"/>
              <w:ind w:left="0" w:right="0" w:hanging="0"/>
              <w:jc w:val="left"/>
              <w:rPr/>
            </w:pPr>
            <w:r>
              <w:rPr>
                <w:sz w:val="20"/>
              </w:rPr>
              <w:t>Accelerated filer  </w:t>
            </w:r>
            <w:r>
              <w:rPr/>
              <w:t>☐</w:t>
            </w:r>
          </w:p>
        </w:tc>
      </w:tr>
      <w:tr>
        <w:trPr/>
        <w:tc>
          <w:tcPr>
            <w:tcW w:w="2135" w:type="dxa"/>
            <w:tcBorders/>
            <w:vAlign w:val="center"/>
          </w:tcPr>
          <w:p>
            <w:pPr>
              <w:pStyle w:val="TableContents"/>
              <w:bidi w:val="0"/>
              <w:spacing w:before="0" w:after="283"/>
              <w:ind w:left="0" w:right="0" w:hanging="0"/>
              <w:jc w:val="left"/>
              <w:rPr/>
            </w:pPr>
            <w:r>
              <w:rPr>
                <w:sz w:val="20"/>
              </w:rPr>
              <w:t>Non-accelerated filer  </w:t>
            </w:r>
            <w:r>
              <w:rPr/>
              <w:t>☒</w:t>
            </w:r>
          </w:p>
        </w:tc>
        <w:tc>
          <w:tcPr>
            <w:tcW w:w="2540" w:type="dxa"/>
            <w:tcBorders/>
            <w:vAlign w:val="center"/>
          </w:tcPr>
          <w:p>
            <w:pPr>
              <w:pStyle w:val="TableContents"/>
              <w:bidi w:val="0"/>
              <w:spacing w:before="0" w:after="283"/>
              <w:ind w:left="0" w:right="0" w:hanging="0"/>
              <w:jc w:val="left"/>
              <w:rPr/>
            </w:pPr>
            <w:r>
              <w:rPr>
                <w:sz w:val="20"/>
              </w:rPr>
              <w:t>Smaller reporting company  </w:t>
            </w:r>
            <w:r>
              <w:rPr/>
              <w:t>☒</w:t>
            </w:r>
          </w:p>
        </w:tc>
      </w:tr>
      <w:tr>
        <w:trPr/>
        <w:tc>
          <w:tcPr>
            <w:tcW w:w="2135" w:type="dxa"/>
            <w:tcBorders/>
            <w:vAlign w:val="center"/>
          </w:tcPr>
          <w:p>
            <w:pPr>
              <w:pStyle w:val="TableContents"/>
              <w:bidi w:val="0"/>
              <w:spacing w:before="0" w:after="283"/>
              <w:ind w:left="0" w:right="0" w:hanging="0"/>
              <w:jc w:val="left"/>
              <w:rPr/>
            </w:pPr>
            <w:r>
              <w:rPr/>
              <w:t> </w:t>
            </w:r>
          </w:p>
        </w:tc>
        <w:tc>
          <w:tcPr>
            <w:tcW w:w="2540" w:type="dxa"/>
            <w:tcBorders/>
            <w:vAlign w:val="center"/>
          </w:tcPr>
          <w:p>
            <w:pPr>
              <w:pStyle w:val="TableContents"/>
              <w:bidi w:val="0"/>
              <w:spacing w:before="0" w:after="283"/>
              <w:jc w:val="left"/>
              <w:rPr/>
            </w:pPr>
            <w:r>
              <w:rPr>
                <w:sz w:val="20"/>
              </w:rPr>
              <w:t>Emerging growth company  </w:t>
            </w:r>
            <w:r>
              <w:rPr/>
              <w:t>☒</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60" w:after="60"/>
        <w:jc w:val="center"/>
        <w:rPr>
          <w:bdr w:val="single" w:sz="8" w:space="1" w:color="000000"/>
        </w:rPr>
      </w:pPr>
      <w:r>
        <w:rPr>
          <w:bdr w:val="single" w:sz="8" w:space="1" w:color="000000"/>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state where the offer or sale is not permitted.</w:t>
      </w:r>
    </w:p>
    <w:p>
      <w:pPr>
        <w:pStyle w:val="TextBody"/>
        <w:bidi w:val="0"/>
        <w:spacing w:before="0" w:after="0"/>
        <w:ind w:left="0" w:right="0" w:hanging="0"/>
        <w:jc w:val="both"/>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 DATED SEPTEMBER 11, 2026</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PRELIMINARY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809625" cy="1114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9625" cy="11144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RENT THE RUNWAY,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Class A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Subscription Rights to Purchase up to 4,225,352 Shares of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Class A Common Stock at $           per Share</w:t>
      </w:r>
    </w:p>
    <w:p>
      <w:pPr>
        <w:pStyle w:val="TextBody"/>
        <w:bidi w:val="0"/>
        <w:spacing w:before="60" w:after="60"/>
        <w:jc w:val="center"/>
        <w:rPr>
          <w:bdr w:val="single" w:sz="8" w:space="1" w:color="000000"/>
        </w:rPr>
      </w:pPr>
      <w:r>
        <w:rPr>
          <w:bdr w:val="single" w:sz="8" w:space="1"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distributing, at no charge, to the holders of our Class A Common Stock, par value $0.001 per share (the “Class A Common Stock”) transferable subscription rights to purchase up to an aggregate of 4,225,352 shares of our Class A Common Stock, at a subscription price equal to the greater of (i) $3.55, which represents the  volume weighted average price of our Class A Common Stock for the 15-day trading period ending on the second trading day preceding the date of the Backstop Agreement (as defined below) and (ii) the volume weighted average price of our Class A Common Stock for the 15-day trading period through and including the Record Date (as defined below), in each case, per whole share of Class A Common Stock. We are offering to each of our stockholders one right for each share of Class A Common Stock owned by such stockholder as of 5:00 p.m., New York City time, on           , 2026 (the “Record Date”). Each right will entitle its holder to purchase additional shares of Class A Common Stock on a pro rata basis relative to their ownership interest in us as of the Record Date. As of           , 2026, we had outstanding            shares of Class A Common Stock. As a result, each right would have entitled its holder to approximately            shares of our Class A Common Stock as of such date, which is subject to change as of the Record Date.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holders who fully exercise their rights will be entitled to subscribe for additional shares of our Class A Common Stock to the extent that other rights holders do not exercise their rights in full (the “oversubscription privilege”), subject to certain limitations described herein. The oversubscription privilege allows a rights holder to subscribe for additional shares of our Class A Common Stock at the subscription price.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purchase price of shares of our Class A Common Stock offered hereby will be up to $15 million. To the extent a stockholder properly exercises its oversubscription privilege for an amount of shares of Class A Common Stock that exceeds the number of the unsubscribed shares of Class A Common Stock available, Broadridge Corporate Issuer Solutions, LLC (the “Subscription Agent”) will return any excess subscription payments, without interest or penalty, as soon as practicable following the expiration of this offering. We are not requiring a minimum individual or overall subscription to complete this offering. The Subscription Agent will hold in escrow the funds we receive from subscribing stockholders until we complete or terminate this offering.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may only be exercised in aggregate whole numbers of our Class A Common Stock, and no fractional shares of Class A Common Stock will be issued. Any fractional shares of Class A Common Stock resulting from the exercise of the rights will be rounded down to the nearest whole share, with such adjustments as may be necessary to ensure that we offer up to 4,225,352 shares of Class A Common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offering will commence on           , 2026 and we will not distribute any rights prior to such date. The rights will expire if they are not exercised by 5:00 p.m., New York City time, on           , 2026, unless extended as described herein (the “Expiration Date”). Any exercise of rights by a holder may not be revoked. The rights are transferable, subject to the conditions described herein. Rights that are not exercised prior to the Expiration Date will expire and have no value. There is no minimum number of shares of Class A Common Stock that we must sell to complete this offering. The completion of this offering is subject to certain conditions. See “Description of the Rights Offering-Conditions, Amendment, Withdrawal and Termination.”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 rights offering backstop agreement, dated September 11, 2026 (the “Backstop Agreement”), with CHS US Investments LLC (“CHS”), Gateway Runway, LLC (“Nexus”) and S3 RR Aggregator, LLC (“STORY3” and, collectively with CHS and Nexus, the “Investor Group”). Pursuant to the Backstop Agreement, the Investor Group has agreed to purchase from us, at a price per share equal to the subscription price, all unsubscribed shares of Class A Common Stock in this offering for cash. The Investor Group will be entitled to exercise its own subscription rights that it receives pursuant to this offering, and it will not receive any fee for acting as the backstop purchaser for this offering.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our board of directors makes any recommendation to holders regarding whether they should exercise or sell their rights. As a result of the terms of this offering, stockholders who do not fully exercise their rights will own, upon completion of this offering, a smaller proportional interest in our Class A Common Stock than otherwise would be the case had they fully exercised their rights.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Common Stock is traded on the Nasdaq Global Market (the “Nasdaq”) under the symbol “RENT.” The rights will not be listed for trading on Nasdaq or any other exchange or market. On           , 2026, the last reported sale price of our shares of Class A Common Stock on the Nasdaq was $           per share.</w:t>
      </w:r>
    </w:p>
    <w:p>
      <w:pPr>
        <w:pStyle w:val="TextBody"/>
        <w:bidi w:val="0"/>
        <w:spacing w:before="60" w:after="60"/>
        <w:jc w:val="center"/>
        <w:rPr>
          <w:bdr w:val="single" w:sz="8" w:space="1" w:color="000000"/>
        </w:rPr>
      </w:pPr>
      <w:r>
        <w:rPr>
          <w:bdr w:val="single" w:sz="8" w:space="1" w:color="000000"/>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Class A Common Stock involves significant risks. See “Risk Factors” beginning on page 8 of this prospectus and those identified under “Risk Factors” in our Quarterly Report on Form 10-Q, as filed with the Securities and Exchange Commission (the “SEC”) on September 11, 2026, and incorporated by reference herein.</w:t>
      </w:r>
    </w:p>
    <w:p>
      <w:pPr>
        <w:pStyle w:val="TextBody"/>
        <w:bidi w:val="0"/>
        <w:spacing w:before="60" w:after="60"/>
        <w:jc w:val="center"/>
        <w:rPr>
          <w:bdr w:val="single" w:sz="8" w:space="1" w:color="000000"/>
        </w:rPr>
      </w:pPr>
      <w:r>
        <w:rPr>
          <w:bdr w:val="single" w:sz="8" w:space="1" w:color="000000"/>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ab/>
        <w:t>, 2026</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60" w:after="60"/>
        <w:jc w:val="center"/>
        <w:rPr>
          <w:bdr w:val="single" w:sz="8" w:space="1" w:color="000000"/>
        </w:rPr>
      </w:pPr>
      <w:r>
        <w:rPr>
          <w:bdr w:val="single" w:sz="8" w:space="1" w:color="000000"/>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Page</w:t>
      </w:r>
    </w:p>
    <w:p>
      <w:pPr>
        <w:pStyle w:val="TextBody"/>
        <w:bidi w:val="0"/>
        <w:spacing w:before="0" w:after="0"/>
        <w:ind w:left="3960" w:right="0" w:hanging="0"/>
        <w:jc w:val="left"/>
        <w:rPr>
          <w:caps w:val="false"/>
          <w:smallCaps w:val="false"/>
        </w:rPr>
      </w:pPr>
      <w:r>
        <w:rPr>
          <w:caps w:val="false"/>
          <w:smallCaps w:val="false"/>
        </w:rPr>
        <w:t> </w:t>
      </w:r>
    </w:p>
    <w:tbl>
      <w:tblPr>
        <w:tblW w:w="8560" w:type="dxa"/>
        <w:jc w:val="left"/>
        <w:tblInd w:w="0" w:type="dxa"/>
        <w:tblLayout w:type="fixed"/>
        <w:tblCellMar>
          <w:top w:w="60" w:type="dxa"/>
          <w:left w:w="60" w:type="dxa"/>
          <w:bottom w:w="60" w:type="dxa"/>
          <w:right w:w="60" w:type="dxa"/>
        </w:tblCellMar>
      </w:tblPr>
      <w:tblGrid>
        <w:gridCol w:w="8165"/>
        <w:gridCol w:w="395"/>
      </w:tblGrid>
      <w:tr>
        <w:trPr/>
        <w:tc>
          <w:tcPr>
            <w:tcW w:w="8165" w:type="dxa"/>
            <w:tcBorders/>
            <w:vAlign w:val="center"/>
          </w:tcPr>
          <w:p>
            <w:pPr>
              <w:pStyle w:val="TableContents"/>
              <w:bidi w:val="0"/>
              <w:spacing w:before="0" w:after="283"/>
              <w:jc w:val="left"/>
              <w:rPr/>
            </w:pPr>
            <w:hyperlink w:anchor="a_001">
              <w:r>
                <w:rPr>
                  <w:rStyle w:val="InternetLink"/>
                </w:rPr>
                <w:t>SUMMARY</w:t>
              </w:r>
            </w:hyperlink>
          </w:p>
        </w:tc>
        <w:tc>
          <w:tcPr>
            <w:tcW w:w="395" w:type="dxa"/>
            <w:tcBorders/>
            <w:vAlign w:val="center"/>
          </w:tcPr>
          <w:p>
            <w:pPr>
              <w:pStyle w:val="TableContents"/>
              <w:bidi w:val="0"/>
              <w:spacing w:before="0" w:after="283"/>
              <w:jc w:val="right"/>
              <w:rPr/>
            </w:pPr>
            <w:hyperlink w:anchor="a_001">
              <w:r>
                <w:rPr>
                  <w:rStyle w:val="InternetLink"/>
                </w:rPr>
                <w:t>1</w:t>
              </w:r>
            </w:hyperlink>
          </w:p>
        </w:tc>
      </w:tr>
      <w:tr>
        <w:trPr/>
        <w:tc>
          <w:tcPr>
            <w:tcW w:w="8165" w:type="dxa"/>
            <w:tcBorders/>
            <w:vAlign w:val="center"/>
          </w:tcPr>
          <w:p>
            <w:pPr>
              <w:pStyle w:val="TableContents"/>
              <w:bidi w:val="0"/>
              <w:spacing w:before="0" w:after="283"/>
              <w:jc w:val="left"/>
              <w:rPr/>
            </w:pPr>
            <w:hyperlink w:anchor="a_002">
              <w:r>
                <w:rPr>
                  <w:rStyle w:val="InternetLink"/>
                </w:rPr>
                <w:t>RISK FACTORS</w:t>
              </w:r>
            </w:hyperlink>
          </w:p>
        </w:tc>
        <w:tc>
          <w:tcPr>
            <w:tcW w:w="395" w:type="dxa"/>
            <w:tcBorders/>
            <w:vAlign w:val="center"/>
          </w:tcPr>
          <w:p>
            <w:pPr>
              <w:pStyle w:val="TableContents"/>
              <w:bidi w:val="0"/>
              <w:spacing w:before="0" w:after="283"/>
              <w:jc w:val="right"/>
              <w:rPr/>
            </w:pPr>
            <w:hyperlink w:anchor="a_002">
              <w:r>
                <w:rPr>
                  <w:rStyle w:val="InternetLink"/>
                </w:rPr>
                <w:t>8</w:t>
              </w:r>
            </w:hyperlink>
          </w:p>
        </w:tc>
      </w:tr>
      <w:tr>
        <w:trPr/>
        <w:tc>
          <w:tcPr>
            <w:tcW w:w="8165" w:type="dxa"/>
            <w:tcBorders/>
            <w:vAlign w:val="center"/>
          </w:tcPr>
          <w:p>
            <w:pPr>
              <w:pStyle w:val="TableContents"/>
              <w:bidi w:val="0"/>
              <w:spacing w:before="0" w:after="283"/>
              <w:jc w:val="left"/>
              <w:rPr/>
            </w:pPr>
            <w:hyperlink w:anchor="a_003">
              <w:r>
                <w:rPr>
                  <w:rStyle w:val="InternetLink"/>
                </w:rPr>
                <w:t>CAUTIONARY NOTE REGARDING FORWARD-LOOKING STATEMENTS</w:t>
              </w:r>
            </w:hyperlink>
          </w:p>
        </w:tc>
        <w:tc>
          <w:tcPr>
            <w:tcW w:w="395" w:type="dxa"/>
            <w:tcBorders/>
            <w:vAlign w:val="center"/>
          </w:tcPr>
          <w:p>
            <w:pPr>
              <w:pStyle w:val="TableContents"/>
              <w:bidi w:val="0"/>
              <w:spacing w:before="0" w:after="283"/>
              <w:jc w:val="right"/>
              <w:rPr/>
            </w:pPr>
            <w:hyperlink w:anchor="a_003">
              <w:r>
                <w:rPr>
                  <w:rStyle w:val="InternetLink"/>
                </w:rPr>
                <w:t>10</w:t>
              </w:r>
            </w:hyperlink>
          </w:p>
        </w:tc>
      </w:tr>
      <w:tr>
        <w:trPr/>
        <w:tc>
          <w:tcPr>
            <w:tcW w:w="8165" w:type="dxa"/>
            <w:tcBorders/>
            <w:vAlign w:val="center"/>
          </w:tcPr>
          <w:p>
            <w:pPr>
              <w:pStyle w:val="TableContents"/>
              <w:bidi w:val="0"/>
              <w:spacing w:before="0" w:after="283"/>
              <w:jc w:val="left"/>
              <w:rPr/>
            </w:pPr>
            <w:hyperlink w:anchor="a_004">
              <w:r>
                <w:rPr>
                  <w:rStyle w:val="InternetLink"/>
                </w:rPr>
                <w:t>USE OF PROCEEDS</w:t>
              </w:r>
            </w:hyperlink>
          </w:p>
        </w:tc>
        <w:tc>
          <w:tcPr>
            <w:tcW w:w="395" w:type="dxa"/>
            <w:tcBorders/>
            <w:vAlign w:val="center"/>
          </w:tcPr>
          <w:p>
            <w:pPr>
              <w:pStyle w:val="TableContents"/>
              <w:bidi w:val="0"/>
              <w:spacing w:before="0" w:after="283"/>
              <w:jc w:val="right"/>
              <w:rPr/>
            </w:pPr>
            <w:hyperlink w:anchor="a_004">
              <w:r>
                <w:rPr>
                  <w:rStyle w:val="InternetLink"/>
                </w:rPr>
                <w:t>11</w:t>
              </w:r>
            </w:hyperlink>
          </w:p>
        </w:tc>
      </w:tr>
      <w:tr>
        <w:trPr/>
        <w:tc>
          <w:tcPr>
            <w:tcW w:w="8165" w:type="dxa"/>
            <w:tcBorders/>
            <w:vAlign w:val="center"/>
          </w:tcPr>
          <w:p>
            <w:pPr>
              <w:pStyle w:val="TableContents"/>
              <w:bidi w:val="0"/>
              <w:spacing w:before="0" w:after="283"/>
              <w:jc w:val="left"/>
              <w:rPr/>
            </w:pPr>
            <w:hyperlink w:anchor="a_005">
              <w:r>
                <w:rPr>
                  <w:rStyle w:val="InternetLink"/>
                </w:rPr>
                <w:t>CAPITALIZATION</w:t>
              </w:r>
            </w:hyperlink>
          </w:p>
        </w:tc>
        <w:tc>
          <w:tcPr>
            <w:tcW w:w="395" w:type="dxa"/>
            <w:tcBorders/>
            <w:vAlign w:val="center"/>
          </w:tcPr>
          <w:p>
            <w:pPr>
              <w:pStyle w:val="TableContents"/>
              <w:bidi w:val="0"/>
              <w:spacing w:before="0" w:after="283"/>
              <w:jc w:val="right"/>
              <w:rPr/>
            </w:pPr>
            <w:hyperlink w:anchor="a_005">
              <w:r>
                <w:rPr>
                  <w:rStyle w:val="InternetLink"/>
                </w:rPr>
                <w:t>12</w:t>
              </w:r>
            </w:hyperlink>
          </w:p>
        </w:tc>
      </w:tr>
      <w:tr>
        <w:trPr/>
        <w:tc>
          <w:tcPr>
            <w:tcW w:w="8165" w:type="dxa"/>
            <w:tcBorders/>
            <w:vAlign w:val="center"/>
          </w:tcPr>
          <w:p>
            <w:pPr>
              <w:pStyle w:val="TableContents"/>
              <w:bidi w:val="0"/>
              <w:spacing w:before="0" w:after="283"/>
              <w:jc w:val="left"/>
              <w:rPr/>
            </w:pPr>
            <w:hyperlink w:anchor="a_006">
              <w:r>
                <w:rPr>
                  <w:rStyle w:val="InternetLink"/>
                </w:rPr>
                <w:t>DILUTION</w:t>
              </w:r>
            </w:hyperlink>
          </w:p>
        </w:tc>
        <w:tc>
          <w:tcPr>
            <w:tcW w:w="395" w:type="dxa"/>
            <w:tcBorders/>
            <w:vAlign w:val="center"/>
          </w:tcPr>
          <w:p>
            <w:pPr>
              <w:pStyle w:val="TableContents"/>
              <w:bidi w:val="0"/>
              <w:spacing w:before="0" w:after="283"/>
              <w:jc w:val="right"/>
              <w:rPr/>
            </w:pPr>
            <w:hyperlink w:anchor="a_006">
              <w:r>
                <w:rPr>
                  <w:rStyle w:val="InternetLink"/>
                </w:rPr>
                <w:t>13</w:t>
              </w:r>
            </w:hyperlink>
          </w:p>
        </w:tc>
      </w:tr>
      <w:tr>
        <w:trPr/>
        <w:tc>
          <w:tcPr>
            <w:tcW w:w="8165" w:type="dxa"/>
            <w:tcBorders/>
            <w:vAlign w:val="center"/>
          </w:tcPr>
          <w:p>
            <w:pPr>
              <w:pStyle w:val="TableContents"/>
              <w:bidi w:val="0"/>
              <w:spacing w:before="0" w:after="283"/>
              <w:jc w:val="left"/>
              <w:rPr/>
            </w:pPr>
            <w:hyperlink w:anchor="a_007">
              <w:r>
                <w:rPr>
                  <w:rStyle w:val="InternetLink"/>
                </w:rPr>
                <w:t>DESCRIPTION OF THE RIGHTS OFFERING</w:t>
              </w:r>
            </w:hyperlink>
          </w:p>
        </w:tc>
        <w:tc>
          <w:tcPr>
            <w:tcW w:w="395" w:type="dxa"/>
            <w:tcBorders/>
            <w:vAlign w:val="center"/>
          </w:tcPr>
          <w:p>
            <w:pPr>
              <w:pStyle w:val="TableContents"/>
              <w:bidi w:val="0"/>
              <w:spacing w:before="0" w:after="283"/>
              <w:jc w:val="right"/>
              <w:rPr/>
            </w:pPr>
            <w:hyperlink w:anchor="a_007">
              <w:r>
                <w:rPr>
                  <w:rStyle w:val="InternetLink"/>
                </w:rPr>
                <w:t>14</w:t>
              </w:r>
            </w:hyperlink>
          </w:p>
        </w:tc>
      </w:tr>
      <w:tr>
        <w:trPr/>
        <w:tc>
          <w:tcPr>
            <w:tcW w:w="8165" w:type="dxa"/>
            <w:tcBorders/>
            <w:vAlign w:val="center"/>
          </w:tcPr>
          <w:p>
            <w:pPr>
              <w:pStyle w:val="TableContents"/>
              <w:bidi w:val="0"/>
              <w:spacing w:before="0" w:after="283"/>
              <w:jc w:val="left"/>
              <w:rPr/>
            </w:pPr>
            <w:hyperlink w:anchor="a_008">
              <w:r>
                <w:rPr>
                  <w:rStyle w:val="InternetLink"/>
                </w:rPr>
                <w:t>MATERIAL U.S. FEDERAL INCOME TAX CONSEQUENCES</w:t>
              </w:r>
            </w:hyperlink>
          </w:p>
        </w:tc>
        <w:tc>
          <w:tcPr>
            <w:tcW w:w="395" w:type="dxa"/>
            <w:tcBorders/>
            <w:vAlign w:val="center"/>
          </w:tcPr>
          <w:p>
            <w:pPr>
              <w:pStyle w:val="TableContents"/>
              <w:bidi w:val="0"/>
              <w:spacing w:before="0" w:after="283"/>
              <w:jc w:val="right"/>
              <w:rPr/>
            </w:pPr>
            <w:hyperlink w:anchor="a_008">
              <w:r>
                <w:rPr>
                  <w:rStyle w:val="InternetLink"/>
                </w:rPr>
                <w:t>25</w:t>
              </w:r>
            </w:hyperlink>
          </w:p>
        </w:tc>
      </w:tr>
      <w:tr>
        <w:trPr/>
        <w:tc>
          <w:tcPr>
            <w:tcW w:w="8165" w:type="dxa"/>
            <w:tcBorders/>
            <w:vAlign w:val="center"/>
          </w:tcPr>
          <w:p>
            <w:pPr>
              <w:pStyle w:val="TableContents"/>
              <w:bidi w:val="0"/>
              <w:spacing w:before="0" w:after="283"/>
              <w:jc w:val="left"/>
              <w:rPr/>
            </w:pPr>
            <w:hyperlink w:anchor="a_009">
              <w:r>
                <w:rPr>
                  <w:rStyle w:val="InternetLink"/>
                </w:rPr>
                <w:t>PLAN OF DISTRIBUTION</w:t>
              </w:r>
            </w:hyperlink>
          </w:p>
        </w:tc>
        <w:tc>
          <w:tcPr>
            <w:tcW w:w="395" w:type="dxa"/>
            <w:tcBorders/>
            <w:vAlign w:val="center"/>
          </w:tcPr>
          <w:p>
            <w:pPr>
              <w:pStyle w:val="TableContents"/>
              <w:bidi w:val="0"/>
              <w:spacing w:before="0" w:after="283"/>
              <w:jc w:val="right"/>
              <w:rPr/>
            </w:pPr>
            <w:hyperlink w:anchor="a_009">
              <w:r>
                <w:rPr>
                  <w:rStyle w:val="InternetLink"/>
                </w:rPr>
                <w:t>31</w:t>
              </w:r>
            </w:hyperlink>
          </w:p>
        </w:tc>
      </w:tr>
      <w:tr>
        <w:trPr/>
        <w:tc>
          <w:tcPr>
            <w:tcW w:w="8165" w:type="dxa"/>
            <w:tcBorders/>
            <w:vAlign w:val="center"/>
          </w:tcPr>
          <w:p>
            <w:pPr>
              <w:pStyle w:val="TableContents"/>
              <w:bidi w:val="0"/>
              <w:spacing w:before="0" w:after="283"/>
              <w:jc w:val="left"/>
              <w:rPr/>
            </w:pPr>
            <w:hyperlink w:anchor="a_010">
              <w:r>
                <w:rPr>
                  <w:rStyle w:val="InternetLink"/>
                </w:rPr>
                <w:t>LEGAL MATTERS</w:t>
              </w:r>
            </w:hyperlink>
          </w:p>
        </w:tc>
        <w:tc>
          <w:tcPr>
            <w:tcW w:w="395" w:type="dxa"/>
            <w:tcBorders/>
            <w:vAlign w:val="center"/>
          </w:tcPr>
          <w:p>
            <w:pPr>
              <w:pStyle w:val="TableContents"/>
              <w:bidi w:val="0"/>
              <w:spacing w:before="0" w:after="283"/>
              <w:jc w:val="right"/>
              <w:rPr/>
            </w:pPr>
            <w:hyperlink w:anchor="a_010">
              <w:r>
                <w:rPr>
                  <w:rStyle w:val="InternetLink"/>
                </w:rPr>
                <w:t>32</w:t>
              </w:r>
            </w:hyperlink>
          </w:p>
        </w:tc>
      </w:tr>
      <w:tr>
        <w:trPr/>
        <w:tc>
          <w:tcPr>
            <w:tcW w:w="8165" w:type="dxa"/>
            <w:tcBorders/>
            <w:vAlign w:val="center"/>
          </w:tcPr>
          <w:p>
            <w:pPr>
              <w:pStyle w:val="TableContents"/>
              <w:bidi w:val="0"/>
              <w:spacing w:before="0" w:after="283"/>
              <w:jc w:val="left"/>
              <w:rPr/>
            </w:pPr>
            <w:hyperlink w:anchor="a_011">
              <w:r>
                <w:rPr>
                  <w:rStyle w:val="InternetLink"/>
                </w:rPr>
                <w:t>EXPERTS</w:t>
              </w:r>
            </w:hyperlink>
          </w:p>
        </w:tc>
        <w:tc>
          <w:tcPr>
            <w:tcW w:w="395" w:type="dxa"/>
            <w:tcBorders/>
            <w:vAlign w:val="center"/>
          </w:tcPr>
          <w:p>
            <w:pPr>
              <w:pStyle w:val="TableContents"/>
              <w:bidi w:val="0"/>
              <w:spacing w:before="0" w:after="283"/>
              <w:jc w:val="right"/>
              <w:rPr/>
            </w:pPr>
            <w:hyperlink w:anchor="a_011">
              <w:r>
                <w:rPr>
                  <w:rStyle w:val="InternetLink"/>
                </w:rPr>
                <w:t>32</w:t>
              </w:r>
            </w:hyperlink>
          </w:p>
        </w:tc>
      </w:tr>
      <w:tr>
        <w:trPr/>
        <w:tc>
          <w:tcPr>
            <w:tcW w:w="8165" w:type="dxa"/>
            <w:tcBorders/>
            <w:vAlign w:val="center"/>
          </w:tcPr>
          <w:p>
            <w:pPr>
              <w:pStyle w:val="TableContents"/>
              <w:bidi w:val="0"/>
              <w:spacing w:before="0" w:after="283"/>
              <w:jc w:val="left"/>
              <w:rPr/>
            </w:pPr>
            <w:hyperlink w:anchor="a_012">
              <w:r>
                <w:rPr>
                  <w:rStyle w:val="InternetLink"/>
                </w:rPr>
                <w:t>WHERE YOU CAN FIND MORE INFORMATION</w:t>
              </w:r>
            </w:hyperlink>
          </w:p>
        </w:tc>
        <w:tc>
          <w:tcPr>
            <w:tcW w:w="395" w:type="dxa"/>
            <w:tcBorders/>
            <w:vAlign w:val="center"/>
          </w:tcPr>
          <w:p>
            <w:pPr>
              <w:pStyle w:val="TableContents"/>
              <w:bidi w:val="0"/>
              <w:spacing w:before="0" w:after="283"/>
              <w:jc w:val="right"/>
              <w:rPr/>
            </w:pPr>
            <w:hyperlink w:anchor="a_012">
              <w:r>
                <w:rPr>
                  <w:rStyle w:val="InternetLink"/>
                </w:rPr>
                <w:t>33</w:t>
              </w:r>
            </w:hyperlink>
          </w:p>
        </w:tc>
      </w:tr>
    </w:tbl>
    <w:p>
      <w:pPr>
        <w:pStyle w:val="TextBody"/>
        <w:bidi w:val="0"/>
        <w:spacing w:before="0" w:after="283"/>
        <w:jc w:val="left"/>
        <w:rPr/>
      </w:pPr>
      <w:r>
        <w:rPr/>
        <w:t> </w:t>
      </w:r>
    </w:p>
    <w:p>
      <w:pPr>
        <w:pStyle w:val="TextBody"/>
        <w:bidi w:val="0"/>
        <w:spacing w:before="60" w:after="60"/>
        <w:jc w:val="center"/>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have filed with the SEC. The exhibits to the registration statement contain the full text of certain contracts and other important documents we have summarized in this prospectus. Because these summaries may not contain all the information that you may find important in deciding whether to subscribe for shares of our Class A Common Stock, you should review the full text of these documents. The registration statement and the exhibits can be obtained from the SEC as indicated under the section entitled “Where You Can Find More Information.”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“Rent the Runway,” “RTR,” the “company,” “we,” “us” and “our” refer to Rent the Runway, Inc. and its consolidated subsidiaries. We have not authorized anyone to provide any information or to make any representations other than those contained in this prospectus. We take no responsibility for, and can provide no assurance as to the reliability of, any other information that others may provide you. We are offering to sell, and seeking offers to buy, securities only in jurisdictions where offers and sales are permitted. The information contained in this prospectus is accurate only as of the date of this prospectus, regardless of the time of delivery of this prospectus or of any sale of the securities.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4" w:color="000000"/>
        </w:rPr>
      </w:pPr>
      <w:bookmarkStart w:id="2" w:name="a_001"/>
      <w:bookmarkEnd w:id="2"/>
      <w:r>
        <w:rPr>
          <w:rFonts w:ascii="Times New Roman;Times;Serif" w:hAnsi="Times New Roman;Times;Serif"/>
          <w:b/>
          <w:i w:val="false"/>
          <w:caps w:val="false"/>
          <w:smallCaps w:val="false"/>
          <w:sz w:val="20"/>
          <w:bdr w:val="single" w:sz="8" w:space="4" w:color="000000"/>
        </w:rPr>
        <w:t>SUMMARY</w:t>
      </w:r>
    </w:p>
    <w:p>
      <w:pPr>
        <w:pStyle w:val="TextBody"/>
        <w:bidi w:val="0"/>
        <w:spacing w:before="0" w:after="0"/>
        <w:ind w:left="0" w:right="0" w:hanging="0"/>
        <w:jc w:val="center"/>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360"/>
        <w:jc w:val="left"/>
        <w:rPr>
          <w:rFonts w:ascii="Times New Roman;Times;Serif" w:hAnsi="Times New Roman;Times;Serif"/>
          <w:b w:val="false"/>
          <w:i/>
          <w:caps w:val="false"/>
          <w:smallCaps w:val="false"/>
          <w:sz w:val="20"/>
          <w:bdr w:val="single" w:sz="8" w:space="4" w:color="000000"/>
        </w:rPr>
      </w:pPr>
      <w:r>
        <w:rPr>
          <w:rFonts w:ascii="Times New Roman;Times;Serif" w:hAnsi="Times New Roman;Times;Serif"/>
          <w:b w:val="false"/>
          <w:i/>
          <w:caps w:val="false"/>
          <w:smallCaps w:val="false"/>
          <w:sz w:val="20"/>
          <w:bdr w:val="single" w:sz="8" w:space="4" w:color="000000"/>
        </w:rPr>
        <w:t>This summary highlights information contained elsewhere or incorporated by reference in this prospectus. This summary may not contain all the information that may be important to you, and we urge you to read this prospectus carefully, including the documents incorporated by reference, before deciding to invest in the securities.</w:t>
      </w:r>
    </w:p>
    <w:p>
      <w:pPr>
        <w:pStyle w:val="TextBody"/>
        <w:bidi w:val="0"/>
        <w:spacing w:before="0" w:after="0"/>
        <w:ind w:left="0" w:right="0" w:firstLine="36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4" w:color="000000"/>
        </w:rPr>
      </w:pPr>
      <w:r>
        <w:rPr>
          <w:rFonts w:ascii="Times New Roman;Times;Serif" w:hAnsi="Times New Roman;Times;Serif"/>
          <w:b/>
          <w:i w:val="false"/>
          <w:caps w:val="false"/>
          <w:smallCaps w:val="false"/>
          <w:sz w:val="20"/>
          <w:bdr w:val="single" w:sz="8" w:space="4" w:color="000000"/>
        </w:rPr>
        <w:t>Business Overview</w:t>
      </w:r>
    </w:p>
    <w:p>
      <w:pPr>
        <w:pStyle w:val="TextBody"/>
        <w:bidi w:val="0"/>
        <w:spacing w:before="0" w:after="0"/>
        <w:ind w:left="0" w:right="0" w:hanging="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8" w:space="4" w:color="000000"/>
        </w:rPr>
      </w:pPr>
      <w:r>
        <w:rPr>
          <w:rFonts w:ascii="Times New Roman;Times;Serif" w:hAnsi="Times New Roman;Times;Serif"/>
          <w:b w:val="false"/>
          <w:i w:val="false"/>
          <w:caps w:val="false"/>
          <w:smallCaps w:val="false"/>
          <w:sz w:val="20"/>
          <w:bdr w:val="single" w:sz="8" w:space="4" w:color="000000"/>
        </w:rPr>
        <w:t>Our mission is to power women to feel their best every day.</w:t>
      </w:r>
    </w:p>
    <w:p>
      <w:pPr>
        <w:pStyle w:val="TextBody"/>
        <w:bidi w:val="0"/>
        <w:spacing w:before="0" w:after="0"/>
        <w:ind w:left="0" w:right="0" w:firstLine="36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8" w:space="4" w:color="000000"/>
        </w:rPr>
      </w:pPr>
      <w:r>
        <w:rPr>
          <w:rFonts w:ascii="Times New Roman;Times;Serif" w:hAnsi="Times New Roman;Times;Serif"/>
          <w:b w:val="false"/>
          <w:i w:val="false"/>
          <w:caps w:val="false"/>
          <w:smallCaps w:val="false"/>
          <w:sz w:val="20"/>
          <w:bdr w:val="single" w:sz="8" w:space="4" w:color="000000"/>
        </w:rPr>
        <w:t>Since our founding in November 2009, we have built the world’s first shared designer closet with thousands of styles by hundreds of brand partners. We give customers access to our “unlimited closet” through our subscription offering (“Subscription”) or the ability to rent a-la-carte through our reserve offering (“Reserve”). We also give our subscribers and customers the ability to buy our products through our Resale offering. Our Closet in the Cloud offers a wide assortment of items for every occasion, from evening wear and accessories to ready-to-wear, workwear, denim, casual, maternity, outerwear, blouses, knitwear, loungewear, jewelry, handbags, activewear and ski wear. We have served approximately 3.5 million lifetime customers across all of our offerings and we had 186,019 total subscribers (active and paused) as of July 31, 2026. We had 140,826 active subscribers as of July 31, 2026. For the six months ended July 31, 2026 and 2025, respectively, 90% and 89% of our total revenue was generated by subscribers while they were active or paused.</w:t>
      </w:r>
    </w:p>
    <w:p>
      <w:pPr>
        <w:pStyle w:val="TextBody"/>
        <w:bidi w:val="0"/>
        <w:spacing w:before="0" w:after="0"/>
        <w:ind w:left="0" w:right="0" w:firstLine="36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8" w:space="4" w:color="000000"/>
        </w:rPr>
      </w:pPr>
      <w:r>
        <w:rPr>
          <w:rFonts w:ascii="Times New Roman;Times;Serif" w:hAnsi="Times New Roman;Times;Serif"/>
          <w:b w:val="false"/>
          <w:i w:val="false"/>
          <w:caps w:val="false"/>
          <w:smallCaps w:val="false"/>
          <w:sz w:val="20"/>
          <w:bdr w:val="single" w:sz="8" w:space="4" w:color="000000"/>
        </w:rPr>
        <w:t>We have created a two-sided discovery engine: customers find new brands they love and brand partners find new customers they need. For customers, we unlock freedom of self-expression through access to our “Unlimited Closet” that has a constantly rotating supply of styles for all occasions, seasons, moods and price points. This leads to deep engagement with our platform as customers discover new brands they love. Brand partners are able to tap into our large, engaged community to discover new customers and get unparalleled data insights. All of this helps them grow and run their businesses and encourages them to partner more closely with us over time.</w:t>
      </w:r>
    </w:p>
    <w:p>
      <w:pPr>
        <w:pStyle w:val="TextBody"/>
        <w:bidi w:val="0"/>
        <w:spacing w:before="0" w:after="0"/>
        <w:ind w:left="0" w:right="0" w:firstLine="36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8" w:space="4" w:color="000000"/>
        </w:rPr>
      </w:pPr>
      <w:r>
        <w:rPr>
          <w:rFonts w:ascii="Times New Roman;Times;Serif" w:hAnsi="Times New Roman;Times;Serif"/>
          <w:b w:val="false"/>
          <w:i w:val="false"/>
          <w:caps w:val="false"/>
          <w:smallCaps w:val="false"/>
          <w:sz w:val="20"/>
          <w:bdr w:val="single" w:sz="8" w:space="4" w:color="000000"/>
        </w:rPr>
        <w:t>When our customers use Rent the Runway, they experience the magic of accessing an “Unlimited Closet” while saving money and time and reducing clothing waste. We deliver significant financial value to customers, with our average subscriber wearing clothes worth more than 24 times what she pays for a monthly RTR Subscription on an annualized basis (more than $48,000 in designer retail value in fiscal year 2025</w:t>
      </w:r>
      <w:r>
        <w:rPr>
          <w:rFonts w:ascii="Times New Roman;Times;Serif" w:hAnsi="Times New Roman;Times;Serif"/>
          <w:b w:val="false"/>
          <w:i w:val="false"/>
          <w:caps w:val="false"/>
          <w:smallCaps w:val="false"/>
          <w:position w:val="7"/>
          <w:sz w:val="16"/>
          <w:sz w:val="20"/>
          <w:bdr w:val="single" w:sz="8" w:space="4" w:color="000000"/>
        </w:rPr>
        <w:t>1</w:t>
      </w:r>
      <w:r>
        <w:rPr>
          <w:rFonts w:ascii="Times New Roman;Times;Serif" w:hAnsi="Times New Roman;Times;Serif"/>
          <w:b w:val="false"/>
          <w:i w:val="false"/>
          <w:caps w:val="false"/>
          <w:smallCaps w:val="false"/>
          <w:sz w:val="20"/>
          <w:bdr w:val="single" w:sz="8" w:space="4" w:color="000000"/>
        </w:rPr>
        <w:t>).</w:t>
      </w:r>
    </w:p>
    <w:p>
      <w:pPr>
        <w:pStyle w:val="TextBody"/>
        <w:bidi w:val="0"/>
        <w:spacing w:before="0" w:after="0"/>
        <w:ind w:left="0" w:right="0" w:firstLine="36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8" w:space="4" w:color="000000"/>
        </w:rPr>
      </w:pPr>
      <w:r>
        <w:rPr>
          <w:rFonts w:ascii="Times New Roman;Times;Serif" w:hAnsi="Times New Roman;Times;Serif"/>
          <w:b w:val="false"/>
          <w:i w:val="false"/>
          <w:caps w:val="false"/>
          <w:smallCaps w:val="false"/>
          <w:sz w:val="20"/>
          <w:bdr w:val="single" w:sz="8" w:space="4" w:color="000000"/>
        </w:rPr>
        <w:t>Our evolving selection of products is enabled by our designer brand partnerships. We source virtually all of our products directly from or in partnership with our brand partners that include many of the most renowned and relevant names in the fashion industry. The nature of our customer value proposition means our customers are typically younger and/or different from other audiences our brands are exposed to. For example, many of our brand partners work with us because we introduce them to new, desirable customers and deepen awareness of their brands. Over the last 16 years, we have fostered strong relationships with our brand partners and have experienced limited voluntary attrition. Our Closet in the Cloud connects our deeply engaged customers and our differentiated brand partners on a powerful platform built around our brand, data, logistics and technology advantages.</w:t>
      </w:r>
    </w:p>
    <w:p>
      <w:pPr>
        <w:pStyle w:val="TextBody"/>
        <w:bidi w:val="0"/>
        <w:spacing w:before="0" w:after="0"/>
        <w:ind w:left="0" w:right="0" w:firstLine="360"/>
        <w:jc w:val="left"/>
        <w:rPr>
          <w:caps w:val="false"/>
          <w:smallCaps w:val="false"/>
          <w:bdr w:val="single" w:sz="8" w:space="4" w:color="000000"/>
        </w:rPr>
      </w:pPr>
      <w:r>
        <w:rPr>
          <w:caps w:val="false"/>
          <w:smallCaps w:val="false"/>
          <w:bdr w:val="single" w:sz="8" w:space="4" w:color="000000"/>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u w:val="single"/>
              </w:rPr>
              <w:t>Brand Partner Advantage</w:t>
            </w:r>
            <w:r>
              <w:rPr/>
              <w:t>: Our assortment contains thousands of new, current season styles that luxury retail competitors simultaneously carry - all available for Subscription, Reserve, and/or Resale at much lower prices. We believe our engaged and loyal customer base paired with the data that we offer to our brand partners makes us a key destination for many of the world’s most important brands. Over time, our commercial relationships with our brand partners have evolved towards more capital efficient forms of rental product acquisition.</w:t>
            </w:r>
          </w:p>
        </w:tc>
      </w:tr>
    </w:tbl>
    <w:p>
      <w:pPr>
        <w:pStyle w:val="TextBody"/>
        <w:bidi w:val="0"/>
        <w:jc w:val="left"/>
        <w:rPr>
          <w:bdr w:val="single" w:sz="8" w:space="4" w:color="000000"/>
        </w:rPr>
      </w:pPr>
      <w:r>
        <w:rPr>
          <w:bdr w:val="single" w:sz="8" w:space="4" w:color="000000"/>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8" w:space="4" w:color="000000"/>
        </w:rPr>
      </w:pPr>
      <w:r>
        <w:rPr>
          <w:rFonts w:ascii="Times New Roman;Times;Serif" w:hAnsi="Times New Roman;Times;Serif"/>
          <w:b w:val="false"/>
          <w:i w:val="false"/>
          <w:caps w:val="false"/>
          <w:smallCaps w:val="false"/>
          <w:position w:val="7"/>
          <w:sz w:val="16"/>
          <w:sz w:val="20"/>
          <w:bdr w:val="single" w:sz="8" w:space="4" w:color="000000"/>
        </w:rPr>
        <w:t>1</w:t>
      </w:r>
      <w:r>
        <w:rPr>
          <w:rFonts w:ascii="Times New Roman;Times;Serif" w:hAnsi="Times New Roman;Times;Serif"/>
          <w:b w:val="false"/>
          <w:i w:val="false"/>
          <w:caps w:val="false"/>
          <w:smallCaps w:val="false"/>
          <w:sz w:val="20"/>
          <w:bdr w:val="single" w:sz="8" w:space="4" w:color="000000"/>
        </w:rPr>
        <w:t xml:space="preserve"> We calculate designer retail values using original retail and/or comparable value prices. An original retail price is the price at which the manufacturer suggested that retailers in the marketplace, including department stores and specialty retailers, sell the item in new condition. A comparable value price is used for our Exclusive Designs and is based on an evaluation of prices for new comparable merchandise sold elsewhere in the marketplace.</w:t>
      </w:r>
    </w:p>
    <w:p>
      <w:pPr>
        <w:pStyle w:val="TextBody"/>
        <w:bidi w:val="0"/>
        <w:spacing w:before="0" w:after="0"/>
        <w:ind w:left="0" w:right="0" w:firstLine="72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u w:val="single"/>
              </w:rPr>
              <w:t>Data Advantage</w:t>
            </w:r>
            <w:r>
              <w:rPr/>
              <w:t>: We capture a vast amount of unique, actionable data on our customers and products. We leverage this data to create benefits for our customers, brand partners and our business.</w:t>
            </w:r>
          </w:p>
        </w:tc>
      </w:tr>
    </w:tbl>
    <w:p>
      <w:pPr>
        <w:pStyle w:val="TextBody"/>
        <w:bidi w:val="0"/>
        <w:spacing w:before="0" w:after="0"/>
        <w:jc w:val="left"/>
        <w:rPr>
          <w:caps w:val="false"/>
          <w:smallCaps w:val="false"/>
          <w:bdr w:val="single" w:sz="8" w:space="4" w:color="000000"/>
        </w:rPr>
      </w:pPr>
      <w:r>
        <w:rPr>
          <w:caps w:val="false"/>
          <w:smallCaps w:val="false"/>
          <w:bdr w:val="single" w:sz="8" w:space="4" w:color="000000"/>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u w:val="single"/>
              </w:rPr>
              <w:t>Technology and Logistics Advantage</w:t>
            </w:r>
            <w:r>
              <w:rPr/>
              <w:t>: We have developed a proprietary operating system that pairs proprietary software with differentiated infrastructure and hardware. Our expertise in vertically integrated just-in-time reverse logistics and garment science allows us to achieve multi-year monetization on our rental garments. We have also built a custom platform that supports our consumer-facing offerings on our website and app.</w:t>
            </w:r>
          </w:p>
        </w:tc>
      </w:tr>
    </w:tbl>
    <w:p>
      <w:pPr>
        <w:pStyle w:val="TextBody"/>
        <w:bidi w:val="0"/>
        <w:spacing w:before="0" w:after="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4" w:color="000000"/>
        </w:rPr>
      </w:pPr>
      <w:r>
        <w:rPr>
          <w:rFonts w:ascii="Times New Roman;Times;Serif" w:hAnsi="Times New Roman;Times;Serif"/>
          <w:b/>
          <w:i w:val="false"/>
          <w:caps w:val="false"/>
          <w:smallCaps w:val="false"/>
          <w:sz w:val="20"/>
          <w:bdr w:val="single" w:sz="8" w:space="4" w:color="000000"/>
        </w:rPr>
        <w:t>Recent Developments</w:t>
      </w:r>
    </w:p>
    <w:p>
      <w:pPr>
        <w:pStyle w:val="TextBody"/>
        <w:bidi w:val="0"/>
        <w:spacing w:before="0" w:after="0"/>
        <w:ind w:left="0" w:right="0" w:hanging="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360"/>
        <w:jc w:val="left"/>
        <w:rPr>
          <w:rFonts w:ascii="Times New Roman;Times;Serif" w:hAnsi="Times New Roman;Times;Serif"/>
          <w:b w:val="false"/>
          <w:i/>
          <w:caps w:val="false"/>
          <w:smallCaps w:val="false"/>
          <w:sz w:val="20"/>
          <w:bdr w:val="single" w:sz="8" w:space="4" w:color="000000"/>
        </w:rPr>
      </w:pPr>
      <w:r>
        <w:rPr>
          <w:rFonts w:ascii="Times New Roman;Times;Serif" w:hAnsi="Times New Roman;Times;Serif"/>
          <w:b w:val="false"/>
          <w:i/>
          <w:caps w:val="false"/>
          <w:smallCaps w:val="false"/>
          <w:sz w:val="20"/>
          <w:bdr w:val="single" w:sz="8" w:space="4" w:color="000000"/>
        </w:rPr>
        <w:t>Amended and Restated Credit Agreement</w:t>
      </w:r>
    </w:p>
    <w:p>
      <w:pPr>
        <w:pStyle w:val="TextBody"/>
        <w:bidi w:val="0"/>
        <w:spacing w:before="0" w:after="0"/>
        <w:ind w:left="0" w:right="0" w:firstLine="36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8" w:space="4" w:color="000000"/>
        </w:rPr>
      </w:pPr>
      <w:r>
        <w:rPr>
          <w:rFonts w:ascii="Times New Roman;Times;Serif" w:hAnsi="Times New Roman;Times;Serif"/>
          <w:b w:val="false"/>
          <w:i w:val="false"/>
          <w:caps w:val="false"/>
          <w:smallCaps w:val="false"/>
          <w:sz w:val="20"/>
          <w:bdr w:val="single" w:sz="8" w:space="4" w:color="000000"/>
        </w:rPr>
        <w:t>On September 1, 2026, the Company entered into an amendment (the “Third Amendment”) to the Amended and Restated Credit Agreement, dated as of October 28, 2025 (the “Existing Credit Agreement” and, as amended by the Third Amendment, the “New Credit Agreement”), by and among us, as borrower, CHS (US) Management LLC, as administrative agent (the “Agent”), and APS RTR Blocker, Inc., Gateway Runway, LLC and S3 RR Aggregator, LLC, as lenders, establishing an incremental term loan facility in an aggregate principal amount of $10,000,000 (the “Third Amendment Incremental Term Loan Facility”).  The company concurrently borrowed the full amount of the term loans available under the Third Amendment Incremental Term Loan Facility, in an aggregate principal amount of $10,000,000 (the “Third Amendment Incremental Term Loan”).</w:t>
      </w:r>
    </w:p>
    <w:p>
      <w:pPr>
        <w:pStyle w:val="TextBody"/>
        <w:bidi w:val="0"/>
        <w:spacing w:before="0" w:after="0"/>
        <w:ind w:left="0" w:right="0" w:firstLine="36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360"/>
        <w:jc w:val="left"/>
        <w:rPr>
          <w:rFonts w:ascii="Times New Roman;Times;Serif" w:hAnsi="Times New Roman;Times;Serif"/>
          <w:b w:val="false"/>
          <w:i/>
          <w:caps w:val="false"/>
          <w:smallCaps w:val="false"/>
          <w:sz w:val="20"/>
          <w:bdr w:val="single" w:sz="8" w:space="4" w:color="000000"/>
        </w:rPr>
      </w:pPr>
      <w:r>
        <w:rPr>
          <w:rFonts w:ascii="Times New Roman;Times;Serif" w:hAnsi="Times New Roman;Times;Serif"/>
          <w:b w:val="false"/>
          <w:i/>
          <w:caps w:val="false"/>
          <w:smallCaps w:val="false"/>
          <w:sz w:val="20"/>
          <w:bdr w:val="single" w:sz="8" w:space="4" w:color="000000"/>
        </w:rPr>
        <w:t>Stipulation of Settlement</w:t>
      </w:r>
    </w:p>
    <w:p>
      <w:pPr>
        <w:pStyle w:val="TextBody"/>
        <w:bidi w:val="0"/>
        <w:spacing w:before="0" w:after="0"/>
        <w:ind w:left="0" w:right="0" w:firstLine="36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8" w:space="4" w:color="000000"/>
        </w:rPr>
      </w:pPr>
      <w:r>
        <w:rPr>
          <w:rFonts w:ascii="Times New Roman;Times;Serif" w:hAnsi="Times New Roman;Times;Serif"/>
          <w:b w:val="false"/>
          <w:i w:val="false"/>
          <w:caps w:val="false"/>
          <w:smallCaps w:val="false"/>
          <w:sz w:val="20"/>
          <w:bdr w:val="single" w:sz="8" w:space="4" w:color="000000"/>
        </w:rPr>
        <w:t>On September 3, 2026, the Company entered into a Stipulation and Agreement of Settlement (the “Stipulation of Settlement”) to settle the previously-disclosed putative class action lawsuit filed by a purported stockholder of the Company on November 14, 2022 in the Eastern District of New York against the Company, certain of its officers and directors, and the underwriters of its initial public offering, entitled Rajat Sharma v. Rent the Runway, Inc., et al. 22-cv-6935. The complaint alleges that the defendants violated Sections 11 and 15 of the Securities Act of 1933, as amended (the “Securities Act”), by making allegedly materially misleading statements, and by omitting material facts necessary to make the statements made therein not misleading concerning, inter alia, the Company’s growth at the time of the IPO.</w:t>
      </w:r>
    </w:p>
    <w:p>
      <w:pPr>
        <w:pStyle w:val="TextBody"/>
        <w:bidi w:val="0"/>
        <w:spacing w:before="0" w:after="0"/>
        <w:ind w:left="0" w:right="0" w:firstLine="36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8" w:space="4" w:color="000000"/>
        </w:rPr>
      </w:pPr>
      <w:r>
        <w:rPr>
          <w:rFonts w:ascii="Times New Roman;Times;Serif" w:hAnsi="Times New Roman;Times;Serif"/>
          <w:b w:val="false"/>
          <w:i w:val="false"/>
          <w:caps w:val="false"/>
          <w:smallCaps w:val="false"/>
          <w:sz w:val="20"/>
          <w:bdr w:val="single" w:sz="8" w:space="4" w:color="000000"/>
        </w:rPr>
        <w:t>Pursuant to the Stipulation of Settlement, the parties have agreed to resolve all claims brought against the defendants, subject to certain conditions including the approval of the settlement terms by the Court. The Stipulation of Settlement provides that the Company shall pay, or shall cause to be paid, total settlement consideration with an aggregate value of $9 million (the “Settlement Amount”), consisting of (i) $6 million in cash (the “Cash Settlement Amount”), and (ii) shares of the Company’s Class A common stock, with an aggregate value of $3 million (the “Stock Component Amount”) (of which the Company may, in its sole discretion, pay all or a portion in cash instead). The Cash Settlement Amount will include a contribution of approximately $3.1 million from the Company and a contribution of approximately $2.9 million from the Company’s insurers. The Stipulation of Settlement contemplates that the resolution of the matter would be without any admission of liability, wrongdoing, damages, negligence, or fault by the Company.</w:t>
      </w:r>
    </w:p>
    <w:p>
      <w:pPr>
        <w:pStyle w:val="TextBody"/>
        <w:bidi w:val="0"/>
        <w:spacing w:before="0" w:after="0"/>
        <w:ind w:left="0" w:right="0" w:firstLine="72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8" w:space="4" w:color="000000"/>
        </w:rPr>
      </w:pPr>
      <w:r>
        <w:rPr>
          <w:rFonts w:ascii="Times New Roman;Times;Serif" w:hAnsi="Times New Roman;Times;Serif"/>
          <w:b w:val="false"/>
          <w:i w:val="false"/>
          <w:caps w:val="false"/>
          <w:smallCaps w:val="false"/>
          <w:sz w:val="20"/>
          <w:bdr w:val="single" w:sz="8" w:space="4" w:color="000000"/>
        </w:rPr>
        <w:t>The proposed settlement is subject to, among other things, final approval by the Court. There can be no assurance that the Court will approve the proposed settlement on its current or any other terms. If the Court provides final approval of the settlement, the settlement would resolve all claims asserted against the Company in the lawsuit.</w:t>
      </w:r>
    </w:p>
    <w:p>
      <w:pPr>
        <w:pStyle w:val="TextBody"/>
        <w:bidi w:val="0"/>
        <w:spacing w:before="0" w:after="0"/>
        <w:ind w:left="0" w:right="0" w:hanging="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360"/>
        <w:jc w:val="left"/>
        <w:rPr>
          <w:rFonts w:ascii="Times New Roman;Times;Serif" w:hAnsi="Times New Roman;Times;Serif"/>
          <w:b w:val="false"/>
          <w:i/>
          <w:caps w:val="false"/>
          <w:smallCaps w:val="false"/>
          <w:sz w:val="20"/>
          <w:bdr w:val="single" w:sz="8" w:space="4" w:color="000000"/>
        </w:rPr>
      </w:pPr>
      <w:r>
        <w:rPr>
          <w:rFonts w:ascii="Times New Roman;Times;Serif" w:hAnsi="Times New Roman;Times;Serif"/>
          <w:b w:val="false"/>
          <w:i/>
          <w:caps w:val="false"/>
          <w:smallCaps w:val="false"/>
          <w:sz w:val="20"/>
          <w:bdr w:val="single" w:sz="8" w:space="4" w:color="000000"/>
        </w:rPr>
        <w:t>Executive Officer Appointment and Related Matters</w:t>
      </w:r>
    </w:p>
    <w:p>
      <w:pPr>
        <w:pStyle w:val="TextBody"/>
        <w:bidi w:val="0"/>
        <w:spacing w:before="0" w:after="0"/>
        <w:ind w:left="0" w:right="0" w:firstLine="36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8" w:space="4" w:color="000000"/>
        </w:rPr>
      </w:pPr>
      <w:r>
        <w:rPr>
          <w:rFonts w:ascii="Times New Roman;Times;Serif" w:hAnsi="Times New Roman;Times;Serif"/>
          <w:b w:val="false"/>
          <w:i w:val="false"/>
          <w:caps w:val="false"/>
          <w:smallCaps w:val="false"/>
          <w:sz w:val="20"/>
          <w:bdr w:val="single" w:sz="8" w:space="4" w:color="000000"/>
        </w:rPr>
        <w:t>On September 11, 2026 (the “Appointment Date”), the Company’s Board of Directors (the “Board”) appointed Paige Thomas as the Company’s Chief Executive Officer, principal executive officer, President and member of the Board, effective as of September 14, 2026 (the “Effective Date”). In connection with Ms. Thomas’ appointment, on the Appointment Date, Teri Bariquit stepped down as the Company’s Interim Chief Executive Officer and President and was appointed by the Board to serve as non-executive Chair of the Board, effective as of the Effective Date. In connection with Ms. Bariquit’s appointment, Dhiren Fonseca stepped down as Executive Chairman and will continue to serve as a Class III director of the Board.</w:t>
      </w:r>
    </w:p>
    <w:p>
      <w:pPr>
        <w:pStyle w:val="TextBody"/>
        <w:bidi w:val="0"/>
        <w:spacing w:before="0" w:after="0"/>
        <w:ind w:left="0" w:right="0" w:firstLine="36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4" w:color="000000"/>
        </w:rPr>
      </w:pPr>
      <w:r>
        <w:rPr>
          <w:rFonts w:ascii="Times New Roman;Times;Serif" w:hAnsi="Times New Roman;Times;Serif"/>
          <w:b/>
          <w:i w:val="false"/>
          <w:caps w:val="false"/>
          <w:smallCaps w:val="false"/>
          <w:sz w:val="20"/>
          <w:bdr w:val="single" w:sz="8" w:space="4" w:color="000000"/>
        </w:rPr>
        <w:t>Corporate Information</w:t>
      </w:r>
    </w:p>
    <w:p>
      <w:pPr>
        <w:pStyle w:val="TextBody"/>
        <w:bidi w:val="0"/>
        <w:spacing w:before="0" w:after="0"/>
        <w:ind w:left="0" w:right="0" w:hanging="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8" w:space="4" w:color="000000"/>
        </w:rPr>
      </w:pPr>
      <w:r>
        <w:rPr>
          <w:rFonts w:ascii="Times New Roman;Times;Serif" w:hAnsi="Times New Roman;Times;Serif"/>
          <w:b w:val="false"/>
          <w:i w:val="false"/>
          <w:caps w:val="false"/>
          <w:smallCaps w:val="false"/>
          <w:sz w:val="20"/>
          <w:bdr w:val="single" w:sz="8" w:space="4" w:color="000000"/>
        </w:rPr>
        <w:t>We were incorporated as Rent the Runway, Inc. in Delaware on March 3, 2009. Our principal executive offices are located at 10 Jay Street, Brooklyn, New York 11201. Our telephone number is (212) 524-6860. Our website address is www.renttherunway.com. Information contained on, or that can be accessed through, our website is not incorporated by reference into this prospectus, and you should not consider information on our website to be part of this prospectus.</w:t>
      </w:r>
    </w:p>
    <w:p>
      <w:pPr>
        <w:pStyle w:val="TextBody"/>
        <w:bidi w:val="0"/>
        <w:spacing w:before="0" w:after="0"/>
        <w:ind w:left="0" w:right="0" w:firstLine="36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4" w:color="000000"/>
        </w:rPr>
      </w:pPr>
      <w:r>
        <w:rPr>
          <w:rFonts w:ascii="Times New Roman;Times;Serif" w:hAnsi="Times New Roman;Times;Serif"/>
          <w:b/>
          <w:i w:val="false"/>
          <w:caps w:val="false"/>
          <w:smallCaps w:val="false"/>
          <w:sz w:val="20"/>
          <w:bdr w:val="single" w:sz="8" w:space="4" w:color="000000"/>
        </w:rPr>
        <w:t>THE OFFERING</w:t>
      </w:r>
    </w:p>
    <w:p>
      <w:pPr>
        <w:pStyle w:val="TextBody"/>
        <w:bidi w:val="0"/>
        <w:spacing w:before="0" w:after="0"/>
        <w:ind w:left="0" w:right="0" w:hanging="0"/>
        <w:jc w:val="center"/>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360"/>
        <w:jc w:val="left"/>
        <w:rPr>
          <w:rFonts w:ascii="Times New Roman;Times;Serif" w:hAnsi="Times New Roman;Times;Serif"/>
          <w:b w:val="false"/>
          <w:i/>
          <w:caps w:val="false"/>
          <w:smallCaps w:val="false"/>
          <w:sz w:val="20"/>
          <w:bdr w:val="single" w:sz="8" w:space="4" w:color="000000"/>
        </w:rPr>
      </w:pPr>
      <w:r>
        <w:rPr>
          <w:rFonts w:ascii="Times New Roman;Times;Serif" w:hAnsi="Times New Roman;Times;Serif"/>
          <w:b w:val="false"/>
          <w:i/>
          <w:caps w:val="false"/>
          <w:smallCaps w:val="false"/>
          <w:sz w:val="20"/>
          <w:bdr w:val="single" w:sz="8" w:space="4" w:color="000000"/>
        </w:rPr>
        <w:t>The following summary describes the principal terms of this offering, but it is not intended to be complete. You should read the full text and more specific details contained elsewhere in this prospectus. For a more detailed description of the terms and conditions of this offering, see “Description of the Rights Offering.”</w:t>
      </w:r>
    </w:p>
    <w:p>
      <w:pPr>
        <w:pStyle w:val="TextBody"/>
        <w:bidi w:val="0"/>
        <w:spacing w:before="0" w:after="0"/>
        <w:ind w:left="0" w:right="0" w:firstLine="360"/>
        <w:jc w:val="left"/>
        <w:rPr>
          <w:caps w:val="false"/>
          <w:smallCaps w:val="false"/>
          <w:bdr w:val="single" w:sz="8" w:space="4" w:color="000000"/>
        </w:rPr>
      </w:pPr>
      <w:r>
        <w:rPr>
          <w:caps w:val="false"/>
          <w:smallCaps w:val="false"/>
          <w:bdr w:val="single" w:sz="8" w:space="4" w:color="000000"/>
        </w:rPr>
        <w:t> </w:t>
      </w:r>
    </w:p>
    <w:tbl>
      <w:tblPr>
        <w:tblW w:w="10205" w:type="dxa"/>
        <w:jc w:val="left"/>
        <w:tblInd w:w="0" w:type="dxa"/>
        <w:tblLayout w:type="fixed"/>
        <w:tblCellMar>
          <w:top w:w="0" w:type="dxa"/>
          <w:left w:w="0" w:type="dxa"/>
          <w:bottom w:w="0" w:type="dxa"/>
          <w:right w:w="0" w:type="dxa"/>
        </w:tblCellMar>
      </w:tblPr>
      <w:tblGrid>
        <w:gridCol w:w="1723"/>
        <w:gridCol w:w="8482"/>
      </w:tblGrid>
      <w:tr>
        <w:trPr/>
        <w:tc>
          <w:tcPr>
            <w:tcW w:w="1723" w:type="dxa"/>
            <w:tcBorders/>
            <w:vAlign w:val="center"/>
          </w:tcPr>
          <w:p>
            <w:pPr>
              <w:pStyle w:val="TableContents"/>
              <w:bidi w:val="0"/>
              <w:spacing w:before="0" w:after="283"/>
              <w:jc w:val="left"/>
              <w:rPr>
                <w:sz w:val="20"/>
              </w:rPr>
            </w:pPr>
            <w:r>
              <w:rPr>
                <w:sz w:val="20"/>
              </w:rPr>
              <w:t>Subscription Rights</w:t>
              <w:tab/>
            </w:r>
          </w:p>
        </w:tc>
        <w:tc>
          <w:tcPr>
            <w:tcW w:w="8482" w:type="dxa"/>
            <w:tcBorders/>
            <w:vAlign w:val="center"/>
          </w:tcPr>
          <w:p>
            <w:pPr>
              <w:pStyle w:val="TableContents"/>
              <w:bidi w:val="0"/>
              <w:spacing w:before="0" w:after="283"/>
              <w:jc w:val="left"/>
              <w:rPr>
                <w:sz w:val="20"/>
              </w:rPr>
            </w:pPr>
            <w:r>
              <w:rPr>
                <w:sz w:val="20"/>
              </w:rPr>
              <w:t>We are distributing, at no charge, to our stockholders transferable subscription rights to purchase up to an aggregate of 4,225,352 shares of our Class A Common Stock.</w:t>
            </w:r>
          </w:p>
        </w:tc>
      </w:tr>
      <w:tr>
        <w:trPr/>
        <w:tc>
          <w:tcPr>
            <w:tcW w:w="1723" w:type="dxa"/>
            <w:tcBorders/>
            <w:vAlign w:val="center"/>
          </w:tcPr>
          <w:p>
            <w:pPr>
              <w:pStyle w:val="TableContents"/>
              <w:bidi w:val="0"/>
              <w:spacing w:before="0" w:after="283"/>
              <w:jc w:val="left"/>
              <w:rPr>
                <w:sz w:val="20"/>
              </w:rPr>
            </w:pPr>
            <w:r>
              <w:rPr>
                <w:sz w:val="20"/>
              </w:rPr>
              <w:t>Distribution Ratio</w:t>
              <w:tab/>
            </w:r>
          </w:p>
        </w:tc>
        <w:tc>
          <w:tcPr>
            <w:tcW w:w="8482" w:type="dxa"/>
            <w:tcBorders/>
            <w:vAlign w:val="center"/>
          </w:tcPr>
          <w:p>
            <w:pPr>
              <w:pStyle w:val="TableContents"/>
              <w:bidi w:val="0"/>
              <w:spacing w:before="0" w:after="283"/>
              <w:jc w:val="left"/>
              <w:rPr>
                <w:sz w:val="20"/>
              </w:rPr>
            </w:pPr>
            <w:r>
              <w:rPr>
                <w:sz w:val="20"/>
              </w:rPr>
              <w:t>Each holder of our Class A Common Stock will receive one right for each share of Class A Common Stock owned by that stockholder as of the Record Date.</w:t>
            </w:r>
          </w:p>
        </w:tc>
      </w:tr>
      <w:tr>
        <w:trPr/>
        <w:tc>
          <w:tcPr>
            <w:tcW w:w="1723" w:type="dxa"/>
            <w:tcBorders/>
            <w:vAlign w:val="center"/>
          </w:tcPr>
          <w:p>
            <w:pPr>
              <w:pStyle w:val="TableContents"/>
              <w:bidi w:val="0"/>
              <w:spacing w:before="0" w:after="283"/>
              <w:jc w:val="left"/>
              <w:rPr>
                <w:sz w:val="20"/>
              </w:rPr>
            </w:pPr>
            <w:r>
              <w:rPr>
                <w:sz w:val="20"/>
              </w:rPr>
              <w:t>Basic Subscription Privilege</w:t>
              <w:tab/>
            </w:r>
          </w:p>
        </w:tc>
        <w:tc>
          <w:tcPr>
            <w:tcW w:w="8482" w:type="dxa"/>
            <w:tcBorders/>
            <w:vAlign w:val="center"/>
          </w:tcPr>
          <w:p>
            <w:pPr>
              <w:pStyle w:val="TableContents"/>
              <w:bidi w:val="0"/>
              <w:jc w:val="left"/>
              <w:rPr>
                <w:sz w:val="20"/>
              </w:rPr>
            </w:pPr>
            <w:r>
              <w:rPr>
                <w:sz w:val="20"/>
              </w:rPr>
              <w:t>Each right will entitle its holder to purchase shares of Class A Common Stock on a pro rata basis relative to their ownership interest in us as of the Record Date, at a subscription price equal to the greater of (i) $3.55 (which represents the volume weighted average price of our Class A Common Stock for the 15-day trading period ending on the second trading day preceding the date of the Backstop Agreement and (ii) the volume weighted average price of our Class A Common Stock for the 15-day trading period through and including the Record Date, in each case, per whole share of Class A Common Stock. Rights may only be exercised for a whole number of shares of Class A Common Stock. </w:t>
            </w:r>
          </w:p>
          <w:p>
            <w:pPr>
              <w:pStyle w:val="TableContents"/>
              <w:bidi w:val="0"/>
              <w:jc w:val="left"/>
              <w:rPr>
                <w:sz w:val="20"/>
              </w:rPr>
            </w:pPr>
            <w:r>
              <w:rPr>
                <w:sz w:val="20"/>
              </w:rPr>
              <w:t>As of           , 2026, we had outstanding             shares of Class A Common Stock. As a result, each right would have entitled its holder to approximately           shares of our Class A Common Stock as of such date, which is subject to change as of the Record Date. </w:t>
            </w:r>
          </w:p>
          <w:p>
            <w:pPr>
              <w:pStyle w:val="TableContents"/>
              <w:bidi w:val="0"/>
              <w:spacing w:before="0" w:after="283"/>
              <w:jc w:val="left"/>
              <w:rPr>
                <w:sz w:val="20"/>
              </w:rPr>
            </w:pPr>
            <w:r>
              <w:rPr>
                <w:sz w:val="20"/>
              </w:rPr>
              <w:t>See “Risks Relating to the Rights Offering-The subscription price determined for this offering is not necessarily an indication of the fair value of our Class A Common Stock.” </w:t>
            </w:r>
          </w:p>
        </w:tc>
      </w:tr>
      <w:tr>
        <w:trPr/>
        <w:tc>
          <w:tcPr>
            <w:tcW w:w="1723" w:type="dxa"/>
            <w:tcBorders/>
            <w:vAlign w:val="center"/>
          </w:tcPr>
          <w:p>
            <w:pPr>
              <w:pStyle w:val="TableContents"/>
              <w:bidi w:val="0"/>
              <w:spacing w:before="0" w:after="283"/>
              <w:jc w:val="left"/>
              <w:rPr>
                <w:sz w:val="20"/>
              </w:rPr>
            </w:pPr>
            <w:r>
              <w:rPr>
                <w:sz w:val="20"/>
              </w:rPr>
              <w:t>Oversubscription Privilege</w:t>
              <w:tab/>
            </w:r>
          </w:p>
        </w:tc>
        <w:tc>
          <w:tcPr>
            <w:tcW w:w="8482" w:type="dxa"/>
            <w:tcBorders/>
            <w:vAlign w:val="center"/>
          </w:tcPr>
          <w:p>
            <w:pPr>
              <w:pStyle w:val="TableContents"/>
              <w:bidi w:val="0"/>
              <w:spacing w:before="0" w:after="283"/>
              <w:jc w:val="left"/>
              <w:rPr>
                <w:sz w:val="20"/>
              </w:rPr>
            </w:pPr>
            <w:r>
              <w:rPr>
                <w:sz w:val="20"/>
              </w:rPr>
              <w:t>Each holder of rights who elects to exercise its basic subscription privilege in full may also subscribe for additional shares of our Class A Common Stock at the same subscription price per share.</w:t>
            </w:r>
          </w:p>
        </w:tc>
      </w:tr>
      <w:tr>
        <w:trPr/>
        <w:tc>
          <w:tcPr>
            <w:tcW w:w="1723" w:type="dxa"/>
            <w:tcBorders/>
            <w:vAlign w:val="center"/>
          </w:tcPr>
          <w:p>
            <w:pPr>
              <w:pStyle w:val="TableContents"/>
              <w:bidi w:val="0"/>
              <w:spacing w:before="0" w:after="283"/>
              <w:jc w:val="left"/>
              <w:rPr>
                <w:sz w:val="20"/>
              </w:rPr>
            </w:pPr>
            <w:r>
              <w:rPr>
                <w:sz w:val="20"/>
              </w:rPr>
              <w:t>Record Date</w:t>
              <w:tab/>
            </w:r>
          </w:p>
        </w:tc>
        <w:tc>
          <w:tcPr>
            <w:tcW w:w="8482" w:type="dxa"/>
            <w:tcBorders/>
            <w:vAlign w:val="center"/>
          </w:tcPr>
          <w:p>
            <w:pPr>
              <w:pStyle w:val="TableContents"/>
              <w:bidi w:val="0"/>
              <w:spacing w:before="0" w:after="283"/>
              <w:jc w:val="left"/>
              <w:rPr>
                <w:sz w:val="20"/>
              </w:rPr>
            </w:pPr>
            <w:r>
              <w:rPr>
                <w:sz w:val="20"/>
              </w:rPr>
              <w:t>5:00 p.m., New York City time, on          , 2026.</w:t>
            </w:r>
          </w:p>
        </w:tc>
      </w:tr>
      <w:tr>
        <w:trPr/>
        <w:tc>
          <w:tcPr>
            <w:tcW w:w="1723" w:type="dxa"/>
            <w:tcBorders/>
            <w:vAlign w:val="center"/>
          </w:tcPr>
          <w:p>
            <w:pPr>
              <w:pStyle w:val="TableContents"/>
              <w:bidi w:val="0"/>
              <w:spacing w:before="0" w:after="283"/>
              <w:jc w:val="left"/>
              <w:rPr>
                <w:sz w:val="20"/>
              </w:rPr>
            </w:pPr>
            <w:r>
              <w:rPr>
                <w:sz w:val="20"/>
              </w:rPr>
              <w:t>Subscription Period for and Exercise of Rights</w:t>
              <w:tab/>
            </w:r>
          </w:p>
        </w:tc>
        <w:tc>
          <w:tcPr>
            <w:tcW w:w="8482" w:type="dxa"/>
            <w:tcBorders/>
            <w:vAlign w:val="center"/>
          </w:tcPr>
          <w:p>
            <w:pPr>
              <w:pStyle w:val="TableContents"/>
              <w:bidi w:val="0"/>
              <w:spacing w:before="0" w:after="283"/>
              <w:jc w:val="left"/>
              <w:rPr>
                <w:sz w:val="20"/>
              </w:rPr>
            </w:pPr>
            <w:r>
              <w:rPr>
                <w:sz w:val="20"/>
              </w:rPr>
              <w:t>The exercise period for the rights will begin on         , 2026 and will close at 5:00 p.m., New York City time, on           , 2026, unless extended as described herein.</w:t>
            </w:r>
          </w:p>
        </w:tc>
      </w:tr>
      <w:tr>
        <w:trPr/>
        <w:tc>
          <w:tcPr>
            <w:tcW w:w="1723" w:type="dxa"/>
            <w:tcBorders/>
            <w:vAlign w:val="center"/>
          </w:tcPr>
          <w:p>
            <w:pPr>
              <w:pStyle w:val="TableContents"/>
              <w:bidi w:val="0"/>
              <w:spacing w:before="0" w:after="283"/>
              <w:jc w:val="left"/>
              <w:rPr>
                <w:sz w:val="20"/>
              </w:rPr>
            </w:pPr>
            <w:r>
              <w:rPr>
                <w:sz w:val="20"/>
              </w:rPr>
              <w:t>No Revocation</w:t>
              <w:tab/>
            </w:r>
          </w:p>
        </w:tc>
        <w:tc>
          <w:tcPr>
            <w:tcW w:w="8482" w:type="dxa"/>
            <w:tcBorders/>
            <w:vAlign w:val="center"/>
          </w:tcPr>
          <w:p>
            <w:pPr>
              <w:pStyle w:val="TableContents"/>
              <w:bidi w:val="0"/>
              <w:spacing w:before="0" w:after="283"/>
              <w:jc w:val="left"/>
              <w:rPr>
                <w:sz w:val="20"/>
              </w:rPr>
            </w:pPr>
            <w:r>
              <w:rPr>
                <w:sz w:val="20"/>
              </w:rPr>
              <w:t>All exercises of rights are irrevocable, even if you later learn of information that you consider to be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95"/>
        <w:gridCol w:w="8710"/>
      </w:tblGrid>
      <w:tr>
        <w:trPr/>
        <w:tc>
          <w:tcPr>
            <w:tcW w:w="1495" w:type="dxa"/>
            <w:tcBorders/>
            <w:vAlign w:val="center"/>
          </w:tcPr>
          <w:p>
            <w:pPr>
              <w:pStyle w:val="TableContents"/>
              <w:bidi w:val="0"/>
              <w:spacing w:before="0" w:after="283"/>
              <w:jc w:val="left"/>
              <w:rPr/>
            </w:pPr>
            <w:r>
              <w:rPr/>
              <w:t> </w:t>
            </w:r>
          </w:p>
        </w:tc>
        <w:tc>
          <w:tcPr>
            <w:tcW w:w="8710" w:type="dxa"/>
            <w:tcBorders/>
            <w:vAlign w:val="center"/>
          </w:tcPr>
          <w:p>
            <w:pPr>
              <w:pStyle w:val="TableContents"/>
              <w:bidi w:val="0"/>
              <w:spacing w:before="0" w:after="283"/>
              <w:jc w:val="left"/>
              <w:rPr>
                <w:sz w:val="20"/>
              </w:rPr>
            </w:pPr>
            <w:r>
              <w:rPr>
                <w:sz w:val="20"/>
              </w:rPr>
              <w:t>unfavorable to the exercise of your rights. You should not exercise your rights unless you are certain that you wish to purchase shares of Class A Common Stock at a subscription price equal to the greater of (i) $3.55, which represents the volume weighted average price of our Class A Common Stock for the 15-day trading period ending on the second trading day preceding the date of the Backstop Agreement and (ii) the volume weighted average price of our Class A Common Stock for the 15-day trading period through and including the Record Date, in each case, per whole share of Class A Common Stock.</w:t>
            </w:r>
          </w:p>
        </w:tc>
      </w:tr>
      <w:tr>
        <w:trPr/>
        <w:tc>
          <w:tcPr>
            <w:tcW w:w="1495" w:type="dxa"/>
            <w:tcBorders/>
            <w:vAlign w:val="center"/>
          </w:tcPr>
          <w:p>
            <w:pPr>
              <w:pStyle w:val="TableContents"/>
              <w:bidi w:val="0"/>
              <w:spacing w:before="0" w:after="283"/>
              <w:jc w:val="left"/>
              <w:rPr/>
            </w:pPr>
            <w:r>
              <w:rPr/>
              <w:t>Listing</w:t>
              <w:tab/>
            </w:r>
          </w:p>
        </w:tc>
        <w:tc>
          <w:tcPr>
            <w:tcW w:w="8710" w:type="dxa"/>
            <w:tcBorders/>
            <w:vAlign w:val="center"/>
          </w:tcPr>
          <w:p>
            <w:pPr>
              <w:pStyle w:val="TableContents"/>
              <w:bidi w:val="0"/>
              <w:jc w:val="left"/>
              <w:rPr>
                <w:sz w:val="20"/>
              </w:rPr>
            </w:pPr>
            <w:r>
              <w:rPr>
                <w:sz w:val="20"/>
              </w:rPr>
              <w:t>Our Class A Common Stock is traded on the Nasdaq Global Market under the symbol “RENT.” On           , 2026, the last reported sale price of our shares of Class A Common Stock on the Nasdaq was $           per share. </w:t>
            </w:r>
          </w:p>
          <w:p>
            <w:pPr>
              <w:pStyle w:val="TableContents"/>
              <w:bidi w:val="0"/>
              <w:spacing w:before="0" w:after="283"/>
              <w:jc w:val="left"/>
              <w:rPr>
                <w:sz w:val="20"/>
              </w:rPr>
            </w:pPr>
            <w:r>
              <w:rPr>
                <w:sz w:val="20"/>
              </w:rPr>
              <w:t>The rights will not be listed for trading on the Nasdaq or any other national securities exchange or nationally recognized trading system. </w:t>
            </w:r>
          </w:p>
        </w:tc>
      </w:tr>
      <w:tr>
        <w:trPr/>
        <w:tc>
          <w:tcPr>
            <w:tcW w:w="1495" w:type="dxa"/>
            <w:tcBorders/>
            <w:vAlign w:val="center"/>
          </w:tcPr>
          <w:p>
            <w:pPr>
              <w:pStyle w:val="TableContents"/>
              <w:bidi w:val="0"/>
              <w:spacing w:before="0" w:after="283"/>
              <w:jc w:val="left"/>
              <w:rPr/>
            </w:pPr>
            <w:r>
              <w:rPr/>
              <w:t>Transfers and Sales of Rights</w:t>
              <w:tab/>
            </w:r>
          </w:p>
        </w:tc>
        <w:tc>
          <w:tcPr>
            <w:tcW w:w="8710" w:type="dxa"/>
            <w:tcBorders/>
            <w:vAlign w:val="center"/>
          </w:tcPr>
          <w:p>
            <w:pPr>
              <w:pStyle w:val="TableContents"/>
              <w:bidi w:val="0"/>
              <w:spacing w:before="0" w:after="283"/>
              <w:jc w:val="left"/>
              <w:rPr/>
            </w:pPr>
            <w:r>
              <w:rPr/>
              <w:t>The rights are transferable until the Expiration Date. If you are a rights holder, you may transfer your rights through the Subscription Agent. Any rights submitted to the Subscription Agent for sale must be received by the Subscription Agent on or before         , 2026, five business days prior to the completion of the subscription period, due to normal settlement procedures. For more information, see “Description of the Rights Offering—Transfers and Sales of Rights.”</w:t>
            </w:r>
          </w:p>
        </w:tc>
      </w:tr>
      <w:tr>
        <w:trPr/>
        <w:tc>
          <w:tcPr>
            <w:tcW w:w="1495" w:type="dxa"/>
            <w:tcBorders/>
            <w:vAlign w:val="center"/>
          </w:tcPr>
          <w:p>
            <w:pPr>
              <w:pStyle w:val="TableContents"/>
              <w:bidi w:val="0"/>
              <w:spacing w:before="0" w:after="283"/>
              <w:jc w:val="left"/>
              <w:rPr/>
            </w:pPr>
            <w:r>
              <w:rPr/>
              <w:t>Backstop Commitment</w:t>
              <w:tab/>
            </w:r>
          </w:p>
        </w:tc>
        <w:tc>
          <w:tcPr>
            <w:tcW w:w="8710" w:type="dxa"/>
            <w:tcBorders/>
            <w:vAlign w:val="center"/>
          </w:tcPr>
          <w:p>
            <w:pPr>
              <w:pStyle w:val="TableContents"/>
              <w:bidi w:val="0"/>
              <w:spacing w:before="0" w:after="283"/>
              <w:jc w:val="left"/>
              <w:rPr/>
            </w:pPr>
            <w:r>
              <w:rPr/>
              <w:t>Pursuant to the Backstop Agreement, the Investor Group has agreed to purchase from us, at a price per share equal to the subscription price, all unsubscribed shares of Class A Common Stock in this offering for cash. The Investor Group will also be entitled to exercise its own subscription rights that it receives pursuant to this offering. The Investor Group will not receive any fee for acting as the backstop purchaser for this offering. See “Description of the Rights Offering-The Backstop Commitment.”</w:t>
            </w:r>
          </w:p>
        </w:tc>
      </w:tr>
      <w:tr>
        <w:trPr/>
        <w:tc>
          <w:tcPr>
            <w:tcW w:w="1495" w:type="dxa"/>
            <w:tcBorders/>
            <w:vAlign w:val="center"/>
          </w:tcPr>
          <w:p>
            <w:pPr>
              <w:pStyle w:val="TableContents"/>
              <w:bidi w:val="0"/>
              <w:spacing w:before="0" w:after="283"/>
              <w:jc w:val="left"/>
              <w:rPr/>
            </w:pPr>
            <w:r>
              <w:rPr/>
              <w:t>Settlement</w:t>
              <w:tab/>
            </w:r>
          </w:p>
        </w:tc>
        <w:tc>
          <w:tcPr>
            <w:tcW w:w="8710" w:type="dxa"/>
            <w:tcBorders/>
            <w:vAlign w:val="center"/>
          </w:tcPr>
          <w:p>
            <w:pPr>
              <w:pStyle w:val="TableContents"/>
              <w:bidi w:val="0"/>
              <w:spacing w:before="0" w:after="283"/>
              <w:jc w:val="left"/>
              <w:rPr/>
            </w:pPr>
            <w:r>
              <w:rPr/>
              <w:t>We expect to deliver the shares of Class A Common Stock issuable upon exercise of the rights, including rights exercised under the oversubscription privilege, on or about           , 2026 through the book-entry facilities of The Depository Trust Company (“DTC”).</w:t>
            </w:r>
          </w:p>
        </w:tc>
      </w:tr>
      <w:tr>
        <w:trPr/>
        <w:tc>
          <w:tcPr>
            <w:tcW w:w="1495" w:type="dxa"/>
            <w:tcBorders/>
            <w:vAlign w:val="center"/>
          </w:tcPr>
          <w:p>
            <w:pPr>
              <w:pStyle w:val="TableContents"/>
              <w:bidi w:val="0"/>
              <w:spacing w:before="0" w:after="283"/>
              <w:jc w:val="left"/>
              <w:rPr/>
            </w:pPr>
            <w:r>
              <w:rPr/>
              <w:t> </w:t>
            </w:r>
          </w:p>
        </w:tc>
        <w:tc>
          <w:tcPr>
            <w:tcW w:w="8710" w:type="dxa"/>
            <w:tcBorders/>
            <w:vAlign w:val="center"/>
          </w:tcPr>
          <w:p>
            <w:pPr>
              <w:pStyle w:val="TableContents"/>
              <w:bidi w:val="0"/>
              <w:spacing w:before="0" w:after="283"/>
              <w:jc w:val="left"/>
              <w:rPr/>
            </w:pPr>
            <w:r>
              <w:rPr/>
              <w:t>We expect to deliver the shares of Class A Common Stock issuable pursuant to the Backstop Agreement, if any, on or about           , 2026 through the book-entry facilities of DTC.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43"/>
        <w:gridCol w:w="8862"/>
      </w:tblGrid>
      <w:tr>
        <w:trPr/>
        <w:tc>
          <w:tcPr>
            <w:tcW w:w="1343" w:type="dxa"/>
            <w:tcBorders/>
            <w:vAlign w:val="center"/>
          </w:tcPr>
          <w:p>
            <w:pPr>
              <w:pStyle w:val="TableContents"/>
              <w:bidi w:val="0"/>
              <w:spacing w:before="0" w:after="283"/>
              <w:jc w:val="left"/>
              <w:rPr/>
            </w:pPr>
            <w:r>
              <w:rPr/>
              <w:t>Use of Proceeds</w:t>
              <w:tab/>
            </w:r>
          </w:p>
        </w:tc>
        <w:tc>
          <w:tcPr>
            <w:tcW w:w="8862" w:type="dxa"/>
            <w:tcBorders/>
            <w:vAlign w:val="center"/>
          </w:tcPr>
          <w:p>
            <w:pPr>
              <w:pStyle w:val="TableContents"/>
              <w:bidi w:val="0"/>
              <w:spacing w:before="0" w:after="283"/>
              <w:jc w:val="left"/>
              <w:rPr/>
            </w:pPr>
            <w:r>
              <w:rPr/>
              <w:t>We expect that the net proceeds from the sale of Class A Common Stock in this offering and pursuant to the Backstop Agreement will be approximately $            million, after deducting offering expenses payable by us. We intend to use the net proceeds from this offering for general corporate purposes.</w:t>
            </w:r>
          </w:p>
        </w:tc>
      </w:tr>
      <w:tr>
        <w:trPr/>
        <w:tc>
          <w:tcPr>
            <w:tcW w:w="1343" w:type="dxa"/>
            <w:tcBorders/>
            <w:vAlign w:val="center"/>
          </w:tcPr>
          <w:p>
            <w:pPr>
              <w:pStyle w:val="TableContents"/>
              <w:bidi w:val="0"/>
              <w:spacing w:before="0" w:after="283"/>
              <w:jc w:val="left"/>
              <w:rPr/>
            </w:pPr>
            <w:r>
              <w:rPr/>
              <w:t>Subscription Agent</w:t>
              <w:tab/>
            </w:r>
          </w:p>
        </w:tc>
        <w:tc>
          <w:tcPr>
            <w:tcW w:w="8862" w:type="dxa"/>
            <w:tcBorders/>
            <w:vAlign w:val="center"/>
          </w:tcPr>
          <w:p>
            <w:pPr>
              <w:pStyle w:val="TableContents"/>
              <w:bidi w:val="0"/>
              <w:spacing w:before="0" w:after="283"/>
              <w:jc w:val="left"/>
              <w:rPr/>
            </w:pPr>
            <w:r>
              <w:rPr/>
              <w:t>Broadridge Corporate Issuer Solutions, LLC, as subscription agent and information agent.</w:t>
            </w:r>
          </w:p>
        </w:tc>
      </w:tr>
      <w:tr>
        <w:trPr/>
        <w:tc>
          <w:tcPr>
            <w:tcW w:w="1343" w:type="dxa"/>
            <w:tcBorders/>
            <w:vAlign w:val="center"/>
          </w:tcPr>
          <w:p>
            <w:pPr>
              <w:pStyle w:val="TableContents"/>
              <w:bidi w:val="0"/>
              <w:spacing w:before="0" w:after="283"/>
              <w:jc w:val="left"/>
              <w:rPr/>
            </w:pPr>
            <w:r>
              <w:rPr/>
              <w:t>Risk Factors</w:t>
              <w:tab/>
            </w:r>
          </w:p>
        </w:tc>
        <w:tc>
          <w:tcPr>
            <w:tcW w:w="8862" w:type="dxa"/>
            <w:tcBorders/>
            <w:vAlign w:val="center"/>
          </w:tcPr>
          <w:p>
            <w:pPr>
              <w:pStyle w:val="TableContents"/>
              <w:bidi w:val="0"/>
              <w:spacing w:before="0" w:after="283"/>
              <w:jc w:val="left"/>
              <w:rPr/>
            </w:pPr>
            <w:r>
              <w:rPr/>
              <w:t>You should carefully consider all of the information contained in this prospectus and the information incorporated by reference herein. In particular, we urge you to carefully consider the information set forth under “Risk Factors” beginning on page 8 of this prospectus and under “Risk Factors” in our Quarterly Report on Form 10-Q, filed with the SEC on September 11, 2026, which is incorporated by reference herein.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4" w:color="000000"/>
        </w:rPr>
      </w:pPr>
      <w:r>
        <w:rPr>
          <w:rFonts w:ascii="Times New Roman;Times;Serif" w:hAnsi="Times New Roman;Times;Serif"/>
          <w:b/>
          <w:i w:val="false"/>
          <w:caps w:val="false"/>
          <w:smallCaps w:val="false"/>
          <w:sz w:val="20"/>
          <w:bdr w:val="single" w:sz="8" w:space="4" w:color="000000"/>
        </w:rPr>
        <w:t>SUMMARY SELECTED HISTORICAL FINANCIAL INFORMATION</w:t>
      </w:r>
    </w:p>
    <w:p>
      <w:pPr>
        <w:pStyle w:val="TextBody"/>
        <w:bidi w:val="0"/>
        <w:spacing w:before="0" w:after="0"/>
        <w:ind w:left="0" w:right="0" w:hanging="0"/>
        <w:jc w:val="center"/>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8" w:space="4" w:color="000000"/>
        </w:rPr>
      </w:pPr>
      <w:r>
        <w:rPr>
          <w:rFonts w:ascii="Times New Roman;Times;Serif" w:hAnsi="Times New Roman;Times;Serif"/>
          <w:b w:val="false"/>
          <w:i w:val="false"/>
          <w:caps w:val="false"/>
          <w:smallCaps w:val="false"/>
          <w:sz w:val="20"/>
          <w:bdr w:val="single" w:sz="8" w:space="4" w:color="000000"/>
        </w:rPr>
        <w:t>The following summary selected statement of operations data for the years ended January 31, 2026, 2025 and 2024 and the balance sheet data set forth below as of January 31, 2026 and 2025 are derived from our audited consolidated financial statements included in our Annual Report on Form 10-K for the year ended January 31, 2026, which is incorporated by reference herein. The following summary selected statement of operations data for the six-month periods ended July 31, 2026 and 2025, and the balance sheet data set forth below as of July 31, 2026 are derived from our unaudited interim condensed consolidated financial statements included in our Quarterly Report on Form 10-Q for the period ended July 31, 2026, which is incorporated by reference herein.</w:t>
      </w:r>
    </w:p>
    <w:p>
      <w:pPr>
        <w:pStyle w:val="TextBody"/>
        <w:bidi w:val="0"/>
        <w:spacing w:before="0" w:after="0"/>
        <w:ind w:left="0" w:right="0" w:firstLine="36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8" w:space="4" w:color="000000"/>
        </w:rPr>
      </w:pPr>
      <w:r>
        <w:rPr>
          <w:rFonts w:ascii="Times New Roman;Times;Serif" w:hAnsi="Times New Roman;Times;Serif"/>
          <w:b w:val="false"/>
          <w:i w:val="false"/>
          <w:caps w:val="false"/>
          <w:smallCaps w:val="false"/>
          <w:sz w:val="20"/>
          <w:bdr w:val="single" w:sz="8" w:space="4" w:color="000000"/>
        </w:rPr>
        <w:t>The unaudited interim condensed consolidated financial statements have been prepared on the same basis as the audited consolidated financial statements and, in the opinion of our management, include all adjustments, consisting only of normal and recurring adjustments, necessary for a fair statement of the information set forth herein. Historical financial results are not necessarily indicative of results to be expected in future periods.</w:t>
      </w:r>
    </w:p>
    <w:p>
      <w:pPr>
        <w:pStyle w:val="TextBody"/>
        <w:bidi w:val="0"/>
        <w:spacing w:before="0" w:after="0"/>
        <w:ind w:left="0" w:right="0" w:firstLine="36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8" w:space="4" w:color="000000"/>
        </w:rPr>
      </w:pPr>
      <w:r>
        <w:rPr>
          <w:rFonts w:ascii="Times New Roman;Times;Serif" w:hAnsi="Times New Roman;Times;Serif"/>
          <w:b w:val="false"/>
          <w:i w:val="false"/>
          <w:caps w:val="false"/>
          <w:smallCaps w:val="false"/>
          <w:sz w:val="20"/>
          <w:bdr w:val="single" w:sz="8" w:space="4" w:color="000000"/>
        </w:rPr>
        <w:t>The summary selected historical financial information in this section is not intended to replace the consolidated financial statements and is qualified in its entirety by the consolidated financial statements and related notes, which are incorporated by reference into this prospectus. We have made rounding adjustments to reach some of the figures included below. Accordingly, numerical figures shown as totals in some tables may not be an exact arithmetic aggregation of the figures that preceded them.</w:t>
      </w:r>
    </w:p>
    <w:p>
      <w:pPr>
        <w:pStyle w:val="TextBody"/>
        <w:bidi w:val="0"/>
        <w:spacing w:before="0" w:after="0"/>
        <w:ind w:left="0" w:right="0" w:firstLine="36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4" w:color="000000"/>
        </w:rPr>
      </w:pPr>
      <w:r>
        <w:rPr>
          <w:rFonts w:ascii="Times New Roman;Times;Serif" w:hAnsi="Times New Roman;Times;Serif"/>
          <w:b/>
          <w:i w:val="false"/>
          <w:caps w:val="false"/>
          <w:smallCaps w:val="false"/>
          <w:sz w:val="20"/>
          <w:bdr w:val="single" w:sz="8" w:space="4" w:color="000000"/>
        </w:rPr>
        <w:t>Summary Selected Statement of Operations Data</w:t>
      </w:r>
    </w:p>
    <w:p>
      <w:pPr>
        <w:pStyle w:val="TextBody"/>
        <w:bidi w:val="0"/>
        <w:spacing w:before="0" w:after="0"/>
        <w:ind w:left="0" w:right="0" w:hanging="0"/>
        <w:jc w:val="left"/>
        <w:rPr>
          <w:caps w:val="false"/>
          <w:smallCaps w:val="false"/>
          <w:bdr w:val="single" w:sz="8" w:space="4" w:color="000000"/>
        </w:rPr>
      </w:pPr>
      <w:r>
        <w:rPr>
          <w:caps w:val="false"/>
          <w:smallCaps w:val="false"/>
          <w:bdr w:val="single" w:sz="8" w:space="4" w:color="000000"/>
        </w:rPr>
        <w:t> </w:t>
      </w:r>
    </w:p>
    <w:tbl>
      <w:tblPr>
        <w:tblW w:w="10205" w:type="dxa"/>
        <w:jc w:val="left"/>
        <w:tblInd w:w="0" w:type="dxa"/>
        <w:tblLayout w:type="fixed"/>
        <w:tblCellMar>
          <w:top w:w="0" w:type="dxa"/>
          <w:left w:w="0" w:type="dxa"/>
          <w:bottom w:w="0" w:type="dxa"/>
          <w:right w:w="0" w:type="dxa"/>
        </w:tblCellMar>
      </w:tblPr>
      <w:tblGrid>
        <w:gridCol w:w="5456"/>
        <w:gridCol w:w="60"/>
        <w:gridCol w:w="144"/>
        <w:gridCol w:w="579"/>
        <w:gridCol w:w="98"/>
        <w:gridCol w:w="61"/>
        <w:gridCol w:w="144"/>
        <w:gridCol w:w="657"/>
        <w:gridCol w:w="98"/>
        <w:gridCol w:w="60"/>
        <w:gridCol w:w="140"/>
        <w:gridCol w:w="560"/>
        <w:gridCol w:w="95"/>
        <w:gridCol w:w="60"/>
        <w:gridCol w:w="140"/>
        <w:gridCol w:w="635"/>
        <w:gridCol w:w="95"/>
        <w:gridCol w:w="60"/>
        <w:gridCol w:w="140"/>
        <w:gridCol w:w="635"/>
        <w:gridCol w:w="288"/>
      </w:tblGrid>
      <w:tr>
        <w:trPr/>
        <w:tc>
          <w:tcPr>
            <w:tcW w:w="545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81" w:type="dxa"/>
            <w:gridSpan w:val="7"/>
            <w:tcBorders>
              <w:bottom w:val="single" w:sz="8" w:space="0" w:color="000000"/>
            </w:tcBorders>
            <w:tcMar>
              <w:bottom w:w="28" w:type="dxa"/>
            </w:tcMar>
            <w:vAlign w:val="center"/>
          </w:tcPr>
          <w:p>
            <w:pPr>
              <w:pStyle w:val="TableContents"/>
              <w:bidi w:val="0"/>
              <w:spacing w:before="0" w:after="283"/>
              <w:jc w:val="center"/>
              <w:rPr>
                <w:b/>
              </w:rPr>
            </w:pPr>
            <w:r>
              <w:rPr>
                <w:b/>
              </w:rPr>
              <w:t>Six months ended</w:t>
              <w:br/>
              <w:t>July 31,</w:t>
            </w:r>
          </w:p>
        </w:tc>
        <w:tc>
          <w:tcPr>
            <w:tcW w:w="60" w:type="dxa"/>
            <w:tcBorders/>
            <w:vAlign w:val="center"/>
          </w:tcPr>
          <w:p>
            <w:pPr>
              <w:pStyle w:val="TableContents"/>
              <w:bidi w:val="0"/>
              <w:spacing w:before="0" w:after="283"/>
              <w:jc w:val="left"/>
              <w:rPr/>
            </w:pPr>
            <w:r>
              <w:rPr/>
              <w:t> </w:t>
            </w:r>
          </w:p>
        </w:tc>
        <w:tc>
          <w:tcPr>
            <w:tcW w:w="2848" w:type="dxa"/>
            <w:gridSpan w:val="11"/>
            <w:tcBorders>
              <w:bottom w:val="single" w:sz="8" w:space="0" w:color="000000"/>
            </w:tcBorders>
            <w:tcMar>
              <w:bottom w:w="28" w:type="dxa"/>
            </w:tcMar>
            <w:vAlign w:val="center"/>
          </w:tcPr>
          <w:p>
            <w:pPr>
              <w:pStyle w:val="TableContents"/>
              <w:bidi w:val="0"/>
              <w:spacing w:before="0" w:after="283"/>
              <w:jc w:val="center"/>
              <w:rPr>
                <w:b/>
              </w:rPr>
            </w:pPr>
            <w:r>
              <w:rPr>
                <w:b/>
              </w:rPr>
              <w:t>Year ended</w:t>
              <w:br/>
              <w:t>January 31,</w:t>
            </w:r>
          </w:p>
        </w:tc>
      </w:tr>
      <w:tr>
        <w:trPr/>
        <w:tc>
          <w:tcPr>
            <w:tcW w:w="545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21"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1" w:type="dxa"/>
            <w:tcBorders/>
            <w:vAlign w:val="center"/>
          </w:tcPr>
          <w:p>
            <w:pPr>
              <w:pStyle w:val="TableContents"/>
              <w:bidi w:val="0"/>
              <w:spacing w:before="0" w:after="283"/>
              <w:jc w:val="left"/>
              <w:rPr/>
            </w:pPr>
            <w:r>
              <w:rPr/>
              <w:t> </w:t>
            </w:r>
          </w:p>
        </w:tc>
        <w:tc>
          <w:tcPr>
            <w:tcW w:w="899"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79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87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1063"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r>
      <w:tr>
        <w:trPr/>
        <w:tc>
          <w:tcPr>
            <w:tcW w:w="5456" w:type="dxa"/>
            <w:tcBorders/>
            <w:vAlign w:val="center"/>
          </w:tcPr>
          <w:p>
            <w:pPr>
              <w:pStyle w:val="TableContents"/>
              <w:bidi w:val="0"/>
              <w:spacing w:before="0" w:after="283"/>
              <w:jc w:val="left"/>
              <w:rPr>
                <w:b/>
              </w:rPr>
            </w:pPr>
            <w:r>
              <w:rPr>
                <w:b/>
              </w:rPr>
              <w:t>(in millions, except share and per share data)</w:t>
            </w:r>
          </w:p>
        </w:tc>
        <w:tc>
          <w:tcPr>
            <w:tcW w:w="60" w:type="dxa"/>
            <w:tcBorders/>
            <w:vAlign w:val="center"/>
          </w:tcPr>
          <w:p>
            <w:pPr>
              <w:pStyle w:val="TableContents"/>
              <w:bidi w:val="0"/>
              <w:spacing w:before="0" w:after="283"/>
              <w:jc w:val="left"/>
              <w:rPr/>
            </w:pPr>
            <w:r>
              <w:rPr/>
              <w:t> </w:t>
            </w:r>
          </w:p>
        </w:tc>
        <w:tc>
          <w:tcPr>
            <w:tcW w:w="1781" w:type="dxa"/>
            <w:gridSpan w:val="7"/>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795"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0"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3" w:type="dxa"/>
            <w:gridSpan w:val="3"/>
            <w:tcBorders/>
            <w:vAlign w:val="center"/>
          </w:tcPr>
          <w:p>
            <w:pPr>
              <w:pStyle w:val="TableContents"/>
              <w:bidi w:val="0"/>
              <w:spacing w:before="0" w:after="283"/>
              <w:jc w:val="center"/>
              <w:rPr/>
            </w:pPr>
            <w:r>
              <w:rPr/>
              <w:t> </w:t>
            </w:r>
          </w:p>
        </w:tc>
      </w:tr>
      <w:tr>
        <w:trPr/>
        <w:tc>
          <w:tcPr>
            <w:tcW w:w="545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21" w:type="dxa"/>
            <w:gridSpan w:val="3"/>
            <w:tcBorders/>
            <w:vAlign w:val="center"/>
          </w:tcPr>
          <w:p>
            <w:pPr>
              <w:pStyle w:val="TableContents"/>
              <w:bidi w:val="0"/>
              <w:spacing w:before="0" w:after="283"/>
              <w:jc w:val="center"/>
              <w:rPr/>
            </w:pPr>
            <w:r>
              <w:rPr/>
              <w:t> </w:t>
            </w:r>
          </w:p>
        </w:tc>
        <w:tc>
          <w:tcPr>
            <w:tcW w:w="61" w:type="dxa"/>
            <w:tcBorders/>
            <w:vAlign w:val="center"/>
          </w:tcPr>
          <w:p>
            <w:pPr>
              <w:pStyle w:val="TableContents"/>
              <w:bidi w:val="0"/>
              <w:spacing w:before="0" w:after="283"/>
              <w:jc w:val="left"/>
              <w:rPr/>
            </w:pPr>
            <w:r>
              <w:rPr/>
              <w:t> </w:t>
            </w:r>
          </w:p>
        </w:tc>
        <w:tc>
          <w:tcPr>
            <w:tcW w:w="899"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95"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0"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3" w:type="dxa"/>
            <w:gridSpan w:val="3"/>
            <w:tcBorders/>
            <w:vAlign w:val="center"/>
          </w:tcPr>
          <w:p>
            <w:pPr>
              <w:pStyle w:val="TableContents"/>
              <w:bidi w:val="0"/>
              <w:spacing w:before="0" w:after="283"/>
              <w:jc w:val="center"/>
              <w:rPr/>
            </w:pPr>
            <w:r>
              <w:rPr/>
              <w:t> </w:t>
            </w:r>
          </w:p>
        </w:tc>
      </w:tr>
      <w:tr>
        <w:trPr/>
        <w:tc>
          <w:tcPr>
            <w:tcW w:w="5456" w:type="dxa"/>
            <w:tcBorders/>
            <w:vAlign w:val="center"/>
          </w:tcPr>
          <w:p>
            <w:pPr>
              <w:pStyle w:val="TableContents"/>
              <w:bidi w:val="0"/>
              <w:spacing w:before="0" w:after="283"/>
              <w:jc w:val="left"/>
              <w:rPr/>
            </w:pPr>
            <w:r>
              <w:rPr/>
              <w:t>Revenue:</w:t>
            </w:r>
          </w:p>
        </w:tc>
        <w:tc>
          <w:tcPr>
            <w:tcW w:w="60" w:type="dxa"/>
            <w:tcBorders/>
            <w:vAlign w:val="center"/>
          </w:tcPr>
          <w:p>
            <w:pPr>
              <w:pStyle w:val="TableContents"/>
              <w:bidi w:val="0"/>
              <w:spacing w:before="0" w:after="283"/>
              <w:jc w:val="left"/>
              <w:rPr/>
            </w:pPr>
            <w:r>
              <w:rPr/>
              <w:t> </w:t>
            </w:r>
          </w:p>
        </w:tc>
        <w:tc>
          <w:tcPr>
            <w:tcW w:w="821" w:type="dxa"/>
            <w:gridSpan w:val="3"/>
            <w:tcBorders/>
            <w:vAlign w:val="center"/>
          </w:tcPr>
          <w:p>
            <w:pPr>
              <w:pStyle w:val="TableContents"/>
              <w:bidi w:val="0"/>
              <w:spacing w:before="0" w:after="283"/>
              <w:jc w:val="right"/>
              <w:rPr/>
            </w:pPr>
            <w:r>
              <w:rPr/>
              <w:t> </w:t>
            </w:r>
          </w:p>
        </w:tc>
        <w:tc>
          <w:tcPr>
            <w:tcW w:w="61" w:type="dxa"/>
            <w:tcBorders/>
            <w:vAlign w:val="center"/>
          </w:tcPr>
          <w:p>
            <w:pPr>
              <w:pStyle w:val="TableContents"/>
              <w:bidi w:val="0"/>
              <w:spacing w:before="0" w:after="283"/>
              <w:jc w:val="left"/>
              <w:rPr/>
            </w:pPr>
            <w:r>
              <w:rPr/>
              <w:t> </w:t>
            </w:r>
          </w:p>
        </w:tc>
        <w:tc>
          <w:tcPr>
            <w:tcW w:w="899" w:type="dxa"/>
            <w:gridSpan w:val="3"/>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795" w:type="dxa"/>
            <w:gridSpan w:val="3"/>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870" w:type="dxa"/>
            <w:gridSpan w:val="3"/>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63" w:type="dxa"/>
            <w:gridSpan w:val="3"/>
            <w:tcBorders/>
            <w:vAlign w:val="center"/>
          </w:tcPr>
          <w:p>
            <w:pPr>
              <w:pStyle w:val="TableContents"/>
              <w:bidi w:val="0"/>
              <w:spacing w:before="0" w:after="283"/>
              <w:ind w:left="0" w:right="0" w:firstLine="29"/>
              <w:jc w:val="right"/>
              <w:rPr/>
            </w:pPr>
            <w:r>
              <w:rPr/>
              <w:t> </w:t>
            </w:r>
          </w:p>
        </w:tc>
      </w:tr>
      <w:tr>
        <w:trPr/>
        <w:tc>
          <w:tcPr>
            <w:tcW w:w="5456" w:type="dxa"/>
            <w:tcBorders/>
            <w:shd w:fill="D5EAEA" w:val="clear"/>
            <w:vAlign w:val="center"/>
          </w:tcPr>
          <w:p>
            <w:pPr>
              <w:pStyle w:val="TableContents"/>
              <w:bidi w:val="0"/>
              <w:spacing w:before="0" w:after="283"/>
              <w:jc w:val="left"/>
              <w:rPr/>
            </w:pPr>
            <w:r>
              <w:rPr/>
              <w:t>Subscription and Reserve rental revenue</w:t>
              <w:tab/>
            </w:r>
          </w:p>
        </w:tc>
        <w:tc>
          <w:tcPr>
            <w:tcW w:w="60" w:type="dxa"/>
            <w:tcBorders/>
            <w:shd w:fill="D5EAEA" w:val="clear"/>
            <w:vAlign w:val="center"/>
          </w:tcPr>
          <w:p>
            <w:pPr>
              <w:pStyle w:val="TableContents"/>
              <w:bidi w:val="0"/>
              <w:spacing w:before="0" w:after="283"/>
              <w:jc w:val="left"/>
              <w:rPr/>
            </w:pPr>
            <w:r>
              <w:rPr/>
              <w:t> </w:t>
            </w:r>
          </w:p>
        </w:tc>
        <w:tc>
          <w:tcPr>
            <w:tcW w:w="144" w:type="dxa"/>
            <w:tcBorders/>
            <w:shd w:fill="D5EAEA" w:val="clear"/>
            <w:vAlign w:val="center"/>
          </w:tcPr>
          <w:p>
            <w:pPr>
              <w:pStyle w:val="TableContents"/>
              <w:bidi w:val="0"/>
              <w:spacing w:before="0" w:after="283"/>
              <w:jc w:val="left"/>
              <w:rPr/>
            </w:pPr>
            <w:r>
              <w:rPr/>
              <w:t>$</w:t>
            </w:r>
          </w:p>
        </w:tc>
        <w:tc>
          <w:tcPr>
            <w:tcW w:w="579" w:type="dxa"/>
            <w:tcBorders/>
            <w:shd w:fill="D5EAEA" w:val="clear"/>
            <w:vAlign w:val="center"/>
          </w:tcPr>
          <w:p>
            <w:pPr>
              <w:pStyle w:val="TableContents"/>
              <w:bidi w:val="0"/>
              <w:spacing w:before="0" w:after="283"/>
              <w:jc w:val="right"/>
              <w:rPr/>
            </w:pPr>
            <w:r>
              <w:rPr/>
              <w:t>161.5</w:t>
            </w:r>
          </w:p>
        </w:tc>
        <w:tc>
          <w:tcPr>
            <w:tcW w:w="98" w:type="dxa"/>
            <w:tcBorders/>
            <w:shd w:fill="D5EAEA" w:val="clear"/>
            <w:vAlign w:val="center"/>
          </w:tcPr>
          <w:p>
            <w:pPr>
              <w:pStyle w:val="TableContents"/>
              <w:bidi w:val="0"/>
              <w:spacing w:before="0" w:after="283"/>
              <w:jc w:val="left"/>
              <w:rPr/>
            </w:pPr>
            <w:r>
              <w:rPr/>
              <w:t> </w:t>
            </w:r>
          </w:p>
        </w:tc>
        <w:tc>
          <w:tcPr>
            <w:tcW w:w="61" w:type="dxa"/>
            <w:tcBorders/>
            <w:shd w:fill="D5EAEA" w:val="clear"/>
            <w:vAlign w:val="center"/>
          </w:tcPr>
          <w:p>
            <w:pPr>
              <w:pStyle w:val="TableContents"/>
              <w:bidi w:val="0"/>
              <w:spacing w:before="0" w:after="283"/>
              <w:jc w:val="left"/>
              <w:rPr/>
            </w:pPr>
            <w:r>
              <w:rPr/>
              <w:t> </w:t>
            </w:r>
          </w:p>
        </w:tc>
        <w:tc>
          <w:tcPr>
            <w:tcW w:w="144" w:type="dxa"/>
            <w:tcBorders/>
            <w:shd w:fill="D5EAEA" w:val="clear"/>
            <w:vAlign w:val="center"/>
          </w:tcPr>
          <w:p>
            <w:pPr>
              <w:pStyle w:val="TableContents"/>
              <w:bidi w:val="0"/>
              <w:spacing w:before="0" w:after="283"/>
              <w:jc w:val="left"/>
              <w:rPr/>
            </w:pPr>
            <w:r>
              <w:rPr/>
              <w:t>$</w:t>
            </w:r>
          </w:p>
        </w:tc>
        <w:tc>
          <w:tcPr>
            <w:tcW w:w="657" w:type="dxa"/>
            <w:tcBorders/>
            <w:shd w:fill="D5EAEA" w:val="clear"/>
            <w:vAlign w:val="center"/>
          </w:tcPr>
          <w:p>
            <w:pPr>
              <w:pStyle w:val="TableContents"/>
              <w:bidi w:val="0"/>
              <w:spacing w:before="0" w:after="283"/>
              <w:jc w:val="right"/>
              <w:rPr/>
            </w:pPr>
            <w:r>
              <w:rPr/>
              <w:t>131.2</w:t>
            </w:r>
          </w:p>
        </w:tc>
        <w:tc>
          <w:tcPr>
            <w:tcW w:w="98"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w:t>
            </w:r>
          </w:p>
        </w:tc>
        <w:tc>
          <w:tcPr>
            <w:tcW w:w="560" w:type="dxa"/>
            <w:tcBorders/>
            <w:shd w:fill="D5EAEA" w:val="clear"/>
            <w:vAlign w:val="center"/>
          </w:tcPr>
          <w:p>
            <w:pPr>
              <w:pStyle w:val="TableContents"/>
              <w:bidi w:val="0"/>
              <w:spacing w:before="0" w:after="283"/>
              <w:jc w:val="right"/>
              <w:rPr/>
            </w:pPr>
            <w:r>
              <w:rPr/>
              <w:t>286.0</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w:t>
            </w:r>
          </w:p>
        </w:tc>
        <w:tc>
          <w:tcPr>
            <w:tcW w:w="635" w:type="dxa"/>
            <w:tcBorders/>
            <w:shd w:fill="D5EAEA" w:val="clear"/>
            <w:vAlign w:val="center"/>
          </w:tcPr>
          <w:p>
            <w:pPr>
              <w:pStyle w:val="TableContents"/>
              <w:bidi w:val="0"/>
              <w:spacing w:before="0" w:after="283"/>
              <w:jc w:val="right"/>
              <w:rPr/>
            </w:pPr>
            <w:r>
              <w:rPr/>
              <w:t>265.5</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w:t>
            </w:r>
          </w:p>
        </w:tc>
        <w:tc>
          <w:tcPr>
            <w:tcW w:w="635" w:type="dxa"/>
            <w:tcBorders/>
            <w:shd w:fill="D5EAEA" w:val="clear"/>
            <w:vAlign w:val="center"/>
          </w:tcPr>
          <w:p>
            <w:pPr>
              <w:pStyle w:val="TableContents"/>
              <w:bidi w:val="0"/>
              <w:spacing w:before="0" w:after="283"/>
              <w:jc w:val="right"/>
              <w:rPr/>
            </w:pPr>
            <w:r>
              <w:rPr/>
              <w:t>264.9</w:t>
            </w:r>
          </w:p>
        </w:tc>
        <w:tc>
          <w:tcPr>
            <w:tcW w:w="288" w:type="dxa"/>
            <w:tcBorders/>
            <w:shd w:fill="D5EAEA" w:val="clear"/>
            <w:vAlign w:val="center"/>
          </w:tcPr>
          <w:p>
            <w:pPr>
              <w:pStyle w:val="TableContents"/>
              <w:bidi w:val="0"/>
              <w:spacing w:before="0" w:after="283"/>
              <w:ind w:left="0" w:right="0" w:firstLine="29"/>
              <w:jc w:val="left"/>
              <w:rPr/>
            </w:pPr>
            <w:r>
              <w:rPr/>
              <w:t> </w:t>
            </w:r>
          </w:p>
        </w:tc>
      </w:tr>
      <w:tr>
        <w:trPr/>
        <w:tc>
          <w:tcPr>
            <w:tcW w:w="5456" w:type="dxa"/>
            <w:tcBorders/>
            <w:shd w:fill="FFFFFF" w:val="clear"/>
            <w:vAlign w:val="center"/>
          </w:tcPr>
          <w:p>
            <w:pPr>
              <w:pStyle w:val="TableContents"/>
              <w:bidi w:val="0"/>
              <w:spacing w:before="0" w:after="283"/>
              <w:jc w:val="left"/>
              <w:rPr/>
            </w:pPr>
            <w:r>
              <w:rPr/>
              <w:t>Other revenue</w:t>
              <w:tab/>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79" w:type="dxa"/>
            <w:tcBorders>
              <w:bottom w:val="single" w:sz="8" w:space="0" w:color="000000"/>
            </w:tcBorders>
            <w:shd w:fill="FFFFFF" w:val="clear"/>
            <w:tcMar>
              <w:bottom w:w="28" w:type="dxa"/>
            </w:tcMar>
            <w:vAlign w:val="center"/>
          </w:tcPr>
          <w:p>
            <w:pPr>
              <w:pStyle w:val="TableContents"/>
              <w:bidi w:val="0"/>
              <w:spacing w:before="0" w:after="283"/>
              <w:jc w:val="right"/>
              <w:rPr/>
            </w:pPr>
            <w:r>
              <w:rPr/>
              <w:t>26.1</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7" w:type="dxa"/>
            <w:tcBorders>
              <w:bottom w:val="single" w:sz="8" w:space="0" w:color="000000"/>
            </w:tcBorders>
            <w:shd w:fill="FFFFFF" w:val="clear"/>
            <w:tcMar>
              <w:bottom w:w="28" w:type="dxa"/>
            </w:tcMar>
            <w:vAlign w:val="center"/>
          </w:tcPr>
          <w:p>
            <w:pPr>
              <w:pStyle w:val="TableContents"/>
              <w:bidi w:val="0"/>
              <w:spacing w:before="0" w:after="283"/>
              <w:jc w:val="right"/>
              <w:rPr/>
            </w:pPr>
            <w:r>
              <w:rPr/>
              <w:t>19.3</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43.8</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40.7</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33.3</w:t>
            </w:r>
          </w:p>
        </w:tc>
        <w:tc>
          <w:tcPr>
            <w:tcW w:w="288" w:type="dxa"/>
            <w:tcBorders>
              <w:bottom w:val="single" w:sz="8" w:space="0" w:color="000000"/>
            </w:tcBorders>
            <w:shd w:fill="FFFFFF" w:val="clear"/>
            <w:tcMar>
              <w:bottom w:w="28" w:type="dxa"/>
            </w:tcMar>
            <w:vAlign w:val="center"/>
          </w:tcPr>
          <w:p>
            <w:pPr>
              <w:pStyle w:val="TableContents"/>
              <w:bidi w:val="0"/>
              <w:spacing w:before="0" w:after="283"/>
              <w:ind w:left="0" w:right="0" w:firstLine="209"/>
              <w:jc w:val="left"/>
              <w:rPr/>
            </w:pPr>
            <w:r>
              <w:rPr/>
              <w:t> </w:t>
            </w:r>
          </w:p>
        </w:tc>
      </w:tr>
      <w:tr>
        <w:trPr/>
        <w:tc>
          <w:tcPr>
            <w:tcW w:w="5456" w:type="dxa"/>
            <w:tcBorders/>
            <w:shd w:fill="D5EAEA" w:val="clear"/>
            <w:vAlign w:val="center"/>
          </w:tcPr>
          <w:p>
            <w:pPr>
              <w:pStyle w:val="TableContents"/>
              <w:bidi w:val="0"/>
              <w:spacing w:before="0" w:after="283"/>
              <w:jc w:val="left"/>
              <w:rPr/>
            </w:pPr>
            <w:r>
              <w:rPr/>
              <w:t>Total revenue, net</w:t>
              <w:tab/>
            </w:r>
          </w:p>
        </w:tc>
        <w:tc>
          <w:tcPr>
            <w:tcW w:w="60" w:type="dxa"/>
            <w:tcBorders/>
            <w:shd w:fill="D5EAEA" w:val="clear"/>
            <w:vAlign w:val="center"/>
          </w:tcPr>
          <w:p>
            <w:pPr>
              <w:pStyle w:val="TableContents"/>
              <w:bidi w:val="0"/>
              <w:spacing w:before="0" w:after="283"/>
              <w:jc w:val="left"/>
              <w:rPr/>
            </w:pPr>
            <w:r>
              <w:rPr/>
              <w:t> </w:t>
            </w:r>
          </w:p>
        </w:tc>
        <w:tc>
          <w:tcPr>
            <w:tcW w:w="144" w:type="dxa"/>
            <w:tcBorders/>
            <w:shd w:fill="D5EAEA" w:val="clear"/>
            <w:vAlign w:val="center"/>
          </w:tcPr>
          <w:p>
            <w:pPr>
              <w:pStyle w:val="TableContents"/>
              <w:bidi w:val="0"/>
              <w:spacing w:before="0" w:after="283"/>
              <w:jc w:val="left"/>
              <w:rPr/>
            </w:pPr>
            <w:r>
              <w:rPr/>
              <w:t> </w:t>
            </w:r>
          </w:p>
        </w:tc>
        <w:tc>
          <w:tcPr>
            <w:tcW w:w="579" w:type="dxa"/>
            <w:tcBorders/>
            <w:shd w:fill="D5EAEA" w:val="clear"/>
            <w:vAlign w:val="center"/>
          </w:tcPr>
          <w:p>
            <w:pPr>
              <w:pStyle w:val="TableContents"/>
              <w:bidi w:val="0"/>
              <w:spacing w:before="0" w:after="283"/>
              <w:jc w:val="right"/>
              <w:rPr/>
            </w:pPr>
            <w:r>
              <w:rPr/>
              <w:t>187.6</w:t>
            </w:r>
          </w:p>
        </w:tc>
        <w:tc>
          <w:tcPr>
            <w:tcW w:w="98" w:type="dxa"/>
            <w:tcBorders/>
            <w:shd w:fill="D5EAEA" w:val="clear"/>
            <w:vAlign w:val="center"/>
          </w:tcPr>
          <w:p>
            <w:pPr>
              <w:pStyle w:val="TableContents"/>
              <w:bidi w:val="0"/>
              <w:spacing w:before="0" w:after="283"/>
              <w:jc w:val="left"/>
              <w:rPr/>
            </w:pPr>
            <w:r>
              <w:rPr/>
              <w:t> </w:t>
            </w:r>
          </w:p>
        </w:tc>
        <w:tc>
          <w:tcPr>
            <w:tcW w:w="61" w:type="dxa"/>
            <w:tcBorders/>
            <w:shd w:fill="D5EAEA" w:val="clear"/>
            <w:vAlign w:val="center"/>
          </w:tcPr>
          <w:p>
            <w:pPr>
              <w:pStyle w:val="TableContents"/>
              <w:bidi w:val="0"/>
              <w:spacing w:before="0" w:after="283"/>
              <w:jc w:val="left"/>
              <w:rPr/>
            </w:pPr>
            <w:r>
              <w:rPr/>
              <w:t> </w:t>
            </w:r>
          </w:p>
        </w:tc>
        <w:tc>
          <w:tcPr>
            <w:tcW w:w="144" w:type="dxa"/>
            <w:tcBorders/>
            <w:shd w:fill="D5EAEA" w:val="clear"/>
            <w:vAlign w:val="center"/>
          </w:tcPr>
          <w:p>
            <w:pPr>
              <w:pStyle w:val="TableContents"/>
              <w:bidi w:val="0"/>
              <w:spacing w:before="0" w:after="283"/>
              <w:jc w:val="left"/>
              <w:rPr/>
            </w:pPr>
            <w:r>
              <w:rPr/>
              <w:t> </w:t>
            </w:r>
          </w:p>
        </w:tc>
        <w:tc>
          <w:tcPr>
            <w:tcW w:w="657" w:type="dxa"/>
            <w:tcBorders/>
            <w:shd w:fill="D5EAEA" w:val="clear"/>
            <w:vAlign w:val="center"/>
          </w:tcPr>
          <w:p>
            <w:pPr>
              <w:pStyle w:val="TableContents"/>
              <w:bidi w:val="0"/>
              <w:spacing w:before="0" w:after="283"/>
              <w:jc w:val="right"/>
              <w:rPr/>
            </w:pPr>
            <w:r>
              <w:rPr/>
              <w:t>150.5</w:t>
            </w:r>
          </w:p>
        </w:tc>
        <w:tc>
          <w:tcPr>
            <w:tcW w:w="98"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560" w:type="dxa"/>
            <w:tcBorders/>
            <w:shd w:fill="D5EAEA" w:val="clear"/>
            <w:vAlign w:val="center"/>
          </w:tcPr>
          <w:p>
            <w:pPr>
              <w:pStyle w:val="TableContents"/>
              <w:bidi w:val="0"/>
              <w:spacing w:before="0" w:after="283"/>
              <w:jc w:val="right"/>
              <w:rPr/>
            </w:pPr>
            <w:r>
              <w:rPr/>
              <w:t>329.8</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635" w:type="dxa"/>
            <w:tcBorders/>
            <w:shd w:fill="D5EAEA" w:val="clear"/>
            <w:vAlign w:val="center"/>
          </w:tcPr>
          <w:p>
            <w:pPr>
              <w:pStyle w:val="TableContents"/>
              <w:bidi w:val="0"/>
              <w:spacing w:before="0" w:after="283"/>
              <w:jc w:val="right"/>
              <w:rPr/>
            </w:pPr>
            <w:r>
              <w:rPr/>
              <w:t>306.2</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635" w:type="dxa"/>
            <w:tcBorders/>
            <w:shd w:fill="D5EAEA" w:val="clear"/>
            <w:vAlign w:val="center"/>
          </w:tcPr>
          <w:p>
            <w:pPr>
              <w:pStyle w:val="TableContents"/>
              <w:bidi w:val="0"/>
              <w:spacing w:before="0" w:after="283"/>
              <w:jc w:val="right"/>
              <w:rPr/>
            </w:pPr>
            <w:r>
              <w:rPr/>
              <w:t>298.2</w:t>
            </w:r>
          </w:p>
        </w:tc>
        <w:tc>
          <w:tcPr>
            <w:tcW w:w="288" w:type="dxa"/>
            <w:tcBorders/>
            <w:shd w:fill="D5EAEA" w:val="clear"/>
            <w:vAlign w:val="center"/>
          </w:tcPr>
          <w:p>
            <w:pPr>
              <w:pStyle w:val="TableContents"/>
              <w:bidi w:val="0"/>
              <w:spacing w:before="0" w:after="283"/>
              <w:jc w:val="left"/>
              <w:rPr/>
            </w:pPr>
            <w:r>
              <w:rPr/>
              <w:t> </w:t>
            </w:r>
          </w:p>
        </w:tc>
      </w:tr>
      <w:tr>
        <w:trPr/>
        <w:tc>
          <w:tcPr>
            <w:tcW w:w="5456" w:type="dxa"/>
            <w:tcBorders/>
            <w:shd w:fill="FFFFFF" w:val="clear"/>
            <w:vAlign w:val="center"/>
          </w:tcPr>
          <w:p>
            <w:pPr>
              <w:pStyle w:val="TableContents"/>
              <w:bidi w:val="0"/>
              <w:spacing w:before="0" w:after="283"/>
              <w:jc w:val="left"/>
              <w:rPr/>
            </w:pPr>
            <w:r>
              <w:rPr/>
              <w:t>Costs and expenses: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579"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288" w:type="dxa"/>
            <w:tcBorders/>
            <w:shd w:fill="FFFFFF" w:val="clear"/>
            <w:vAlign w:val="center"/>
          </w:tcPr>
          <w:p>
            <w:pPr>
              <w:pStyle w:val="TableContents"/>
              <w:bidi w:val="0"/>
              <w:spacing w:before="0" w:after="283"/>
              <w:ind w:left="0" w:right="0" w:firstLine="29"/>
              <w:jc w:val="left"/>
              <w:rPr/>
            </w:pPr>
            <w:r>
              <w:rPr/>
              <w:t> </w:t>
            </w:r>
          </w:p>
        </w:tc>
      </w:tr>
      <w:tr>
        <w:trPr/>
        <w:tc>
          <w:tcPr>
            <w:tcW w:w="5456" w:type="dxa"/>
            <w:tcBorders/>
            <w:shd w:fill="D5EAEA" w:val="clear"/>
            <w:vAlign w:val="center"/>
          </w:tcPr>
          <w:p>
            <w:pPr>
              <w:pStyle w:val="TableContents"/>
              <w:bidi w:val="0"/>
              <w:spacing w:before="0" w:after="283"/>
              <w:jc w:val="left"/>
              <w:rPr/>
            </w:pPr>
            <w:r>
              <w:rPr/>
              <w:t>Fulfillment</w:t>
              <w:tab/>
            </w:r>
          </w:p>
        </w:tc>
        <w:tc>
          <w:tcPr>
            <w:tcW w:w="60" w:type="dxa"/>
            <w:tcBorders/>
            <w:shd w:fill="D5EAEA" w:val="clear"/>
            <w:vAlign w:val="center"/>
          </w:tcPr>
          <w:p>
            <w:pPr>
              <w:pStyle w:val="TableContents"/>
              <w:bidi w:val="0"/>
              <w:spacing w:before="0" w:after="283"/>
              <w:jc w:val="left"/>
              <w:rPr/>
            </w:pPr>
            <w:r>
              <w:rPr/>
              <w:t> </w:t>
            </w:r>
          </w:p>
        </w:tc>
        <w:tc>
          <w:tcPr>
            <w:tcW w:w="144" w:type="dxa"/>
            <w:tcBorders/>
            <w:shd w:fill="D5EAEA" w:val="clear"/>
            <w:vAlign w:val="center"/>
          </w:tcPr>
          <w:p>
            <w:pPr>
              <w:pStyle w:val="TableContents"/>
              <w:bidi w:val="0"/>
              <w:spacing w:before="0" w:after="283"/>
              <w:jc w:val="left"/>
              <w:rPr/>
            </w:pPr>
            <w:r>
              <w:rPr/>
              <w:t> </w:t>
            </w:r>
          </w:p>
        </w:tc>
        <w:tc>
          <w:tcPr>
            <w:tcW w:w="579" w:type="dxa"/>
            <w:tcBorders/>
            <w:shd w:fill="D5EAEA" w:val="clear"/>
            <w:vAlign w:val="center"/>
          </w:tcPr>
          <w:p>
            <w:pPr>
              <w:pStyle w:val="TableContents"/>
              <w:bidi w:val="0"/>
              <w:spacing w:before="0" w:after="283"/>
              <w:jc w:val="right"/>
              <w:rPr/>
            </w:pPr>
            <w:r>
              <w:rPr/>
              <w:t>47.1</w:t>
            </w:r>
          </w:p>
        </w:tc>
        <w:tc>
          <w:tcPr>
            <w:tcW w:w="98" w:type="dxa"/>
            <w:tcBorders/>
            <w:shd w:fill="D5EAEA" w:val="clear"/>
            <w:vAlign w:val="center"/>
          </w:tcPr>
          <w:p>
            <w:pPr>
              <w:pStyle w:val="TableContents"/>
              <w:bidi w:val="0"/>
              <w:spacing w:before="0" w:after="283"/>
              <w:jc w:val="left"/>
              <w:rPr/>
            </w:pPr>
            <w:r>
              <w:rPr/>
              <w:t> </w:t>
            </w:r>
          </w:p>
        </w:tc>
        <w:tc>
          <w:tcPr>
            <w:tcW w:w="61" w:type="dxa"/>
            <w:tcBorders/>
            <w:shd w:fill="D5EAEA" w:val="clear"/>
            <w:vAlign w:val="center"/>
          </w:tcPr>
          <w:p>
            <w:pPr>
              <w:pStyle w:val="TableContents"/>
              <w:bidi w:val="0"/>
              <w:spacing w:before="0" w:after="283"/>
              <w:jc w:val="left"/>
              <w:rPr/>
            </w:pPr>
            <w:r>
              <w:rPr/>
              <w:t> </w:t>
            </w:r>
          </w:p>
        </w:tc>
        <w:tc>
          <w:tcPr>
            <w:tcW w:w="144" w:type="dxa"/>
            <w:tcBorders/>
            <w:shd w:fill="D5EAEA" w:val="clear"/>
            <w:vAlign w:val="center"/>
          </w:tcPr>
          <w:p>
            <w:pPr>
              <w:pStyle w:val="TableContents"/>
              <w:bidi w:val="0"/>
              <w:spacing w:before="0" w:after="283"/>
              <w:jc w:val="left"/>
              <w:rPr/>
            </w:pPr>
            <w:r>
              <w:rPr/>
              <w:t> </w:t>
            </w:r>
          </w:p>
        </w:tc>
        <w:tc>
          <w:tcPr>
            <w:tcW w:w="657" w:type="dxa"/>
            <w:tcBorders/>
            <w:shd w:fill="D5EAEA" w:val="clear"/>
            <w:vAlign w:val="center"/>
          </w:tcPr>
          <w:p>
            <w:pPr>
              <w:pStyle w:val="TableContents"/>
              <w:bidi w:val="0"/>
              <w:spacing w:before="0" w:after="283"/>
              <w:jc w:val="right"/>
              <w:rPr/>
            </w:pPr>
            <w:r>
              <w:rPr/>
              <w:t>42.9</w:t>
            </w:r>
          </w:p>
        </w:tc>
        <w:tc>
          <w:tcPr>
            <w:tcW w:w="98"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560" w:type="dxa"/>
            <w:tcBorders/>
            <w:shd w:fill="D5EAEA" w:val="clear"/>
            <w:vAlign w:val="center"/>
          </w:tcPr>
          <w:p>
            <w:pPr>
              <w:pStyle w:val="TableContents"/>
              <w:bidi w:val="0"/>
              <w:spacing w:before="0" w:after="283"/>
              <w:jc w:val="right"/>
              <w:rPr/>
            </w:pPr>
            <w:r>
              <w:rPr/>
              <w:t>88.5</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635" w:type="dxa"/>
            <w:tcBorders/>
            <w:shd w:fill="D5EAEA" w:val="clear"/>
            <w:vAlign w:val="center"/>
          </w:tcPr>
          <w:p>
            <w:pPr>
              <w:pStyle w:val="TableContents"/>
              <w:bidi w:val="0"/>
              <w:spacing w:before="0" w:after="283"/>
              <w:jc w:val="right"/>
              <w:rPr/>
            </w:pPr>
            <w:r>
              <w:rPr/>
              <w:t>82.8</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635" w:type="dxa"/>
            <w:tcBorders/>
            <w:shd w:fill="D5EAEA" w:val="clear"/>
            <w:vAlign w:val="center"/>
          </w:tcPr>
          <w:p>
            <w:pPr>
              <w:pStyle w:val="TableContents"/>
              <w:bidi w:val="0"/>
              <w:spacing w:before="0" w:after="283"/>
              <w:jc w:val="right"/>
              <w:rPr/>
            </w:pPr>
            <w:r>
              <w:rPr/>
              <w:t>86.0</w:t>
            </w:r>
          </w:p>
        </w:tc>
        <w:tc>
          <w:tcPr>
            <w:tcW w:w="288" w:type="dxa"/>
            <w:tcBorders/>
            <w:shd w:fill="D5EAEA" w:val="clear"/>
            <w:vAlign w:val="center"/>
          </w:tcPr>
          <w:p>
            <w:pPr>
              <w:pStyle w:val="TableContents"/>
              <w:bidi w:val="0"/>
              <w:spacing w:before="0" w:after="283"/>
              <w:ind w:left="0" w:right="0" w:firstLine="29"/>
              <w:jc w:val="left"/>
              <w:rPr/>
            </w:pPr>
            <w:r>
              <w:rPr/>
              <w:t> </w:t>
            </w:r>
          </w:p>
        </w:tc>
      </w:tr>
      <w:tr>
        <w:trPr/>
        <w:tc>
          <w:tcPr>
            <w:tcW w:w="5456" w:type="dxa"/>
            <w:tcBorders/>
            <w:shd w:fill="FFFFFF" w:val="clear"/>
            <w:vAlign w:val="center"/>
          </w:tcPr>
          <w:p>
            <w:pPr>
              <w:pStyle w:val="TableContents"/>
              <w:bidi w:val="0"/>
              <w:spacing w:before="0" w:after="283"/>
              <w:jc w:val="left"/>
              <w:rPr/>
            </w:pPr>
            <w:r>
              <w:rPr/>
              <w:t>Technology</w:t>
              <w:tab/>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579" w:type="dxa"/>
            <w:tcBorders/>
            <w:shd w:fill="FFFFFF" w:val="clear"/>
            <w:vAlign w:val="center"/>
          </w:tcPr>
          <w:p>
            <w:pPr>
              <w:pStyle w:val="TableContents"/>
              <w:bidi w:val="0"/>
              <w:spacing w:before="0" w:after="283"/>
              <w:jc w:val="right"/>
              <w:rPr/>
            </w:pPr>
            <w:r>
              <w:rPr/>
              <w:t>19.2</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pPr>
            <w:r>
              <w:rPr/>
              <w:t>19.4</w:t>
            </w:r>
          </w:p>
        </w:tc>
        <w:tc>
          <w:tcPr>
            <w:tcW w:w="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35.7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49.1</w:t>
            </w:r>
          </w:p>
        </w:tc>
        <w:tc>
          <w:tcPr>
            <w:tcW w:w="288" w:type="dxa"/>
            <w:tcBorders/>
            <w:shd w:fill="FFFFFF" w:val="clear"/>
            <w:vAlign w:val="center"/>
          </w:tcPr>
          <w:p>
            <w:pPr>
              <w:pStyle w:val="TableContents"/>
              <w:bidi w:val="0"/>
              <w:spacing w:before="0" w:after="283"/>
              <w:ind w:left="0" w:right="0" w:firstLine="29"/>
              <w:jc w:val="left"/>
              <w:rPr/>
            </w:pPr>
            <w:r>
              <w:rPr/>
              <w:t> </w:t>
            </w:r>
          </w:p>
        </w:tc>
      </w:tr>
      <w:tr>
        <w:trPr/>
        <w:tc>
          <w:tcPr>
            <w:tcW w:w="5456" w:type="dxa"/>
            <w:tcBorders/>
            <w:shd w:fill="D5EAEA" w:val="clear"/>
            <w:vAlign w:val="center"/>
          </w:tcPr>
          <w:p>
            <w:pPr>
              <w:pStyle w:val="TableContents"/>
              <w:bidi w:val="0"/>
              <w:spacing w:before="0" w:after="283"/>
              <w:jc w:val="left"/>
              <w:rPr/>
            </w:pPr>
            <w:r>
              <w:rPr/>
              <w:t>Marketing</w:t>
              <w:tab/>
            </w:r>
          </w:p>
        </w:tc>
        <w:tc>
          <w:tcPr>
            <w:tcW w:w="60" w:type="dxa"/>
            <w:tcBorders/>
            <w:shd w:fill="D5EAEA" w:val="clear"/>
            <w:vAlign w:val="center"/>
          </w:tcPr>
          <w:p>
            <w:pPr>
              <w:pStyle w:val="TableContents"/>
              <w:bidi w:val="0"/>
              <w:spacing w:before="0" w:after="283"/>
              <w:jc w:val="left"/>
              <w:rPr/>
            </w:pPr>
            <w:r>
              <w:rPr/>
              <w:t> </w:t>
            </w:r>
          </w:p>
        </w:tc>
        <w:tc>
          <w:tcPr>
            <w:tcW w:w="144" w:type="dxa"/>
            <w:tcBorders/>
            <w:shd w:fill="D5EAEA" w:val="clear"/>
            <w:vAlign w:val="center"/>
          </w:tcPr>
          <w:p>
            <w:pPr>
              <w:pStyle w:val="TableContents"/>
              <w:bidi w:val="0"/>
              <w:spacing w:before="0" w:after="283"/>
              <w:jc w:val="left"/>
              <w:rPr/>
            </w:pPr>
            <w:r>
              <w:rPr/>
              <w:t> </w:t>
            </w:r>
          </w:p>
        </w:tc>
        <w:tc>
          <w:tcPr>
            <w:tcW w:w="579" w:type="dxa"/>
            <w:tcBorders/>
            <w:shd w:fill="D5EAEA" w:val="clear"/>
            <w:vAlign w:val="center"/>
          </w:tcPr>
          <w:p>
            <w:pPr>
              <w:pStyle w:val="TableContents"/>
              <w:bidi w:val="0"/>
              <w:spacing w:before="0" w:after="283"/>
              <w:jc w:val="right"/>
              <w:rPr/>
            </w:pPr>
            <w:r>
              <w:rPr/>
              <w:t>15.4</w:t>
            </w:r>
          </w:p>
        </w:tc>
        <w:tc>
          <w:tcPr>
            <w:tcW w:w="98" w:type="dxa"/>
            <w:tcBorders/>
            <w:shd w:fill="D5EAEA" w:val="clear"/>
            <w:vAlign w:val="center"/>
          </w:tcPr>
          <w:p>
            <w:pPr>
              <w:pStyle w:val="TableContents"/>
              <w:bidi w:val="0"/>
              <w:spacing w:before="0" w:after="283"/>
              <w:jc w:val="left"/>
              <w:rPr/>
            </w:pPr>
            <w:r>
              <w:rPr/>
              <w:t> </w:t>
            </w:r>
          </w:p>
        </w:tc>
        <w:tc>
          <w:tcPr>
            <w:tcW w:w="61" w:type="dxa"/>
            <w:tcBorders/>
            <w:shd w:fill="D5EAEA" w:val="clear"/>
            <w:vAlign w:val="center"/>
          </w:tcPr>
          <w:p>
            <w:pPr>
              <w:pStyle w:val="TableContents"/>
              <w:bidi w:val="0"/>
              <w:spacing w:before="0" w:after="283"/>
              <w:jc w:val="left"/>
              <w:rPr/>
            </w:pPr>
            <w:r>
              <w:rPr/>
              <w:t> </w:t>
            </w:r>
          </w:p>
        </w:tc>
        <w:tc>
          <w:tcPr>
            <w:tcW w:w="144" w:type="dxa"/>
            <w:tcBorders/>
            <w:shd w:fill="D5EAEA" w:val="clear"/>
            <w:vAlign w:val="center"/>
          </w:tcPr>
          <w:p>
            <w:pPr>
              <w:pStyle w:val="TableContents"/>
              <w:bidi w:val="0"/>
              <w:spacing w:before="0" w:after="283"/>
              <w:jc w:val="left"/>
              <w:rPr/>
            </w:pPr>
            <w:r>
              <w:rPr/>
              <w:t> </w:t>
            </w:r>
          </w:p>
        </w:tc>
        <w:tc>
          <w:tcPr>
            <w:tcW w:w="657" w:type="dxa"/>
            <w:tcBorders/>
            <w:shd w:fill="D5EAEA" w:val="clear"/>
            <w:vAlign w:val="center"/>
          </w:tcPr>
          <w:p>
            <w:pPr>
              <w:pStyle w:val="TableContents"/>
              <w:bidi w:val="0"/>
              <w:spacing w:before="0" w:after="283"/>
              <w:jc w:val="right"/>
              <w:rPr/>
            </w:pPr>
            <w:r>
              <w:rPr/>
              <w:t>16.0</w:t>
            </w:r>
          </w:p>
        </w:tc>
        <w:tc>
          <w:tcPr>
            <w:tcW w:w="98"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560" w:type="dxa"/>
            <w:tcBorders/>
            <w:shd w:fill="D5EAEA" w:val="clear"/>
            <w:vAlign w:val="center"/>
          </w:tcPr>
          <w:p>
            <w:pPr>
              <w:pStyle w:val="TableContents"/>
              <w:bidi w:val="0"/>
              <w:spacing w:before="0" w:after="283"/>
              <w:jc w:val="right"/>
              <w:rPr/>
            </w:pPr>
            <w:r>
              <w:rPr/>
              <w:t>27.0</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635" w:type="dxa"/>
            <w:tcBorders/>
            <w:shd w:fill="D5EAEA" w:val="clear"/>
            <w:vAlign w:val="center"/>
          </w:tcPr>
          <w:p>
            <w:pPr>
              <w:pStyle w:val="TableContents"/>
              <w:bidi w:val="0"/>
              <w:spacing w:before="0" w:after="283"/>
              <w:jc w:val="right"/>
              <w:rPr/>
            </w:pPr>
            <w:r>
              <w:rPr/>
              <w:t>28.2</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635" w:type="dxa"/>
            <w:tcBorders/>
            <w:shd w:fill="D5EAEA" w:val="clear"/>
            <w:vAlign w:val="center"/>
          </w:tcPr>
          <w:p>
            <w:pPr>
              <w:pStyle w:val="TableContents"/>
              <w:bidi w:val="0"/>
              <w:spacing w:before="0" w:after="283"/>
              <w:jc w:val="right"/>
              <w:rPr/>
            </w:pPr>
            <w:r>
              <w:rPr/>
              <w:t>31.2</w:t>
            </w:r>
          </w:p>
        </w:tc>
        <w:tc>
          <w:tcPr>
            <w:tcW w:w="288" w:type="dxa"/>
            <w:tcBorders/>
            <w:shd w:fill="D5EAEA" w:val="clear"/>
            <w:vAlign w:val="center"/>
          </w:tcPr>
          <w:p>
            <w:pPr>
              <w:pStyle w:val="TableContents"/>
              <w:bidi w:val="0"/>
              <w:spacing w:before="0" w:after="283"/>
              <w:ind w:left="0" w:right="0" w:firstLine="29"/>
              <w:jc w:val="left"/>
              <w:rPr/>
            </w:pPr>
            <w:r>
              <w:rPr/>
              <w:t> </w:t>
            </w:r>
          </w:p>
        </w:tc>
      </w:tr>
      <w:tr>
        <w:trPr/>
        <w:tc>
          <w:tcPr>
            <w:tcW w:w="5456" w:type="dxa"/>
            <w:tcBorders/>
            <w:shd w:fill="FFFFFF" w:val="clear"/>
            <w:vAlign w:val="center"/>
          </w:tcPr>
          <w:p>
            <w:pPr>
              <w:pStyle w:val="TableContents"/>
              <w:bidi w:val="0"/>
              <w:spacing w:before="0" w:after="283"/>
              <w:jc w:val="left"/>
              <w:rPr/>
            </w:pPr>
            <w:r>
              <w:rPr/>
              <w:t>General and administrative</w:t>
              <w:tab/>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579" w:type="dxa"/>
            <w:tcBorders/>
            <w:shd w:fill="FFFFFF" w:val="clear"/>
            <w:vAlign w:val="center"/>
          </w:tcPr>
          <w:p>
            <w:pPr>
              <w:pStyle w:val="TableContents"/>
              <w:bidi w:val="0"/>
              <w:spacing w:before="0" w:after="283"/>
              <w:jc w:val="right"/>
              <w:rPr/>
            </w:pPr>
            <w:r>
              <w:rPr/>
              <w:t>47.2</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pPr>
            <w:r>
              <w:rPr/>
              <w:t>45.3</w:t>
            </w:r>
          </w:p>
        </w:tc>
        <w:tc>
          <w:tcPr>
            <w:tcW w:w="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88.8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86.8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101.6</w:t>
            </w:r>
          </w:p>
        </w:tc>
        <w:tc>
          <w:tcPr>
            <w:tcW w:w="288" w:type="dxa"/>
            <w:tcBorders/>
            <w:shd w:fill="FFFFFF" w:val="clear"/>
            <w:vAlign w:val="center"/>
          </w:tcPr>
          <w:p>
            <w:pPr>
              <w:pStyle w:val="TableContents"/>
              <w:bidi w:val="0"/>
              <w:spacing w:before="0" w:after="283"/>
              <w:ind w:left="0" w:right="0" w:firstLine="29"/>
              <w:jc w:val="left"/>
              <w:rPr/>
            </w:pPr>
            <w:r>
              <w:rPr/>
              <w:t> </w:t>
            </w:r>
          </w:p>
        </w:tc>
      </w:tr>
      <w:tr>
        <w:trPr/>
        <w:tc>
          <w:tcPr>
            <w:tcW w:w="5456" w:type="dxa"/>
            <w:tcBorders/>
            <w:shd w:fill="D5EAEA" w:val="clear"/>
            <w:vAlign w:val="center"/>
          </w:tcPr>
          <w:p>
            <w:pPr>
              <w:pStyle w:val="TableContents"/>
              <w:bidi w:val="0"/>
              <w:spacing w:before="0" w:after="283"/>
              <w:jc w:val="left"/>
              <w:rPr/>
            </w:pPr>
            <w:r>
              <w:rPr/>
              <w:t>Rental product depreciation and revenue share</w:t>
              <w:tab/>
            </w:r>
          </w:p>
        </w:tc>
        <w:tc>
          <w:tcPr>
            <w:tcW w:w="60" w:type="dxa"/>
            <w:tcBorders/>
            <w:shd w:fill="D5EAEA" w:val="clear"/>
            <w:vAlign w:val="center"/>
          </w:tcPr>
          <w:p>
            <w:pPr>
              <w:pStyle w:val="TableContents"/>
              <w:bidi w:val="0"/>
              <w:spacing w:before="0" w:after="283"/>
              <w:jc w:val="left"/>
              <w:rPr/>
            </w:pPr>
            <w:r>
              <w:rPr/>
              <w:t> </w:t>
            </w:r>
          </w:p>
        </w:tc>
        <w:tc>
          <w:tcPr>
            <w:tcW w:w="144" w:type="dxa"/>
            <w:tcBorders/>
            <w:shd w:fill="D5EAEA" w:val="clear"/>
            <w:vAlign w:val="center"/>
          </w:tcPr>
          <w:p>
            <w:pPr>
              <w:pStyle w:val="TableContents"/>
              <w:bidi w:val="0"/>
              <w:spacing w:before="0" w:after="283"/>
              <w:jc w:val="left"/>
              <w:rPr/>
            </w:pPr>
            <w:r>
              <w:rPr/>
              <w:t> </w:t>
            </w:r>
          </w:p>
        </w:tc>
        <w:tc>
          <w:tcPr>
            <w:tcW w:w="579" w:type="dxa"/>
            <w:tcBorders/>
            <w:shd w:fill="D5EAEA" w:val="clear"/>
            <w:vAlign w:val="center"/>
          </w:tcPr>
          <w:p>
            <w:pPr>
              <w:pStyle w:val="TableContents"/>
              <w:bidi w:val="0"/>
              <w:spacing w:before="0" w:after="283"/>
              <w:jc w:val="right"/>
              <w:rPr/>
            </w:pPr>
            <w:r>
              <w:rPr/>
              <w:t>81.9</w:t>
            </w:r>
          </w:p>
        </w:tc>
        <w:tc>
          <w:tcPr>
            <w:tcW w:w="98" w:type="dxa"/>
            <w:tcBorders/>
            <w:shd w:fill="D5EAEA" w:val="clear"/>
            <w:vAlign w:val="center"/>
          </w:tcPr>
          <w:p>
            <w:pPr>
              <w:pStyle w:val="TableContents"/>
              <w:bidi w:val="0"/>
              <w:spacing w:before="0" w:after="283"/>
              <w:jc w:val="left"/>
              <w:rPr/>
            </w:pPr>
            <w:r>
              <w:rPr/>
              <w:t> </w:t>
            </w:r>
          </w:p>
        </w:tc>
        <w:tc>
          <w:tcPr>
            <w:tcW w:w="61" w:type="dxa"/>
            <w:tcBorders/>
            <w:shd w:fill="D5EAEA" w:val="clear"/>
            <w:vAlign w:val="center"/>
          </w:tcPr>
          <w:p>
            <w:pPr>
              <w:pStyle w:val="TableContents"/>
              <w:bidi w:val="0"/>
              <w:spacing w:before="0" w:after="283"/>
              <w:jc w:val="left"/>
              <w:rPr/>
            </w:pPr>
            <w:r>
              <w:rPr/>
              <w:t> </w:t>
            </w:r>
          </w:p>
        </w:tc>
        <w:tc>
          <w:tcPr>
            <w:tcW w:w="144" w:type="dxa"/>
            <w:tcBorders/>
            <w:shd w:fill="D5EAEA" w:val="clear"/>
            <w:vAlign w:val="center"/>
          </w:tcPr>
          <w:p>
            <w:pPr>
              <w:pStyle w:val="TableContents"/>
              <w:bidi w:val="0"/>
              <w:spacing w:before="0" w:after="283"/>
              <w:jc w:val="left"/>
              <w:rPr/>
            </w:pPr>
            <w:r>
              <w:rPr/>
              <w:t> </w:t>
            </w:r>
          </w:p>
        </w:tc>
        <w:tc>
          <w:tcPr>
            <w:tcW w:w="657" w:type="dxa"/>
            <w:tcBorders/>
            <w:shd w:fill="D5EAEA" w:val="clear"/>
            <w:vAlign w:val="center"/>
          </w:tcPr>
          <w:p>
            <w:pPr>
              <w:pStyle w:val="TableContents"/>
              <w:bidi w:val="0"/>
              <w:spacing w:before="0" w:after="283"/>
              <w:jc w:val="right"/>
              <w:rPr/>
            </w:pPr>
            <w:r>
              <w:rPr/>
              <w:t>61.4</w:t>
            </w:r>
          </w:p>
        </w:tc>
        <w:tc>
          <w:tcPr>
            <w:tcW w:w="98"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560" w:type="dxa"/>
            <w:tcBorders/>
            <w:shd w:fill="D5EAEA" w:val="clear"/>
            <w:vAlign w:val="center"/>
          </w:tcPr>
          <w:p>
            <w:pPr>
              <w:pStyle w:val="TableContents"/>
              <w:bidi w:val="0"/>
              <w:spacing w:before="0" w:after="283"/>
              <w:jc w:val="right"/>
              <w:rPr/>
            </w:pPr>
            <w:r>
              <w:rPr/>
              <w:t>133.8</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635" w:type="dxa"/>
            <w:tcBorders/>
            <w:shd w:fill="D5EAEA" w:val="clear"/>
            <w:vAlign w:val="center"/>
          </w:tcPr>
          <w:p>
            <w:pPr>
              <w:pStyle w:val="TableContents"/>
              <w:bidi w:val="0"/>
              <w:spacing w:before="0" w:after="283"/>
              <w:jc w:val="right"/>
              <w:rPr/>
            </w:pPr>
            <w:r>
              <w:rPr/>
              <w:t>107.5</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635" w:type="dxa"/>
            <w:tcBorders/>
            <w:shd w:fill="D5EAEA" w:val="clear"/>
            <w:vAlign w:val="center"/>
          </w:tcPr>
          <w:p>
            <w:pPr>
              <w:pStyle w:val="TableContents"/>
              <w:bidi w:val="0"/>
              <w:spacing w:before="0" w:after="283"/>
              <w:jc w:val="right"/>
              <w:rPr/>
            </w:pPr>
            <w:r>
              <w:rPr/>
              <w:t>92.5</w:t>
            </w:r>
          </w:p>
        </w:tc>
        <w:tc>
          <w:tcPr>
            <w:tcW w:w="288" w:type="dxa"/>
            <w:tcBorders/>
            <w:shd w:fill="D5EAEA" w:val="clear"/>
            <w:vAlign w:val="center"/>
          </w:tcPr>
          <w:p>
            <w:pPr>
              <w:pStyle w:val="TableContents"/>
              <w:bidi w:val="0"/>
              <w:spacing w:before="0" w:after="283"/>
              <w:ind w:left="0" w:right="0" w:firstLine="29"/>
              <w:jc w:val="left"/>
              <w:rPr/>
            </w:pPr>
            <w:r>
              <w:rPr/>
              <w:t> </w:t>
            </w:r>
          </w:p>
        </w:tc>
      </w:tr>
      <w:tr>
        <w:trPr/>
        <w:tc>
          <w:tcPr>
            <w:tcW w:w="5456" w:type="dxa"/>
            <w:tcBorders/>
            <w:shd w:fill="FFFFFF" w:val="clear"/>
            <w:vAlign w:val="center"/>
          </w:tcPr>
          <w:p>
            <w:pPr>
              <w:pStyle w:val="TableContents"/>
              <w:bidi w:val="0"/>
              <w:spacing w:before="0" w:after="283"/>
              <w:jc w:val="left"/>
              <w:rPr/>
            </w:pPr>
            <w:r>
              <w:rPr/>
              <w:t>Other depreciation and amortization</w:t>
              <w:tab/>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579" w:type="dxa"/>
            <w:tcBorders/>
            <w:shd w:fill="FFFFFF" w:val="clear"/>
            <w:vAlign w:val="center"/>
          </w:tcPr>
          <w:p>
            <w:pPr>
              <w:pStyle w:val="TableContents"/>
              <w:bidi w:val="0"/>
              <w:spacing w:before="0" w:after="283"/>
              <w:jc w:val="right"/>
              <w:rPr/>
            </w:pPr>
            <w:r>
              <w:rPr/>
              <w:t>4.3</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pPr>
            <w:r>
              <w:rPr/>
              <w:t>5.3</w:t>
            </w:r>
          </w:p>
        </w:tc>
        <w:tc>
          <w:tcPr>
            <w:tcW w:w="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14.7</w:t>
            </w:r>
          </w:p>
        </w:tc>
        <w:tc>
          <w:tcPr>
            <w:tcW w:w="288" w:type="dxa"/>
            <w:tcBorders/>
            <w:shd w:fill="FFFFFF" w:val="clear"/>
            <w:vAlign w:val="center"/>
          </w:tcPr>
          <w:p>
            <w:pPr>
              <w:pStyle w:val="TableContents"/>
              <w:bidi w:val="0"/>
              <w:spacing w:before="0" w:after="283"/>
              <w:ind w:left="0" w:right="0" w:firstLine="29"/>
              <w:jc w:val="left"/>
              <w:rPr/>
            </w:pPr>
            <w:r>
              <w:rPr/>
              <w:t> </w:t>
            </w:r>
          </w:p>
        </w:tc>
      </w:tr>
      <w:tr>
        <w:trPr/>
        <w:tc>
          <w:tcPr>
            <w:tcW w:w="5456" w:type="dxa"/>
            <w:tcBorders/>
            <w:shd w:fill="D5EAEA" w:val="clear"/>
            <w:vAlign w:val="center"/>
          </w:tcPr>
          <w:p>
            <w:pPr>
              <w:pStyle w:val="TableContents"/>
              <w:bidi w:val="0"/>
              <w:spacing w:before="0" w:after="283"/>
              <w:jc w:val="left"/>
              <w:rPr/>
            </w:pPr>
            <w:r>
              <w:rPr/>
              <w:t>Restructuring charges</w:t>
              <w:tab/>
            </w:r>
          </w:p>
        </w:tc>
        <w:tc>
          <w:tcPr>
            <w:tcW w:w="60" w:type="dxa"/>
            <w:tcBorders/>
            <w:shd w:fill="D5EAEA" w:val="clear"/>
            <w:vAlign w:val="center"/>
          </w:tcPr>
          <w:p>
            <w:pPr>
              <w:pStyle w:val="TableContents"/>
              <w:bidi w:val="0"/>
              <w:spacing w:before="0" w:after="283"/>
              <w:jc w:val="left"/>
              <w:rPr/>
            </w:pPr>
            <w:r>
              <w:rPr/>
              <w:t> </w:t>
            </w:r>
          </w:p>
        </w:tc>
        <w:tc>
          <w:tcPr>
            <w:tcW w:w="144" w:type="dxa"/>
            <w:tcBorders/>
            <w:shd w:fill="D5EAEA" w:val="clear"/>
            <w:vAlign w:val="center"/>
          </w:tcPr>
          <w:p>
            <w:pPr>
              <w:pStyle w:val="TableContents"/>
              <w:bidi w:val="0"/>
              <w:spacing w:before="0" w:after="283"/>
              <w:jc w:val="left"/>
              <w:rPr/>
            </w:pPr>
            <w:r>
              <w:rPr/>
              <w:t> </w:t>
            </w:r>
          </w:p>
        </w:tc>
        <w:tc>
          <w:tcPr>
            <w:tcW w:w="579" w:type="dxa"/>
            <w:tcBorders/>
            <w:shd w:fill="D5EAEA" w:val="clear"/>
            <w:vAlign w:val="center"/>
          </w:tcPr>
          <w:p>
            <w:pPr>
              <w:pStyle w:val="TableContents"/>
              <w:bidi w:val="0"/>
              <w:spacing w:before="0" w:after="283"/>
              <w:jc w:val="right"/>
              <w:rPr/>
            </w:pPr>
            <w:r>
              <w:rPr/>
              <w:t>-</w:t>
            </w:r>
          </w:p>
        </w:tc>
        <w:tc>
          <w:tcPr>
            <w:tcW w:w="98" w:type="dxa"/>
            <w:tcBorders/>
            <w:shd w:fill="D5EAEA" w:val="clear"/>
            <w:vAlign w:val="center"/>
          </w:tcPr>
          <w:p>
            <w:pPr>
              <w:pStyle w:val="TableContents"/>
              <w:bidi w:val="0"/>
              <w:spacing w:before="0" w:after="283"/>
              <w:jc w:val="left"/>
              <w:rPr/>
            </w:pPr>
            <w:r>
              <w:rPr/>
              <w:t> </w:t>
            </w:r>
          </w:p>
        </w:tc>
        <w:tc>
          <w:tcPr>
            <w:tcW w:w="61" w:type="dxa"/>
            <w:tcBorders/>
            <w:shd w:fill="D5EAEA" w:val="clear"/>
            <w:vAlign w:val="center"/>
          </w:tcPr>
          <w:p>
            <w:pPr>
              <w:pStyle w:val="TableContents"/>
              <w:bidi w:val="0"/>
              <w:spacing w:before="0" w:after="283"/>
              <w:jc w:val="left"/>
              <w:rPr/>
            </w:pPr>
            <w:r>
              <w:rPr/>
              <w:t> </w:t>
            </w:r>
          </w:p>
        </w:tc>
        <w:tc>
          <w:tcPr>
            <w:tcW w:w="144" w:type="dxa"/>
            <w:tcBorders/>
            <w:shd w:fill="D5EAEA" w:val="clear"/>
            <w:vAlign w:val="center"/>
          </w:tcPr>
          <w:p>
            <w:pPr>
              <w:pStyle w:val="TableContents"/>
              <w:bidi w:val="0"/>
              <w:spacing w:before="0" w:after="283"/>
              <w:jc w:val="left"/>
              <w:rPr/>
            </w:pPr>
            <w:r>
              <w:rPr/>
              <w:t> </w:t>
            </w:r>
          </w:p>
        </w:tc>
        <w:tc>
          <w:tcPr>
            <w:tcW w:w="657" w:type="dxa"/>
            <w:tcBorders/>
            <w:shd w:fill="D5EAEA" w:val="clear"/>
            <w:vAlign w:val="center"/>
          </w:tcPr>
          <w:p>
            <w:pPr>
              <w:pStyle w:val="TableContents"/>
              <w:bidi w:val="0"/>
              <w:spacing w:before="0" w:after="283"/>
              <w:jc w:val="right"/>
              <w:rPr/>
            </w:pPr>
            <w:r>
              <w:rPr/>
              <w:t>-</w:t>
            </w:r>
          </w:p>
        </w:tc>
        <w:tc>
          <w:tcPr>
            <w:tcW w:w="98"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560" w:type="dxa"/>
            <w:tcBorders/>
            <w:shd w:fill="D5EAEA" w:val="clear"/>
            <w:vAlign w:val="center"/>
          </w:tcPr>
          <w:p>
            <w:pPr>
              <w:pStyle w:val="TableContents"/>
              <w:bidi w:val="0"/>
              <w:spacing w:before="0" w:after="283"/>
              <w:jc w:val="right"/>
              <w:rPr/>
            </w:pPr>
            <w:r>
              <w:rPr/>
              <w:t>-</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635" w:type="dxa"/>
            <w:tcBorders/>
            <w:shd w:fill="D5EAEA" w:val="clear"/>
            <w:vAlign w:val="center"/>
          </w:tcPr>
          <w:p>
            <w:pPr>
              <w:pStyle w:val="TableContents"/>
              <w:bidi w:val="0"/>
              <w:spacing w:before="0" w:after="283"/>
              <w:jc w:val="right"/>
              <w:rPr/>
            </w:pPr>
            <w:r>
              <w:rPr/>
              <w:t>0.2</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635" w:type="dxa"/>
            <w:tcBorders/>
            <w:shd w:fill="D5EAEA" w:val="clear"/>
            <w:vAlign w:val="center"/>
          </w:tcPr>
          <w:p>
            <w:pPr>
              <w:pStyle w:val="TableContents"/>
              <w:bidi w:val="0"/>
              <w:spacing w:before="0" w:after="283"/>
              <w:jc w:val="right"/>
              <w:rPr/>
            </w:pPr>
            <w:r>
              <w:rPr/>
              <w:t>2.0</w:t>
            </w:r>
          </w:p>
        </w:tc>
        <w:tc>
          <w:tcPr>
            <w:tcW w:w="288" w:type="dxa"/>
            <w:tcBorders/>
            <w:shd w:fill="D5EAEA" w:val="clear"/>
            <w:vAlign w:val="center"/>
          </w:tcPr>
          <w:p>
            <w:pPr>
              <w:pStyle w:val="TableContents"/>
              <w:bidi w:val="0"/>
              <w:spacing w:before="0" w:after="283"/>
              <w:ind w:left="0" w:right="0" w:firstLine="29"/>
              <w:jc w:val="left"/>
              <w:rPr/>
            </w:pPr>
            <w:r>
              <w:rPr/>
              <w:t> </w:t>
            </w:r>
          </w:p>
        </w:tc>
      </w:tr>
      <w:tr>
        <w:trPr/>
        <w:tc>
          <w:tcPr>
            <w:tcW w:w="5456" w:type="dxa"/>
            <w:tcBorders/>
            <w:shd w:fill="FFFFFF" w:val="clear"/>
            <w:vAlign w:val="center"/>
          </w:tcPr>
          <w:p>
            <w:pPr>
              <w:pStyle w:val="TableContents"/>
              <w:bidi w:val="0"/>
              <w:spacing w:before="0" w:after="283"/>
              <w:jc w:val="left"/>
              <w:rPr/>
            </w:pPr>
            <w:r>
              <w:rPr/>
              <w:t>Loss on asset impairment related to restructuring</w:t>
              <w:tab/>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7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1.1</w:t>
            </w:r>
          </w:p>
        </w:tc>
        <w:tc>
          <w:tcPr>
            <w:tcW w:w="288" w:type="dxa"/>
            <w:tcBorders>
              <w:bottom w:val="single" w:sz="8" w:space="0" w:color="000000"/>
            </w:tcBorders>
            <w:shd w:fill="FFFFFF" w:val="clear"/>
            <w:tcMar>
              <w:bottom w:w="28" w:type="dxa"/>
            </w:tcMar>
            <w:vAlign w:val="center"/>
          </w:tcPr>
          <w:p>
            <w:pPr>
              <w:pStyle w:val="TableContents"/>
              <w:bidi w:val="0"/>
              <w:spacing w:before="0" w:after="283"/>
              <w:ind w:left="0" w:right="0" w:firstLine="209"/>
              <w:jc w:val="left"/>
              <w:rPr/>
            </w:pPr>
            <w:r>
              <w:rPr/>
              <w:t> </w:t>
            </w:r>
          </w:p>
        </w:tc>
      </w:tr>
      <w:tr>
        <w:trPr/>
        <w:tc>
          <w:tcPr>
            <w:tcW w:w="5456" w:type="dxa"/>
            <w:tcBorders/>
            <w:shd w:fill="D5EAEA" w:val="clear"/>
            <w:vAlign w:val="center"/>
          </w:tcPr>
          <w:p>
            <w:pPr>
              <w:pStyle w:val="TableContents"/>
              <w:bidi w:val="0"/>
              <w:spacing w:before="0" w:after="283"/>
              <w:jc w:val="left"/>
              <w:rPr/>
            </w:pPr>
            <w:r>
              <w:rPr/>
              <w:t>Total costs and expenses</w:t>
              <w:tab/>
            </w:r>
          </w:p>
        </w:tc>
        <w:tc>
          <w:tcPr>
            <w:tcW w:w="60" w:type="dxa"/>
            <w:tcBorders/>
            <w:shd w:fill="D5EAEA" w:val="clear"/>
            <w:vAlign w:val="center"/>
          </w:tcPr>
          <w:p>
            <w:pPr>
              <w:pStyle w:val="TableContents"/>
              <w:bidi w:val="0"/>
              <w:spacing w:before="0" w:after="283"/>
              <w:jc w:val="left"/>
              <w:rPr/>
            </w:pPr>
            <w:r>
              <w:rPr/>
              <w:t> </w:t>
            </w:r>
          </w:p>
        </w:tc>
        <w:tc>
          <w:tcPr>
            <w:tcW w:w="144"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579" w:type="dxa"/>
            <w:tcBorders>
              <w:bottom w:val="single" w:sz="8" w:space="0" w:color="000000"/>
            </w:tcBorders>
            <w:shd w:fill="D5EAEA" w:val="clear"/>
            <w:tcMar>
              <w:bottom w:w="28" w:type="dxa"/>
            </w:tcMar>
            <w:vAlign w:val="center"/>
          </w:tcPr>
          <w:p>
            <w:pPr>
              <w:pStyle w:val="TableContents"/>
              <w:bidi w:val="0"/>
              <w:spacing w:before="0" w:after="283"/>
              <w:jc w:val="right"/>
              <w:rPr/>
            </w:pPr>
            <w:r>
              <w:rPr/>
              <w:t>215.1</w:t>
            </w:r>
          </w:p>
        </w:tc>
        <w:tc>
          <w:tcPr>
            <w:tcW w:w="98"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61" w:type="dxa"/>
            <w:tcBorders/>
            <w:shd w:fill="D5EAEA" w:val="clear"/>
            <w:vAlign w:val="center"/>
          </w:tcPr>
          <w:p>
            <w:pPr>
              <w:pStyle w:val="TableContents"/>
              <w:bidi w:val="0"/>
              <w:spacing w:before="0" w:after="283"/>
              <w:jc w:val="left"/>
              <w:rPr/>
            </w:pPr>
            <w:r>
              <w:rPr/>
              <w:t> </w:t>
            </w:r>
          </w:p>
        </w:tc>
        <w:tc>
          <w:tcPr>
            <w:tcW w:w="144"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657" w:type="dxa"/>
            <w:tcBorders>
              <w:bottom w:val="single" w:sz="8" w:space="0" w:color="000000"/>
            </w:tcBorders>
            <w:shd w:fill="D5EAEA" w:val="clear"/>
            <w:tcMar>
              <w:bottom w:w="28" w:type="dxa"/>
            </w:tcMar>
            <w:vAlign w:val="center"/>
          </w:tcPr>
          <w:p>
            <w:pPr>
              <w:pStyle w:val="TableContents"/>
              <w:bidi w:val="0"/>
              <w:spacing w:before="0" w:after="283"/>
              <w:jc w:val="right"/>
              <w:rPr/>
            </w:pPr>
            <w:r>
              <w:rPr/>
              <w:t>190.3</w:t>
            </w:r>
          </w:p>
        </w:tc>
        <w:tc>
          <w:tcPr>
            <w:tcW w:w="98"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D5EAEA" w:val="clear"/>
            <w:tcMar>
              <w:bottom w:w="28" w:type="dxa"/>
            </w:tcMar>
            <w:vAlign w:val="center"/>
          </w:tcPr>
          <w:p>
            <w:pPr>
              <w:pStyle w:val="TableContents"/>
              <w:bidi w:val="0"/>
              <w:spacing w:before="0" w:after="283"/>
              <w:jc w:val="right"/>
              <w:rPr/>
            </w:pPr>
            <w:r>
              <w:rPr/>
              <w:t>387.3</w:t>
            </w:r>
          </w:p>
        </w:tc>
        <w:tc>
          <w:tcPr>
            <w:tcW w:w="95"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D5EAEA" w:val="clear"/>
            <w:tcMar>
              <w:bottom w:w="28" w:type="dxa"/>
            </w:tcMar>
            <w:vAlign w:val="center"/>
          </w:tcPr>
          <w:p>
            <w:pPr>
              <w:pStyle w:val="TableContents"/>
              <w:bidi w:val="0"/>
              <w:spacing w:before="0" w:after="283"/>
              <w:jc w:val="right"/>
              <w:rPr/>
            </w:pPr>
            <w:r>
              <w:rPr/>
              <w:t>353.7</w:t>
            </w:r>
          </w:p>
        </w:tc>
        <w:tc>
          <w:tcPr>
            <w:tcW w:w="95"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D5EAEA" w:val="clear"/>
            <w:tcMar>
              <w:bottom w:w="28" w:type="dxa"/>
            </w:tcMar>
            <w:vAlign w:val="center"/>
          </w:tcPr>
          <w:p>
            <w:pPr>
              <w:pStyle w:val="TableContents"/>
              <w:bidi w:val="0"/>
              <w:spacing w:before="0" w:after="283"/>
              <w:jc w:val="right"/>
              <w:rPr/>
            </w:pPr>
            <w:r>
              <w:rPr/>
              <w:t>378.2</w:t>
            </w:r>
          </w:p>
        </w:tc>
        <w:tc>
          <w:tcPr>
            <w:tcW w:w="288" w:type="dxa"/>
            <w:tcBorders>
              <w:bottom w:val="single" w:sz="8" w:space="0" w:color="000000"/>
            </w:tcBorders>
            <w:shd w:fill="D5EAEA" w:val="clear"/>
            <w:tcMar>
              <w:bottom w:w="28" w:type="dxa"/>
            </w:tcMar>
            <w:vAlign w:val="center"/>
          </w:tcPr>
          <w:p>
            <w:pPr>
              <w:pStyle w:val="TableContents"/>
              <w:bidi w:val="0"/>
              <w:spacing w:before="0" w:after="283"/>
              <w:ind w:left="0" w:right="0" w:hanging="0"/>
              <w:jc w:val="left"/>
              <w:rPr/>
            </w:pPr>
            <w:r>
              <w:rPr/>
              <w:t> </w:t>
            </w:r>
          </w:p>
        </w:tc>
      </w:tr>
      <w:tr>
        <w:trPr/>
        <w:tc>
          <w:tcPr>
            <w:tcW w:w="5456" w:type="dxa"/>
            <w:tcBorders/>
            <w:shd w:fill="FFFFFF" w:val="clear"/>
            <w:vAlign w:val="center"/>
          </w:tcPr>
          <w:p>
            <w:pPr>
              <w:pStyle w:val="TableContents"/>
              <w:bidi w:val="0"/>
              <w:spacing w:before="0" w:after="283"/>
              <w:jc w:val="left"/>
              <w:rPr/>
            </w:pPr>
            <w:r>
              <w:rPr/>
              <w:t>Operating loss</w:t>
              <w:tab/>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579" w:type="dxa"/>
            <w:tcBorders/>
            <w:shd w:fill="FFFFFF" w:val="clear"/>
            <w:vAlign w:val="center"/>
          </w:tcPr>
          <w:p>
            <w:pPr>
              <w:pStyle w:val="TableContents"/>
              <w:bidi w:val="0"/>
              <w:spacing w:before="0" w:after="283"/>
              <w:jc w:val="right"/>
              <w:rPr/>
            </w:pPr>
            <w:r>
              <w:rPr/>
              <w:t>(27.5</w:t>
            </w:r>
          </w:p>
        </w:tc>
        <w:tc>
          <w:tcPr>
            <w:tcW w:w="98"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pPr>
            <w:r>
              <w:rPr/>
              <w:t>(39.8</w:t>
            </w:r>
          </w:p>
        </w:tc>
        <w:tc>
          <w:tcPr>
            <w:tcW w:w="98"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(57.5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(47.5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(80.0</w:t>
            </w:r>
          </w:p>
        </w:tc>
        <w:tc>
          <w:tcPr>
            <w:tcW w:w="288" w:type="dxa"/>
            <w:tcBorders/>
            <w:shd w:fill="FFFFFF" w:val="clear"/>
            <w:vAlign w:val="center"/>
          </w:tcPr>
          <w:p>
            <w:pPr>
              <w:pStyle w:val="TableContents"/>
              <w:bidi w:val="0"/>
              <w:spacing w:before="0" w:after="283"/>
              <w:jc w:val="left"/>
              <w:rPr/>
            </w:pPr>
            <w:r>
              <w:rPr/>
              <w:t>)</w:t>
            </w:r>
          </w:p>
        </w:tc>
      </w:tr>
      <w:tr>
        <w:trPr/>
        <w:tc>
          <w:tcPr>
            <w:tcW w:w="5456" w:type="dxa"/>
            <w:tcBorders/>
            <w:shd w:fill="D5EAEA" w:val="clear"/>
            <w:vAlign w:val="center"/>
          </w:tcPr>
          <w:p>
            <w:pPr>
              <w:pStyle w:val="TableContents"/>
              <w:bidi w:val="0"/>
              <w:spacing w:before="0" w:after="283"/>
              <w:jc w:val="left"/>
              <w:rPr/>
            </w:pPr>
            <w:r>
              <w:rPr/>
              <w:t>Gain on debt restructuring</w:t>
            </w:r>
          </w:p>
        </w:tc>
        <w:tc>
          <w:tcPr>
            <w:tcW w:w="60" w:type="dxa"/>
            <w:tcBorders/>
            <w:shd w:fill="D5EAEA" w:val="clear"/>
            <w:vAlign w:val="center"/>
          </w:tcPr>
          <w:p>
            <w:pPr>
              <w:pStyle w:val="TableContents"/>
              <w:bidi w:val="0"/>
              <w:spacing w:before="0" w:after="283"/>
              <w:jc w:val="left"/>
              <w:rPr/>
            </w:pPr>
            <w:r>
              <w:rPr/>
              <w:t> </w:t>
            </w:r>
          </w:p>
        </w:tc>
        <w:tc>
          <w:tcPr>
            <w:tcW w:w="144" w:type="dxa"/>
            <w:tcBorders/>
            <w:shd w:fill="D5EAEA" w:val="clear"/>
            <w:vAlign w:val="center"/>
          </w:tcPr>
          <w:p>
            <w:pPr>
              <w:pStyle w:val="TableContents"/>
              <w:bidi w:val="0"/>
              <w:spacing w:before="0" w:after="283"/>
              <w:jc w:val="left"/>
              <w:rPr/>
            </w:pPr>
            <w:r>
              <w:rPr/>
              <w:t> </w:t>
            </w:r>
          </w:p>
        </w:tc>
        <w:tc>
          <w:tcPr>
            <w:tcW w:w="579" w:type="dxa"/>
            <w:tcBorders/>
            <w:shd w:fill="D5EAEA" w:val="clear"/>
            <w:vAlign w:val="center"/>
          </w:tcPr>
          <w:p>
            <w:pPr>
              <w:pStyle w:val="TableContents"/>
              <w:bidi w:val="0"/>
              <w:spacing w:before="0" w:after="283"/>
              <w:jc w:val="right"/>
              <w:rPr/>
            </w:pPr>
            <w:r>
              <w:rPr/>
              <w:t>-</w:t>
            </w:r>
          </w:p>
        </w:tc>
        <w:tc>
          <w:tcPr>
            <w:tcW w:w="98" w:type="dxa"/>
            <w:tcBorders/>
            <w:shd w:fill="D5EAEA" w:val="clear"/>
            <w:vAlign w:val="center"/>
          </w:tcPr>
          <w:p>
            <w:pPr>
              <w:pStyle w:val="TableContents"/>
              <w:bidi w:val="0"/>
              <w:spacing w:before="0" w:after="283"/>
              <w:jc w:val="left"/>
              <w:rPr/>
            </w:pPr>
            <w:r>
              <w:rPr/>
              <w:t> </w:t>
            </w:r>
          </w:p>
        </w:tc>
        <w:tc>
          <w:tcPr>
            <w:tcW w:w="61" w:type="dxa"/>
            <w:tcBorders/>
            <w:shd w:fill="D5EAEA" w:val="clear"/>
            <w:vAlign w:val="center"/>
          </w:tcPr>
          <w:p>
            <w:pPr>
              <w:pStyle w:val="TableContents"/>
              <w:bidi w:val="0"/>
              <w:spacing w:before="0" w:after="283"/>
              <w:jc w:val="left"/>
              <w:rPr/>
            </w:pPr>
            <w:r>
              <w:rPr/>
              <w:t> </w:t>
            </w:r>
          </w:p>
        </w:tc>
        <w:tc>
          <w:tcPr>
            <w:tcW w:w="144" w:type="dxa"/>
            <w:tcBorders/>
            <w:shd w:fill="D5EAEA" w:val="clear"/>
            <w:vAlign w:val="center"/>
          </w:tcPr>
          <w:p>
            <w:pPr>
              <w:pStyle w:val="TableContents"/>
              <w:bidi w:val="0"/>
              <w:spacing w:before="0" w:after="283"/>
              <w:jc w:val="left"/>
              <w:rPr/>
            </w:pPr>
            <w:r>
              <w:rPr/>
              <w:t> </w:t>
            </w:r>
          </w:p>
        </w:tc>
        <w:tc>
          <w:tcPr>
            <w:tcW w:w="657" w:type="dxa"/>
            <w:tcBorders/>
            <w:shd w:fill="D5EAEA" w:val="clear"/>
            <w:vAlign w:val="center"/>
          </w:tcPr>
          <w:p>
            <w:pPr>
              <w:pStyle w:val="TableContents"/>
              <w:bidi w:val="0"/>
              <w:spacing w:before="0" w:after="283"/>
              <w:jc w:val="right"/>
              <w:rPr/>
            </w:pPr>
            <w:r>
              <w:rPr/>
              <w:t>-</w:t>
            </w:r>
          </w:p>
        </w:tc>
        <w:tc>
          <w:tcPr>
            <w:tcW w:w="98"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560" w:type="dxa"/>
            <w:tcBorders/>
            <w:shd w:fill="D5EAEA" w:val="clear"/>
            <w:vAlign w:val="center"/>
          </w:tcPr>
          <w:p>
            <w:pPr>
              <w:pStyle w:val="TableContents"/>
              <w:bidi w:val="0"/>
              <w:spacing w:before="0" w:after="283"/>
              <w:jc w:val="right"/>
              <w:rPr/>
            </w:pPr>
            <w:r>
              <w:rPr/>
              <w:t>96.3</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635" w:type="dxa"/>
            <w:tcBorders/>
            <w:shd w:fill="D5EAEA" w:val="clear"/>
            <w:vAlign w:val="center"/>
          </w:tcPr>
          <w:p>
            <w:pPr>
              <w:pStyle w:val="TableContents"/>
              <w:bidi w:val="0"/>
              <w:spacing w:before="0" w:after="283"/>
              <w:jc w:val="right"/>
              <w:rPr/>
            </w:pPr>
            <w:r>
              <w:rPr/>
              <w:t>-</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635" w:type="dxa"/>
            <w:tcBorders/>
            <w:shd w:fill="D5EAEA" w:val="clear"/>
            <w:vAlign w:val="center"/>
          </w:tcPr>
          <w:p>
            <w:pPr>
              <w:pStyle w:val="TableContents"/>
              <w:bidi w:val="0"/>
              <w:spacing w:before="0" w:after="283"/>
              <w:jc w:val="right"/>
              <w:rPr/>
            </w:pPr>
            <w:r>
              <w:rPr/>
              <w:t>-</w:t>
            </w:r>
          </w:p>
        </w:tc>
        <w:tc>
          <w:tcPr>
            <w:tcW w:w="288" w:type="dxa"/>
            <w:tcBorders/>
            <w:shd w:fill="D5EAEA" w:val="clear"/>
            <w:vAlign w:val="center"/>
          </w:tcPr>
          <w:p>
            <w:pPr>
              <w:pStyle w:val="TableContents"/>
              <w:bidi w:val="0"/>
              <w:spacing w:before="0" w:after="283"/>
              <w:jc w:val="left"/>
              <w:rPr/>
            </w:pPr>
            <w:r>
              <w:rPr/>
              <w:t> </w:t>
            </w:r>
          </w:p>
        </w:tc>
      </w:tr>
      <w:tr>
        <w:trPr/>
        <w:tc>
          <w:tcPr>
            <w:tcW w:w="5456" w:type="dxa"/>
            <w:tcBorders/>
            <w:shd w:fill="FFFFFF" w:val="clear"/>
            <w:vAlign w:val="center"/>
          </w:tcPr>
          <w:p>
            <w:pPr>
              <w:pStyle w:val="TableContents"/>
              <w:bidi w:val="0"/>
              <w:spacing w:before="0" w:after="283"/>
              <w:jc w:val="left"/>
              <w:rPr/>
            </w:pPr>
            <w:r>
              <w:rPr/>
              <w:t>Interest income / (expense), net</w:t>
              <w:tab/>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579" w:type="dxa"/>
            <w:tcBorders/>
            <w:shd w:fill="FFFFFF" w:val="clear"/>
            <w:vAlign w:val="center"/>
          </w:tcPr>
          <w:p>
            <w:pPr>
              <w:pStyle w:val="TableContents"/>
              <w:bidi w:val="0"/>
              <w:spacing w:before="0" w:after="283"/>
              <w:jc w:val="right"/>
              <w:rPr/>
            </w:pPr>
            <w:r>
              <w:rPr/>
              <w:t>(0.5</w:t>
            </w:r>
          </w:p>
        </w:tc>
        <w:tc>
          <w:tcPr>
            <w:tcW w:w="98"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pPr>
            <w:r>
              <w:rPr/>
              <w:t>(13.2</w:t>
            </w:r>
          </w:p>
        </w:tc>
        <w:tc>
          <w:tcPr>
            <w:tcW w:w="98"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(33.7</w:t>
            </w:r>
          </w:p>
        </w:tc>
        <w:tc>
          <w:tcPr>
            <w:tcW w:w="288" w:type="dxa"/>
            <w:tcBorders/>
            <w:shd w:fill="FFFFFF" w:val="clear"/>
            <w:vAlign w:val="center"/>
          </w:tcPr>
          <w:p>
            <w:pPr>
              <w:pStyle w:val="TableContents"/>
              <w:bidi w:val="0"/>
              <w:spacing w:before="0" w:after="283"/>
              <w:jc w:val="left"/>
              <w:rPr/>
            </w:pPr>
            <w:r>
              <w:rPr/>
              <w:t>)</w:t>
            </w:r>
          </w:p>
        </w:tc>
      </w:tr>
      <w:tr>
        <w:trPr/>
        <w:tc>
          <w:tcPr>
            <w:tcW w:w="5456" w:type="dxa"/>
            <w:tcBorders/>
            <w:shd w:fill="D5EAEA" w:val="clear"/>
            <w:vAlign w:val="center"/>
          </w:tcPr>
          <w:p>
            <w:pPr>
              <w:pStyle w:val="TableContents"/>
              <w:bidi w:val="0"/>
              <w:spacing w:before="0" w:after="283"/>
              <w:jc w:val="left"/>
              <w:rPr/>
            </w:pPr>
            <w:r>
              <w:rPr/>
              <w:t>Other income / (expense), net</w:t>
              <w:tab/>
            </w:r>
          </w:p>
        </w:tc>
        <w:tc>
          <w:tcPr>
            <w:tcW w:w="60" w:type="dxa"/>
            <w:tcBorders/>
            <w:shd w:fill="D5EAEA" w:val="clear"/>
            <w:vAlign w:val="center"/>
          </w:tcPr>
          <w:p>
            <w:pPr>
              <w:pStyle w:val="TableContents"/>
              <w:bidi w:val="0"/>
              <w:spacing w:before="0" w:after="283"/>
              <w:jc w:val="left"/>
              <w:rPr/>
            </w:pPr>
            <w:r>
              <w:rPr/>
              <w:t> </w:t>
            </w:r>
          </w:p>
        </w:tc>
        <w:tc>
          <w:tcPr>
            <w:tcW w:w="144" w:type="dxa"/>
            <w:tcBorders/>
            <w:shd w:fill="D5EAEA" w:val="clear"/>
            <w:vAlign w:val="center"/>
          </w:tcPr>
          <w:p>
            <w:pPr>
              <w:pStyle w:val="TableContents"/>
              <w:bidi w:val="0"/>
              <w:spacing w:before="0" w:after="283"/>
              <w:jc w:val="left"/>
              <w:rPr/>
            </w:pPr>
            <w:r>
              <w:rPr/>
              <w:t> </w:t>
            </w:r>
          </w:p>
        </w:tc>
        <w:tc>
          <w:tcPr>
            <w:tcW w:w="579" w:type="dxa"/>
            <w:tcBorders/>
            <w:shd w:fill="D5EAEA" w:val="clear"/>
            <w:vAlign w:val="center"/>
          </w:tcPr>
          <w:p>
            <w:pPr>
              <w:pStyle w:val="TableContents"/>
              <w:bidi w:val="0"/>
              <w:spacing w:before="0" w:after="283"/>
              <w:jc w:val="right"/>
              <w:rPr/>
            </w:pPr>
            <w:r>
              <w:rPr/>
              <w:t>2.4</w:t>
            </w:r>
          </w:p>
        </w:tc>
        <w:tc>
          <w:tcPr>
            <w:tcW w:w="98" w:type="dxa"/>
            <w:tcBorders/>
            <w:shd w:fill="D5EAEA" w:val="clear"/>
            <w:vAlign w:val="center"/>
          </w:tcPr>
          <w:p>
            <w:pPr>
              <w:pStyle w:val="TableContents"/>
              <w:bidi w:val="0"/>
              <w:spacing w:before="0" w:after="283"/>
              <w:jc w:val="left"/>
              <w:rPr/>
            </w:pPr>
            <w:r>
              <w:rPr/>
              <w:t> </w:t>
            </w:r>
          </w:p>
        </w:tc>
        <w:tc>
          <w:tcPr>
            <w:tcW w:w="61" w:type="dxa"/>
            <w:tcBorders/>
            <w:shd w:fill="D5EAEA" w:val="clear"/>
            <w:vAlign w:val="center"/>
          </w:tcPr>
          <w:p>
            <w:pPr>
              <w:pStyle w:val="TableContents"/>
              <w:bidi w:val="0"/>
              <w:spacing w:before="0" w:after="283"/>
              <w:jc w:val="left"/>
              <w:rPr/>
            </w:pPr>
            <w:r>
              <w:rPr/>
              <w:t> </w:t>
            </w:r>
          </w:p>
        </w:tc>
        <w:tc>
          <w:tcPr>
            <w:tcW w:w="144" w:type="dxa"/>
            <w:tcBorders/>
            <w:shd w:fill="D5EAEA" w:val="clear"/>
            <w:vAlign w:val="center"/>
          </w:tcPr>
          <w:p>
            <w:pPr>
              <w:pStyle w:val="TableContents"/>
              <w:bidi w:val="0"/>
              <w:spacing w:before="0" w:after="283"/>
              <w:jc w:val="left"/>
              <w:rPr/>
            </w:pPr>
            <w:r>
              <w:rPr/>
              <w:t> </w:t>
            </w:r>
          </w:p>
        </w:tc>
        <w:tc>
          <w:tcPr>
            <w:tcW w:w="657" w:type="dxa"/>
            <w:tcBorders/>
            <w:shd w:fill="D5EAEA" w:val="clear"/>
            <w:vAlign w:val="center"/>
          </w:tcPr>
          <w:p>
            <w:pPr>
              <w:pStyle w:val="TableContents"/>
              <w:bidi w:val="0"/>
              <w:spacing w:before="0" w:after="283"/>
              <w:jc w:val="right"/>
              <w:rPr/>
            </w:pPr>
            <w:r>
              <w:rPr/>
              <w:t>0.7</w:t>
            </w:r>
          </w:p>
        </w:tc>
        <w:tc>
          <w:tcPr>
            <w:tcW w:w="98"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560" w:type="dxa"/>
            <w:tcBorders/>
            <w:shd w:fill="D5EAEA" w:val="clear"/>
            <w:vAlign w:val="center"/>
          </w:tcPr>
          <w:p>
            <w:pPr>
              <w:pStyle w:val="TableContents"/>
              <w:bidi w:val="0"/>
              <w:spacing w:before="0" w:after="283"/>
              <w:jc w:val="right"/>
              <w:rPr/>
            </w:pPr>
            <w:r>
              <w:rPr/>
              <w:t>4.2</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635" w:type="dxa"/>
            <w:tcBorders/>
            <w:shd w:fill="D5EAEA" w:val="clear"/>
            <w:vAlign w:val="center"/>
          </w:tcPr>
          <w:p>
            <w:pPr>
              <w:pStyle w:val="TableContents"/>
              <w:bidi w:val="0"/>
              <w:spacing w:before="0" w:after="283"/>
              <w:jc w:val="right"/>
              <w:rPr/>
            </w:pPr>
            <w:r>
              <w:rPr/>
              <w:t>2.1</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635" w:type="dxa"/>
            <w:tcBorders/>
            <w:shd w:fill="D5EAEA" w:val="clear"/>
            <w:vAlign w:val="center"/>
          </w:tcPr>
          <w:p>
            <w:pPr>
              <w:pStyle w:val="TableContents"/>
              <w:bidi w:val="0"/>
              <w:spacing w:before="0" w:after="283"/>
              <w:jc w:val="right"/>
              <w:rPr/>
            </w:pPr>
            <w:r>
              <w:rPr/>
              <w:t>0.7</w:t>
            </w:r>
          </w:p>
        </w:tc>
        <w:tc>
          <w:tcPr>
            <w:tcW w:w="288" w:type="dxa"/>
            <w:tcBorders/>
            <w:shd w:fill="D5EAEA" w:val="clear"/>
            <w:vAlign w:val="center"/>
          </w:tcPr>
          <w:p>
            <w:pPr>
              <w:pStyle w:val="TableContents"/>
              <w:bidi w:val="0"/>
              <w:spacing w:before="0" w:after="283"/>
              <w:jc w:val="left"/>
              <w:rPr/>
            </w:pPr>
            <w:r>
              <w:rPr/>
              <w:t> </w:t>
            </w:r>
          </w:p>
        </w:tc>
      </w:tr>
      <w:tr>
        <w:trPr/>
        <w:tc>
          <w:tcPr>
            <w:tcW w:w="5456" w:type="dxa"/>
            <w:tcBorders/>
            <w:shd w:fill="FFFFFF" w:val="clear"/>
            <w:vAlign w:val="center"/>
          </w:tcPr>
          <w:p>
            <w:pPr>
              <w:pStyle w:val="TableContents"/>
              <w:bidi w:val="0"/>
              <w:spacing w:before="0" w:after="283"/>
              <w:jc w:val="left"/>
              <w:rPr/>
            </w:pPr>
            <w:r>
              <w:rPr/>
              <w:t>Securities litigation expense</w:t>
              <w:tab/>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79" w:type="dxa"/>
            <w:tcBorders>
              <w:bottom w:val="single" w:sz="8" w:space="0" w:color="000000"/>
            </w:tcBorders>
            <w:shd w:fill="FFFFFF" w:val="clear"/>
            <w:tcMar>
              <w:bottom w:w="28" w:type="dxa"/>
            </w:tcMar>
            <w:vAlign w:val="center"/>
          </w:tcPr>
          <w:p>
            <w:pPr>
              <w:pStyle w:val="TableContents"/>
              <w:bidi w:val="0"/>
              <w:spacing w:before="0" w:after="283"/>
              <w:jc w:val="right"/>
              <w:rPr/>
            </w:pPr>
            <w:r>
              <w:rPr/>
              <w:t>(6.1</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2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5456" w:type="dxa"/>
            <w:tcBorders/>
            <w:shd w:fill="D5EAEA" w:val="clear"/>
            <w:vAlign w:val="center"/>
          </w:tcPr>
          <w:p>
            <w:pPr>
              <w:pStyle w:val="TableContents"/>
              <w:bidi w:val="0"/>
              <w:spacing w:before="0" w:after="283"/>
              <w:jc w:val="left"/>
              <w:rPr/>
            </w:pPr>
            <w:r>
              <w:rPr/>
              <w:t>Net income (loss) before benefit from income tax benefit / (expense)</w:t>
              <w:tab/>
            </w:r>
          </w:p>
        </w:tc>
        <w:tc>
          <w:tcPr>
            <w:tcW w:w="60" w:type="dxa"/>
            <w:tcBorders/>
            <w:shd w:fill="D5EAEA" w:val="clear"/>
            <w:vAlign w:val="center"/>
          </w:tcPr>
          <w:p>
            <w:pPr>
              <w:pStyle w:val="TableContents"/>
              <w:bidi w:val="0"/>
              <w:spacing w:before="0" w:after="283"/>
              <w:jc w:val="left"/>
              <w:rPr/>
            </w:pPr>
            <w:r>
              <w:rPr/>
              <w:t> </w:t>
            </w:r>
          </w:p>
        </w:tc>
        <w:tc>
          <w:tcPr>
            <w:tcW w:w="144" w:type="dxa"/>
            <w:tcBorders/>
            <w:shd w:fill="D5EAEA" w:val="clear"/>
            <w:vAlign w:val="center"/>
          </w:tcPr>
          <w:p>
            <w:pPr>
              <w:pStyle w:val="TableContents"/>
              <w:bidi w:val="0"/>
              <w:spacing w:before="0" w:after="283"/>
              <w:jc w:val="left"/>
              <w:rPr/>
            </w:pPr>
            <w:r>
              <w:rPr/>
              <w:t> </w:t>
            </w:r>
          </w:p>
        </w:tc>
        <w:tc>
          <w:tcPr>
            <w:tcW w:w="579" w:type="dxa"/>
            <w:tcBorders/>
            <w:shd w:fill="D5EAEA" w:val="clear"/>
            <w:vAlign w:val="center"/>
          </w:tcPr>
          <w:p>
            <w:pPr>
              <w:pStyle w:val="TableContents"/>
              <w:bidi w:val="0"/>
              <w:spacing w:before="0" w:after="283"/>
              <w:jc w:val="right"/>
              <w:rPr/>
            </w:pPr>
            <w:r>
              <w:rPr/>
              <w:t>(31.7</w:t>
            </w:r>
          </w:p>
        </w:tc>
        <w:tc>
          <w:tcPr>
            <w:tcW w:w="98" w:type="dxa"/>
            <w:tcBorders/>
            <w:shd w:fill="D5EAEA" w:val="clear"/>
            <w:vAlign w:val="center"/>
          </w:tcPr>
          <w:p>
            <w:pPr>
              <w:pStyle w:val="TableContents"/>
              <w:bidi w:val="0"/>
              <w:spacing w:before="0" w:after="283"/>
              <w:jc w:val="left"/>
              <w:rPr/>
            </w:pPr>
            <w:r>
              <w:rPr/>
              <w:t>)</w:t>
            </w:r>
          </w:p>
        </w:tc>
        <w:tc>
          <w:tcPr>
            <w:tcW w:w="61" w:type="dxa"/>
            <w:tcBorders/>
            <w:shd w:fill="D5EAEA" w:val="clear"/>
            <w:vAlign w:val="center"/>
          </w:tcPr>
          <w:p>
            <w:pPr>
              <w:pStyle w:val="TableContents"/>
              <w:bidi w:val="0"/>
              <w:spacing w:before="0" w:after="283"/>
              <w:jc w:val="left"/>
              <w:rPr/>
            </w:pPr>
            <w:r>
              <w:rPr/>
              <w:t> </w:t>
            </w:r>
          </w:p>
        </w:tc>
        <w:tc>
          <w:tcPr>
            <w:tcW w:w="144" w:type="dxa"/>
            <w:tcBorders/>
            <w:shd w:fill="D5EAEA" w:val="clear"/>
            <w:vAlign w:val="center"/>
          </w:tcPr>
          <w:p>
            <w:pPr>
              <w:pStyle w:val="TableContents"/>
              <w:bidi w:val="0"/>
              <w:spacing w:before="0" w:after="283"/>
              <w:jc w:val="left"/>
              <w:rPr/>
            </w:pPr>
            <w:r>
              <w:rPr/>
              <w:t> </w:t>
            </w:r>
          </w:p>
        </w:tc>
        <w:tc>
          <w:tcPr>
            <w:tcW w:w="657" w:type="dxa"/>
            <w:tcBorders/>
            <w:shd w:fill="D5EAEA" w:val="clear"/>
            <w:vAlign w:val="center"/>
          </w:tcPr>
          <w:p>
            <w:pPr>
              <w:pStyle w:val="TableContents"/>
              <w:bidi w:val="0"/>
              <w:spacing w:before="0" w:after="283"/>
              <w:jc w:val="right"/>
              <w:rPr/>
            </w:pPr>
            <w:r>
              <w:rPr/>
              <w:t>(52.3</w:t>
            </w:r>
          </w:p>
        </w:tc>
        <w:tc>
          <w:tcPr>
            <w:tcW w:w="98" w:type="dxa"/>
            <w:tcBorders/>
            <w:shd w:fill="D5EAEA" w:val="clear"/>
            <w:vAlign w:val="center"/>
          </w:tcPr>
          <w:p>
            <w:pPr>
              <w:pStyle w:val="TableContents"/>
              <w:bidi w:val="0"/>
              <w:spacing w:before="0" w:after="283"/>
              <w:jc w:val="left"/>
              <w:rPr/>
            </w:pPr>
            <w:r>
              <w:rPr/>
              <w:t>)</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560" w:type="dxa"/>
            <w:tcBorders/>
            <w:shd w:fill="D5EAEA" w:val="clear"/>
            <w:vAlign w:val="center"/>
          </w:tcPr>
          <w:p>
            <w:pPr>
              <w:pStyle w:val="TableContents"/>
              <w:bidi w:val="0"/>
              <w:spacing w:before="0" w:after="283"/>
              <w:jc w:val="right"/>
              <w:rPr/>
            </w:pPr>
            <w:r>
              <w:rPr/>
              <w:t>22.7</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635" w:type="dxa"/>
            <w:tcBorders/>
            <w:shd w:fill="D5EAEA" w:val="clear"/>
            <w:vAlign w:val="center"/>
          </w:tcPr>
          <w:p>
            <w:pPr>
              <w:pStyle w:val="TableContents"/>
              <w:bidi w:val="0"/>
              <w:spacing w:before="0" w:after="283"/>
              <w:jc w:val="right"/>
              <w:rPr/>
            </w:pPr>
            <w:r>
              <w:rPr/>
              <w:t>(69.6</w:t>
            </w:r>
          </w:p>
        </w:tc>
        <w:tc>
          <w:tcPr>
            <w:tcW w:w="95" w:type="dxa"/>
            <w:tcBorders/>
            <w:shd w:fill="D5EAEA" w:val="clear"/>
            <w:vAlign w:val="center"/>
          </w:tcPr>
          <w:p>
            <w:pPr>
              <w:pStyle w:val="TableContents"/>
              <w:bidi w:val="0"/>
              <w:spacing w:before="0" w:after="283"/>
              <w:jc w:val="left"/>
              <w:rPr/>
            </w:pPr>
            <w:r>
              <w:rPr/>
              <w:t>)</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635" w:type="dxa"/>
            <w:tcBorders/>
            <w:shd w:fill="D5EAEA" w:val="clear"/>
            <w:vAlign w:val="center"/>
          </w:tcPr>
          <w:p>
            <w:pPr>
              <w:pStyle w:val="TableContents"/>
              <w:bidi w:val="0"/>
              <w:spacing w:before="0" w:after="283"/>
              <w:jc w:val="right"/>
              <w:rPr/>
            </w:pPr>
            <w:r>
              <w:rPr/>
              <w:t>(113.0</w:t>
            </w:r>
          </w:p>
        </w:tc>
        <w:tc>
          <w:tcPr>
            <w:tcW w:w="288" w:type="dxa"/>
            <w:tcBorders/>
            <w:shd w:fill="D5EAEA" w:val="clear"/>
            <w:vAlign w:val="center"/>
          </w:tcPr>
          <w:p>
            <w:pPr>
              <w:pStyle w:val="TableContents"/>
              <w:bidi w:val="0"/>
              <w:spacing w:before="0" w:after="283"/>
              <w:jc w:val="left"/>
              <w:rPr/>
            </w:pPr>
            <w:r>
              <w:rPr/>
              <w:t>)</w:t>
            </w:r>
          </w:p>
        </w:tc>
      </w:tr>
      <w:tr>
        <w:trPr/>
        <w:tc>
          <w:tcPr>
            <w:tcW w:w="5456" w:type="dxa"/>
            <w:tcBorders/>
            <w:shd w:fill="FFFFFF" w:val="clear"/>
            <w:vAlign w:val="center"/>
          </w:tcPr>
          <w:p>
            <w:pPr>
              <w:pStyle w:val="TableContents"/>
              <w:bidi w:val="0"/>
              <w:spacing w:before="0" w:after="283"/>
              <w:jc w:val="left"/>
              <w:rPr/>
            </w:pPr>
            <w:r>
              <w:rPr/>
              <w:t>Income tax benefit / (expense)</w:t>
              <w:tab/>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79" w:type="dxa"/>
            <w:tcBorders>
              <w:bottom w:val="single" w:sz="8" w:space="0" w:color="000000"/>
            </w:tcBorders>
            <w:shd w:fill="FFFFFF" w:val="clear"/>
            <w:tcMar>
              <w:bottom w:w="28" w:type="dxa"/>
            </w:tcMar>
            <w:vAlign w:val="center"/>
          </w:tcPr>
          <w:p>
            <w:pPr>
              <w:pStyle w:val="TableContents"/>
              <w:bidi w:val="0"/>
              <w:spacing w:before="0" w:after="283"/>
              <w:jc w:val="right"/>
              <w:rPr/>
            </w:pPr>
            <w:r>
              <w:rPr/>
              <w:t>(0.1</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7" w:type="dxa"/>
            <w:tcBorders>
              <w:bottom w:val="single" w:sz="8" w:space="0" w:color="000000"/>
            </w:tcBorders>
            <w:shd w:fill="FFFFFF" w:val="clear"/>
            <w:tcMar>
              <w:bottom w:w="28" w:type="dxa"/>
            </w:tcMar>
            <w:vAlign w:val="center"/>
          </w:tcPr>
          <w:p>
            <w:pPr>
              <w:pStyle w:val="TableContents"/>
              <w:bidi w:val="0"/>
              <w:spacing w:before="0" w:after="283"/>
              <w:jc w:val="right"/>
              <w:rPr/>
            </w:pPr>
            <w:r>
              <w:rPr/>
              <w:t>(0.2</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(0.1</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(0.3</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(0.2</w:t>
            </w:r>
          </w:p>
        </w:tc>
        <w:tc>
          <w:tcPr>
            <w:tcW w:w="288" w:type="dxa"/>
            <w:tcBorders>
              <w:bottom w:val="single" w:sz="8" w:space="0" w:color="000000"/>
            </w:tcBorders>
            <w:shd w:fill="FFFFFF" w:val="clear"/>
            <w:tcMar>
              <w:bottom w:w="28" w:type="dxa"/>
            </w:tcMar>
            <w:vAlign w:val="center"/>
          </w:tcPr>
          <w:p>
            <w:pPr>
              <w:pStyle w:val="TableContents"/>
              <w:bidi w:val="0"/>
              <w:spacing w:before="0" w:after="283"/>
              <w:ind w:left="0" w:right="0" w:hanging="0"/>
              <w:jc w:val="left"/>
              <w:rPr/>
            </w:pPr>
            <w:r>
              <w:rPr/>
              <w:t>)</w:t>
            </w:r>
          </w:p>
        </w:tc>
      </w:tr>
      <w:tr>
        <w:trPr/>
        <w:tc>
          <w:tcPr>
            <w:tcW w:w="5456" w:type="dxa"/>
            <w:tcBorders/>
            <w:shd w:fill="D5EAEA" w:val="clear"/>
            <w:vAlign w:val="center"/>
          </w:tcPr>
          <w:p>
            <w:pPr>
              <w:pStyle w:val="TableContents"/>
              <w:bidi w:val="0"/>
              <w:spacing w:before="0" w:after="283"/>
              <w:jc w:val="left"/>
              <w:rPr/>
            </w:pPr>
            <w:r>
              <w:rPr/>
              <w:t>Net income (loss)</w:t>
              <w:tab/>
              <w:tab/>
            </w:r>
          </w:p>
        </w:tc>
        <w:tc>
          <w:tcPr>
            <w:tcW w:w="60" w:type="dxa"/>
            <w:tcBorders/>
            <w:shd w:fill="D5EAEA" w:val="clear"/>
            <w:vAlign w:val="center"/>
          </w:tcPr>
          <w:p>
            <w:pPr>
              <w:pStyle w:val="TableContents"/>
              <w:bidi w:val="0"/>
              <w:spacing w:before="0" w:after="283"/>
              <w:jc w:val="left"/>
              <w:rPr/>
            </w:pPr>
            <w:r>
              <w:rPr/>
              <w:t> </w:t>
            </w:r>
          </w:p>
        </w:tc>
        <w:tc>
          <w:tcPr>
            <w:tcW w:w="144" w:type="dxa"/>
            <w:tcBorders/>
            <w:shd w:fill="D5EAEA" w:val="clear"/>
            <w:vAlign w:val="center"/>
          </w:tcPr>
          <w:p>
            <w:pPr>
              <w:pStyle w:val="TableContents"/>
              <w:bidi w:val="0"/>
              <w:spacing w:before="0" w:after="283"/>
              <w:jc w:val="left"/>
              <w:rPr/>
            </w:pPr>
            <w:r>
              <w:rPr/>
              <w:t>$</w:t>
            </w:r>
          </w:p>
        </w:tc>
        <w:tc>
          <w:tcPr>
            <w:tcW w:w="579" w:type="dxa"/>
            <w:tcBorders/>
            <w:shd w:fill="D5EAEA" w:val="clear"/>
            <w:vAlign w:val="center"/>
          </w:tcPr>
          <w:p>
            <w:pPr>
              <w:pStyle w:val="TableContents"/>
              <w:bidi w:val="0"/>
              <w:spacing w:before="0" w:after="283"/>
              <w:jc w:val="right"/>
              <w:rPr/>
            </w:pPr>
            <w:r>
              <w:rPr/>
              <w:t>(31.8</w:t>
            </w:r>
          </w:p>
        </w:tc>
        <w:tc>
          <w:tcPr>
            <w:tcW w:w="98" w:type="dxa"/>
            <w:tcBorders/>
            <w:shd w:fill="D5EAEA" w:val="clear"/>
            <w:vAlign w:val="center"/>
          </w:tcPr>
          <w:p>
            <w:pPr>
              <w:pStyle w:val="TableContents"/>
              <w:bidi w:val="0"/>
              <w:spacing w:before="0" w:after="283"/>
              <w:jc w:val="left"/>
              <w:rPr/>
            </w:pPr>
            <w:r>
              <w:rPr/>
              <w:t>)</w:t>
            </w:r>
          </w:p>
        </w:tc>
        <w:tc>
          <w:tcPr>
            <w:tcW w:w="61" w:type="dxa"/>
            <w:tcBorders/>
            <w:shd w:fill="D5EAEA" w:val="clear"/>
            <w:vAlign w:val="center"/>
          </w:tcPr>
          <w:p>
            <w:pPr>
              <w:pStyle w:val="TableContents"/>
              <w:bidi w:val="0"/>
              <w:spacing w:before="0" w:after="283"/>
              <w:jc w:val="left"/>
              <w:rPr/>
            </w:pPr>
            <w:r>
              <w:rPr/>
              <w:t> </w:t>
            </w:r>
          </w:p>
        </w:tc>
        <w:tc>
          <w:tcPr>
            <w:tcW w:w="144" w:type="dxa"/>
            <w:tcBorders/>
            <w:shd w:fill="D5EAEA" w:val="clear"/>
            <w:vAlign w:val="center"/>
          </w:tcPr>
          <w:p>
            <w:pPr>
              <w:pStyle w:val="TableContents"/>
              <w:bidi w:val="0"/>
              <w:spacing w:before="0" w:after="283"/>
              <w:jc w:val="left"/>
              <w:rPr/>
            </w:pPr>
            <w:r>
              <w:rPr/>
              <w:t>$</w:t>
            </w:r>
          </w:p>
        </w:tc>
        <w:tc>
          <w:tcPr>
            <w:tcW w:w="657" w:type="dxa"/>
            <w:tcBorders/>
            <w:shd w:fill="D5EAEA" w:val="clear"/>
            <w:vAlign w:val="center"/>
          </w:tcPr>
          <w:p>
            <w:pPr>
              <w:pStyle w:val="TableContents"/>
              <w:bidi w:val="0"/>
              <w:spacing w:before="0" w:after="283"/>
              <w:jc w:val="right"/>
              <w:rPr/>
            </w:pPr>
            <w:r>
              <w:rPr/>
              <w:t>(52.5</w:t>
            </w:r>
          </w:p>
        </w:tc>
        <w:tc>
          <w:tcPr>
            <w:tcW w:w="98" w:type="dxa"/>
            <w:tcBorders/>
            <w:shd w:fill="D5EAEA" w:val="clear"/>
            <w:vAlign w:val="center"/>
          </w:tcPr>
          <w:p>
            <w:pPr>
              <w:pStyle w:val="TableContents"/>
              <w:bidi w:val="0"/>
              <w:spacing w:before="0" w:after="283"/>
              <w:jc w:val="left"/>
              <w:rPr/>
            </w:pPr>
            <w:r>
              <w:rPr/>
              <w:t>)</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w:t>
            </w:r>
          </w:p>
        </w:tc>
        <w:tc>
          <w:tcPr>
            <w:tcW w:w="560" w:type="dxa"/>
            <w:tcBorders/>
            <w:shd w:fill="D5EAEA" w:val="clear"/>
            <w:vAlign w:val="center"/>
          </w:tcPr>
          <w:p>
            <w:pPr>
              <w:pStyle w:val="TableContents"/>
              <w:bidi w:val="0"/>
              <w:spacing w:before="0" w:after="283"/>
              <w:jc w:val="right"/>
              <w:rPr/>
            </w:pPr>
            <w:r>
              <w:rPr/>
              <w:t>22.6</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w:t>
            </w:r>
          </w:p>
        </w:tc>
        <w:tc>
          <w:tcPr>
            <w:tcW w:w="635" w:type="dxa"/>
            <w:tcBorders/>
            <w:shd w:fill="D5EAEA" w:val="clear"/>
            <w:vAlign w:val="center"/>
          </w:tcPr>
          <w:p>
            <w:pPr>
              <w:pStyle w:val="TableContents"/>
              <w:bidi w:val="0"/>
              <w:spacing w:before="0" w:after="283"/>
              <w:jc w:val="right"/>
              <w:rPr/>
            </w:pPr>
            <w:r>
              <w:rPr/>
              <w:t>(69.9</w:t>
            </w:r>
          </w:p>
        </w:tc>
        <w:tc>
          <w:tcPr>
            <w:tcW w:w="95" w:type="dxa"/>
            <w:tcBorders/>
            <w:shd w:fill="D5EAEA" w:val="clear"/>
            <w:vAlign w:val="center"/>
          </w:tcPr>
          <w:p>
            <w:pPr>
              <w:pStyle w:val="TableContents"/>
              <w:bidi w:val="0"/>
              <w:spacing w:before="0" w:after="283"/>
              <w:jc w:val="left"/>
              <w:rPr/>
            </w:pPr>
            <w:r>
              <w:rPr/>
              <w:t>)</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w:t>
            </w:r>
          </w:p>
        </w:tc>
        <w:tc>
          <w:tcPr>
            <w:tcW w:w="635" w:type="dxa"/>
            <w:tcBorders/>
            <w:shd w:fill="D5EAEA" w:val="clear"/>
            <w:vAlign w:val="center"/>
          </w:tcPr>
          <w:p>
            <w:pPr>
              <w:pStyle w:val="TableContents"/>
              <w:bidi w:val="0"/>
              <w:spacing w:before="0" w:after="283"/>
              <w:jc w:val="right"/>
              <w:rPr/>
            </w:pPr>
            <w:r>
              <w:rPr/>
              <w:t>(113.2</w:t>
            </w:r>
          </w:p>
        </w:tc>
        <w:tc>
          <w:tcPr>
            <w:tcW w:w="288" w:type="dxa"/>
            <w:tcBorders/>
            <w:shd w:fill="D5EAEA" w:val="clear"/>
            <w:vAlign w:val="center"/>
          </w:tcPr>
          <w:p>
            <w:pPr>
              <w:pStyle w:val="TableContents"/>
              <w:bidi w:val="0"/>
              <w:spacing w:before="0" w:after="283"/>
              <w:jc w:val="left"/>
              <w:rPr/>
            </w:pPr>
            <w:r>
              <w:rPr/>
              <w:t>)</w:t>
            </w:r>
          </w:p>
        </w:tc>
      </w:tr>
      <w:tr>
        <w:trPr/>
        <w:tc>
          <w:tcPr>
            <w:tcW w:w="5456" w:type="dxa"/>
            <w:tcBorders/>
            <w:shd w:fill="FFFFFF" w:val="clear"/>
            <w:vAlign w:val="center"/>
          </w:tcPr>
          <w:p>
            <w:pPr>
              <w:pStyle w:val="TableContents"/>
              <w:bidi w:val="0"/>
              <w:spacing w:before="0" w:after="283"/>
              <w:jc w:val="left"/>
              <w:rPr/>
            </w:pPr>
            <w:r>
              <w:rPr/>
              <w:t>Net income (loss) per share attributable to Class A Common Stockholders, basic</w:t>
              <w:tab/>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w:t>
            </w:r>
          </w:p>
        </w:tc>
        <w:tc>
          <w:tcPr>
            <w:tcW w:w="579" w:type="dxa"/>
            <w:tcBorders/>
            <w:shd w:fill="FFFFFF" w:val="clear"/>
            <w:vAlign w:val="center"/>
          </w:tcPr>
          <w:p>
            <w:pPr>
              <w:pStyle w:val="TableContents"/>
              <w:bidi w:val="0"/>
              <w:spacing w:before="0" w:after="283"/>
              <w:jc w:val="right"/>
              <w:rPr/>
            </w:pPr>
            <w:r>
              <w:rPr/>
              <w:t>(0.95</w:t>
            </w:r>
          </w:p>
        </w:tc>
        <w:tc>
          <w:tcPr>
            <w:tcW w:w="98"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w:t>
            </w:r>
          </w:p>
        </w:tc>
        <w:tc>
          <w:tcPr>
            <w:tcW w:w="657" w:type="dxa"/>
            <w:tcBorders/>
            <w:shd w:fill="FFFFFF" w:val="clear"/>
            <w:vAlign w:val="center"/>
          </w:tcPr>
          <w:p>
            <w:pPr>
              <w:pStyle w:val="TableContents"/>
              <w:bidi w:val="0"/>
              <w:spacing w:before="0" w:after="283"/>
              <w:jc w:val="right"/>
              <w:rPr/>
            </w:pPr>
            <w:r>
              <w:rPr/>
              <w:t>(12.49</w:t>
            </w:r>
          </w:p>
        </w:tc>
        <w:tc>
          <w:tcPr>
            <w:tcW w:w="98"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1.89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jc w:val="right"/>
              <w:rPr/>
            </w:pPr>
            <w:r>
              <w:rPr/>
              <w:t>(17.62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jc w:val="right"/>
              <w:rPr/>
            </w:pPr>
            <w:r>
              <w:rPr/>
              <w:t>(31.52</w:t>
            </w:r>
          </w:p>
        </w:tc>
        <w:tc>
          <w:tcPr>
            <w:tcW w:w="288"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10"/>
        <w:gridCol w:w="60"/>
        <w:gridCol w:w="140"/>
        <w:gridCol w:w="1100"/>
        <w:gridCol w:w="95"/>
        <w:gridCol w:w="60"/>
        <w:gridCol w:w="140"/>
        <w:gridCol w:w="980"/>
        <w:gridCol w:w="95"/>
        <w:gridCol w:w="60"/>
        <w:gridCol w:w="140"/>
        <w:gridCol w:w="1100"/>
        <w:gridCol w:w="60"/>
        <w:gridCol w:w="60"/>
        <w:gridCol w:w="140"/>
        <w:gridCol w:w="980"/>
        <w:gridCol w:w="95"/>
        <w:gridCol w:w="60"/>
        <w:gridCol w:w="140"/>
        <w:gridCol w:w="980"/>
        <w:gridCol w:w="110"/>
      </w:tblGrid>
      <w:tr>
        <w:trPr/>
        <w:tc>
          <w:tcPr>
            <w:tcW w:w="36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10" w:type="dxa"/>
            <w:gridSpan w:val="7"/>
            <w:tcBorders>
              <w:bottom w:val="single" w:sz="8" w:space="0" w:color="000000"/>
            </w:tcBorders>
            <w:tcMar>
              <w:bottom w:w="28" w:type="dxa"/>
            </w:tcMar>
            <w:vAlign w:val="center"/>
          </w:tcPr>
          <w:p>
            <w:pPr>
              <w:pStyle w:val="TableContents"/>
              <w:bidi w:val="0"/>
              <w:spacing w:before="0" w:after="283"/>
              <w:jc w:val="center"/>
              <w:rPr>
                <w:b/>
              </w:rPr>
            </w:pPr>
            <w:r>
              <w:rPr>
                <w:b/>
              </w:rPr>
              <w:t>Six months ended</w:t>
              <w:br/>
              <w:t>July 31,</w:t>
            </w:r>
          </w:p>
        </w:tc>
        <w:tc>
          <w:tcPr>
            <w:tcW w:w="60" w:type="dxa"/>
            <w:tcBorders/>
            <w:vAlign w:val="center"/>
          </w:tcPr>
          <w:p>
            <w:pPr>
              <w:pStyle w:val="TableContents"/>
              <w:bidi w:val="0"/>
              <w:spacing w:before="0" w:after="283"/>
              <w:jc w:val="left"/>
              <w:rPr/>
            </w:pPr>
            <w:r>
              <w:rPr/>
              <w:t> </w:t>
            </w:r>
          </w:p>
        </w:tc>
        <w:tc>
          <w:tcPr>
            <w:tcW w:w="3865" w:type="dxa"/>
            <w:gridSpan w:val="11"/>
            <w:tcBorders>
              <w:bottom w:val="single" w:sz="8" w:space="0" w:color="000000"/>
            </w:tcBorders>
            <w:tcMar>
              <w:bottom w:w="28" w:type="dxa"/>
            </w:tcMar>
            <w:vAlign w:val="center"/>
          </w:tcPr>
          <w:p>
            <w:pPr>
              <w:pStyle w:val="TableContents"/>
              <w:bidi w:val="0"/>
              <w:spacing w:before="0" w:after="283"/>
              <w:jc w:val="center"/>
              <w:rPr>
                <w:b/>
              </w:rPr>
            </w:pPr>
            <w:r>
              <w:rPr>
                <w:b/>
              </w:rPr>
              <w:t>Year ended</w:t>
              <w:br/>
              <w:t>January 31,</w:t>
            </w:r>
          </w:p>
        </w:tc>
      </w:tr>
      <w:tr>
        <w:trPr/>
        <w:tc>
          <w:tcPr>
            <w:tcW w:w="36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3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121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130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121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123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r>
      <w:tr>
        <w:trPr/>
        <w:tc>
          <w:tcPr>
            <w:tcW w:w="3610" w:type="dxa"/>
            <w:tcBorders/>
            <w:vAlign w:val="center"/>
          </w:tcPr>
          <w:p>
            <w:pPr>
              <w:pStyle w:val="TableContents"/>
              <w:bidi w:val="0"/>
              <w:spacing w:before="0" w:after="283"/>
              <w:jc w:val="left"/>
              <w:rPr>
                <w:b/>
              </w:rPr>
            </w:pPr>
            <w:r>
              <w:rPr>
                <w:b/>
              </w:rPr>
              <w:t>(in millions, except share and per share data)</w:t>
            </w:r>
          </w:p>
        </w:tc>
        <w:tc>
          <w:tcPr>
            <w:tcW w:w="60" w:type="dxa"/>
            <w:tcBorders/>
            <w:vAlign w:val="center"/>
          </w:tcPr>
          <w:p>
            <w:pPr>
              <w:pStyle w:val="TableContents"/>
              <w:bidi w:val="0"/>
              <w:spacing w:before="0" w:after="283"/>
              <w:jc w:val="left"/>
              <w:rPr/>
            </w:pPr>
            <w:r>
              <w:rPr/>
              <w:t> </w:t>
            </w:r>
          </w:p>
        </w:tc>
        <w:tc>
          <w:tcPr>
            <w:tcW w:w="2610" w:type="dxa"/>
            <w:gridSpan w:val="7"/>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1300"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15"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30" w:type="dxa"/>
            <w:gridSpan w:val="3"/>
            <w:tcBorders/>
            <w:vAlign w:val="center"/>
          </w:tcPr>
          <w:p>
            <w:pPr>
              <w:pStyle w:val="TableContents"/>
              <w:bidi w:val="0"/>
              <w:spacing w:before="0" w:after="283"/>
              <w:jc w:val="center"/>
              <w:rPr/>
            </w:pPr>
            <w:r>
              <w:rPr/>
              <w:t> </w:t>
            </w:r>
          </w:p>
        </w:tc>
      </w:tr>
      <w:tr>
        <w:trPr/>
        <w:tc>
          <w:tcPr>
            <w:tcW w:w="36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35"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15"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00"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15"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30" w:type="dxa"/>
            <w:gridSpan w:val="3"/>
            <w:tcBorders/>
            <w:vAlign w:val="center"/>
          </w:tcPr>
          <w:p>
            <w:pPr>
              <w:pStyle w:val="TableContents"/>
              <w:bidi w:val="0"/>
              <w:spacing w:before="0" w:after="283"/>
              <w:jc w:val="center"/>
              <w:rPr/>
            </w:pPr>
            <w:r>
              <w:rPr/>
              <w:t> </w:t>
            </w:r>
          </w:p>
        </w:tc>
      </w:tr>
      <w:tr>
        <w:trPr/>
        <w:tc>
          <w:tcPr>
            <w:tcW w:w="3610" w:type="dxa"/>
            <w:tcBorders/>
            <w:shd w:fill="D5EAEA" w:val="clear"/>
            <w:vAlign w:val="center"/>
          </w:tcPr>
          <w:p>
            <w:pPr>
              <w:pStyle w:val="TableContents"/>
              <w:bidi w:val="0"/>
              <w:spacing w:before="0" w:after="283"/>
              <w:jc w:val="left"/>
              <w:rPr/>
            </w:pPr>
            <w:r>
              <w:rPr/>
              <w:t>Net income (loss) per share attributable to Class A Common Stockholders, diluted</w:t>
              <w:tab/>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w:t>
            </w:r>
          </w:p>
        </w:tc>
        <w:tc>
          <w:tcPr>
            <w:tcW w:w="1100" w:type="dxa"/>
            <w:tcBorders/>
            <w:shd w:fill="D5EAEA" w:val="clear"/>
            <w:vAlign w:val="center"/>
          </w:tcPr>
          <w:p>
            <w:pPr>
              <w:pStyle w:val="TableContents"/>
              <w:bidi w:val="0"/>
              <w:spacing w:before="0" w:after="283"/>
              <w:jc w:val="right"/>
              <w:rPr/>
            </w:pPr>
            <w:r>
              <w:rPr/>
              <w:t>(0.95</w:t>
            </w:r>
          </w:p>
        </w:tc>
        <w:tc>
          <w:tcPr>
            <w:tcW w:w="95" w:type="dxa"/>
            <w:tcBorders/>
            <w:shd w:fill="D5EAEA" w:val="clear"/>
            <w:vAlign w:val="center"/>
          </w:tcPr>
          <w:p>
            <w:pPr>
              <w:pStyle w:val="TableContents"/>
              <w:bidi w:val="0"/>
              <w:spacing w:before="0" w:after="283"/>
              <w:jc w:val="left"/>
              <w:rPr/>
            </w:pPr>
            <w:r>
              <w:rPr/>
              <w:t>)</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w:t>
            </w:r>
          </w:p>
        </w:tc>
        <w:tc>
          <w:tcPr>
            <w:tcW w:w="980" w:type="dxa"/>
            <w:tcBorders/>
            <w:shd w:fill="D5EAEA" w:val="clear"/>
            <w:vAlign w:val="center"/>
          </w:tcPr>
          <w:p>
            <w:pPr>
              <w:pStyle w:val="TableContents"/>
              <w:bidi w:val="0"/>
              <w:spacing w:before="0" w:after="283"/>
              <w:jc w:val="right"/>
              <w:rPr/>
            </w:pPr>
            <w:r>
              <w:rPr/>
              <w:t>(12.49</w:t>
            </w:r>
          </w:p>
        </w:tc>
        <w:tc>
          <w:tcPr>
            <w:tcW w:w="95" w:type="dxa"/>
            <w:tcBorders/>
            <w:shd w:fill="D5EAEA" w:val="clear"/>
            <w:vAlign w:val="center"/>
          </w:tcPr>
          <w:p>
            <w:pPr>
              <w:pStyle w:val="TableContents"/>
              <w:bidi w:val="0"/>
              <w:spacing w:before="0" w:after="283"/>
              <w:jc w:val="left"/>
              <w:rPr/>
            </w:pPr>
            <w:r>
              <w:rPr/>
              <w:t>)</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w:t>
            </w:r>
          </w:p>
        </w:tc>
        <w:tc>
          <w:tcPr>
            <w:tcW w:w="1100" w:type="dxa"/>
            <w:tcBorders/>
            <w:shd w:fill="D5EAEA" w:val="clear"/>
            <w:vAlign w:val="center"/>
          </w:tcPr>
          <w:p>
            <w:pPr>
              <w:pStyle w:val="TableContents"/>
              <w:bidi w:val="0"/>
              <w:spacing w:before="0" w:after="283"/>
              <w:jc w:val="right"/>
              <w:rPr/>
            </w:pPr>
            <w:r>
              <w:rPr/>
              <w:t>1.88</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w:t>
            </w:r>
          </w:p>
        </w:tc>
        <w:tc>
          <w:tcPr>
            <w:tcW w:w="980" w:type="dxa"/>
            <w:tcBorders/>
            <w:shd w:fill="D5EAEA" w:val="clear"/>
            <w:vAlign w:val="center"/>
          </w:tcPr>
          <w:p>
            <w:pPr>
              <w:pStyle w:val="TableContents"/>
              <w:bidi w:val="0"/>
              <w:spacing w:before="0" w:after="283"/>
              <w:jc w:val="right"/>
              <w:rPr/>
            </w:pPr>
            <w:r>
              <w:rPr/>
              <w:t>(17.62</w:t>
            </w:r>
          </w:p>
        </w:tc>
        <w:tc>
          <w:tcPr>
            <w:tcW w:w="95" w:type="dxa"/>
            <w:tcBorders/>
            <w:shd w:fill="D5EAEA" w:val="clear"/>
            <w:vAlign w:val="center"/>
          </w:tcPr>
          <w:p>
            <w:pPr>
              <w:pStyle w:val="TableContents"/>
              <w:bidi w:val="0"/>
              <w:spacing w:before="0" w:after="283"/>
              <w:jc w:val="left"/>
              <w:rPr/>
            </w:pPr>
            <w:r>
              <w:rPr/>
              <w:t>)</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w:t>
            </w:r>
          </w:p>
        </w:tc>
        <w:tc>
          <w:tcPr>
            <w:tcW w:w="980" w:type="dxa"/>
            <w:tcBorders/>
            <w:shd w:fill="D5EAEA" w:val="clear"/>
            <w:vAlign w:val="center"/>
          </w:tcPr>
          <w:p>
            <w:pPr>
              <w:pStyle w:val="TableContents"/>
              <w:bidi w:val="0"/>
              <w:spacing w:before="0" w:after="283"/>
              <w:jc w:val="right"/>
              <w:rPr/>
            </w:pPr>
            <w:r>
              <w:rPr/>
              <w:t>(31.52</w:t>
            </w:r>
          </w:p>
        </w:tc>
        <w:tc>
          <w:tcPr>
            <w:tcW w:w="110" w:type="dxa"/>
            <w:tcBorders/>
            <w:shd w:fill="D5EAEA" w:val="clear"/>
            <w:vAlign w:val="center"/>
          </w:tcPr>
          <w:p>
            <w:pPr>
              <w:pStyle w:val="TableContents"/>
              <w:bidi w:val="0"/>
              <w:spacing w:before="0" w:after="283"/>
              <w:jc w:val="left"/>
              <w:rPr/>
            </w:pPr>
            <w:r>
              <w:rPr/>
              <w:t>)</w:t>
            </w:r>
          </w:p>
        </w:tc>
      </w:tr>
      <w:tr>
        <w:trPr/>
        <w:tc>
          <w:tcPr>
            <w:tcW w:w="3610" w:type="dxa"/>
            <w:tcBorders/>
            <w:shd w:fill="FFFFFF" w:val="clear"/>
            <w:vAlign w:val="center"/>
          </w:tcPr>
          <w:p>
            <w:pPr>
              <w:pStyle w:val="TableContents"/>
              <w:bidi w:val="0"/>
              <w:spacing w:before="0" w:after="283"/>
              <w:jc w:val="left"/>
              <w:rPr/>
            </w:pPr>
            <w:r>
              <w:rPr/>
              <w:t>Weighted-average shares used in computing net loss per share attributable to Class A Common Stockholders, basic</w:t>
              <w:tab/>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33,501,272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4,203,550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11,961,285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3,967,937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3,591,538</w:t>
            </w:r>
          </w:p>
        </w:tc>
        <w:tc>
          <w:tcPr>
            <w:tcW w:w="110" w:type="dxa"/>
            <w:tcBorders/>
            <w:shd w:fill="FFFFFF" w:val="clear"/>
            <w:vAlign w:val="center"/>
          </w:tcPr>
          <w:p>
            <w:pPr>
              <w:pStyle w:val="TableContents"/>
              <w:bidi w:val="0"/>
              <w:spacing w:before="0" w:after="283"/>
              <w:jc w:val="left"/>
              <w:rPr/>
            </w:pPr>
            <w:r>
              <w:rPr/>
              <w:t> </w:t>
            </w:r>
          </w:p>
        </w:tc>
      </w:tr>
      <w:tr>
        <w:trPr/>
        <w:tc>
          <w:tcPr>
            <w:tcW w:w="3610" w:type="dxa"/>
            <w:tcBorders/>
            <w:shd w:fill="D5EAEA" w:val="clear"/>
            <w:vAlign w:val="center"/>
          </w:tcPr>
          <w:p>
            <w:pPr>
              <w:pStyle w:val="TableContents"/>
              <w:bidi w:val="0"/>
              <w:spacing w:before="0" w:after="283"/>
              <w:jc w:val="left"/>
              <w:rPr/>
            </w:pPr>
            <w:r>
              <w:rPr/>
              <w:t>Weighted-average shares used in computing net loss per share attributable to Class A Common Stockholders, diluted</w:t>
              <w:tab/>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1100" w:type="dxa"/>
            <w:tcBorders/>
            <w:shd w:fill="D5EAEA" w:val="clear"/>
            <w:vAlign w:val="center"/>
          </w:tcPr>
          <w:p>
            <w:pPr>
              <w:pStyle w:val="TableContents"/>
              <w:bidi w:val="0"/>
              <w:spacing w:before="0" w:after="283"/>
              <w:jc w:val="right"/>
              <w:rPr/>
            </w:pPr>
            <w:r>
              <w:rPr/>
              <w:t>33,501,272</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980" w:type="dxa"/>
            <w:tcBorders/>
            <w:shd w:fill="D5EAEA" w:val="clear"/>
            <w:vAlign w:val="center"/>
          </w:tcPr>
          <w:p>
            <w:pPr>
              <w:pStyle w:val="TableContents"/>
              <w:bidi w:val="0"/>
              <w:spacing w:before="0" w:after="283"/>
              <w:jc w:val="right"/>
              <w:rPr/>
            </w:pPr>
            <w:r>
              <w:rPr/>
              <w:t>4,203,550</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1100" w:type="dxa"/>
            <w:tcBorders/>
            <w:shd w:fill="D5EAEA" w:val="clear"/>
            <w:vAlign w:val="center"/>
          </w:tcPr>
          <w:p>
            <w:pPr>
              <w:pStyle w:val="TableContents"/>
              <w:bidi w:val="0"/>
              <w:spacing w:before="0" w:after="283"/>
              <w:jc w:val="right"/>
              <w:rPr/>
            </w:pPr>
            <w:r>
              <w:rPr/>
              <w:t>11,997,493</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980" w:type="dxa"/>
            <w:tcBorders/>
            <w:shd w:fill="D5EAEA" w:val="clear"/>
            <w:vAlign w:val="center"/>
          </w:tcPr>
          <w:p>
            <w:pPr>
              <w:pStyle w:val="TableContents"/>
              <w:bidi w:val="0"/>
              <w:spacing w:before="0" w:after="283"/>
              <w:jc w:val="right"/>
              <w:rPr/>
            </w:pPr>
            <w:r>
              <w:rPr/>
              <w:t>3,967,937</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980" w:type="dxa"/>
            <w:tcBorders/>
            <w:shd w:fill="D5EAEA" w:val="clear"/>
            <w:vAlign w:val="center"/>
          </w:tcPr>
          <w:p>
            <w:pPr>
              <w:pStyle w:val="TableContents"/>
              <w:bidi w:val="0"/>
              <w:spacing w:before="0" w:after="283"/>
              <w:jc w:val="right"/>
              <w:rPr/>
            </w:pPr>
            <w:r>
              <w:rPr/>
              <w:t>3,591,538</w:t>
            </w:r>
          </w:p>
        </w:tc>
        <w:tc>
          <w:tcPr>
            <w:tcW w:w="110" w:type="dxa"/>
            <w:tcBorders/>
            <w:shd w:fill="D5EAEA"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4" w:color="000000"/>
        </w:rPr>
      </w:pPr>
      <w:r>
        <w:rPr>
          <w:rFonts w:ascii="Times New Roman;Times;Serif" w:hAnsi="Times New Roman;Times;Serif"/>
          <w:b/>
          <w:i w:val="false"/>
          <w:caps w:val="false"/>
          <w:smallCaps w:val="false"/>
          <w:sz w:val="20"/>
          <w:bdr w:val="single" w:sz="8" w:space="4" w:color="000000"/>
        </w:rPr>
        <w:t>Summary Selected Balance Sheet Data</w:t>
      </w:r>
    </w:p>
    <w:p>
      <w:pPr>
        <w:pStyle w:val="TextBody"/>
        <w:bidi w:val="0"/>
        <w:spacing w:before="0" w:after="0"/>
        <w:ind w:left="0" w:right="0" w:hanging="0"/>
        <w:jc w:val="left"/>
        <w:rPr>
          <w:caps w:val="false"/>
          <w:smallCaps w:val="false"/>
          <w:bdr w:val="single" w:sz="8" w:space="4" w:color="000000"/>
        </w:rPr>
      </w:pPr>
      <w:r>
        <w:rPr>
          <w:caps w:val="false"/>
          <w:smallCaps w:val="false"/>
          <w:bdr w:val="single" w:sz="8" w:space="4" w:color="000000"/>
        </w:rPr>
        <w:t> </w:t>
      </w:r>
    </w:p>
    <w:tbl>
      <w:tblPr>
        <w:tblW w:w="8282" w:type="dxa"/>
        <w:jc w:val="left"/>
        <w:tblInd w:w="0" w:type="dxa"/>
        <w:tblLayout w:type="fixed"/>
        <w:tblCellMar>
          <w:top w:w="0" w:type="dxa"/>
          <w:left w:w="0" w:type="dxa"/>
          <w:bottom w:w="0" w:type="dxa"/>
          <w:right w:w="0" w:type="dxa"/>
        </w:tblCellMar>
      </w:tblPr>
      <w:tblGrid>
        <w:gridCol w:w="4325"/>
        <w:gridCol w:w="60"/>
        <w:gridCol w:w="186"/>
        <w:gridCol w:w="1086"/>
        <w:gridCol w:w="126"/>
        <w:gridCol w:w="60"/>
        <w:gridCol w:w="140"/>
        <w:gridCol w:w="815"/>
        <w:gridCol w:w="95"/>
        <w:gridCol w:w="60"/>
        <w:gridCol w:w="140"/>
        <w:gridCol w:w="815"/>
        <w:gridCol w:w="374"/>
      </w:tblGrid>
      <w:tr>
        <w:trPr/>
        <w:tc>
          <w:tcPr>
            <w:tcW w:w="4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8" w:type="dxa"/>
            <w:gridSpan w:val="3"/>
            <w:tcBorders>
              <w:bottom w:val="single" w:sz="8" w:space="0" w:color="000000"/>
            </w:tcBorders>
            <w:tcMar>
              <w:bottom w:w="28" w:type="dxa"/>
            </w:tcMar>
            <w:vAlign w:val="center"/>
          </w:tcPr>
          <w:p>
            <w:pPr>
              <w:pStyle w:val="TableContents"/>
              <w:bidi w:val="0"/>
              <w:spacing w:before="0" w:after="283"/>
              <w:jc w:val="center"/>
              <w:rPr>
                <w:b/>
              </w:rPr>
            </w:pPr>
            <w:r>
              <w:rPr>
                <w:b/>
              </w:rPr>
              <w:t>As of July 31,</w:t>
            </w:r>
          </w:p>
        </w:tc>
        <w:tc>
          <w:tcPr>
            <w:tcW w:w="60" w:type="dxa"/>
            <w:tcBorders/>
            <w:vAlign w:val="center"/>
          </w:tcPr>
          <w:p>
            <w:pPr>
              <w:pStyle w:val="TableContents"/>
              <w:bidi w:val="0"/>
              <w:spacing w:before="0" w:after="283"/>
              <w:jc w:val="left"/>
              <w:rPr/>
            </w:pPr>
            <w:r>
              <w:rPr/>
              <w:t> </w:t>
            </w:r>
          </w:p>
        </w:tc>
        <w:tc>
          <w:tcPr>
            <w:tcW w:w="2439" w:type="dxa"/>
            <w:gridSpan w:val="7"/>
            <w:tcBorders>
              <w:bottom w:val="single" w:sz="8" w:space="0" w:color="000000"/>
            </w:tcBorders>
            <w:tcMar>
              <w:bottom w:w="28" w:type="dxa"/>
            </w:tcMar>
            <w:vAlign w:val="center"/>
          </w:tcPr>
          <w:p>
            <w:pPr>
              <w:pStyle w:val="TableContents"/>
              <w:bidi w:val="0"/>
              <w:spacing w:before="0" w:after="283"/>
              <w:jc w:val="center"/>
              <w:rPr>
                <w:b/>
              </w:rPr>
            </w:pPr>
            <w:r>
              <w:rPr>
                <w:b/>
              </w:rPr>
              <w:t>As of January 31,</w:t>
            </w:r>
          </w:p>
        </w:tc>
      </w:tr>
      <w:tr>
        <w:trPr/>
        <w:tc>
          <w:tcPr>
            <w:tcW w:w="4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8"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105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1329"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r>
      <w:tr>
        <w:trPr/>
        <w:tc>
          <w:tcPr>
            <w:tcW w:w="4325" w:type="dxa"/>
            <w:tcBorders/>
            <w:vAlign w:val="center"/>
          </w:tcPr>
          <w:p>
            <w:pPr>
              <w:pStyle w:val="TableContents"/>
              <w:bidi w:val="0"/>
              <w:spacing w:before="0" w:after="283"/>
              <w:jc w:val="left"/>
              <w:rPr>
                <w:b/>
              </w:rPr>
            </w:pPr>
            <w:r>
              <w:rPr>
                <w:b/>
              </w:rPr>
              <w:t>(in millions)</w:t>
            </w:r>
          </w:p>
        </w:tc>
        <w:tc>
          <w:tcPr>
            <w:tcW w:w="60" w:type="dxa"/>
            <w:tcBorders/>
            <w:vAlign w:val="center"/>
          </w:tcPr>
          <w:p>
            <w:pPr>
              <w:pStyle w:val="TableContents"/>
              <w:bidi w:val="0"/>
              <w:spacing w:before="0" w:after="283"/>
              <w:jc w:val="left"/>
              <w:rPr/>
            </w:pPr>
            <w:r>
              <w:rPr/>
              <w:t> </w:t>
            </w:r>
          </w:p>
        </w:tc>
        <w:tc>
          <w:tcPr>
            <w:tcW w:w="1398" w:type="dxa"/>
            <w:gridSpan w:val="3"/>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29" w:type="dxa"/>
            <w:gridSpan w:val="3"/>
            <w:tcBorders/>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8" w:type="dxa"/>
            <w:gridSpan w:val="3"/>
            <w:tcBorders/>
            <w:vAlign w:val="center"/>
          </w:tcPr>
          <w:p>
            <w:pPr>
              <w:pStyle w:val="TableContents"/>
              <w:bidi w:val="0"/>
              <w:spacing w:before="0" w:after="283"/>
              <w:jc w:val="center"/>
              <w:rPr/>
            </w:pPr>
            <w:r>
              <w:rPr/>
              <w:t>(unaudited)</w:t>
            </w:r>
          </w:p>
        </w:tc>
        <w:tc>
          <w:tcPr>
            <w:tcW w:w="60" w:type="dxa"/>
            <w:tcBorders/>
            <w:vAlign w:val="center"/>
          </w:tcPr>
          <w:p>
            <w:pPr>
              <w:pStyle w:val="TableContents"/>
              <w:bidi w:val="0"/>
              <w:spacing w:before="0" w:after="283"/>
              <w:jc w:val="left"/>
              <w:rPr/>
            </w:pPr>
            <w:r>
              <w:rPr/>
              <w:t> </w:t>
            </w:r>
          </w:p>
        </w:tc>
        <w:tc>
          <w:tcPr>
            <w:tcW w:w="1050" w:type="dxa"/>
            <w:gridSpan w:val="3"/>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329" w:type="dxa"/>
            <w:gridSpan w:val="3"/>
            <w:tcBorders/>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b/>
              </w:rPr>
            </w:pPr>
            <w:r>
              <w:rPr>
                <w:b/>
              </w:rPr>
              <w:t>Assets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pPr>
            <w:r>
              <w:rPr/>
              <w:t> </w:t>
            </w:r>
          </w:p>
        </w:tc>
        <w:tc>
          <w:tcPr>
            <w:tcW w:w="1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374" w:type="dxa"/>
            <w:tcBorders/>
            <w:shd w:fill="FFFF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pPr>
            <w:r>
              <w:rPr/>
              <w:t> </w:t>
            </w:r>
          </w:p>
        </w:tc>
        <w:tc>
          <w:tcPr>
            <w:tcW w:w="1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374" w:type="dxa"/>
            <w:tcBorders/>
            <w:shd w:fill="FFFFFF" w:val="clear"/>
            <w:vAlign w:val="center"/>
          </w:tcPr>
          <w:p>
            <w:pPr>
              <w:pStyle w:val="TableContents"/>
              <w:bidi w:val="0"/>
              <w:spacing w:before="0" w:after="283"/>
              <w:ind w:left="0" w:right="0" w:firstLine="29"/>
              <w:jc w:val="left"/>
              <w:rPr/>
            </w:pPr>
            <w:r>
              <w:rPr/>
              <w:t> </w:t>
            </w:r>
          </w:p>
        </w:tc>
      </w:tr>
      <w:tr>
        <w:trPr/>
        <w:tc>
          <w:tcPr>
            <w:tcW w:w="4325" w:type="dxa"/>
            <w:tcBorders/>
            <w:shd w:fill="D5EAEA" w:val="clear"/>
            <w:vAlign w:val="center"/>
          </w:tcPr>
          <w:p>
            <w:pPr>
              <w:pStyle w:val="TableContents"/>
              <w:bidi w:val="0"/>
              <w:spacing w:before="0" w:after="283"/>
              <w:jc w:val="left"/>
              <w:rPr/>
            </w:pPr>
            <w:r>
              <w:rPr/>
              <w:t>Cash and cash equivalents</w:t>
              <w:tab/>
            </w:r>
          </w:p>
        </w:tc>
        <w:tc>
          <w:tcPr>
            <w:tcW w:w="60" w:type="dxa"/>
            <w:tcBorders/>
            <w:shd w:fill="D5EAEA" w:val="clear"/>
            <w:vAlign w:val="center"/>
          </w:tcPr>
          <w:p>
            <w:pPr>
              <w:pStyle w:val="TableContents"/>
              <w:bidi w:val="0"/>
              <w:spacing w:before="0" w:after="283"/>
              <w:jc w:val="left"/>
              <w:rPr/>
            </w:pPr>
            <w:r>
              <w:rPr/>
              <w:t> </w:t>
            </w:r>
          </w:p>
        </w:tc>
        <w:tc>
          <w:tcPr>
            <w:tcW w:w="186" w:type="dxa"/>
            <w:tcBorders/>
            <w:shd w:fill="D5EAEA" w:val="clear"/>
            <w:vAlign w:val="center"/>
          </w:tcPr>
          <w:p>
            <w:pPr>
              <w:pStyle w:val="TableContents"/>
              <w:bidi w:val="0"/>
              <w:spacing w:before="0" w:after="283"/>
              <w:jc w:val="left"/>
              <w:rPr/>
            </w:pPr>
            <w:r>
              <w:rPr/>
              <w:t>$</w:t>
            </w:r>
          </w:p>
        </w:tc>
        <w:tc>
          <w:tcPr>
            <w:tcW w:w="1086" w:type="dxa"/>
            <w:tcBorders/>
            <w:shd w:fill="D5EAEA" w:val="clear"/>
            <w:vAlign w:val="center"/>
          </w:tcPr>
          <w:p>
            <w:pPr>
              <w:pStyle w:val="TableContents"/>
              <w:bidi w:val="0"/>
              <w:spacing w:before="0" w:after="283"/>
              <w:jc w:val="right"/>
              <w:rPr/>
            </w:pPr>
            <w:r>
              <w:rPr/>
              <w:t>29.0</w:t>
            </w:r>
          </w:p>
        </w:tc>
        <w:tc>
          <w:tcPr>
            <w:tcW w:w="126"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w:t>
            </w:r>
          </w:p>
        </w:tc>
        <w:tc>
          <w:tcPr>
            <w:tcW w:w="815" w:type="dxa"/>
            <w:tcBorders/>
            <w:shd w:fill="D5EAEA" w:val="clear"/>
            <w:vAlign w:val="center"/>
          </w:tcPr>
          <w:p>
            <w:pPr>
              <w:pStyle w:val="TableContents"/>
              <w:bidi w:val="0"/>
              <w:spacing w:before="0" w:after="283"/>
              <w:jc w:val="right"/>
              <w:rPr/>
            </w:pPr>
            <w:r>
              <w:rPr/>
              <w:t>50.4</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w:t>
            </w:r>
          </w:p>
        </w:tc>
        <w:tc>
          <w:tcPr>
            <w:tcW w:w="815" w:type="dxa"/>
            <w:tcBorders/>
            <w:shd w:fill="D5EAEA" w:val="clear"/>
            <w:vAlign w:val="center"/>
          </w:tcPr>
          <w:p>
            <w:pPr>
              <w:pStyle w:val="TableContents"/>
              <w:bidi w:val="0"/>
              <w:spacing w:before="0" w:after="283"/>
              <w:jc w:val="right"/>
              <w:rPr/>
            </w:pPr>
            <w:r>
              <w:rPr/>
              <w:t>77.4</w:t>
            </w:r>
          </w:p>
        </w:tc>
        <w:tc>
          <w:tcPr>
            <w:tcW w:w="374" w:type="dxa"/>
            <w:tcBorders/>
            <w:shd w:fill="D5EAEA" w:val="clear"/>
            <w:vAlign w:val="center"/>
          </w:tcPr>
          <w:p>
            <w:pPr>
              <w:pStyle w:val="TableContents"/>
              <w:bidi w:val="0"/>
              <w:spacing w:before="0" w:after="283"/>
              <w:ind w:left="0" w:right="0" w:firstLine="29"/>
              <w:jc w:val="left"/>
              <w:rPr/>
            </w:pPr>
            <w:r>
              <w:rPr/>
              <w:t> </w:t>
            </w:r>
          </w:p>
        </w:tc>
      </w:tr>
      <w:tr>
        <w:trPr/>
        <w:tc>
          <w:tcPr>
            <w:tcW w:w="4325" w:type="dxa"/>
            <w:tcBorders/>
            <w:shd w:fill="FFFFFF" w:val="clear"/>
            <w:vAlign w:val="center"/>
          </w:tcPr>
          <w:p>
            <w:pPr>
              <w:pStyle w:val="TableContents"/>
              <w:bidi w:val="0"/>
              <w:spacing w:before="0" w:after="283"/>
              <w:jc w:val="left"/>
              <w:rPr/>
            </w:pPr>
            <w:r>
              <w:rPr/>
              <w:t>Restricted cash, current</w:t>
              <w:tab/>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pPr>
            <w:r>
              <w:rPr/>
              <w:t>4.0</w:t>
            </w:r>
          </w:p>
        </w:tc>
        <w:tc>
          <w:tcPr>
            <w:tcW w:w="1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4.7</w:t>
            </w:r>
          </w:p>
        </w:tc>
        <w:tc>
          <w:tcPr>
            <w:tcW w:w="374" w:type="dxa"/>
            <w:tcBorders/>
            <w:shd w:fill="FFFFFF" w:val="clear"/>
            <w:vAlign w:val="center"/>
          </w:tcPr>
          <w:p>
            <w:pPr>
              <w:pStyle w:val="TableContents"/>
              <w:bidi w:val="0"/>
              <w:spacing w:before="0" w:after="283"/>
              <w:jc w:val="left"/>
              <w:rPr/>
            </w:pPr>
            <w:r>
              <w:rPr/>
              <w:t> </w:t>
            </w:r>
          </w:p>
        </w:tc>
      </w:tr>
      <w:tr>
        <w:trPr/>
        <w:tc>
          <w:tcPr>
            <w:tcW w:w="4325" w:type="dxa"/>
            <w:tcBorders/>
            <w:shd w:fill="D5EAEA" w:val="clear"/>
            <w:vAlign w:val="center"/>
          </w:tcPr>
          <w:p>
            <w:pPr>
              <w:pStyle w:val="TableContents"/>
              <w:bidi w:val="0"/>
              <w:spacing w:before="0" w:after="283"/>
              <w:jc w:val="left"/>
              <w:rPr/>
            </w:pPr>
            <w:r>
              <w:rPr/>
              <w:t>Prepaid expenses and other current assets</w:t>
              <w:tab/>
            </w:r>
          </w:p>
        </w:tc>
        <w:tc>
          <w:tcPr>
            <w:tcW w:w="60" w:type="dxa"/>
            <w:tcBorders/>
            <w:shd w:fill="D5EAEA" w:val="clear"/>
            <w:vAlign w:val="center"/>
          </w:tcPr>
          <w:p>
            <w:pPr>
              <w:pStyle w:val="TableContents"/>
              <w:bidi w:val="0"/>
              <w:spacing w:before="0" w:after="283"/>
              <w:jc w:val="left"/>
              <w:rPr/>
            </w:pPr>
            <w:r>
              <w:rPr/>
              <w:t> </w:t>
            </w:r>
          </w:p>
        </w:tc>
        <w:tc>
          <w:tcPr>
            <w:tcW w:w="186"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1086" w:type="dxa"/>
            <w:tcBorders>
              <w:bottom w:val="single" w:sz="8" w:space="0" w:color="000000"/>
            </w:tcBorders>
            <w:shd w:fill="D5EAEA" w:val="clear"/>
            <w:tcMar>
              <w:bottom w:w="28" w:type="dxa"/>
            </w:tcMar>
            <w:vAlign w:val="center"/>
          </w:tcPr>
          <w:p>
            <w:pPr>
              <w:pStyle w:val="TableContents"/>
              <w:bidi w:val="0"/>
              <w:spacing w:before="0" w:after="283"/>
              <w:jc w:val="right"/>
              <w:rPr/>
            </w:pPr>
            <w:r>
              <w:rPr/>
              <w:t>11.5</w:t>
            </w:r>
          </w:p>
        </w:tc>
        <w:tc>
          <w:tcPr>
            <w:tcW w:w="126"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D5EAEA" w:val="clear"/>
            <w:tcMar>
              <w:bottom w:w="28" w:type="dxa"/>
            </w:tcMar>
            <w:vAlign w:val="center"/>
          </w:tcPr>
          <w:p>
            <w:pPr>
              <w:pStyle w:val="TableContents"/>
              <w:bidi w:val="0"/>
              <w:spacing w:before="0" w:after="283"/>
              <w:jc w:val="right"/>
              <w:rPr/>
            </w:pPr>
            <w:r>
              <w:rPr/>
              <w:t>11.8</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D5EAEA" w:val="clear"/>
            <w:tcMar>
              <w:bottom w:w="28" w:type="dxa"/>
            </w:tcMar>
            <w:vAlign w:val="center"/>
          </w:tcPr>
          <w:p>
            <w:pPr>
              <w:pStyle w:val="TableContents"/>
              <w:bidi w:val="0"/>
              <w:spacing w:before="0" w:after="283"/>
              <w:jc w:val="right"/>
              <w:rPr/>
            </w:pPr>
            <w:r>
              <w:rPr/>
              <w:t>11.8</w:t>
            </w:r>
          </w:p>
        </w:tc>
        <w:tc>
          <w:tcPr>
            <w:tcW w:w="374" w:type="dxa"/>
            <w:tcBorders/>
            <w:shd w:fill="D5EAEA" w:val="clear"/>
            <w:vAlign w:val="center"/>
          </w:tcPr>
          <w:p>
            <w:pPr>
              <w:pStyle w:val="TableContents"/>
              <w:bidi w:val="0"/>
              <w:spacing w:before="0" w:after="283"/>
              <w:ind w:left="0" w:right="0" w:firstLine="50"/>
              <w:jc w:val="left"/>
              <w:rPr/>
            </w:pPr>
            <w:r>
              <w:rPr/>
              <w:t> </w:t>
            </w:r>
          </w:p>
        </w:tc>
      </w:tr>
      <w:tr>
        <w:trPr/>
        <w:tc>
          <w:tcPr>
            <w:tcW w:w="4325" w:type="dxa"/>
            <w:tcBorders/>
            <w:shd w:fill="FFFFFF" w:val="clear"/>
            <w:vAlign w:val="center"/>
          </w:tcPr>
          <w:p>
            <w:pPr>
              <w:pStyle w:val="TableContents"/>
              <w:bidi w:val="0"/>
              <w:spacing w:before="0" w:after="283"/>
              <w:jc w:val="left"/>
              <w:rPr/>
            </w:pPr>
            <w:r>
              <w:rPr/>
              <w:t>Total current assets</w:t>
              <w:tab/>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6" w:type="dxa"/>
            <w:tcBorders>
              <w:bottom w:val="single" w:sz="8" w:space="0" w:color="000000"/>
            </w:tcBorders>
            <w:shd w:fill="FFFFFF" w:val="clear"/>
            <w:tcMar>
              <w:bottom w:w="28" w:type="dxa"/>
            </w:tcMar>
            <w:vAlign w:val="center"/>
          </w:tcPr>
          <w:p>
            <w:pPr>
              <w:pStyle w:val="TableContents"/>
              <w:bidi w:val="0"/>
              <w:spacing w:before="0" w:after="283"/>
              <w:jc w:val="right"/>
              <w:rPr/>
            </w:pPr>
            <w:r>
              <w:rPr/>
              <w:t>44.5</w:t>
            </w:r>
          </w:p>
        </w:tc>
        <w:tc>
          <w:tcPr>
            <w:tcW w:w="1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FFFFFF" w:val="clear"/>
            <w:tcMar>
              <w:bottom w:w="28" w:type="dxa"/>
            </w:tcMar>
            <w:vAlign w:val="center"/>
          </w:tcPr>
          <w:p>
            <w:pPr>
              <w:pStyle w:val="TableContents"/>
              <w:bidi w:val="0"/>
              <w:spacing w:before="0" w:after="283"/>
              <w:jc w:val="right"/>
              <w:rPr/>
            </w:pPr>
            <w:r>
              <w:rPr/>
              <w:t>66.7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FFFFFF" w:val="clear"/>
            <w:tcMar>
              <w:bottom w:w="28" w:type="dxa"/>
            </w:tcMar>
            <w:vAlign w:val="center"/>
          </w:tcPr>
          <w:p>
            <w:pPr>
              <w:pStyle w:val="TableContents"/>
              <w:bidi w:val="0"/>
              <w:spacing w:before="0" w:after="283"/>
              <w:jc w:val="right"/>
              <w:rPr/>
            </w:pPr>
            <w:r>
              <w:rPr/>
              <w:t>93.9</w:t>
            </w:r>
          </w:p>
        </w:tc>
        <w:tc>
          <w:tcPr>
            <w:tcW w:w="374" w:type="dxa"/>
            <w:tcBorders/>
            <w:shd w:fill="FFFFFF" w:val="clear"/>
            <w:vAlign w:val="center"/>
          </w:tcPr>
          <w:p>
            <w:pPr>
              <w:pStyle w:val="TableContents"/>
              <w:bidi w:val="0"/>
              <w:spacing w:before="0" w:after="283"/>
              <w:jc w:val="left"/>
              <w:rPr/>
            </w:pPr>
            <w:r>
              <w:rPr/>
              <w:t> </w:t>
            </w:r>
          </w:p>
        </w:tc>
      </w:tr>
      <w:tr>
        <w:trPr/>
        <w:tc>
          <w:tcPr>
            <w:tcW w:w="4325" w:type="dxa"/>
            <w:tcBorders/>
            <w:shd w:fill="D5EAEA" w:val="clear"/>
            <w:vAlign w:val="center"/>
          </w:tcPr>
          <w:p>
            <w:pPr>
              <w:pStyle w:val="TableContents"/>
              <w:bidi w:val="0"/>
              <w:spacing w:before="0" w:after="283"/>
              <w:jc w:val="left"/>
              <w:rPr/>
            </w:pPr>
            <w:r>
              <w:rPr/>
              <w:t>Restricted cash</w:t>
              <w:tab/>
            </w:r>
          </w:p>
        </w:tc>
        <w:tc>
          <w:tcPr>
            <w:tcW w:w="60" w:type="dxa"/>
            <w:tcBorders/>
            <w:shd w:fill="D5EAEA" w:val="clear"/>
            <w:vAlign w:val="center"/>
          </w:tcPr>
          <w:p>
            <w:pPr>
              <w:pStyle w:val="TableContents"/>
              <w:bidi w:val="0"/>
              <w:spacing w:before="0" w:after="283"/>
              <w:jc w:val="left"/>
              <w:rPr/>
            </w:pPr>
            <w:r>
              <w:rPr/>
              <w:t> </w:t>
            </w:r>
          </w:p>
        </w:tc>
        <w:tc>
          <w:tcPr>
            <w:tcW w:w="186" w:type="dxa"/>
            <w:tcBorders/>
            <w:shd w:fill="D5EAEA" w:val="clear"/>
            <w:vAlign w:val="center"/>
          </w:tcPr>
          <w:p>
            <w:pPr>
              <w:pStyle w:val="TableContents"/>
              <w:bidi w:val="0"/>
              <w:spacing w:before="0" w:after="283"/>
              <w:jc w:val="left"/>
              <w:rPr/>
            </w:pPr>
            <w:r>
              <w:rPr/>
              <w:t> </w:t>
            </w:r>
          </w:p>
        </w:tc>
        <w:tc>
          <w:tcPr>
            <w:tcW w:w="1086" w:type="dxa"/>
            <w:tcBorders/>
            <w:shd w:fill="D5EAEA" w:val="clear"/>
            <w:vAlign w:val="center"/>
          </w:tcPr>
          <w:p>
            <w:pPr>
              <w:pStyle w:val="TableContents"/>
              <w:bidi w:val="0"/>
              <w:spacing w:before="0" w:after="283"/>
              <w:jc w:val="right"/>
              <w:rPr/>
            </w:pPr>
            <w:r>
              <w:rPr/>
              <w:t>4.2</w:t>
            </w:r>
          </w:p>
        </w:tc>
        <w:tc>
          <w:tcPr>
            <w:tcW w:w="126"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815" w:type="dxa"/>
            <w:tcBorders/>
            <w:shd w:fill="D5EAEA" w:val="clear"/>
            <w:vAlign w:val="center"/>
          </w:tcPr>
          <w:p>
            <w:pPr>
              <w:pStyle w:val="TableContents"/>
              <w:bidi w:val="0"/>
              <w:spacing w:before="0" w:after="283"/>
              <w:jc w:val="right"/>
              <w:rPr/>
            </w:pPr>
            <w:r>
              <w:rPr/>
              <w:t>4.2</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815" w:type="dxa"/>
            <w:tcBorders/>
            <w:shd w:fill="D5EAEA" w:val="clear"/>
            <w:vAlign w:val="center"/>
          </w:tcPr>
          <w:p>
            <w:pPr>
              <w:pStyle w:val="TableContents"/>
              <w:bidi w:val="0"/>
              <w:spacing w:before="0" w:after="283"/>
              <w:jc w:val="right"/>
              <w:rPr/>
            </w:pPr>
            <w:r>
              <w:rPr/>
              <w:t>4.4</w:t>
            </w:r>
          </w:p>
        </w:tc>
        <w:tc>
          <w:tcPr>
            <w:tcW w:w="374" w:type="dxa"/>
            <w:tcBorders/>
            <w:shd w:fill="D5EAEA"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Rental product, net</w:t>
              <w:tab/>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pPr>
            <w:r>
              <w:rPr/>
              <w:t>84.1</w:t>
            </w:r>
          </w:p>
        </w:tc>
        <w:tc>
          <w:tcPr>
            <w:tcW w:w="1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86.0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73.3</w:t>
            </w:r>
          </w:p>
        </w:tc>
        <w:tc>
          <w:tcPr>
            <w:tcW w:w="374" w:type="dxa"/>
            <w:tcBorders/>
            <w:shd w:fill="FFFFFF" w:val="clear"/>
            <w:vAlign w:val="center"/>
          </w:tcPr>
          <w:p>
            <w:pPr>
              <w:pStyle w:val="TableContents"/>
              <w:bidi w:val="0"/>
              <w:spacing w:before="0" w:after="283"/>
              <w:jc w:val="left"/>
              <w:rPr/>
            </w:pPr>
            <w:r>
              <w:rPr/>
              <w:t> </w:t>
            </w:r>
          </w:p>
        </w:tc>
      </w:tr>
      <w:tr>
        <w:trPr/>
        <w:tc>
          <w:tcPr>
            <w:tcW w:w="4325" w:type="dxa"/>
            <w:tcBorders/>
            <w:shd w:fill="D5EAEA" w:val="clear"/>
            <w:vAlign w:val="center"/>
          </w:tcPr>
          <w:p>
            <w:pPr>
              <w:pStyle w:val="TableContents"/>
              <w:bidi w:val="0"/>
              <w:spacing w:before="0" w:after="283"/>
              <w:jc w:val="left"/>
              <w:rPr/>
            </w:pPr>
            <w:r>
              <w:rPr/>
              <w:t>Fixed assets, net</w:t>
              <w:tab/>
            </w:r>
          </w:p>
        </w:tc>
        <w:tc>
          <w:tcPr>
            <w:tcW w:w="60" w:type="dxa"/>
            <w:tcBorders/>
            <w:shd w:fill="D5EAEA" w:val="clear"/>
            <w:vAlign w:val="center"/>
          </w:tcPr>
          <w:p>
            <w:pPr>
              <w:pStyle w:val="TableContents"/>
              <w:bidi w:val="0"/>
              <w:spacing w:before="0" w:after="283"/>
              <w:jc w:val="left"/>
              <w:rPr/>
            </w:pPr>
            <w:r>
              <w:rPr/>
              <w:t> </w:t>
            </w:r>
          </w:p>
        </w:tc>
        <w:tc>
          <w:tcPr>
            <w:tcW w:w="186" w:type="dxa"/>
            <w:tcBorders/>
            <w:shd w:fill="D5EAEA" w:val="clear"/>
            <w:vAlign w:val="center"/>
          </w:tcPr>
          <w:p>
            <w:pPr>
              <w:pStyle w:val="TableContents"/>
              <w:bidi w:val="0"/>
              <w:spacing w:before="0" w:after="283"/>
              <w:jc w:val="left"/>
              <w:rPr/>
            </w:pPr>
            <w:r>
              <w:rPr/>
              <w:t> </w:t>
            </w:r>
          </w:p>
        </w:tc>
        <w:tc>
          <w:tcPr>
            <w:tcW w:w="1086" w:type="dxa"/>
            <w:tcBorders/>
            <w:shd w:fill="D5EAEA" w:val="clear"/>
            <w:vAlign w:val="center"/>
          </w:tcPr>
          <w:p>
            <w:pPr>
              <w:pStyle w:val="TableContents"/>
              <w:bidi w:val="0"/>
              <w:spacing w:before="0" w:after="283"/>
              <w:jc w:val="right"/>
              <w:rPr/>
            </w:pPr>
            <w:r>
              <w:rPr/>
              <w:t>22.9</w:t>
            </w:r>
          </w:p>
        </w:tc>
        <w:tc>
          <w:tcPr>
            <w:tcW w:w="126"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815" w:type="dxa"/>
            <w:tcBorders/>
            <w:shd w:fill="D5EAEA" w:val="clear"/>
            <w:vAlign w:val="center"/>
          </w:tcPr>
          <w:p>
            <w:pPr>
              <w:pStyle w:val="TableContents"/>
              <w:bidi w:val="0"/>
              <w:spacing w:before="0" w:after="283"/>
              <w:jc w:val="right"/>
              <w:rPr/>
            </w:pPr>
            <w:r>
              <w:rPr/>
              <w:t>24.0</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815" w:type="dxa"/>
            <w:tcBorders/>
            <w:shd w:fill="D5EAEA" w:val="clear"/>
            <w:vAlign w:val="center"/>
          </w:tcPr>
          <w:p>
            <w:pPr>
              <w:pStyle w:val="TableContents"/>
              <w:bidi w:val="0"/>
              <w:spacing w:before="0" w:after="283"/>
              <w:jc w:val="right"/>
              <w:rPr/>
            </w:pPr>
            <w:r>
              <w:rPr/>
              <w:t>28.3</w:t>
            </w:r>
          </w:p>
        </w:tc>
        <w:tc>
          <w:tcPr>
            <w:tcW w:w="374" w:type="dxa"/>
            <w:tcBorders/>
            <w:shd w:fill="D5EAEA"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Intangible assets, net</w:t>
              <w:tab/>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pPr>
            <w:r>
              <w:rPr/>
              <w:t>1.9</w:t>
            </w:r>
          </w:p>
        </w:tc>
        <w:tc>
          <w:tcPr>
            <w:tcW w:w="1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2.4</w:t>
            </w:r>
          </w:p>
        </w:tc>
        <w:tc>
          <w:tcPr>
            <w:tcW w:w="374" w:type="dxa"/>
            <w:tcBorders/>
            <w:shd w:fill="FFFFFF" w:val="clear"/>
            <w:vAlign w:val="center"/>
          </w:tcPr>
          <w:p>
            <w:pPr>
              <w:pStyle w:val="TableContents"/>
              <w:bidi w:val="0"/>
              <w:spacing w:before="0" w:after="283"/>
              <w:jc w:val="left"/>
              <w:rPr/>
            </w:pPr>
            <w:r>
              <w:rPr/>
              <w:t> </w:t>
            </w:r>
          </w:p>
        </w:tc>
      </w:tr>
      <w:tr>
        <w:trPr/>
        <w:tc>
          <w:tcPr>
            <w:tcW w:w="4325" w:type="dxa"/>
            <w:tcBorders/>
            <w:shd w:fill="D5EAEA" w:val="clear"/>
            <w:vAlign w:val="center"/>
          </w:tcPr>
          <w:p>
            <w:pPr>
              <w:pStyle w:val="TableContents"/>
              <w:bidi w:val="0"/>
              <w:spacing w:before="0" w:after="283"/>
              <w:jc w:val="left"/>
              <w:rPr/>
            </w:pPr>
            <w:r>
              <w:rPr/>
              <w:t>Operating lease right-of-use assets</w:t>
              <w:tab/>
            </w:r>
          </w:p>
        </w:tc>
        <w:tc>
          <w:tcPr>
            <w:tcW w:w="60" w:type="dxa"/>
            <w:tcBorders/>
            <w:shd w:fill="D5EAEA" w:val="clear"/>
            <w:vAlign w:val="center"/>
          </w:tcPr>
          <w:p>
            <w:pPr>
              <w:pStyle w:val="TableContents"/>
              <w:bidi w:val="0"/>
              <w:spacing w:before="0" w:after="283"/>
              <w:jc w:val="left"/>
              <w:rPr/>
            </w:pPr>
            <w:r>
              <w:rPr/>
              <w:t> </w:t>
            </w:r>
          </w:p>
        </w:tc>
        <w:tc>
          <w:tcPr>
            <w:tcW w:w="186" w:type="dxa"/>
            <w:tcBorders/>
            <w:shd w:fill="D5EAEA" w:val="clear"/>
            <w:vAlign w:val="center"/>
          </w:tcPr>
          <w:p>
            <w:pPr>
              <w:pStyle w:val="TableContents"/>
              <w:bidi w:val="0"/>
              <w:spacing w:before="0" w:after="283"/>
              <w:jc w:val="left"/>
              <w:rPr/>
            </w:pPr>
            <w:r>
              <w:rPr/>
              <w:t> </w:t>
            </w:r>
          </w:p>
        </w:tc>
        <w:tc>
          <w:tcPr>
            <w:tcW w:w="1086" w:type="dxa"/>
            <w:tcBorders/>
            <w:shd w:fill="D5EAEA" w:val="clear"/>
            <w:vAlign w:val="center"/>
          </w:tcPr>
          <w:p>
            <w:pPr>
              <w:pStyle w:val="TableContents"/>
              <w:bidi w:val="0"/>
              <w:spacing w:before="0" w:after="283"/>
              <w:jc w:val="right"/>
              <w:rPr/>
            </w:pPr>
            <w:r>
              <w:rPr/>
              <w:t>27.5</w:t>
            </w:r>
          </w:p>
        </w:tc>
        <w:tc>
          <w:tcPr>
            <w:tcW w:w="126"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815" w:type="dxa"/>
            <w:tcBorders/>
            <w:shd w:fill="D5EAEA" w:val="clear"/>
            <w:vAlign w:val="center"/>
          </w:tcPr>
          <w:p>
            <w:pPr>
              <w:pStyle w:val="TableContents"/>
              <w:bidi w:val="0"/>
              <w:spacing w:before="0" w:after="283"/>
              <w:jc w:val="right"/>
              <w:rPr/>
            </w:pPr>
            <w:r>
              <w:rPr/>
              <w:t>29.3</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815" w:type="dxa"/>
            <w:tcBorders/>
            <w:shd w:fill="D5EAEA" w:val="clear"/>
            <w:vAlign w:val="center"/>
          </w:tcPr>
          <w:p>
            <w:pPr>
              <w:pStyle w:val="TableContents"/>
              <w:bidi w:val="0"/>
              <w:spacing w:before="0" w:after="283"/>
              <w:jc w:val="right"/>
              <w:rPr/>
            </w:pPr>
            <w:r>
              <w:rPr/>
              <w:t>32.1</w:t>
            </w:r>
          </w:p>
        </w:tc>
        <w:tc>
          <w:tcPr>
            <w:tcW w:w="374" w:type="dxa"/>
            <w:tcBorders/>
            <w:shd w:fill="D5EAEA" w:val="clear"/>
            <w:vAlign w:val="center"/>
          </w:tcPr>
          <w:p>
            <w:pPr>
              <w:pStyle w:val="TableContents"/>
              <w:bidi w:val="0"/>
              <w:spacing w:before="0" w:after="283"/>
              <w:ind w:left="0" w:right="0" w:hanging="0"/>
              <w:jc w:val="left"/>
              <w:rPr/>
            </w:pPr>
            <w:r>
              <w:rPr/>
              <w:t> </w:t>
            </w:r>
          </w:p>
        </w:tc>
      </w:tr>
      <w:tr>
        <w:trPr/>
        <w:tc>
          <w:tcPr>
            <w:tcW w:w="4325" w:type="dxa"/>
            <w:tcBorders/>
            <w:shd w:fill="FFFFFF" w:val="clear"/>
            <w:vAlign w:val="center"/>
          </w:tcPr>
          <w:p>
            <w:pPr>
              <w:pStyle w:val="TableContents"/>
              <w:bidi w:val="0"/>
              <w:spacing w:before="0" w:after="283"/>
              <w:jc w:val="left"/>
              <w:rPr/>
            </w:pPr>
            <w:r>
              <w:rPr/>
              <w:t>Other assets</w:t>
              <w:tab/>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6" w:type="dxa"/>
            <w:tcBorders>
              <w:bottom w:val="single" w:sz="8" w:space="0" w:color="000000"/>
            </w:tcBorders>
            <w:shd w:fill="FFFFFF" w:val="clear"/>
            <w:tcMar>
              <w:bottom w:w="28" w:type="dxa"/>
            </w:tcMar>
            <w:vAlign w:val="center"/>
          </w:tcPr>
          <w:p>
            <w:pPr>
              <w:pStyle w:val="TableContents"/>
              <w:bidi w:val="0"/>
              <w:spacing w:before="0" w:after="283"/>
              <w:jc w:val="right"/>
              <w:rPr/>
            </w:pPr>
            <w:r>
              <w:rPr/>
              <w:t>7.3</w:t>
            </w:r>
          </w:p>
        </w:tc>
        <w:tc>
          <w:tcPr>
            <w:tcW w:w="1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FFFFFF" w:val="clear"/>
            <w:tcMar>
              <w:bottom w:w="28" w:type="dxa"/>
            </w:tcMar>
            <w:vAlign w:val="center"/>
          </w:tcPr>
          <w:p>
            <w:pPr>
              <w:pStyle w:val="TableContents"/>
              <w:bidi w:val="0"/>
              <w:spacing w:before="0" w:after="283"/>
              <w:jc w:val="right"/>
              <w:rPr/>
            </w:pPr>
            <w:r>
              <w:rPr/>
              <w:t>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FFFFFF" w:val="clear"/>
            <w:tcMar>
              <w:bottom w:w="28" w:type="dxa"/>
            </w:tcMar>
            <w:vAlign w:val="center"/>
          </w:tcPr>
          <w:p>
            <w:pPr>
              <w:pStyle w:val="TableContents"/>
              <w:bidi w:val="0"/>
              <w:spacing w:before="0" w:after="283"/>
              <w:jc w:val="right"/>
              <w:rPr/>
            </w:pPr>
            <w:r>
              <w:rPr/>
              <w:t>5.6</w:t>
            </w:r>
          </w:p>
        </w:tc>
        <w:tc>
          <w:tcPr>
            <w:tcW w:w="374" w:type="dxa"/>
            <w:tcBorders/>
            <w:shd w:fill="FFFFFF" w:val="clear"/>
            <w:vAlign w:val="center"/>
          </w:tcPr>
          <w:p>
            <w:pPr>
              <w:pStyle w:val="TableContents"/>
              <w:bidi w:val="0"/>
              <w:spacing w:before="0" w:after="283"/>
              <w:ind w:left="0" w:right="0" w:firstLine="50"/>
              <w:jc w:val="left"/>
              <w:rPr/>
            </w:pPr>
            <w:r>
              <w:rPr/>
              <w:t> </w:t>
            </w:r>
          </w:p>
        </w:tc>
      </w:tr>
      <w:tr>
        <w:trPr/>
        <w:tc>
          <w:tcPr>
            <w:tcW w:w="4325" w:type="dxa"/>
            <w:tcBorders/>
            <w:shd w:fill="D5EAEA" w:val="clear"/>
            <w:vAlign w:val="center"/>
          </w:tcPr>
          <w:p>
            <w:pPr>
              <w:pStyle w:val="TableContents"/>
              <w:bidi w:val="0"/>
              <w:spacing w:before="0" w:after="283"/>
              <w:jc w:val="left"/>
              <w:rPr/>
            </w:pPr>
            <w:r>
              <w:rPr/>
              <w:t>Total assets</w:t>
              <w:tab/>
            </w:r>
          </w:p>
        </w:tc>
        <w:tc>
          <w:tcPr>
            <w:tcW w:w="60" w:type="dxa"/>
            <w:tcBorders/>
            <w:shd w:fill="D5EAEA" w:val="clear"/>
            <w:vAlign w:val="center"/>
          </w:tcPr>
          <w:p>
            <w:pPr>
              <w:pStyle w:val="TableContents"/>
              <w:bidi w:val="0"/>
              <w:spacing w:before="0" w:after="283"/>
              <w:jc w:val="left"/>
              <w:rPr/>
            </w:pPr>
            <w:r>
              <w:rPr/>
              <w:t> </w:t>
            </w:r>
          </w:p>
        </w:tc>
        <w:tc>
          <w:tcPr>
            <w:tcW w:w="186" w:type="dxa"/>
            <w:tcBorders>
              <w:bottom w:val="single" w:sz="8" w:space="0" w:color="000000"/>
            </w:tcBorders>
            <w:shd w:fill="D5EAEA" w:val="clear"/>
            <w:tcMar>
              <w:bottom w:w="28" w:type="dxa"/>
            </w:tcMar>
            <w:vAlign w:val="center"/>
          </w:tcPr>
          <w:p>
            <w:pPr>
              <w:pStyle w:val="TableContents"/>
              <w:bidi w:val="0"/>
              <w:spacing w:before="0" w:after="283"/>
              <w:jc w:val="left"/>
              <w:rPr/>
            </w:pPr>
            <w:r>
              <w:rPr/>
              <w:t>$</w:t>
            </w:r>
          </w:p>
        </w:tc>
        <w:tc>
          <w:tcPr>
            <w:tcW w:w="1086" w:type="dxa"/>
            <w:tcBorders>
              <w:bottom w:val="single" w:sz="8" w:space="0" w:color="000000"/>
            </w:tcBorders>
            <w:shd w:fill="D5EAEA" w:val="clear"/>
            <w:tcMar>
              <w:bottom w:w="28" w:type="dxa"/>
            </w:tcMar>
            <w:vAlign w:val="center"/>
          </w:tcPr>
          <w:p>
            <w:pPr>
              <w:pStyle w:val="TableContents"/>
              <w:bidi w:val="0"/>
              <w:spacing w:before="0" w:after="283"/>
              <w:jc w:val="right"/>
              <w:rPr/>
            </w:pPr>
            <w:r>
              <w:rPr/>
              <w:t>192.4</w:t>
            </w:r>
          </w:p>
        </w:tc>
        <w:tc>
          <w:tcPr>
            <w:tcW w:w="126"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bottom w:val="single" w:sz="8" w:space="0" w:color="000000"/>
            </w:tcBorders>
            <w:shd w:fill="D5EAEA" w:val="clear"/>
            <w:tcMar>
              <w:bottom w:w="28" w:type="dxa"/>
            </w:tcMar>
            <w:vAlign w:val="center"/>
          </w:tcPr>
          <w:p>
            <w:pPr>
              <w:pStyle w:val="TableContents"/>
              <w:bidi w:val="0"/>
              <w:spacing w:before="0" w:after="283"/>
              <w:jc w:val="left"/>
              <w:rPr/>
            </w:pPr>
            <w:r>
              <w:rPr/>
              <w:t>$</w:t>
            </w:r>
          </w:p>
        </w:tc>
        <w:tc>
          <w:tcPr>
            <w:tcW w:w="815" w:type="dxa"/>
            <w:tcBorders>
              <w:bottom w:val="single" w:sz="8" w:space="0" w:color="000000"/>
            </w:tcBorders>
            <w:shd w:fill="D5EAEA" w:val="clear"/>
            <w:tcMar>
              <w:bottom w:w="28" w:type="dxa"/>
            </w:tcMar>
            <w:vAlign w:val="center"/>
          </w:tcPr>
          <w:p>
            <w:pPr>
              <w:pStyle w:val="TableContents"/>
              <w:bidi w:val="0"/>
              <w:spacing w:before="0" w:after="283"/>
              <w:jc w:val="right"/>
              <w:rPr/>
            </w:pPr>
            <w:r>
              <w:rPr/>
              <w:t>221.0</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bottom w:val="single" w:sz="8" w:space="0" w:color="000000"/>
            </w:tcBorders>
            <w:shd w:fill="D5EAEA" w:val="clear"/>
            <w:tcMar>
              <w:bottom w:w="28" w:type="dxa"/>
            </w:tcMar>
            <w:vAlign w:val="center"/>
          </w:tcPr>
          <w:p>
            <w:pPr>
              <w:pStyle w:val="TableContents"/>
              <w:bidi w:val="0"/>
              <w:spacing w:before="0" w:after="283"/>
              <w:jc w:val="left"/>
              <w:rPr/>
            </w:pPr>
            <w:r>
              <w:rPr/>
              <w:t>$</w:t>
            </w:r>
          </w:p>
        </w:tc>
        <w:tc>
          <w:tcPr>
            <w:tcW w:w="815" w:type="dxa"/>
            <w:tcBorders>
              <w:bottom w:val="single" w:sz="8" w:space="0" w:color="000000"/>
            </w:tcBorders>
            <w:shd w:fill="D5EAEA" w:val="clear"/>
            <w:tcMar>
              <w:bottom w:w="28" w:type="dxa"/>
            </w:tcMar>
            <w:vAlign w:val="center"/>
          </w:tcPr>
          <w:p>
            <w:pPr>
              <w:pStyle w:val="TableContents"/>
              <w:bidi w:val="0"/>
              <w:spacing w:before="0" w:after="283"/>
              <w:jc w:val="right"/>
              <w:rPr/>
            </w:pPr>
            <w:r>
              <w:rPr/>
              <w:t>240.0</w:t>
            </w:r>
          </w:p>
        </w:tc>
        <w:tc>
          <w:tcPr>
            <w:tcW w:w="374" w:type="dxa"/>
            <w:tcBorders/>
            <w:shd w:fill="D5EAEA"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pPr>
            <w:r>
              <w:rPr/>
              <w:t> </w:t>
            </w:r>
          </w:p>
        </w:tc>
        <w:tc>
          <w:tcPr>
            <w:tcW w:w="1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374" w:type="dxa"/>
            <w:tcBorders/>
            <w:shd w:fill="FFFFFF" w:val="clear"/>
            <w:vAlign w:val="center"/>
          </w:tcPr>
          <w:p>
            <w:pPr>
              <w:pStyle w:val="TableContents"/>
              <w:bidi w:val="0"/>
              <w:spacing w:before="0" w:after="283"/>
              <w:ind w:left="0" w:right="0" w:firstLine="29"/>
              <w:jc w:val="left"/>
              <w:rPr/>
            </w:pPr>
            <w:r>
              <w:rPr/>
              <w:t> </w:t>
            </w:r>
          </w:p>
        </w:tc>
      </w:tr>
      <w:tr>
        <w:trPr/>
        <w:tc>
          <w:tcPr>
            <w:tcW w:w="4325" w:type="dxa"/>
            <w:tcBorders/>
            <w:shd w:fill="D5EAEA" w:val="clear"/>
            <w:vAlign w:val="center"/>
          </w:tcPr>
          <w:p>
            <w:pPr>
              <w:pStyle w:val="TableContents"/>
              <w:bidi w:val="0"/>
              <w:spacing w:before="0" w:after="283"/>
              <w:jc w:val="left"/>
              <w:rPr>
                <w:b/>
              </w:rPr>
            </w:pPr>
            <w:r>
              <w:rPr>
                <w:b/>
              </w:rPr>
              <w:t>Liabilities and Stockholders’ Equity</w:t>
            </w:r>
          </w:p>
        </w:tc>
        <w:tc>
          <w:tcPr>
            <w:tcW w:w="60" w:type="dxa"/>
            <w:tcBorders/>
            <w:shd w:fill="D5EAEA" w:val="clear"/>
            <w:vAlign w:val="center"/>
          </w:tcPr>
          <w:p>
            <w:pPr>
              <w:pStyle w:val="TableContents"/>
              <w:bidi w:val="0"/>
              <w:spacing w:before="0" w:after="283"/>
              <w:jc w:val="left"/>
              <w:rPr/>
            </w:pPr>
            <w:r>
              <w:rPr/>
              <w:t> </w:t>
            </w:r>
          </w:p>
        </w:tc>
        <w:tc>
          <w:tcPr>
            <w:tcW w:w="186" w:type="dxa"/>
            <w:tcBorders/>
            <w:shd w:fill="D5EAEA" w:val="clear"/>
            <w:vAlign w:val="center"/>
          </w:tcPr>
          <w:p>
            <w:pPr>
              <w:pStyle w:val="TableContents"/>
              <w:bidi w:val="0"/>
              <w:spacing w:before="0" w:after="283"/>
              <w:jc w:val="left"/>
              <w:rPr/>
            </w:pPr>
            <w:r>
              <w:rPr/>
              <w:t> </w:t>
            </w:r>
          </w:p>
        </w:tc>
        <w:tc>
          <w:tcPr>
            <w:tcW w:w="1086" w:type="dxa"/>
            <w:tcBorders/>
            <w:shd w:fill="D5EAEA" w:val="clear"/>
            <w:vAlign w:val="center"/>
          </w:tcPr>
          <w:p>
            <w:pPr>
              <w:pStyle w:val="TableContents"/>
              <w:bidi w:val="0"/>
              <w:spacing w:before="0" w:after="283"/>
              <w:jc w:val="right"/>
              <w:rPr/>
            </w:pPr>
            <w:r>
              <w:rPr/>
              <w:t> </w:t>
            </w:r>
          </w:p>
        </w:tc>
        <w:tc>
          <w:tcPr>
            <w:tcW w:w="126"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815" w:type="dxa"/>
            <w:tcBorders/>
            <w:shd w:fill="D5EAEA" w:val="clear"/>
            <w:vAlign w:val="center"/>
          </w:tcPr>
          <w:p>
            <w:pPr>
              <w:pStyle w:val="TableContents"/>
              <w:bidi w:val="0"/>
              <w:spacing w:before="0" w:after="283"/>
              <w:jc w:val="right"/>
              <w:rPr/>
            </w:pPr>
            <w:r>
              <w:rPr/>
              <w:t> </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815" w:type="dxa"/>
            <w:tcBorders/>
            <w:shd w:fill="D5EAEA" w:val="clear"/>
            <w:vAlign w:val="center"/>
          </w:tcPr>
          <w:p>
            <w:pPr>
              <w:pStyle w:val="TableContents"/>
              <w:bidi w:val="0"/>
              <w:spacing w:before="0" w:after="283"/>
              <w:jc w:val="right"/>
              <w:rPr/>
            </w:pPr>
            <w:r>
              <w:rPr/>
              <w:t> </w:t>
            </w:r>
          </w:p>
        </w:tc>
        <w:tc>
          <w:tcPr>
            <w:tcW w:w="374" w:type="dxa"/>
            <w:tcBorders/>
            <w:shd w:fill="D5EAEA" w:val="clear"/>
            <w:vAlign w:val="center"/>
          </w:tcPr>
          <w:p>
            <w:pPr>
              <w:pStyle w:val="TableContents"/>
              <w:bidi w:val="0"/>
              <w:spacing w:before="0" w:after="283"/>
              <w:ind w:left="0" w:right="0" w:firstLine="29"/>
              <w:jc w:val="left"/>
              <w:rPr/>
            </w:pPr>
            <w:r>
              <w:rPr/>
              <w:t> </w:t>
            </w:r>
          </w:p>
        </w:tc>
      </w:tr>
      <w:tr>
        <w:trPr/>
        <w:tc>
          <w:tcPr>
            <w:tcW w:w="4325"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pPr>
            <w:r>
              <w:rPr/>
              <w:t> </w:t>
            </w:r>
          </w:p>
        </w:tc>
        <w:tc>
          <w:tcPr>
            <w:tcW w:w="1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374" w:type="dxa"/>
            <w:tcBorders/>
            <w:shd w:fill="FFFFFF" w:val="clear"/>
            <w:vAlign w:val="center"/>
          </w:tcPr>
          <w:p>
            <w:pPr>
              <w:pStyle w:val="TableContents"/>
              <w:bidi w:val="0"/>
              <w:spacing w:before="0" w:after="283"/>
              <w:ind w:left="0" w:right="0" w:firstLine="29"/>
              <w:jc w:val="left"/>
              <w:rPr/>
            </w:pPr>
            <w:r>
              <w:rPr/>
              <w:t> </w:t>
            </w:r>
          </w:p>
        </w:tc>
      </w:tr>
      <w:tr>
        <w:trPr/>
        <w:tc>
          <w:tcPr>
            <w:tcW w:w="4325" w:type="dxa"/>
            <w:tcBorders/>
            <w:shd w:fill="D5EAEA" w:val="clear"/>
            <w:vAlign w:val="center"/>
          </w:tcPr>
          <w:p>
            <w:pPr>
              <w:pStyle w:val="TableContents"/>
              <w:bidi w:val="0"/>
              <w:spacing w:before="0" w:after="283"/>
              <w:jc w:val="left"/>
              <w:rPr/>
            </w:pPr>
            <w:r>
              <w:rPr/>
              <w:t>Accounts payable</w:t>
              <w:tab/>
            </w:r>
          </w:p>
        </w:tc>
        <w:tc>
          <w:tcPr>
            <w:tcW w:w="60" w:type="dxa"/>
            <w:tcBorders/>
            <w:shd w:fill="D5EAEA" w:val="clear"/>
            <w:vAlign w:val="center"/>
          </w:tcPr>
          <w:p>
            <w:pPr>
              <w:pStyle w:val="TableContents"/>
              <w:bidi w:val="0"/>
              <w:spacing w:before="0" w:after="283"/>
              <w:jc w:val="left"/>
              <w:rPr/>
            </w:pPr>
            <w:r>
              <w:rPr/>
              <w:t> </w:t>
            </w:r>
          </w:p>
        </w:tc>
        <w:tc>
          <w:tcPr>
            <w:tcW w:w="186" w:type="dxa"/>
            <w:tcBorders/>
            <w:shd w:fill="D5EAEA" w:val="clear"/>
            <w:vAlign w:val="center"/>
          </w:tcPr>
          <w:p>
            <w:pPr>
              <w:pStyle w:val="TableContents"/>
              <w:bidi w:val="0"/>
              <w:spacing w:before="0" w:after="283"/>
              <w:jc w:val="left"/>
              <w:rPr/>
            </w:pPr>
            <w:r>
              <w:rPr/>
              <w:t>$</w:t>
            </w:r>
          </w:p>
        </w:tc>
        <w:tc>
          <w:tcPr>
            <w:tcW w:w="1086" w:type="dxa"/>
            <w:tcBorders/>
            <w:shd w:fill="D5EAEA" w:val="clear"/>
            <w:vAlign w:val="center"/>
          </w:tcPr>
          <w:p>
            <w:pPr>
              <w:pStyle w:val="TableContents"/>
              <w:bidi w:val="0"/>
              <w:spacing w:before="0" w:after="283"/>
              <w:jc w:val="right"/>
              <w:rPr/>
            </w:pPr>
            <w:r>
              <w:rPr/>
              <w:t>4.4</w:t>
            </w:r>
          </w:p>
        </w:tc>
        <w:tc>
          <w:tcPr>
            <w:tcW w:w="126"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w:t>
            </w:r>
          </w:p>
        </w:tc>
        <w:tc>
          <w:tcPr>
            <w:tcW w:w="815" w:type="dxa"/>
            <w:tcBorders/>
            <w:shd w:fill="D5EAEA" w:val="clear"/>
            <w:vAlign w:val="center"/>
          </w:tcPr>
          <w:p>
            <w:pPr>
              <w:pStyle w:val="TableContents"/>
              <w:bidi w:val="0"/>
              <w:spacing w:before="0" w:after="283"/>
              <w:jc w:val="right"/>
              <w:rPr/>
            </w:pPr>
            <w:r>
              <w:rPr/>
              <w:t>9.9</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w:t>
            </w:r>
          </w:p>
        </w:tc>
        <w:tc>
          <w:tcPr>
            <w:tcW w:w="815" w:type="dxa"/>
            <w:tcBorders/>
            <w:shd w:fill="D5EAEA" w:val="clear"/>
            <w:vAlign w:val="center"/>
          </w:tcPr>
          <w:p>
            <w:pPr>
              <w:pStyle w:val="TableContents"/>
              <w:bidi w:val="0"/>
              <w:spacing w:before="0" w:after="283"/>
              <w:jc w:val="right"/>
              <w:rPr/>
            </w:pPr>
            <w:r>
              <w:rPr/>
              <w:t>6.2</w:t>
            </w:r>
          </w:p>
        </w:tc>
        <w:tc>
          <w:tcPr>
            <w:tcW w:w="374" w:type="dxa"/>
            <w:tcBorders/>
            <w:shd w:fill="D5EAEA" w:val="clear"/>
            <w:vAlign w:val="center"/>
          </w:tcPr>
          <w:p>
            <w:pPr>
              <w:pStyle w:val="TableContents"/>
              <w:bidi w:val="0"/>
              <w:spacing w:before="0" w:after="283"/>
              <w:ind w:left="0" w:right="0" w:firstLine="29"/>
              <w:jc w:val="left"/>
              <w:rPr/>
            </w:pPr>
            <w:r>
              <w:rPr/>
              <w:t> </w:t>
            </w:r>
          </w:p>
        </w:tc>
      </w:tr>
      <w:tr>
        <w:trPr/>
        <w:tc>
          <w:tcPr>
            <w:tcW w:w="4325" w:type="dxa"/>
            <w:tcBorders/>
            <w:shd w:fill="FFFFFF" w:val="clear"/>
            <w:vAlign w:val="center"/>
          </w:tcPr>
          <w:p>
            <w:pPr>
              <w:pStyle w:val="TableContents"/>
              <w:bidi w:val="0"/>
              <w:spacing w:before="0" w:after="283"/>
              <w:jc w:val="left"/>
              <w:rPr/>
            </w:pPr>
            <w:r>
              <w:rPr/>
              <w:t>Accrued expenses and other current liabilities</w:t>
              <w:tab/>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pPr>
            <w:r>
              <w:rPr/>
              <w:t>36.5</w:t>
            </w:r>
          </w:p>
        </w:tc>
        <w:tc>
          <w:tcPr>
            <w:tcW w:w="1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29.1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19.6</w:t>
            </w:r>
          </w:p>
        </w:tc>
        <w:tc>
          <w:tcPr>
            <w:tcW w:w="374" w:type="dxa"/>
            <w:tcBorders/>
            <w:shd w:fill="FFFFFF" w:val="clear"/>
            <w:vAlign w:val="center"/>
          </w:tcPr>
          <w:p>
            <w:pPr>
              <w:pStyle w:val="TableContents"/>
              <w:bidi w:val="0"/>
              <w:spacing w:before="0" w:after="283"/>
              <w:ind w:left="0" w:right="0" w:firstLine="29"/>
              <w:jc w:val="left"/>
              <w:rPr/>
            </w:pPr>
            <w:r>
              <w:rPr/>
              <w:t> </w:t>
            </w:r>
          </w:p>
        </w:tc>
      </w:tr>
      <w:tr>
        <w:trPr/>
        <w:tc>
          <w:tcPr>
            <w:tcW w:w="4325" w:type="dxa"/>
            <w:tcBorders/>
            <w:shd w:fill="D5EAEA" w:val="clear"/>
            <w:vAlign w:val="center"/>
          </w:tcPr>
          <w:p>
            <w:pPr>
              <w:pStyle w:val="TableContents"/>
              <w:bidi w:val="0"/>
              <w:spacing w:before="0" w:after="283"/>
              <w:jc w:val="left"/>
              <w:rPr/>
            </w:pPr>
            <w:r>
              <w:rPr/>
              <w:t>Deferred revenue</w:t>
              <w:tab/>
            </w:r>
          </w:p>
        </w:tc>
        <w:tc>
          <w:tcPr>
            <w:tcW w:w="60" w:type="dxa"/>
            <w:tcBorders/>
            <w:shd w:fill="D5EAEA" w:val="clear"/>
            <w:vAlign w:val="center"/>
          </w:tcPr>
          <w:p>
            <w:pPr>
              <w:pStyle w:val="TableContents"/>
              <w:bidi w:val="0"/>
              <w:spacing w:before="0" w:after="283"/>
              <w:jc w:val="left"/>
              <w:rPr/>
            </w:pPr>
            <w:r>
              <w:rPr/>
              <w:t> </w:t>
            </w:r>
          </w:p>
        </w:tc>
        <w:tc>
          <w:tcPr>
            <w:tcW w:w="186" w:type="dxa"/>
            <w:tcBorders/>
            <w:shd w:fill="D5EAEA" w:val="clear"/>
            <w:vAlign w:val="center"/>
          </w:tcPr>
          <w:p>
            <w:pPr>
              <w:pStyle w:val="TableContents"/>
              <w:bidi w:val="0"/>
              <w:spacing w:before="0" w:after="283"/>
              <w:jc w:val="left"/>
              <w:rPr/>
            </w:pPr>
            <w:r>
              <w:rPr/>
              <w:t> </w:t>
            </w:r>
          </w:p>
        </w:tc>
        <w:tc>
          <w:tcPr>
            <w:tcW w:w="1086" w:type="dxa"/>
            <w:tcBorders/>
            <w:shd w:fill="D5EAEA" w:val="clear"/>
            <w:vAlign w:val="center"/>
          </w:tcPr>
          <w:p>
            <w:pPr>
              <w:pStyle w:val="TableContents"/>
              <w:bidi w:val="0"/>
              <w:spacing w:before="0" w:after="283"/>
              <w:jc w:val="right"/>
              <w:rPr/>
            </w:pPr>
            <w:r>
              <w:rPr/>
              <w:t>13.0</w:t>
            </w:r>
          </w:p>
        </w:tc>
        <w:tc>
          <w:tcPr>
            <w:tcW w:w="126"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815" w:type="dxa"/>
            <w:tcBorders/>
            <w:shd w:fill="D5EAEA" w:val="clear"/>
            <w:vAlign w:val="center"/>
          </w:tcPr>
          <w:p>
            <w:pPr>
              <w:pStyle w:val="TableContents"/>
              <w:bidi w:val="0"/>
              <w:spacing w:before="0" w:after="283"/>
              <w:jc w:val="right"/>
              <w:rPr/>
            </w:pPr>
            <w:r>
              <w:rPr/>
              <w:t>12.0</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815" w:type="dxa"/>
            <w:tcBorders/>
            <w:shd w:fill="D5EAEA" w:val="clear"/>
            <w:vAlign w:val="center"/>
          </w:tcPr>
          <w:p>
            <w:pPr>
              <w:pStyle w:val="TableContents"/>
              <w:bidi w:val="0"/>
              <w:spacing w:before="0" w:after="283"/>
              <w:jc w:val="right"/>
              <w:rPr/>
            </w:pPr>
            <w:r>
              <w:rPr/>
              <w:t>10.2</w:t>
            </w:r>
          </w:p>
        </w:tc>
        <w:tc>
          <w:tcPr>
            <w:tcW w:w="374" w:type="dxa"/>
            <w:tcBorders/>
            <w:shd w:fill="D5EAEA" w:val="clear"/>
            <w:vAlign w:val="center"/>
          </w:tcPr>
          <w:p>
            <w:pPr>
              <w:pStyle w:val="TableContents"/>
              <w:bidi w:val="0"/>
              <w:spacing w:before="0" w:after="283"/>
              <w:ind w:left="0" w:right="0" w:firstLine="29"/>
              <w:jc w:val="left"/>
              <w:rPr/>
            </w:pPr>
            <w:r>
              <w:rPr/>
              <w:t> </w:t>
            </w:r>
          </w:p>
        </w:tc>
      </w:tr>
      <w:tr>
        <w:trPr/>
        <w:tc>
          <w:tcPr>
            <w:tcW w:w="4325" w:type="dxa"/>
            <w:tcBorders/>
            <w:shd w:fill="FFFFFF" w:val="clear"/>
            <w:vAlign w:val="center"/>
          </w:tcPr>
          <w:p>
            <w:pPr>
              <w:pStyle w:val="TableContents"/>
              <w:bidi w:val="0"/>
              <w:spacing w:before="0" w:after="283"/>
              <w:jc w:val="left"/>
              <w:rPr/>
            </w:pPr>
            <w:r>
              <w:rPr/>
              <w:t>Customer credit and gift card liabilities</w:t>
              <w:tab/>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pPr>
            <w:r>
              <w:rPr/>
              <w:t>6.5</w:t>
            </w:r>
          </w:p>
        </w:tc>
        <w:tc>
          <w:tcPr>
            <w:tcW w:w="1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6.7</w:t>
            </w:r>
          </w:p>
        </w:tc>
        <w:tc>
          <w:tcPr>
            <w:tcW w:w="374" w:type="dxa"/>
            <w:tcBorders/>
            <w:shd w:fill="FFFFFF" w:val="clear"/>
            <w:vAlign w:val="center"/>
          </w:tcPr>
          <w:p>
            <w:pPr>
              <w:pStyle w:val="TableContents"/>
              <w:bidi w:val="0"/>
              <w:spacing w:before="0" w:after="283"/>
              <w:jc w:val="left"/>
              <w:rPr/>
            </w:pPr>
            <w:r>
              <w:rPr/>
              <w:t> </w:t>
            </w:r>
          </w:p>
        </w:tc>
      </w:tr>
      <w:tr>
        <w:trPr/>
        <w:tc>
          <w:tcPr>
            <w:tcW w:w="4325" w:type="dxa"/>
            <w:tcBorders/>
            <w:shd w:fill="D5EAEA" w:val="clear"/>
            <w:vAlign w:val="center"/>
          </w:tcPr>
          <w:p>
            <w:pPr>
              <w:pStyle w:val="TableContents"/>
              <w:bidi w:val="0"/>
              <w:spacing w:before="0" w:after="283"/>
              <w:jc w:val="left"/>
              <w:rPr/>
            </w:pPr>
            <w:r>
              <w:rPr/>
              <w:t>Operating lease liabilities</w:t>
              <w:tab/>
            </w:r>
          </w:p>
        </w:tc>
        <w:tc>
          <w:tcPr>
            <w:tcW w:w="60" w:type="dxa"/>
            <w:tcBorders/>
            <w:shd w:fill="D5EAEA" w:val="clear"/>
            <w:vAlign w:val="center"/>
          </w:tcPr>
          <w:p>
            <w:pPr>
              <w:pStyle w:val="TableContents"/>
              <w:bidi w:val="0"/>
              <w:spacing w:before="0" w:after="283"/>
              <w:jc w:val="left"/>
              <w:rPr/>
            </w:pPr>
            <w:r>
              <w:rPr/>
              <w:t> </w:t>
            </w:r>
          </w:p>
        </w:tc>
        <w:tc>
          <w:tcPr>
            <w:tcW w:w="186"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1086" w:type="dxa"/>
            <w:tcBorders>
              <w:bottom w:val="single" w:sz="8" w:space="0" w:color="000000"/>
            </w:tcBorders>
            <w:shd w:fill="D5EAEA" w:val="clear"/>
            <w:tcMar>
              <w:bottom w:w="28" w:type="dxa"/>
            </w:tcMar>
            <w:vAlign w:val="center"/>
          </w:tcPr>
          <w:p>
            <w:pPr>
              <w:pStyle w:val="TableContents"/>
              <w:bidi w:val="0"/>
              <w:spacing w:before="0" w:after="283"/>
              <w:jc w:val="right"/>
              <w:rPr/>
            </w:pPr>
            <w:r>
              <w:rPr/>
              <w:t>5.7</w:t>
            </w:r>
          </w:p>
        </w:tc>
        <w:tc>
          <w:tcPr>
            <w:tcW w:w="126"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D5EAEA" w:val="clear"/>
            <w:tcMar>
              <w:bottom w:w="28" w:type="dxa"/>
            </w:tcMar>
            <w:vAlign w:val="center"/>
          </w:tcPr>
          <w:p>
            <w:pPr>
              <w:pStyle w:val="TableContents"/>
              <w:bidi w:val="0"/>
              <w:spacing w:before="0" w:after="283"/>
              <w:jc w:val="right"/>
              <w:rPr/>
            </w:pPr>
            <w:r>
              <w:rPr/>
              <w:t>5.6</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D5EAEA" w:val="clear"/>
            <w:tcMar>
              <w:bottom w:w="28" w:type="dxa"/>
            </w:tcMar>
            <w:vAlign w:val="center"/>
          </w:tcPr>
          <w:p>
            <w:pPr>
              <w:pStyle w:val="TableContents"/>
              <w:bidi w:val="0"/>
              <w:spacing w:before="0" w:after="283"/>
              <w:jc w:val="right"/>
              <w:rPr/>
            </w:pPr>
            <w:r>
              <w:rPr/>
              <w:t>4.7</w:t>
            </w:r>
          </w:p>
        </w:tc>
        <w:tc>
          <w:tcPr>
            <w:tcW w:w="374" w:type="dxa"/>
            <w:tcBorders/>
            <w:shd w:fill="D5EAEA" w:val="clear"/>
            <w:vAlign w:val="center"/>
          </w:tcPr>
          <w:p>
            <w:pPr>
              <w:pStyle w:val="TableContents"/>
              <w:bidi w:val="0"/>
              <w:spacing w:before="0" w:after="283"/>
              <w:ind w:left="0" w:right="0" w:firstLine="299"/>
              <w:jc w:val="left"/>
              <w:rPr/>
            </w:pPr>
            <w:r>
              <w:rPr/>
              <w:t> </w:t>
            </w:r>
          </w:p>
        </w:tc>
      </w:tr>
      <w:tr>
        <w:trPr/>
        <w:tc>
          <w:tcPr>
            <w:tcW w:w="4325" w:type="dxa"/>
            <w:tcBorders/>
            <w:shd w:fill="FFFFFF" w:val="clear"/>
            <w:vAlign w:val="center"/>
          </w:tcPr>
          <w:p>
            <w:pPr>
              <w:pStyle w:val="TableContents"/>
              <w:bidi w:val="0"/>
              <w:spacing w:before="0" w:after="283"/>
              <w:jc w:val="left"/>
              <w:rPr/>
            </w:pPr>
            <w:r>
              <w:rPr/>
              <w:t>Total current liabilities</w:t>
              <w:tab/>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pPr>
            <w:r>
              <w:rPr/>
              <w:t>66.1</w:t>
            </w:r>
          </w:p>
        </w:tc>
        <w:tc>
          <w:tcPr>
            <w:tcW w:w="1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63.2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47.4</w:t>
            </w:r>
          </w:p>
        </w:tc>
        <w:tc>
          <w:tcPr>
            <w:tcW w:w="374" w:type="dxa"/>
            <w:tcBorders/>
            <w:shd w:fill="FFFFFF" w:val="clear"/>
            <w:vAlign w:val="center"/>
          </w:tcPr>
          <w:p>
            <w:pPr>
              <w:pStyle w:val="TableContents"/>
              <w:bidi w:val="0"/>
              <w:spacing w:before="0" w:after="283"/>
              <w:jc w:val="left"/>
              <w:rPr/>
            </w:pPr>
            <w:r>
              <w:rPr/>
              <w:t> </w:t>
            </w:r>
          </w:p>
        </w:tc>
      </w:tr>
      <w:tr>
        <w:trPr/>
        <w:tc>
          <w:tcPr>
            <w:tcW w:w="4325" w:type="dxa"/>
            <w:tcBorders/>
            <w:shd w:fill="D5EAEA" w:val="clear"/>
            <w:vAlign w:val="center"/>
          </w:tcPr>
          <w:p>
            <w:pPr>
              <w:pStyle w:val="TableContents"/>
              <w:bidi w:val="0"/>
              <w:spacing w:before="0" w:after="283"/>
              <w:jc w:val="left"/>
              <w:rPr/>
            </w:pPr>
            <w:r>
              <w:rPr/>
              <w:t>Long-term debt, net</w:t>
              <w:tab/>
            </w:r>
          </w:p>
        </w:tc>
        <w:tc>
          <w:tcPr>
            <w:tcW w:w="60" w:type="dxa"/>
            <w:tcBorders/>
            <w:shd w:fill="D5EAEA" w:val="clear"/>
            <w:vAlign w:val="center"/>
          </w:tcPr>
          <w:p>
            <w:pPr>
              <w:pStyle w:val="TableContents"/>
              <w:bidi w:val="0"/>
              <w:spacing w:before="0" w:after="283"/>
              <w:jc w:val="left"/>
              <w:rPr/>
            </w:pPr>
            <w:r>
              <w:rPr/>
              <w:t> </w:t>
            </w:r>
          </w:p>
        </w:tc>
        <w:tc>
          <w:tcPr>
            <w:tcW w:w="186" w:type="dxa"/>
            <w:tcBorders/>
            <w:shd w:fill="D5EAEA" w:val="clear"/>
            <w:vAlign w:val="center"/>
          </w:tcPr>
          <w:p>
            <w:pPr>
              <w:pStyle w:val="TableContents"/>
              <w:bidi w:val="0"/>
              <w:spacing w:before="0" w:after="283"/>
              <w:jc w:val="left"/>
              <w:rPr/>
            </w:pPr>
            <w:r>
              <w:rPr/>
              <w:t> </w:t>
            </w:r>
          </w:p>
        </w:tc>
        <w:tc>
          <w:tcPr>
            <w:tcW w:w="1086" w:type="dxa"/>
            <w:tcBorders/>
            <w:shd w:fill="D5EAEA" w:val="clear"/>
            <w:vAlign w:val="center"/>
          </w:tcPr>
          <w:p>
            <w:pPr>
              <w:pStyle w:val="TableContents"/>
              <w:bidi w:val="0"/>
              <w:spacing w:before="0" w:after="283"/>
              <w:jc w:val="right"/>
              <w:rPr/>
            </w:pPr>
            <w:r>
              <w:rPr/>
              <w:t>157.5</w:t>
            </w:r>
          </w:p>
        </w:tc>
        <w:tc>
          <w:tcPr>
            <w:tcW w:w="126"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815" w:type="dxa"/>
            <w:tcBorders/>
            <w:shd w:fill="D5EAEA" w:val="clear"/>
            <w:vAlign w:val="center"/>
          </w:tcPr>
          <w:p>
            <w:pPr>
              <w:pStyle w:val="TableContents"/>
              <w:bidi w:val="0"/>
              <w:spacing w:before="0" w:after="283"/>
              <w:jc w:val="right"/>
              <w:rPr/>
            </w:pPr>
            <w:r>
              <w:rPr/>
              <w:t>156.6</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815" w:type="dxa"/>
            <w:tcBorders/>
            <w:shd w:fill="D5EAEA" w:val="clear"/>
            <w:vAlign w:val="center"/>
          </w:tcPr>
          <w:p>
            <w:pPr>
              <w:pStyle w:val="TableContents"/>
              <w:bidi w:val="0"/>
              <w:spacing w:before="0" w:after="283"/>
              <w:jc w:val="right"/>
              <w:rPr/>
            </w:pPr>
            <w:r>
              <w:rPr/>
              <w:t>333.7</w:t>
            </w:r>
          </w:p>
        </w:tc>
        <w:tc>
          <w:tcPr>
            <w:tcW w:w="374" w:type="dxa"/>
            <w:tcBorders/>
            <w:shd w:fill="D5EAEA"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Operating lease liabilities</w:t>
              <w:tab/>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pPr>
            <w:r>
              <w:rPr/>
              <w:t>32.8</w:t>
            </w:r>
          </w:p>
        </w:tc>
        <w:tc>
          <w:tcPr>
            <w:tcW w:w="1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35.7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41.0</w:t>
            </w:r>
          </w:p>
        </w:tc>
        <w:tc>
          <w:tcPr>
            <w:tcW w:w="374" w:type="dxa"/>
            <w:tcBorders/>
            <w:shd w:fill="FFFFFF" w:val="clear"/>
            <w:vAlign w:val="center"/>
          </w:tcPr>
          <w:p>
            <w:pPr>
              <w:pStyle w:val="TableContents"/>
              <w:bidi w:val="0"/>
              <w:spacing w:before="0" w:after="283"/>
              <w:jc w:val="left"/>
              <w:rPr/>
            </w:pPr>
            <w:r>
              <w:rPr/>
              <w:t> </w:t>
            </w:r>
          </w:p>
        </w:tc>
      </w:tr>
      <w:tr>
        <w:trPr/>
        <w:tc>
          <w:tcPr>
            <w:tcW w:w="4325" w:type="dxa"/>
            <w:tcBorders/>
            <w:shd w:fill="D5EAEA" w:val="clear"/>
            <w:vAlign w:val="center"/>
          </w:tcPr>
          <w:p>
            <w:pPr>
              <w:pStyle w:val="TableContents"/>
              <w:bidi w:val="0"/>
              <w:spacing w:before="0" w:after="283"/>
              <w:jc w:val="left"/>
              <w:rPr/>
            </w:pPr>
            <w:r>
              <w:rPr/>
              <w:t>Other liabilities</w:t>
              <w:tab/>
            </w:r>
          </w:p>
        </w:tc>
        <w:tc>
          <w:tcPr>
            <w:tcW w:w="60" w:type="dxa"/>
            <w:tcBorders/>
            <w:shd w:fill="D5EAEA" w:val="clear"/>
            <w:vAlign w:val="center"/>
          </w:tcPr>
          <w:p>
            <w:pPr>
              <w:pStyle w:val="TableContents"/>
              <w:bidi w:val="0"/>
              <w:spacing w:before="0" w:after="283"/>
              <w:jc w:val="left"/>
              <w:rPr/>
            </w:pPr>
            <w:r>
              <w:rPr/>
              <w:t> </w:t>
            </w:r>
          </w:p>
        </w:tc>
        <w:tc>
          <w:tcPr>
            <w:tcW w:w="186" w:type="dxa"/>
            <w:tcBorders/>
            <w:shd w:fill="D5EAEA" w:val="clear"/>
            <w:vAlign w:val="center"/>
          </w:tcPr>
          <w:p>
            <w:pPr>
              <w:pStyle w:val="TableContents"/>
              <w:bidi w:val="0"/>
              <w:spacing w:before="0" w:after="283"/>
              <w:jc w:val="left"/>
              <w:rPr/>
            </w:pPr>
            <w:r>
              <w:rPr/>
              <w:t> </w:t>
            </w:r>
          </w:p>
        </w:tc>
        <w:tc>
          <w:tcPr>
            <w:tcW w:w="1086" w:type="dxa"/>
            <w:tcBorders/>
            <w:shd w:fill="D5EAEA" w:val="clear"/>
            <w:vAlign w:val="center"/>
          </w:tcPr>
          <w:p>
            <w:pPr>
              <w:pStyle w:val="TableContents"/>
              <w:bidi w:val="0"/>
              <w:spacing w:before="0" w:after="283"/>
              <w:jc w:val="right"/>
              <w:rPr/>
            </w:pPr>
            <w:r>
              <w:rPr/>
              <w:t>1.5</w:t>
            </w:r>
          </w:p>
        </w:tc>
        <w:tc>
          <w:tcPr>
            <w:tcW w:w="126"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815" w:type="dxa"/>
            <w:tcBorders/>
            <w:shd w:fill="D5EAEA" w:val="clear"/>
            <w:vAlign w:val="center"/>
          </w:tcPr>
          <w:p>
            <w:pPr>
              <w:pStyle w:val="TableContents"/>
              <w:bidi w:val="0"/>
              <w:spacing w:before="0" w:after="283"/>
              <w:jc w:val="right"/>
              <w:rPr/>
            </w:pPr>
            <w:r>
              <w:rPr/>
              <w:t>1.6</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815" w:type="dxa"/>
            <w:tcBorders/>
            <w:shd w:fill="D5EAEA" w:val="clear"/>
            <w:vAlign w:val="center"/>
          </w:tcPr>
          <w:p>
            <w:pPr>
              <w:pStyle w:val="TableContents"/>
              <w:bidi w:val="0"/>
              <w:spacing w:before="0" w:after="283"/>
              <w:jc w:val="right"/>
              <w:rPr/>
            </w:pPr>
            <w:r>
              <w:rPr/>
              <w:t>0.4</w:t>
            </w:r>
          </w:p>
        </w:tc>
        <w:tc>
          <w:tcPr>
            <w:tcW w:w="374" w:type="dxa"/>
            <w:tcBorders/>
            <w:shd w:fill="D5EAEA" w:val="clear"/>
            <w:vAlign w:val="center"/>
          </w:tcPr>
          <w:p>
            <w:pPr>
              <w:pStyle w:val="TableContents"/>
              <w:bidi w:val="0"/>
              <w:spacing w:before="0" w:after="283"/>
              <w:ind w:left="0" w:right="0" w:firstLine="299"/>
              <w:jc w:val="left"/>
              <w:rPr/>
            </w:pPr>
            <w:r>
              <w:rPr/>
              <w:t> </w:t>
            </w:r>
          </w:p>
        </w:tc>
      </w:tr>
      <w:tr>
        <w:trPr/>
        <w:tc>
          <w:tcPr>
            <w:tcW w:w="4325" w:type="dxa"/>
            <w:tcBorders/>
            <w:shd w:fill="FFFFFF" w:val="clear"/>
            <w:vAlign w:val="center"/>
          </w:tcPr>
          <w:p>
            <w:pPr>
              <w:pStyle w:val="TableContents"/>
              <w:bidi w:val="0"/>
              <w:spacing w:before="0" w:after="283"/>
              <w:jc w:val="left"/>
              <w:rPr/>
            </w:pPr>
            <w:r>
              <w:rPr/>
              <w:t>Total liabilities</w:t>
              <w:tab/>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6" w:type="dxa"/>
            <w:tcBorders>
              <w:bottom w:val="single" w:sz="8" w:space="0" w:color="000000"/>
            </w:tcBorders>
            <w:shd w:fill="FFFFFF" w:val="clear"/>
            <w:tcMar>
              <w:bottom w:w="28" w:type="dxa"/>
            </w:tcMar>
            <w:vAlign w:val="center"/>
          </w:tcPr>
          <w:p>
            <w:pPr>
              <w:pStyle w:val="TableContents"/>
              <w:bidi w:val="0"/>
              <w:spacing w:before="0" w:after="283"/>
              <w:jc w:val="right"/>
              <w:rPr/>
            </w:pPr>
            <w:r>
              <w:rPr/>
              <w:t>257.9</w:t>
            </w:r>
          </w:p>
        </w:tc>
        <w:tc>
          <w:tcPr>
            <w:tcW w:w="1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FFFFFF" w:val="clear"/>
            <w:tcMar>
              <w:bottom w:w="28" w:type="dxa"/>
            </w:tcMar>
            <w:vAlign w:val="center"/>
          </w:tcPr>
          <w:p>
            <w:pPr>
              <w:pStyle w:val="TableContents"/>
              <w:bidi w:val="0"/>
              <w:spacing w:before="0" w:after="283"/>
              <w:jc w:val="right"/>
              <w:rPr/>
            </w:pPr>
            <w:r>
              <w:rPr/>
              <w:t>257.1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FFFFFF" w:val="clear"/>
            <w:tcMar>
              <w:bottom w:w="28" w:type="dxa"/>
            </w:tcMar>
            <w:vAlign w:val="center"/>
          </w:tcPr>
          <w:p>
            <w:pPr>
              <w:pStyle w:val="TableContents"/>
              <w:bidi w:val="0"/>
              <w:spacing w:before="0" w:after="283"/>
              <w:jc w:val="right"/>
              <w:rPr/>
            </w:pPr>
            <w:r>
              <w:rPr/>
              <w:t>422.5</w:t>
            </w:r>
          </w:p>
        </w:tc>
        <w:tc>
          <w:tcPr>
            <w:tcW w:w="374" w:type="dxa"/>
            <w:tcBorders/>
            <w:shd w:fill="FFFFFF" w:val="clear"/>
            <w:vAlign w:val="center"/>
          </w:tcPr>
          <w:p>
            <w:pPr>
              <w:pStyle w:val="TableContents"/>
              <w:bidi w:val="0"/>
              <w:spacing w:before="0" w:after="283"/>
              <w:jc w:val="left"/>
              <w:rPr/>
            </w:pPr>
            <w:r>
              <w:rPr/>
              <w:t> </w:t>
            </w:r>
          </w:p>
        </w:tc>
      </w:tr>
      <w:tr>
        <w:trPr/>
        <w:tc>
          <w:tcPr>
            <w:tcW w:w="4325" w:type="dxa"/>
            <w:tcBorders/>
            <w:shd w:fill="D5EAEA" w:val="clear"/>
            <w:vAlign w:val="center"/>
          </w:tcPr>
          <w:p>
            <w:pPr>
              <w:pStyle w:val="TableContents"/>
              <w:bidi w:val="0"/>
              <w:spacing w:before="0" w:after="283"/>
              <w:jc w:val="left"/>
              <w:rPr/>
            </w:pPr>
            <w:r>
              <w:rPr/>
              <w:t>Additional paid-in capital</w:t>
              <w:tab/>
            </w:r>
          </w:p>
        </w:tc>
        <w:tc>
          <w:tcPr>
            <w:tcW w:w="60" w:type="dxa"/>
            <w:tcBorders/>
            <w:shd w:fill="D5EAEA" w:val="clear"/>
            <w:vAlign w:val="center"/>
          </w:tcPr>
          <w:p>
            <w:pPr>
              <w:pStyle w:val="TableContents"/>
              <w:bidi w:val="0"/>
              <w:spacing w:before="0" w:after="283"/>
              <w:jc w:val="left"/>
              <w:rPr/>
            </w:pPr>
            <w:r>
              <w:rPr/>
              <w:t> </w:t>
            </w:r>
          </w:p>
        </w:tc>
        <w:tc>
          <w:tcPr>
            <w:tcW w:w="186" w:type="dxa"/>
            <w:tcBorders/>
            <w:shd w:fill="D5EAEA" w:val="clear"/>
            <w:vAlign w:val="center"/>
          </w:tcPr>
          <w:p>
            <w:pPr>
              <w:pStyle w:val="TableContents"/>
              <w:bidi w:val="0"/>
              <w:spacing w:before="0" w:after="283"/>
              <w:jc w:val="left"/>
              <w:rPr/>
            </w:pPr>
            <w:r>
              <w:rPr/>
              <w:t> </w:t>
            </w:r>
          </w:p>
        </w:tc>
        <w:tc>
          <w:tcPr>
            <w:tcW w:w="1086" w:type="dxa"/>
            <w:tcBorders/>
            <w:shd w:fill="D5EAEA" w:val="clear"/>
            <w:vAlign w:val="center"/>
          </w:tcPr>
          <w:p>
            <w:pPr>
              <w:pStyle w:val="TableContents"/>
              <w:bidi w:val="0"/>
              <w:spacing w:before="0" w:after="283"/>
              <w:jc w:val="right"/>
              <w:rPr/>
            </w:pPr>
            <w:r>
              <w:rPr/>
              <w:t>1,066.7</w:t>
            </w:r>
          </w:p>
        </w:tc>
        <w:tc>
          <w:tcPr>
            <w:tcW w:w="126"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815" w:type="dxa"/>
            <w:tcBorders/>
            <w:shd w:fill="D5EAEA" w:val="clear"/>
            <w:vAlign w:val="center"/>
          </w:tcPr>
          <w:p>
            <w:pPr>
              <w:pStyle w:val="TableContents"/>
              <w:bidi w:val="0"/>
              <w:spacing w:before="0" w:after="283"/>
              <w:jc w:val="right"/>
              <w:rPr/>
            </w:pPr>
            <w:r>
              <w:rPr/>
              <w:t>1,064.3</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815" w:type="dxa"/>
            <w:tcBorders/>
            <w:shd w:fill="D5EAEA" w:val="clear"/>
            <w:vAlign w:val="center"/>
          </w:tcPr>
          <w:p>
            <w:pPr>
              <w:pStyle w:val="TableContents"/>
              <w:bidi w:val="0"/>
              <w:spacing w:before="0" w:after="283"/>
              <w:jc w:val="right"/>
              <w:rPr/>
            </w:pPr>
            <w:r>
              <w:rPr/>
              <w:t>940.5</w:t>
            </w:r>
          </w:p>
        </w:tc>
        <w:tc>
          <w:tcPr>
            <w:tcW w:w="374" w:type="dxa"/>
            <w:tcBorders/>
            <w:shd w:fill="D5EAEA"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Accumulated deficit</w:t>
              <w:tab/>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pPr>
            <w:r>
              <w:rPr/>
              <w:t>(1,132.2</w:t>
            </w:r>
          </w:p>
        </w:tc>
        <w:tc>
          <w:tcPr>
            <w:tcW w:w="12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(1,100.4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(1,123.0</w:t>
            </w:r>
          </w:p>
        </w:tc>
        <w:tc>
          <w:tcPr>
            <w:tcW w:w="374" w:type="dxa"/>
            <w:tcBorders/>
            <w:shd w:fill="FFFFFF" w:val="clear"/>
            <w:vAlign w:val="center"/>
          </w:tcPr>
          <w:p>
            <w:pPr>
              <w:pStyle w:val="TableContents"/>
              <w:bidi w:val="0"/>
              <w:spacing w:before="0" w:after="283"/>
              <w:ind w:left="0" w:right="0" w:hanging="173"/>
              <w:jc w:val="left"/>
              <w:rPr/>
            </w:pPr>
            <w:r>
              <w:rPr/>
              <w:t>)</w:t>
            </w:r>
          </w:p>
        </w:tc>
      </w:tr>
      <w:tr>
        <w:trPr/>
        <w:tc>
          <w:tcPr>
            <w:tcW w:w="4325" w:type="dxa"/>
            <w:tcBorders/>
            <w:shd w:fill="D5EAEA" w:val="clear"/>
            <w:vAlign w:val="center"/>
          </w:tcPr>
          <w:p>
            <w:pPr>
              <w:pStyle w:val="TableContents"/>
              <w:bidi w:val="0"/>
              <w:spacing w:before="0" w:after="283"/>
              <w:jc w:val="left"/>
              <w:rPr/>
            </w:pPr>
            <w:r>
              <w:rPr/>
              <w:t>Total stockholders’ equity (deficit)</w:t>
              <w:tab/>
            </w:r>
          </w:p>
        </w:tc>
        <w:tc>
          <w:tcPr>
            <w:tcW w:w="60" w:type="dxa"/>
            <w:tcBorders/>
            <w:shd w:fill="D5EAEA" w:val="clear"/>
            <w:vAlign w:val="center"/>
          </w:tcPr>
          <w:p>
            <w:pPr>
              <w:pStyle w:val="TableContents"/>
              <w:bidi w:val="0"/>
              <w:spacing w:before="0" w:after="283"/>
              <w:jc w:val="left"/>
              <w:rPr/>
            </w:pPr>
            <w:r>
              <w:rPr/>
              <w:t> </w:t>
            </w:r>
          </w:p>
        </w:tc>
        <w:tc>
          <w:tcPr>
            <w:tcW w:w="186"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1086" w:type="dxa"/>
            <w:tcBorders>
              <w:bottom w:val="single" w:sz="8" w:space="0" w:color="000000"/>
            </w:tcBorders>
            <w:shd w:fill="D5EAEA" w:val="clear"/>
            <w:tcMar>
              <w:bottom w:w="28" w:type="dxa"/>
            </w:tcMar>
            <w:vAlign w:val="center"/>
          </w:tcPr>
          <w:p>
            <w:pPr>
              <w:pStyle w:val="TableContents"/>
              <w:bidi w:val="0"/>
              <w:spacing w:before="0" w:after="283"/>
              <w:jc w:val="right"/>
              <w:rPr/>
            </w:pPr>
            <w:r>
              <w:rPr/>
              <w:t>(65.5</w:t>
            </w:r>
          </w:p>
        </w:tc>
        <w:tc>
          <w:tcPr>
            <w:tcW w:w="126" w:type="dxa"/>
            <w:tcBorders/>
            <w:shd w:fill="D5EAEA" w:val="clear"/>
            <w:vAlign w:val="center"/>
          </w:tcPr>
          <w:p>
            <w:pPr>
              <w:pStyle w:val="TableContents"/>
              <w:bidi w:val="0"/>
              <w:spacing w:before="0" w:after="283"/>
              <w:jc w:val="left"/>
              <w:rPr/>
            </w:pPr>
            <w:r>
              <w:rPr/>
              <w:t>)</w:t>
            </w:r>
          </w:p>
        </w:tc>
        <w:tc>
          <w:tcPr>
            <w:tcW w:w="60" w:type="dxa"/>
            <w:tcBorders/>
            <w:shd w:fill="D5EAEA" w:val="clear"/>
            <w:vAlign w:val="center"/>
          </w:tcPr>
          <w:p>
            <w:pPr>
              <w:pStyle w:val="TableContents"/>
              <w:bidi w:val="0"/>
              <w:spacing w:before="0" w:after="283"/>
              <w:jc w:val="left"/>
              <w:rPr/>
            </w:pPr>
            <w:r>
              <w:rPr/>
              <w:t> </w:t>
            </w:r>
          </w:p>
        </w:tc>
        <w:tc>
          <w:tcPr>
            <w:tcW w:w="14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D5EAEA" w:val="clear"/>
            <w:tcMar>
              <w:bottom w:w="28" w:type="dxa"/>
            </w:tcMar>
            <w:vAlign w:val="center"/>
          </w:tcPr>
          <w:p>
            <w:pPr>
              <w:pStyle w:val="TableContents"/>
              <w:bidi w:val="0"/>
              <w:spacing w:before="0" w:after="283"/>
              <w:jc w:val="right"/>
              <w:rPr/>
            </w:pPr>
            <w:r>
              <w:rPr/>
              <w:t>(36.1</w:t>
            </w:r>
          </w:p>
        </w:tc>
        <w:tc>
          <w:tcPr>
            <w:tcW w:w="95" w:type="dxa"/>
            <w:tcBorders/>
            <w:shd w:fill="D5EAEA" w:val="clear"/>
            <w:vAlign w:val="center"/>
          </w:tcPr>
          <w:p>
            <w:pPr>
              <w:pStyle w:val="TableContents"/>
              <w:bidi w:val="0"/>
              <w:spacing w:before="0" w:after="283"/>
              <w:jc w:val="left"/>
              <w:rPr/>
            </w:pPr>
            <w:r>
              <w:rPr/>
              <w:t>)</w:t>
            </w:r>
          </w:p>
        </w:tc>
        <w:tc>
          <w:tcPr>
            <w:tcW w:w="60" w:type="dxa"/>
            <w:tcBorders/>
            <w:shd w:fill="D5EAEA" w:val="clear"/>
            <w:vAlign w:val="center"/>
          </w:tcPr>
          <w:p>
            <w:pPr>
              <w:pStyle w:val="TableContents"/>
              <w:bidi w:val="0"/>
              <w:spacing w:before="0" w:after="283"/>
              <w:jc w:val="left"/>
              <w:rPr/>
            </w:pPr>
            <w:r>
              <w:rPr/>
              <w:t> </w:t>
            </w:r>
          </w:p>
        </w:tc>
        <w:tc>
          <w:tcPr>
            <w:tcW w:w="14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D5EAEA" w:val="clear"/>
            <w:tcMar>
              <w:bottom w:w="28" w:type="dxa"/>
            </w:tcMar>
            <w:vAlign w:val="center"/>
          </w:tcPr>
          <w:p>
            <w:pPr>
              <w:pStyle w:val="TableContents"/>
              <w:bidi w:val="0"/>
              <w:spacing w:before="0" w:after="283"/>
              <w:jc w:val="right"/>
              <w:rPr/>
            </w:pPr>
            <w:r>
              <w:rPr/>
              <w:t>(182.5</w:t>
            </w:r>
          </w:p>
        </w:tc>
        <w:tc>
          <w:tcPr>
            <w:tcW w:w="374" w:type="dxa"/>
            <w:tcBorders/>
            <w:shd w:fill="D5EAEA" w:val="clear"/>
            <w:vAlign w:val="center"/>
          </w:tcPr>
          <w:p>
            <w:pPr>
              <w:pStyle w:val="TableContents"/>
              <w:bidi w:val="0"/>
              <w:spacing w:before="0" w:after="283"/>
              <w:ind w:left="0" w:right="0" w:hanging="173"/>
              <w:jc w:val="left"/>
              <w:rPr/>
            </w:pPr>
            <w:r>
              <w:rPr/>
              <w:t>)</w:t>
            </w:r>
          </w:p>
        </w:tc>
      </w:tr>
      <w:tr>
        <w:trPr/>
        <w:tc>
          <w:tcPr>
            <w:tcW w:w="4325" w:type="dxa"/>
            <w:tcBorders/>
            <w:shd w:fill="FFFFFF" w:val="clear"/>
            <w:vAlign w:val="center"/>
          </w:tcPr>
          <w:p>
            <w:pPr>
              <w:pStyle w:val="TableContents"/>
              <w:bidi w:val="0"/>
              <w:spacing w:before="0" w:after="283"/>
              <w:jc w:val="left"/>
              <w:rPr/>
            </w:pPr>
            <w:r>
              <w:rPr/>
              <w:t>Total liabilities and stockholders’ equity</w:t>
              <w:tab/>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086" w:type="dxa"/>
            <w:tcBorders>
              <w:bottom w:val="single" w:sz="8" w:space="0" w:color="000000"/>
            </w:tcBorders>
            <w:shd w:fill="FFFFFF" w:val="clear"/>
            <w:tcMar>
              <w:bottom w:w="28" w:type="dxa"/>
            </w:tcMar>
            <w:vAlign w:val="center"/>
          </w:tcPr>
          <w:p>
            <w:pPr>
              <w:pStyle w:val="TableContents"/>
              <w:bidi w:val="0"/>
              <w:spacing w:before="0" w:after="283"/>
              <w:jc w:val="right"/>
              <w:rPr/>
            </w:pPr>
            <w:r>
              <w:rPr/>
              <w:t>192.4</w:t>
            </w:r>
          </w:p>
        </w:tc>
        <w:tc>
          <w:tcPr>
            <w:tcW w:w="1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815" w:type="dxa"/>
            <w:tcBorders>
              <w:bottom w:val="single" w:sz="8" w:space="0" w:color="000000"/>
            </w:tcBorders>
            <w:shd w:fill="FFFFFF" w:val="clear"/>
            <w:tcMar>
              <w:bottom w:w="28" w:type="dxa"/>
            </w:tcMar>
            <w:vAlign w:val="center"/>
          </w:tcPr>
          <w:p>
            <w:pPr>
              <w:pStyle w:val="TableContents"/>
              <w:bidi w:val="0"/>
              <w:spacing w:before="0" w:after="283"/>
              <w:jc w:val="right"/>
              <w:rPr/>
            </w:pPr>
            <w:r>
              <w:rPr/>
              <w:t>221.0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815" w:type="dxa"/>
            <w:tcBorders>
              <w:bottom w:val="single" w:sz="8" w:space="0" w:color="000000"/>
            </w:tcBorders>
            <w:shd w:fill="FFFFFF" w:val="clear"/>
            <w:tcMar>
              <w:bottom w:w="28" w:type="dxa"/>
            </w:tcMar>
            <w:vAlign w:val="center"/>
          </w:tcPr>
          <w:p>
            <w:pPr>
              <w:pStyle w:val="TableContents"/>
              <w:bidi w:val="0"/>
              <w:spacing w:before="0" w:after="283"/>
              <w:jc w:val="right"/>
              <w:rPr/>
            </w:pPr>
            <w:r>
              <w:rPr/>
              <w:t>240.0</w:t>
            </w:r>
          </w:p>
        </w:tc>
        <w:tc>
          <w:tcPr>
            <w:tcW w:w="37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 w:name="a_002"/>
      <w:bookmarkEnd w:id="3"/>
      <w:r>
        <w:rPr>
          <w:rFonts w:ascii="Times New Roman;Times;Serif" w:hAnsi="Times New Roman;Times;Serif"/>
          <w:b/>
          <w:i w:val="false"/>
          <w:caps/>
          <w:sz w:val="20"/>
        </w:rPr>
        <w:t>RISK FACTORS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Class A Common Stock involves risks. Before you make a decision to buy our Class A Common Stock, you should carefully consider the following risks, together with other risks incorporated by reference in this prospectus from our most recent Annual Report on Form 10-K and any subsequent Quarterly Reports on Form 10-Q or Current Reports on Form 8-K, and all other information contained or incorporated by reference into this prospectus, and the risks and information contained in any applicable prospectus supplement or free writing prospectus. See “Where You Can Find More Information.” These risks could have a material adverse effect on our business, financial condition and results of operations. The trading price of our Class A Common Stock could decline due to any of these risks, and you may lose all or part of your investment. Additionally, the risks and uncertainties incorporated by reference in this prospectus or any prospectus supplement are not the only risks and uncertainties that we face. Additional risks and uncertainties not presently known to us or that we currently believe to be immaterial may become material and adversely affect our business.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the Rights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7"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subscription price determined for this offering is not necessarily an indication of the fair value of our Class A Common Stock.</w:t>
      </w:r>
    </w:p>
    <w:p>
      <w:pPr>
        <w:pStyle w:val="TextBody"/>
        <w:bidi w:val="0"/>
        <w:spacing w:before="0" w:after="0"/>
        <w:ind w:left="187"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subscription price was determined in connection with the negotiation of the Backstop Agreement and represents the greater of (i) volume weighted average price of our Class A Common Stock over the 15-day trading period ending on the second trading day preceding the date of the Backstop Agreement and (ii) the volume weighted average price of our Class A Common Stock for the 15-day trading period through and including the Record Date (as defined below). The subscription price does not necessarily bear any relationship to the book value of our assets or our past operations, cash flows, losses, financial condition, net worth or any other established criteria used to value securities. As a result, you should not consider the subscription price to be an indication of the fair value of the Class A Common Stock to be offered in this offering.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each right will entitle its holder to purchase additional shares of Class A Common Stock on a pro rata basis relative to their ownership interest in us as of the Record Date. As of           , 2026, we had outstanding            shares of Class A Common Stock. As a result, each right would have entitled its holder to approximately            shares of our Class A Common Stock as of such date. Because the number of outstanding shares of Class A Common Stock may fluctuate from time to time as a result of ordinary course changes (for example, vesting of incentive equity awards), such entitlement may decrease as of the Record Date.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18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Stockholders who do not fully exercise their rights in this offering will have their interests diluted. </w:t>
      </w:r>
    </w:p>
    <w:p>
      <w:pPr>
        <w:pStyle w:val="TextBody"/>
        <w:bidi w:val="0"/>
        <w:spacing w:before="0" w:after="0"/>
        <w:ind w:left="18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offering will result in the issuance of up to an additional 4,225,352 shares of our Class A Common Stock. If you choose not to fully exercise your rights prior to the expiration of this offering, your proportionate voting interest will be reduced and your relative ownership interest in us will be further diluted. Rights holders who do not exercise or sell their rights prior to the Expiration Date will lose any value represented by their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the Backstop Agreement with the Investor Group, pursuant to which the Investor Group has agreed to purchase from us, as a price per share equal to the subscription price, all unsubscribed shares of Class A Common Stock in this offering for cash, such that the gross proceeds of this offering would be $15 million. If no rights holders were to exercise their rights in this offering, the transactions contemplated by the Backstop Agreement would result in the issuance of  up to 4,225,352 shares of our Class A Common Stock to the Investor Group, which would increase the Investor Groups’ ownership percentage to over            % of our outstanding Class A Common Stock as of the closing, after giving effect to the Rights Offering.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18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management will have broad discretion over the use of the net proceeds from this offering, you may not agree with how we use the proceeds, and we may not invest the proceeds successfully.</w:t>
      </w:r>
    </w:p>
    <w:p>
      <w:pPr>
        <w:pStyle w:val="TextBody"/>
        <w:bidi w:val="0"/>
        <w:spacing w:before="0" w:after="0"/>
        <w:ind w:left="18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anticipate that we will use the net proceeds of this offering for general corporate purposes. Our management may allocate the proceeds for these purposes as it deems appropriate. In addition, market factors or other considerations may inform our management’s decision to allocate all or a portion of the proceeds for other purposes. Accordingly, you will be relying on the judgment and discretion of our management with regard to the use of proceeds from this offering, and you will not have the opportunity, as part of your investment decision, to assess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we are using the proceeds appropriately. It is possible that we may invest the proceeds in a way that does not yield a favorable, or any, return for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not revoke your subscription exercise and could be committed to buying shares of Class A Common Stock above the prevailing market price.</w:t>
      </w:r>
    </w:p>
    <w:p>
      <w:pPr>
        <w:pStyle w:val="TextBody"/>
        <w:bidi w:val="0"/>
        <w:spacing w:before="0" w:after="0"/>
        <w:ind w:left="18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you exercise your rights, you may not revoke the exercise. The public trading market price of our Class A Common Stock may decline before the rights expire. If you exercise your rights, you will have committed to buying shares of our Class A Common Stock potentially at a price above the prevailing market price. Additionally, you may be unable to sell your shares of Class A Common Stock at a price equal to or greater than the subscription price you paid for such shares of Class A Common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187"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amend the terms of or terminate this offering at any time prior to the Expiration Date, and neither we nor the Subscription Agent will have any obligation to you except to return your exercise payments.</w:t>
      </w:r>
    </w:p>
    <w:p>
      <w:pPr>
        <w:pStyle w:val="TextBody"/>
        <w:bidi w:val="0"/>
        <w:spacing w:before="0" w:after="0"/>
        <w:ind w:left="187"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 our sole discretion, amend the terms of this offering, decide not to continue with this offering or terminate this offering prior to the Expiration Date. If this offering is terminated, the Subscription Agent will return all exercise payments as soon as possible, without interest or deduction.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18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must act promptly and follow instructions carefully if you want to exercise your rights.</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Eligible participants and, if applicable, brokers, banks or other nominees acting on their behalf, who desire to purchase Class A Common Stock in this offering must act promptly to ensure that all required rights certificates are actually received prior to the Expiration Date and that all payments are actually received prior to the payment deadline by the Subscription Agent. The time period to exercise rights is limited. If you or your broker fails to complete and sign the required rights certificates, sends an incorrect payment amount or otherwise fails to follow the procedures that apply to the exercise of your rights, we may, depending on the circumstances, reject your exercise of rights or accept it only to the extent of the payment received. Neither we nor the Subscription Agent will correct, or attempt to correct, an incomplete or incorrect rights certificate or payment or contact you concerning whether a broker, bank or other nominee holds rights on your behalf. We have the sole discretion to determine whether an exercise properly follows the procedures that apply to the exercise of your rights.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187"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will only be able to transfer your rights for a short period of time.</w:t>
      </w:r>
    </w:p>
    <w:p>
      <w:pPr>
        <w:pStyle w:val="TextBody"/>
        <w:bidi w:val="0"/>
        <w:spacing w:before="0" w:after="0"/>
        <w:ind w:left="187"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are transferable until 5:00 p.m., New York City time, on            , 2026, unless extended as described herein. It can take up to five business days for: (i) the transfer instructions to be received and processed by the Subscription Agent; (ii) a new rights certificate to be issued and transmitted to the transferee(s) with respect to transferred rights and to the transferor with respect to retained rights, if any; and (iii) the rights evidenced by such new rights certificate to be exercised or sold by the recipients thereof. If you fail to transfer your rights in enough time to allow for the transfer process to be completed, you will not be able to transfer your rights. Neither we nor the Subscription Agent shall have any liability to a transferee or transferor of rights if rights certificates are not received in time for exercise prior to the Expiration Date (or, if this offering is extended, the extended Expiration Date). For more information, see “Description of the Rights Offering-Transfers and Sales of Rights.”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187"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 prior market exists for the rights, and a liquid and reliable market for the rights may not develop.</w:t>
      </w:r>
    </w:p>
    <w:p>
      <w:pPr>
        <w:pStyle w:val="TextBody"/>
        <w:bidi w:val="0"/>
        <w:spacing w:before="0" w:after="0"/>
        <w:ind w:left="187"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are a new issue of securities with no established trading market. Unless indicated otherwise, the rights are transferable until 5:00 p.m., New York City time, on           , 2026. Unless exercised, the rights will cease to have any value following the Expiration Date. We are not responsible if you elect to sell your rights and no public or private market exists to facilitate the purchase of rights prior to the Expiration Date. In such event, the rights will no longer be exercisable or transferable.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18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Significant sales of rights and our Class A Common Stock, or the perception that significant sales may occur in the future, could adversely affect the market price for the rights and our Class A Common Stock.</w:t>
      </w:r>
    </w:p>
    <w:p>
      <w:pPr>
        <w:pStyle w:val="TextBody"/>
        <w:bidi w:val="0"/>
        <w:spacing w:before="0" w:after="0"/>
        <w:ind w:left="18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substantial amounts of the subscription rights and our Class A Common Stock could adversely affect the price of these securities. Sales of substantial amounts of our rights and our Class A Common Stock in the public market, and the availability of shares of our Class A Common Stock for future sale, including up to 4,225,352 shares of our Class A Common Stock to be issued in this offering, could cause the market price of our Class A Common Stock to remain low for a substantial amount of time. If a significant percentage of such available shares of Class A Common Stock and rights were attempted to be sold within a short period of time, the market for shares of our Class A Common Stock and the rights would be adversely affected. Even if a substantial number of sales do not occur within a short period of time, the mere perception that such sales would occur could have a negative impact on the market for our Class A Common Stock and the rights and our ability to raise additional capital. Pursuant to the Investor Rights Agreement, the Investor Group has certain registration rights, including demand and piggyback rights. Such holders can demand that we prepare and file with the SEC, a shelf registration statement registering the resale of Class A Common Stock held by the Investor Group.  Any disposition by the Investor Group of our Class A Common Stock in the public market, or the perception that such dispositions could occur, could adversely affect prevailing market prices of our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incorporated by reference herein contain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 contained in this prospectus and the documents incorporated by reference may be forward-looking statements. In some cases, you can identify forward-looking statements by terms such as “aims,” “may,” “will,” “should,” “expects,” “plans,” “anticipates,” “could,” “intends,” “targets,” “projects,” “contemplates,” “believes,” “estimates,” “forecasts,” “predicts,” “potential” or “continue” or the negative of these terms or other similar expressions. Forward-looking statements contained in this prospectus and the documents incorporated by reference include, but are not limited to, statements regarding our ability to complete this offering on the anticipated terms, or at all; the timing of completion and the anticipated benefits of this offering; the ability to exercise the oversubscription privilege; and the ability to transfer and sell rights prior to the Expiration Date.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in this prospectus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described under the heading “Risk Factors” in our Quarterly Report on Form 10-Q for the period ended July 31, 2026, and those identified under “Risk Factors” beginning on page 8 of this prospectus. The forward-looking statements in this prospectus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with the understanding that our actual future results, levels of activity, performance and achievements may be materially different from what we expect. We qualify all of our forward-looking statements by these cautionary statements. Except as required by applicable law, we do not plan to publicly update or revise any forward-looking statements contained in this prospectus, whether as a result of any new information, future events or otherwise.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5" w:name="a_004"/>
      <w:bookmarkEnd w:id="5"/>
      <w:r>
        <w:rPr>
          <w:rFonts w:ascii="Times New Roman;Times;Serif" w:hAnsi="Times New Roman;Times;Serif"/>
          <w:b/>
          <w:i w:val="false"/>
          <w:caps/>
          <w:sz w:val="20"/>
        </w:rPr>
        <w:t>USE OF PROCEEDS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the net proceeds from the sale of Class A Common Stock in this offering and pursuant to the Backstop Agreement will be approximately $            million, after deducting offering expenses payable by us. We intend to use the net proceeds from this offering for general corporate purposes.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CAPITALIZATION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cash and cash equivalents and capitalization as of July 31, 2026:</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1"/>
        <w:gridCol w:w="663"/>
        <w:gridCol w:w="9341"/>
      </w:tblGrid>
      <w:tr>
        <w:trPr/>
        <w:tc>
          <w:tcPr>
            <w:tcW w:w="20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rFonts w:ascii="Symbol" w:hAnsi="Symbol"/>
              </w:rPr>
            </w:pPr>
            <w:r>
              <w:rPr>
                <w:rFonts w:ascii="Symbol" w:hAnsi="Symbol"/>
              </w:rPr>
              <w:t>·</w:t>
            </w:r>
          </w:p>
        </w:tc>
        <w:tc>
          <w:tcPr>
            <w:tcW w:w="9341" w:type="dxa"/>
            <w:tcBorders/>
            <w:vAlign w:val="center"/>
          </w:tcPr>
          <w:p>
            <w:pPr>
              <w:pStyle w:val="TableContents"/>
              <w:bidi w:val="0"/>
              <w:spacing w:before="0" w:after="283"/>
              <w:jc w:val="left"/>
              <w:rPr/>
            </w:pPr>
            <w:r>
              <w:rPr/>
              <w:t>on an actual basis;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on an adjusted basis to reflect (a) the sale by us of up to 4,225,352 shares of Class A Common Stock, par value $0.001 per share, at the subscription price of $3.55 per share, assuming the floor price per share set forth on the cover of this prospectus, after deducting offering expenses payable by us and (b) $10,000,000 aggregate principal amount of the Third Amendment Incremental Term Loan Facility, excluding fees and expenses.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table should be read together with our Quarterly Report on Form 10-Q for the period ended July 31, 2026, our Annual Report on Form 10-K for the year ended January 31, 2026, the financial statements included therein, the related notes thereto and the other financial data appearing elsewhere or incorporated by reference in this prospectus.</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41"/>
        <w:gridCol w:w="60"/>
        <w:gridCol w:w="156"/>
        <w:gridCol w:w="910"/>
        <w:gridCol w:w="105"/>
        <w:gridCol w:w="66"/>
        <w:gridCol w:w="499"/>
        <w:gridCol w:w="213"/>
        <w:gridCol w:w="355"/>
      </w:tblGrid>
      <w:tr>
        <w:trPr/>
        <w:tc>
          <w:tcPr>
            <w:tcW w:w="784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304" w:type="dxa"/>
            <w:gridSpan w:val="7"/>
            <w:tcBorders>
              <w:bottom w:val="single" w:sz="8" w:space="0" w:color="000000"/>
            </w:tcBorders>
            <w:tcMar>
              <w:bottom w:w="28" w:type="dxa"/>
            </w:tcMar>
            <w:vAlign w:val="center"/>
          </w:tcPr>
          <w:p>
            <w:pPr>
              <w:pStyle w:val="TableContents"/>
              <w:bidi w:val="0"/>
              <w:spacing w:before="0" w:after="283"/>
              <w:jc w:val="center"/>
              <w:rPr>
                <w:b/>
              </w:rPr>
            </w:pPr>
            <w:r>
              <w:rPr>
                <w:b/>
              </w:rPr>
              <w:t>As of July 31, 2026</w:t>
            </w:r>
          </w:p>
        </w:tc>
      </w:tr>
      <w:tr>
        <w:trPr/>
        <w:tc>
          <w:tcPr>
            <w:tcW w:w="7841" w:type="dxa"/>
            <w:tcBorders>
              <w:bottom w:val="single" w:sz="8" w:space="0" w:color="000000"/>
            </w:tcBorders>
            <w:tcMar>
              <w:bottom w:w="28" w:type="dxa"/>
            </w:tcMar>
            <w:vAlign w:val="center"/>
          </w:tcPr>
          <w:p>
            <w:pPr>
              <w:pStyle w:val="TableContents"/>
              <w:bidi w:val="0"/>
              <w:spacing w:before="0" w:after="283"/>
              <w:jc w:val="left"/>
              <w:rPr>
                <w:b/>
              </w:rPr>
            </w:pPr>
            <w:r>
              <w:rPr>
                <w:b/>
              </w:rPr>
              <w:t>(in millions, except share and per share data, unaudited)</w:t>
            </w:r>
          </w:p>
        </w:tc>
        <w:tc>
          <w:tcPr>
            <w:tcW w:w="60" w:type="dxa"/>
            <w:tcBorders/>
            <w:vAlign w:val="center"/>
          </w:tcPr>
          <w:p>
            <w:pPr>
              <w:pStyle w:val="TableContents"/>
              <w:bidi w:val="0"/>
              <w:spacing w:before="0" w:after="283"/>
              <w:jc w:val="left"/>
              <w:rPr/>
            </w:pPr>
            <w:r>
              <w:rPr/>
              <w:t> </w:t>
            </w:r>
          </w:p>
        </w:tc>
        <w:tc>
          <w:tcPr>
            <w:tcW w:w="1171" w:type="dxa"/>
            <w:gridSpan w:val="3"/>
            <w:tcBorders>
              <w:bottom w:val="single" w:sz="8" w:space="0" w:color="000000"/>
            </w:tcBorders>
            <w:tcMar>
              <w:bottom w:w="28" w:type="dxa"/>
            </w:tcMar>
            <w:vAlign w:val="center"/>
          </w:tcPr>
          <w:p>
            <w:pPr>
              <w:pStyle w:val="TableContents"/>
              <w:bidi w:val="0"/>
              <w:spacing w:before="0" w:after="283"/>
              <w:jc w:val="center"/>
              <w:rPr>
                <w:b/>
              </w:rPr>
            </w:pPr>
            <w:r>
              <w:rPr>
                <w:b/>
              </w:rPr>
              <w:t>Actual</w:t>
            </w:r>
          </w:p>
        </w:tc>
        <w:tc>
          <w:tcPr>
            <w:tcW w:w="66" w:type="dxa"/>
            <w:tcBorders/>
            <w:vAlign w:val="center"/>
          </w:tcPr>
          <w:p>
            <w:pPr>
              <w:pStyle w:val="TableContents"/>
              <w:bidi w:val="0"/>
              <w:spacing w:before="0" w:after="283"/>
              <w:jc w:val="left"/>
              <w:rPr/>
            </w:pPr>
            <w:r>
              <w:rPr/>
              <w:t> </w:t>
            </w:r>
          </w:p>
        </w:tc>
        <w:tc>
          <w:tcPr>
            <w:tcW w:w="1067" w:type="dxa"/>
            <w:gridSpan w:val="3"/>
            <w:tcBorders>
              <w:bottom w:val="single" w:sz="8" w:space="0" w:color="000000"/>
            </w:tcBorders>
            <w:tcMar>
              <w:bottom w:w="28" w:type="dxa"/>
            </w:tcMar>
            <w:vAlign w:val="center"/>
          </w:tcPr>
          <w:p>
            <w:pPr>
              <w:pStyle w:val="TableContents"/>
              <w:bidi w:val="0"/>
              <w:spacing w:before="0" w:after="283"/>
              <w:jc w:val="center"/>
              <w:rPr>
                <w:b/>
              </w:rPr>
            </w:pPr>
            <w:r>
              <w:rPr>
                <w:b/>
              </w:rPr>
              <w:t>As Adjusted</w:t>
            </w:r>
          </w:p>
        </w:tc>
      </w:tr>
      <w:tr>
        <w:trPr/>
        <w:tc>
          <w:tcPr>
            <w:tcW w:w="7841" w:type="dxa"/>
            <w:tcBorders/>
            <w:shd w:fill="D5EAEA" w:val="clear"/>
            <w:vAlign w:val="center"/>
          </w:tcPr>
          <w:p>
            <w:pPr>
              <w:pStyle w:val="TableContents"/>
              <w:bidi w:val="0"/>
              <w:spacing w:before="0" w:after="283"/>
              <w:jc w:val="left"/>
              <w:rPr/>
            </w:pPr>
            <w:r>
              <w:rPr/>
              <w:t>Cash and cash equivalents</w:t>
            </w:r>
            <w:r>
              <w:rPr>
                <w:position w:val="8"/>
                <w:sz w:val="19"/>
              </w:rPr>
              <w:t>(1)</w:t>
            </w:r>
            <w:r>
              <w:rPr/>
              <w:tab/>
            </w:r>
          </w:p>
        </w:tc>
        <w:tc>
          <w:tcPr>
            <w:tcW w:w="60" w:type="dxa"/>
            <w:tcBorders/>
            <w:shd w:fill="D5EAEA" w:val="clear"/>
            <w:vAlign w:val="center"/>
          </w:tcPr>
          <w:p>
            <w:pPr>
              <w:pStyle w:val="TableContents"/>
              <w:bidi w:val="0"/>
              <w:spacing w:before="0" w:after="283"/>
              <w:jc w:val="left"/>
              <w:rPr/>
            </w:pPr>
            <w:r>
              <w:rPr/>
              <w:t> </w:t>
            </w:r>
          </w:p>
        </w:tc>
        <w:tc>
          <w:tcPr>
            <w:tcW w:w="156" w:type="dxa"/>
            <w:tcBorders>
              <w:bottom w:val="double" w:sz="6" w:space="0" w:color="000000"/>
            </w:tcBorders>
            <w:shd w:fill="D5EAEA" w:val="clear"/>
            <w:tcMar>
              <w:bottom w:w="28" w:type="dxa"/>
            </w:tcMar>
            <w:vAlign w:val="center"/>
          </w:tcPr>
          <w:p>
            <w:pPr>
              <w:pStyle w:val="TableContents"/>
              <w:bidi w:val="0"/>
              <w:spacing w:before="0" w:after="283"/>
              <w:jc w:val="left"/>
              <w:rPr/>
            </w:pPr>
            <w:r>
              <w:rPr/>
              <w:t>$</w:t>
            </w:r>
          </w:p>
        </w:tc>
        <w:tc>
          <w:tcPr>
            <w:tcW w:w="910" w:type="dxa"/>
            <w:tcBorders>
              <w:bottom w:val="double" w:sz="6" w:space="0" w:color="000000"/>
            </w:tcBorders>
            <w:shd w:fill="D5EAEA" w:val="clear"/>
            <w:tcMar>
              <w:bottom w:w="28" w:type="dxa"/>
            </w:tcMar>
            <w:vAlign w:val="center"/>
          </w:tcPr>
          <w:p>
            <w:pPr>
              <w:pStyle w:val="TableContents"/>
              <w:bidi w:val="0"/>
              <w:spacing w:before="0" w:after="283"/>
              <w:jc w:val="right"/>
              <w:rPr/>
            </w:pPr>
            <w:r>
              <w:rPr/>
              <w:t>29.0</w:t>
            </w:r>
          </w:p>
        </w:tc>
        <w:tc>
          <w:tcPr>
            <w:tcW w:w="105" w:type="dxa"/>
            <w:tcBorders>
              <w:bottom w:val="double" w:sz="6" w:space="0" w:color="000000"/>
            </w:tcBorders>
            <w:shd w:fill="D5EAEA" w:val="clear"/>
            <w:tcMar>
              <w:bottom w:w="28" w:type="dxa"/>
            </w:tcMar>
            <w:vAlign w:val="center"/>
          </w:tcPr>
          <w:p>
            <w:pPr>
              <w:pStyle w:val="TableContents"/>
              <w:bidi w:val="0"/>
              <w:spacing w:before="0" w:after="283"/>
              <w:jc w:val="left"/>
              <w:rPr/>
            </w:pPr>
            <w:r>
              <w:rPr/>
              <w:t> </w:t>
            </w:r>
          </w:p>
        </w:tc>
        <w:tc>
          <w:tcPr>
            <w:tcW w:w="66" w:type="dxa"/>
            <w:tcBorders/>
            <w:shd w:fill="D5EAEA" w:val="clear"/>
            <w:vAlign w:val="center"/>
          </w:tcPr>
          <w:p>
            <w:pPr>
              <w:pStyle w:val="TableContents"/>
              <w:bidi w:val="0"/>
              <w:spacing w:before="0" w:after="283"/>
              <w:jc w:val="left"/>
              <w:rPr/>
            </w:pPr>
            <w:r>
              <w:rPr/>
              <w:t> </w:t>
            </w:r>
          </w:p>
        </w:tc>
        <w:tc>
          <w:tcPr>
            <w:tcW w:w="499" w:type="dxa"/>
            <w:tcBorders>
              <w:bottom w:val="double" w:sz="6" w:space="0" w:color="000000"/>
            </w:tcBorders>
            <w:shd w:fill="D5EAEA" w:val="clear"/>
            <w:tcMar>
              <w:bottom w:w="28" w:type="dxa"/>
            </w:tcMar>
            <w:vAlign w:val="center"/>
          </w:tcPr>
          <w:p>
            <w:pPr>
              <w:pStyle w:val="TableContents"/>
              <w:bidi w:val="0"/>
              <w:spacing w:before="0" w:after="283"/>
              <w:jc w:val="left"/>
              <w:rPr/>
            </w:pPr>
            <w:r>
              <w:rPr/>
              <w:t>$</w:t>
            </w:r>
          </w:p>
        </w:tc>
        <w:tc>
          <w:tcPr>
            <w:tcW w:w="213" w:type="dxa"/>
            <w:tcBorders>
              <w:bottom w:val="double" w:sz="6" w:space="0" w:color="000000"/>
            </w:tcBorders>
            <w:shd w:fill="D5EAEA" w:val="clear"/>
            <w:tcMar>
              <w:bottom w:w="28" w:type="dxa"/>
            </w:tcMar>
            <w:vAlign w:val="center"/>
          </w:tcPr>
          <w:p>
            <w:pPr>
              <w:pStyle w:val="TableContents"/>
              <w:bidi w:val="0"/>
              <w:spacing w:before="0" w:after="283"/>
              <w:jc w:val="left"/>
              <w:rPr>
                <w:sz w:val="4"/>
                <w:szCs w:val="4"/>
              </w:rPr>
            </w:pPr>
            <w:r>
              <w:rPr>
                <w:sz w:val="4"/>
                <w:szCs w:val="4"/>
              </w:rPr>
            </w:r>
          </w:p>
        </w:tc>
        <w:tc>
          <w:tcPr>
            <w:tcW w:w="355" w:type="dxa"/>
            <w:tcBorders>
              <w:bottom w:val="double" w:sz="6" w:space="0" w:color="000000"/>
            </w:tcBorders>
            <w:shd w:fill="D5EAEA" w:val="clear"/>
            <w:tcMar>
              <w:bottom w:w="28" w:type="dxa"/>
            </w:tcMar>
            <w:vAlign w:val="center"/>
          </w:tcPr>
          <w:p>
            <w:pPr>
              <w:pStyle w:val="TableContents"/>
              <w:bidi w:val="0"/>
              <w:spacing w:before="0" w:after="283"/>
              <w:jc w:val="left"/>
              <w:rPr/>
            </w:pPr>
            <w:r>
              <w:rPr/>
              <w:t> </w:t>
            </w:r>
          </w:p>
        </w:tc>
      </w:tr>
      <w:tr>
        <w:trPr/>
        <w:tc>
          <w:tcPr>
            <w:tcW w:w="7841" w:type="dxa"/>
            <w:tcBorders/>
            <w:shd w:fill="FFFFFF" w:val="clear"/>
            <w:vAlign w:val="center"/>
          </w:tcPr>
          <w:p>
            <w:pPr>
              <w:pStyle w:val="TableContents"/>
              <w:bidi w:val="0"/>
              <w:spacing w:before="0" w:after="283"/>
              <w:jc w:val="left"/>
              <w:rPr/>
            </w:pPr>
            <w:r>
              <w:rPr/>
              <w:t>Debt: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righ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7841" w:type="dxa"/>
            <w:tcBorders/>
            <w:shd w:fill="D5EAEA" w:val="clear"/>
            <w:vAlign w:val="center"/>
          </w:tcPr>
          <w:p>
            <w:pPr>
              <w:pStyle w:val="TableContents"/>
              <w:bidi w:val="0"/>
              <w:spacing w:before="0" w:after="283"/>
              <w:jc w:val="left"/>
              <w:rPr/>
            </w:pPr>
            <w:r>
              <w:rPr/>
              <w:t>Current liabilities</w:t>
            </w:r>
            <w:r>
              <w:rPr>
                <w:position w:val="8"/>
                <w:sz w:val="19"/>
              </w:rPr>
              <w:t>‎</w:t>
            </w:r>
            <w:r>
              <w:rPr/>
              <w:tab/>
            </w:r>
          </w:p>
        </w:tc>
        <w:tc>
          <w:tcPr>
            <w:tcW w:w="60" w:type="dxa"/>
            <w:tcBorders/>
            <w:shd w:fill="D5EAEA" w:val="clear"/>
            <w:vAlign w:val="center"/>
          </w:tcPr>
          <w:p>
            <w:pPr>
              <w:pStyle w:val="TableContents"/>
              <w:bidi w:val="0"/>
              <w:spacing w:before="0" w:after="283"/>
              <w:jc w:val="left"/>
              <w:rPr/>
            </w:pPr>
            <w:r>
              <w:rPr/>
              <w:t> </w:t>
            </w:r>
          </w:p>
        </w:tc>
        <w:tc>
          <w:tcPr>
            <w:tcW w:w="156" w:type="dxa"/>
            <w:tcBorders/>
            <w:shd w:fill="D5EAEA" w:val="clear"/>
            <w:vAlign w:val="center"/>
          </w:tcPr>
          <w:p>
            <w:pPr>
              <w:pStyle w:val="TableContents"/>
              <w:bidi w:val="0"/>
              <w:spacing w:before="0" w:after="283"/>
              <w:jc w:val="left"/>
              <w:rPr/>
            </w:pPr>
            <w:r>
              <w:rPr/>
              <w:t>$</w:t>
            </w:r>
          </w:p>
        </w:tc>
        <w:tc>
          <w:tcPr>
            <w:tcW w:w="910" w:type="dxa"/>
            <w:tcBorders/>
            <w:shd w:fill="D5EAEA" w:val="clear"/>
            <w:vAlign w:val="center"/>
          </w:tcPr>
          <w:p>
            <w:pPr>
              <w:pStyle w:val="TableContents"/>
              <w:bidi w:val="0"/>
              <w:spacing w:before="0" w:after="283"/>
              <w:jc w:val="right"/>
              <w:rPr/>
            </w:pPr>
            <w:r>
              <w:rPr/>
              <w:t>66.1</w:t>
            </w:r>
          </w:p>
        </w:tc>
        <w:tc>
          <w:tcPr>
            <w:tcW w:w="105" w:type="dxa"/>
            <w:tcBorders/>
            <w:shd w:fill="D5EAEA" w:val="clear"/>
            <w:vAlign w:val="center"/>
          </w:tcPr>
          <w:p>
            <w:pPr>
              <w:pStyle w:val="TableContents"/>
              <w:bidi w:val="0"/>
              <w:spacing w:before="0" w:after="283"/>
              <w:jc w:val="left"/>
              <w:rPr/>
            </w:pPr>
            <w:r>
              <w:rPr/>
              <w:t> </w:t>
            </w:r>
          </w:p>
        </w:tc>
        <w:tc>
          <w:tcPr>
            <w:tcW w:w="66" w:type="dxa"/>
            <w:tcBorders/>
            <w:shd w:fill="D5EAEA" w:val="clear"/>
            <w:vAlign w:val="center"/>
          </w:tcPr>
          <w:p>
            <w:pPr>
              <w:pStyle w:val="TableContents"/>
              <w:bidi w:val="0"/>
              <w:spacing w:before="0" w:after="283"/>
              <w:jc w:val="left"/>
              <w:rPr/>
            </w:pPr>
            <w:r>
              <w:rPr/>
              <w:t> </w:t>
            </w:r>
          </w:p>
        </w:tc>
        <w:tc>
          <w:tcPr>
            <w:tcW w:w="499" w:type="dxa"/>
            <w:tcBorders/>
            <w:shd w:fill="D5EAEA" w:val="clear"/>
            <w:vAlign w:val="center"/>
          </w:tcPr>
          <w:p>
            <w:pPr>
              <w:pStyle w:val="TableContents"/>
              <w:bidi w:val="0"/>
              <w:spacing w:before="0" w:after="283"/>
              <w:jc w:val="left"/>
              <w:rPr/>
            </w:pPr>
            <w:r>
              <w:rPr/>
              <w:t>$</w:t>
            </w:r>
          </w:p>
        </w:tc>
        <w:tc>
          <w:tcPr>
            <w:tcW w:w="213" w:type="dxa"/>
            <w:tcBorders/>
            <w:shd w:fill="D5EAEA" w:val="clear"/>
            <w:vAlign w:val="center"/>
          </w:tcPr>
          <w:p>
            <w:pPr>
              <w:pStyle w:val="TableContents"/>
              <w:bidi w:val="0"/>
              <w:spacing w:before="0" w:after="283"/>
              <w:jc w:val="left"/>
              <w:rPr>
                <w:sz w:val="4"/>
                <w:szCs w:val="4"/>
              </w:rPr>
            </w:pPr>
            <w:r>
              <w:rPr>
                <w:sz w:val="4"/>
                <w:szCs w:val="4"/>
              </w:rPr>
            </w:r>
          </w:p>
        </w:tc>
        <w:tc>
          <w:tcPr>
            <w:tcW w:w="355" w:type="dxa"/>
            <w:tcBorders/>
            <w:shd w:fill="D5EAEA" w:val="clear"/>
            <w:vAlign w:val="center"/>
          </w:tcPr>
          <w:p>
            <w:pPr>
              <w:pStyle w:val="TableContents"/>
              <w:bidi w:val="0"/>
              <w:spacing w:before="0" w:after="283"/>
              <w:jc w:val="left"/>
              <w:rPr/>
            </w:pPr>
            <w:r>
              <w:rPr/>
              <w:t> </w:t>
            </w:r>
          </w:p>
        </w:tc>
      </w:tr>
      <w:tr>
        <w:trPr/>
        <w:tc>
          <w:tcPr>
            <w:tcW w:w="7841" w:type="dxa"/>
            <w:tcBorders/>
            <w:shd w:fill="FFFFFF" w:val="clear"/>
            <w:vAlign w:val="center"/>
          </w:tcPr>
          <w:p>
            <w:pPr>
              <w:pStyle w:val="TableContents"/>
              <w:bidi w:val="0"/>
              <w:spacing w:before="0" w:after="283"/>
              <w:jc w:val="left"/>
              <w:rPr/>
            </w:pPr>
            <w:r>
              <w:rPr/>
              <w:t>Long-term debt, net: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right"/>
              <w:rPr/>
            </w:pPr>
            <w:r>
              <w:rPr/>
              <w:t> </w:t>
            </w:r>
          </w:p>
        </w:tc>
        <w:tc>
          <w:tcPr>
            <w:tcW w:w="355" w:type="dxa"/>
            <w:tcBorders/>
            <w:shd w:fill="FFFFFF" w:val="clear"/>
            <w:vAlign w:val="center"/>
          </w:tcPr>
          <w:p>
            <w:pPr>
              <w:pStyle w:val="TableContents"/>
              <w:bidi w:val="0"/>
              <w:spacing w:before="0" w:after="283"/>
              <w:ind w:left="0" w:right="0" w:firstLine="23"/>
              <w:jc w:val="left"/>
              <w:rPr/>
            </w:pPr>
            <w:r>
              <w:rPr/>
              <w:t> </w:t>
            </w:r>
          </w:p>
        </w:tc>
      </w:tr>
      <w:tr>
        <w:trPr/>
        <w:tc>
          <w:tcPr>
            <w:tcW w:w="7841" w:type="dxa"/>
            <w:tcBorders/>
            <w:shd w:fill="D5EAEA" w:val="clear"/>
            <w:vAlign w:val="center"/>
          </w:tcPr>
          <w:p>
            <w:pPr>
              <w:pStyle w:val="TableContents"/>
              <w:bidi w:val="0"/>
              <w:spacing w:before="0" w:after="283"/>
              <w:jc w:val="left"/>
              <w:rPr/>
            </w:pPr>
            <w:r>
              <w:rPr/>
              <w:t>New Credit Agreement</w:t>
            </w:r>
            <w:r>
              <w:rPr>
                <w:position w:val="8"/>
                <w:sz w:val="19"/>
              </w:rPr>
              <w:t>(2)</w:t>
            </w:r>
            <w:r>
              <w:rPr/>
              <w:tab/>
            </w:r>
          </w:p>
        </w:tc>
        <w:tc>
          <w:tcPr>
            <w:tcW w:w="60" w:type="dxa"/>
            <w:tcBorders/>
            <w:shd w:fill="D5EAEA" w:val="clear"/>
            <w:vAlign w:val="center"/>
          </w:tcPr>
          <w:p>
            <w:pPr>
              <w:pStyle w:val="TableContents"/>
              <w:bidi w:val="0"/>
              <w:spacing w:before="0" w:after="283"/>
              <w:jc w:val="left"/>
              <w:rPr/>
            </w:pPr>
            <w:r>
              <w:rPr/>
              <w:t> </w:t>
            </w:r>
          </w:p>
        </w:tc>
        <w:tc>
          <w:tcPr>
            <w:tcW w:w="156" w:type="dxa"/>
            <w:tcBorders/>
            <w:shd w:fill="D5EAEA" w:val="clear"/>
            <w:vAlign w:val="center"/>
          </w:tcPr>
          <w:p>
            <w:pPr>
              <w:pStyle w:val="TableContents"/>
              <w:bidi w:val="0"/>
              <w:spacing w:before="0" w:after="283"/>
              <w:jc w:val="left"/>
              <w:rPr/>
            </w:pPr>
            <w:r>
              <w:rPr/>
              <w:t> </w:t>
            </w:r>
          </w:p>
        </w:tc>
        <w:tc>
          <w:tcPr>
            <w:tcW w:w="910" w:type="dxa"/>
            <w:tcBorders/>
            <w:shd w:fill="D5EAEA" w:val="clear"/>
            <w:vAlign w:val="center"/>
          </w:tcPr>
          <w:p>
            <w:pPr>
              <w:pStyle w:val="TableContents"/>
              <w:bidi w:val="0"/>
              <w:spacing w:before="0" w:after="283"/>
              <w:jc w:val="right"/>
              <w:rPr/>
            </w:pPr>
            <w:r>
              <w:rPr/>
              <w:t>157.5</w:t>
            </w:r>
          </w:p>
        </w:tc>
        <w:tc>
          <w:tcPr>
            <w:tcW w:w="105" w:type="dxa"/>
            <w:tcBorders/>
            <w:shd w:fill="D5EAEA" w:val="clear"/>
            <w:vAlign w:val="center"/>
          </w:tcPr>
          <w:p>
            <w:pPr>
              <w:pStyle w:val="TableContents"/>
              <w:bidi w:val="0"/>
              <w:spacing w:before="0" w:after="283"/>
              <w:jc w:val="left"/>
              <w:rPr/>
            </w:pPr>
            <w:r>
              <w:rPr/>
              <w:t> </w:t>
            </w:r>
          </w:p>
        </w:tc>
        <w:tc>
          <w:tcPr>
            <w:tcW w:w="66" w:type="dxa"/>
            <w:tcBorders/>
            <w:shd w:fill="D5EAEA" w:val="clear"/>
            <w:vAlign w:val="center"/>
          </w:tcPr>
          <w:p>
            <w:pPr>
              <w:pStyle w:val="TableContents"/>
              <w:bidi w:val="0"/>
              <w:spacing w:before="0" w:after="283"/>
              <w:jc w:val="left"/>
              <w:rPr/>
            </w:pPr>
            <w:r>
              <w:rPr/>
              <w:t> </w:t>
            </w:r>
          </w:p>
        </w:tc>
        <w:tc>
          <w:tcPr>
            <w:tcW w:w="499" w:type="dxa"/>
            <w:tcBorders/>
            <w:shd w:fill="D5EAEA" w:val="clear"/>
            <w:vAlign w:val="center"/>
          </w:tcPr>
          <w:p>
            <w:pPr>
              <w:pStyle w:val="TableContents"/>
              <w:bidi w:val="0"/>
              <w:spacing w:before="0" w:after="283"/>
              <w:jc w:val="left"/>
              <w:rPr/>
            </w:pPr>
            <w:r>
              <w:rPr/>
              <w:t> </w:t>
            </w:r>
          </w:p>
        </w:tc>
        <w:tc>
          <w:tcPr>
            <w:tcW w:w="213" w:type="dxa"/>
            <w:tcBorders/>
            <w:shd w:fill="D5EAEA" w:val="clear"/>
            <w:vAlign w:val="center"/>
          </w:tcPr>
          <w:p>
            <w:pPr>
              <w:pStyle w:val="TableContents"/>
              <w:bidi w:val="0"/>
              <w:spacing w:before="0" w:after="283"/>
              <w:jc w:val="left"/>
              <w:rPr>
                <w:sz w:val="4"/>
                <w:szCs w:val="4"/>
              </w:rPr>
            </w:pPr>
            <w:r>
              <w:rPr>
                <w:sz w:val="4"/>
                <w:szCs w:val="4"/>
              </w:rPr>
            </w:r>
          </w:p>
        </w:tc>
        <w:tc>
          <w:tcPr>
            <w:tcW w:w="355" w:type="dxa"/>
            <w:tcBorders/>
            <w:shd w:fill="D5EAEA" w:val="clear"/>
            <w:vAlign w:val="center"/>
          </w:tcPr>
          <w:p>
            <w:pPr>
              <w:pStyle w:val="TableContents"/>
              <w:bidi w:val="0"/>
              <w:spacing w:before="0" w:after="283"/>
              <w:jc w:val="left"/>
              <w:rPr/>
            </w:pPr>
            <w:r>
              <w:rPr/>
              <w:t> </w:t>
            </w:r>
          </w:p>
        </w:tc>
      </w:tr>
      <w:tr>
        <w:trPr/>
        <w:tc>
          <w:tcPr>
            <w:tcW w:w="7841" w:type="dxa"/>
            <w:tcBorders/>
            <w:shd w:fill="FFFFFF" w:val="clear"/>
            <w:vAlign w:val="center"/>
          </w:tcPr>
          <w:p>
            <w:pPr>
              <w:pStyle w:val="TableContents"/>
              <w:bidi w:val="0"/>
              <w:spacing w:before="0" w:after="283"/>
              <w:jc w:val="left"/>
              <w:rPr/>
            </w:pPr>
            <w:r>
              <w:rPr/>
              <w:t>Other liabilities</w:t>
            </w:r>
            <w:r>
              <w:rPr>
                <w:position w:val="8"/>
                <w:sz w:val="19"/>
              </w:rPr>
              <w:t>‎(3)</w:t>
            </w:r>
            <w:r>
              <w:rPr/>
              <w:tab/>
            </w:r>
          </w:p>
        </w:tc>
        <w:tc>
          <w:tcPr>
            <w:tcW w:w="60"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10" w:type="dxa"/>
            <w:tcBorders>
              <w:bottom w:val="double" w:sz="6" w:space="0" w:color="000000"/>
            </w:tcBorders>
            <w:shd w:fill="FFFFFF" w:val="clear"/>
            <w:tcMar>
              <w:bottom w:w="28" w:type="dxa"/>
            </w:tcMar>
            <w:vAlign w:val="center"/>
          </w:tcPr>
          <w:p>
            <w:pPr>
              <w:pStyle w:val="TableContents"/>
              <w:bidi w:val="0"/>
              <w:spacing w:before="0" w:after="283"/>
              <w:jc w:val="right"/>
              <w:rPr/>
            </w:pPr>
            <w:r>
              <w:rPr/>
              <w:t>34.3</w:t>
            </w:r>
          </w:p>
        </w:tc>
        <w:tc>
          <w:tcPr>
            <w:tcW w:w="10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49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355" w:type="dxa"/>
            <w:tcBorders>
              <w:bottom w:val="double" w:sz="6" w:space="0" w:color="000000"/>
            </w:tcBorders>
            <w:shd w:fill="FFFFFF" w:val="clear"/>
            <w:tcMar>
              <w:bottom w:w="28" w:type="dxa"/>
            </w:tcMar>
            <w:vAlign w:val="center"/>
          </w:tcPr>
          <w:p>
            <w:pPr>
              <w:pStyle w:val="TableContents"/>
              <w:bidi w:val="0"/>
              <w:spacing w:before="0" w:after="283"/>
              <w:ind w:left="0" w:right="0" w:hanging="187"/>
              <w:jc w:val="left"/>
              <w:rPr/>
            </w:pPr>
            <w:r>
              <w:rPr/>
              <w:t> </w:t>
            </w:r>
          </w:p>
        </w:tc>
      </w:tr>
      <w:tr>
        <w:trPr/>
        <w:tc>
          <w:tcPr>
            <w:tcW w:w="7841" w:type="dxa"/>
            <w:tcBorders/>
            <w:shd w:fill="D5EAEA" w:val="clear"/>
            <w:vAlign w:val="center"/>
          </w:tcPr>
          <w:p>
            <w:pPr>
              <w:pStyle w:val="TableContents"/>
              <w:bidi w:val="0"/>
              <w:spacing w:before="0" w:after="283"/>
              <w:jc w:val="left"/>
              <w:rPr/>
            </w:pPr>
            <w:r>
              <w:rPr/>
              <w:t>Total debt</w:t>
              <w:tab/>
            </w:r>
          </w:p>
        </w:tc>
        <w:tc>
          <w:tcPr>
            <w:tcW w:w="60" w:type="dxa"/>
            <w:tcBorders/>
            <w:shd w:fill="D5EAEA" w:val="clear"/>
            <w:vAlign w:val="center"/>
          </w:tcPr>
          <w:p>
            <w:pPr>
              <w:pStyle w:val="TableContents"/>
              <w:bidi w:val="0"/>
              <w:spacing w:before="0" w:after="283"/>
              <w:jc w:val="left"/>
              <w:rPr/>
            </w:pPr>
            <w:r>
              <w:rPr/>
              <w:t> </w:t>
            </w:r>
          </w:p>
        </w:tc>
        <w:tc>
          <w:tcPr>
            <w:tcW w:w="156" w:type="dxa"/>
            <w:tcBorders/>
            <w:shd w:fill="D5EAEA" w:val="clear"/>
            <w:vAlign w:val="center"/>
          </w:tcPr>
          <w:p>
            <w:pPr>
              <w:pStyle w:val="TableContents"/>
              <w:bidi w:val="0"/>
              <w:spacing w:before="0" w:after="283"/>
              <w:jc w:val="left"/>
              <w:rPr/>
            </w:pPr>
            <w:r>
              <w:rPr/>
              <w:t>$</w:t>
            </w:r>
          </w:p>
        </w:tc>
        <w:tc>
          <w:tcPr>
            <w:tcW w:w="910" w:type="dxa"/>
            <w:tcBorders/>
            <w:shd w:fill="D5EAEA" w:val="clear"/>
            <w:vAlign w:val="center"/>
          </w:tcPr>
          <w:p>
            <w:pPr>
              <w:pStyle w:val="TableContents"/>
              <w:bidi w:val="0"/>
              <w:spacing w:before="0" w:after="283"/>
              <w:jc w:val="right"/>
              <w:rPr/>
            </w:pPr>
            <w:r>
              <w:rPr/>
              <w:t>191.8</w:t>
            </w:r>
          </w:p>
        </w:tc>
        <w:tc>
          <w:tcPr>
            <w:tcW w:w="105" w:type="dxa"/>
            <w:tcBorders/>
            <w:shd w:fill="D5EAEA" w:val="clear"/>
            <w:vAlign w:val="center"/>
          </w:tcPr>
          <w:p>
            <w:pPr>
              <w:pStyle w:val="TableContents"/>
              <w:bidi w:val="0"/>
              <w:spacing w:before="0" w:after="283"/>
              <w:jc w:val="left"/>
              <w:rPr/>
            </w:pPr>
            <w:r>
              <w:rPr/>
              <w:t> </w:t>
            </w:r>
          </w:p>
        </w:tc>
        <w:tc>
          <w:tcPr>
            <w:tcW w:w="66" w:type="dxa"/>
            <w:tcBorders/>
            <w:shd w:fill="D5EAEA" w:val="clear"/>
            <w:vAlign w:val="center"/>
          </w:tcPr>
          <w:p>
            <w:pPr>
              <w:pStyle w:val="TableContents"/>
              <w:bidi w:val="0"/>
              <w:spacing w:before="0" w:after="283"/>
              <w:jc w:val="left"/>
              <w:rPr/>
            </w:pPr>
            <w:r>
              <w:rPr/>
              <w:t> </w:t>
            </w:r>
          </w:p>
        </w:tc>
        <w:tc>
          <w:tcPr>
            <w:tcW w:w="499" w:type="dxa"/>
            <w:tcBorders/>
            <w:shd w:fill="D5EAEA" w:val="clear"/>
            <w:vAlign w:val="center"/>
          </w:tcPr>
          <w:p>
            <w:pPr>
              <w:pStyle w:val="TableContents"/>
              <w:bidi w:val="0"/>
              <w:spacing w:before="0" w:after="283"/>
              <w:jc w:val="left"/>
              <w:rPr/>
            </w:pPr>
            <w:r>
              <w:rPr/>
              <w:t>$</w:t>
            </w:r>
          </w:p>
        </w:tc>
        <w:tc>
          <w:tcPr>
            <w:tcW w:w="213" w:type="dxa"/>
            <w:tcBorders/>
            <w:shd w:fill="D5EAEA" w:val="clear"/>
            <w:vAlign w:val="center"/>
          </w:tcPr>
          <w:p>
            <w:pPr>
              <w:pStyle w:val="TableContents"/>
              <w:bidi w:val="0"/>
              <w:spacing w:before="0" w:after="283"/>
              <w:jc w:val="left"/>
              <w:rPr>
                <w:sz w:val="4"/>
                <w:szCs w:val="4"/>
              </w:rPr>
            </w:pPr>
            <w:r>
              <w:rPr>
                <w:sz w:val="4"/>
                <w:szCs w:val="4"/>
              </w:rPr>
            </w:r>
          </w:p>
        </w:tc>
        <w:tc>
          <w:tcPr>
            <w:tcW w:w="355" w:type="dxa"/>
            <w:tcBorders/>
            <w:shd w:fill="D5EAEA" w:val="clear"/>
            <w:vAlign w:val="center"/>
          </w:tcPr>
          <w:p>
            <w:pPr>
              <w:pStyle w:val="TableContents"/>
              <w:bidi w:val="0"/>
              <w:spacing w:before="0" w:after="283"/>
              <w:jc w:val="left"/>
              <w:rPr/>
            </w:pPr>
            <w:r>
              <w:rPr/>
              <w:t> </w:t>
            </w:r>
          </w:p>
        </w:tc>
      </w:tr>
      <w:tr>
        <w:trPr/>
        <w:tc>
          <w:tcPr>
            <w:tcW w:w="7841" w:type="dxa"/>
            <w:tcBorders/>
            <w:shd w:fill="FFFFFF" w:val="clear"/>
            <w:vAlign w:val="center"/>
          </w:tcPr>
          <w:p>
            <w:pPr>
              <w:pStyle w:val="TableContents"/>
              <w:bidi w:val="0"/>
              <w:spacing w:before="0" w:after="283"/>
              <w:jc w:val="left"/>
              <w:rPr/>
            </w:pPr>
            <w:r>
              <w:rPr/>
              <w:t>Stockholders’ deficit: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righ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7841" w:type="dxa"/>
            <w:tcBorders/>
            <w:shd w:fill="D5EAEA" w:val="clear"/>
            <w:vAlign w:val="center"/>
          </w:tcPr>
          <w:p>
            <w:pPr>
              <w:pStyle w:val="TableContents"/>
              <w:bidi w:val="0"/>
              <w:spacing w:before="0" w:after="283"/>
              <w:jc w:val="left"/>
              <w:rPr/>
            </w:pPr>
            <w:r>
              <w:rPr/>
              <w:t>Class A Common Stock, par value $0.001 per share, 300,000,000 shares authorized, 33,757,416 shares issued and outstanding, actual; 300,000,000 shares authorized,            shares issued and outstanding, as adjusted</w:t>
              <w:tab/>
            </w:r>
          </w:p>
        </w:tc>
        <w:tc>
          <w:tcPr>
            <w:tcW w:w="60" w:type="dxa"/>
            <w:tcBorders/>
            <w:shd w:fill="D5EAEA" w:val="clear"/>
            <w:vAlign w:val="center"/>
          </w:tcPr>
          <w:p>
            <w:pPr>
              <w:pStyle w:val="TableContents"/>
              <w:bidi w:val="0"/>
              <w:spacing w:before="0" w:after="283"/>
              <w:jc w:val="left"/>
              <w:rPr/>
            </w:pPr>
            <w:r>
              <w:rPr/>
              <w:t> </w:t>
            </w:r>
          </w:p>
        </w:tc>
        <w:tc>
          <w:tcPr>
            <w:tcW w:w="156" w:type="dxa"/>
            <w:tcBorders/>
            <w:shd w:fill="D5EAEA" w:val="clear"/>
            <w:vAlign w:val="center"/>
          </w:tcPr>
          <w:p>
            <w:pPr>
              <w:pStyle w:val="TableContents"/>
              <w:bidi w:val="0"/>
              <w:spacing w:before="0" w:after="283"/>
              <w:jc w:val="left"/>
              <w:rPr/>
            </w:pPr>
            <w:r>
              <w:rPr/>
              <w:t> </w:t>
            </w:r>
          </w:p>
        </w:tc>
        <w:tc>
          <w:tcPr>
            <w:tcW w:w="910" w:type="dxa"/>
            <w:tcBorders/>
            <w:shd w:fill="D5EAEA" w:val="clear"/>
            <w:vAlign w:val="center"/>
          </w:tcPr>
          <w:p>
            <w:pPr>
              <w:pStyle w:val="TableContents"/>
              <w:bidi w:val="0"/>
              <w:spacing w:before="0" w:after="283"/>
              <w:jc w:val="right"/>
              <w:rPr/>
            </w:pPr>
            <w:r>
              <w:rPr/>
              <w:t> </w:t>
            </w:r>
          </w:p>
        </w:tc>
        <w:tc>
          <w:tcPr>
            <w:tcW w:w="105" w:type="dxa"/>
            <w:tcBorders/>
            <w:shd w:fill="D5EAEA" w:val="clear"/>
            <w:vAlign w:val="center"/>
          </w:tcPr>
          <w:p>
            <w:pPr>
              <w:pStyle w:val="TableContents"/>
              <w:bidi w:val="0"/>
              <w:spacing w:before="0" w:after="283"/>
              <w:jc w:val="left"/>
              <w:rPr/>
            </w:pPr>
            <w:r>
              <w:rPr/>
              <w:t> </w:t>
            </w:r>
          </w:p>
        </w:tc>
        <w:tc>
          <w:tcPr>
            <w:tcW w:w="66" w:type="dxa"/>
            <w:tcBorders/>
            <w:shd w:fill="D5EAEA" w:val="clear"/>
            <w:vAlign w:val="center"/>
          </w:tcPr>
          <w:p>
            <w:pPr>
              <w:pStyle w:val="TableContents"/>
              <w:bidi w:val="0"/>
              <w:spacing w:before="0" w:after="283"/>
              <w:jc w:val="left"/>
              <w:rPr/>
            </w:pPr>
            <w:r>
              <w:rPr/>
              <w:t> </w:t>
            </w:r>
          </w:p>
        </w:tc>
        <w:tc>
          <w:tcPr>
            <w:tcW w:w="499" w:type="dxa"/>
            <w:tcBorders/>
            <w:shd w:fill="D5EAEA" w:val="clear"/>
            <w:vAlign w:val="center"/>
          </w:tcPr>
          <w:p>
            <w:pPr>
              <w:pStyle w:val="TableContents"/>
              <w:bidi w:val="0"/>
              <w:spacing w:before="0" w:after="283"/>
              <w:jc w:val="left"/>
              <w:rPr/>
            </w:pPr>
            <w:r>
              <w:rPr/>
              <w:t> </w:t>
            </w:r>
          </w:p>
        </w:tc>
        <w:tc>
          <w:tcPr>
            <w:tcW w:w="213" w:type="dxa"/>
            <w:tcBorders/>
            <w:shd w:fill="D5EAEA" w:val="clear"/>
            <w:vAlign w:val="center"/>
          </w:tcPr>
          <w:p>
            <w:pPr>
              <w:pStyle w:val="TableContents"/>
              <w:bidi w:val="0"/>
              <w:spacing w:before="0" w:after="283"/>
              <w:jc w:val="right"/>
              <w:rPr/>
            </w:pPr>
            <w:r>
              <w:rPr/>
              <w:t> </w:t>
            </w:r>
          </w:p>
        </w:tc>
        <w:tc>
          <w:tcPr>
            <w:tcW w:w="355" w:type="dxa"/>
            <w:tcBorders/>
            <w:shd w:fill="D5EAEA" w:val="clear"/>
            <w:vAlign w:val="center"/>
          </w:tcPr>
          <w:p>
            <w:pPr>
              <w:pStyle w:val="TableContents"/>
              <w:bidi w:val="0"/>
              <w:spacing w:before="0" w:after="283"/>
              <w:jc w:val="left"/>
              <w:rPr/>
            </w:pPr>
            <w:r>
              <w:rPr/>
              <w:t> </w:t>
            </w:r>
          </w:p>
        </w:tc>
      </w:tr>
      <w:tr>
        <w:trPr/>
        <w:tc>
          <w:tcPr>
            <w:tcW w:w="7841" w:type="dxa"/>
            <w:tcBorders/>
            <w:shd w:fill="FFFFFF" w:val="clear"/>
            <w:vAlign w:val="center"/>
          </w:tcPr>
          <w:p>
            <w:pPr>
              <w:pStyle w:val="TableContents"/>
              <w:bidi w:val="0"/>
              <w:spacing w:before="0" w:after="283"/>
              <w:jc w:val="left"/>
              <w:rPr/>
            </w:pPr>
            <w:r>
              <w:rPr/>
              <w:t>Additional paid-in capital</w:t>
            </w:r>
            <w:r>
              <w:rPr>
                <w:position w:val="8"/>
                <w:sz w:val="19"/>
              </w:rPr>
              <w:t>(4)</w:t>
            </w:r>
            <w:r>
              <w:rPr/>
              <w:tab/>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1,066.7</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sz w:val="4"/>
                <w:szCs w:val="4"/>
              </w:rPr>
            </w:pPr>
            <w:r>
              <w:rPr>
                <w:sz w:val="4"/>
                <w:szCs w:val="4"/>
              </w:rPr>
            </w:r>
          </w:p>
        </w:tc>
        <w:tc>
          <w:tcPr>
            <w:tcW w:w="355" w:type="dxa"/>
            <w:tcBorders/>
            <w:shd w:fill="FFFFFF" w:val="clear"/>
            <w:vAlign w:val="center"/>
          </w:tcPr>
          <w:p>
            <w:pPr>
              <w:pStyle w:val="TableContents"/>
              <w:bidi w:val="0"/>
              <w:spacing w:before="0" w:after="283"/>
              <w:jc w:val="left"/>
              <w:rPr/>
            </w:pPr>
            <w:r>
              <w:rPr/>
              <w:t> </w:t>
            </w:r>
          </w:p>
        </w:tc>
      </w:tr>
      <w:tr>
        <w:trPr/>
        <w:tc>
          <w:tcPr>
            <w:tcW w:w="7841" w:type="dxa"/>
            <w:tcBorders/>
            <w:shd w:fill="D5EAEA" w:val="clear"/>
            <w:vAlign w:val="center"/>
          </w:tcPr>
          <w:p>
            <w:pPr>
              <w:pStyle w:val="TableContents"/>
              <w:bidi w:val="0"/>
              <w:spacing w:before="0" w:after="283"/>
              <w:jc w:val="left"/>
              <w:rPr/>
            </w:pPr>
            <w:r>
              <w:rPr/>
              <w:t>Accumulated deficit</w:t>
            </w:r>
            <w:r>
              <w:rPr>
                <w:position w:val="8"/>
                <w:sz w:val="19"/>
              </w:rPr>
              <w:t>‎</w:t>
            </w:r>
            <w:r>
              <w:rPr/>
              <w:tab/>
            </w:r>
          </w:p>
        </w:tc>
        <w:tc>
          <w:tcPr>
            <w:tcW w:w="60" w:type="dxa"/>
            <w:tcBorders/>
            <w:shd w:fill="D5EAEA" w:val="clear"/>
            <w:vAlign w:val="center"/>
          </w:tcPr>
          <w:p>
            <w:pPr>
              <w:pStyle w:val="TableContents"/>
              <w:bidi w:val="0"/>
              <w:spacing w:before="0" w:after="283"/>
              <w:jc w:val="left"/>
              <w:rPr/>
            </w:pPr>
            <w:r>
              <w:rPr/>
              <w:t> </w:t>
            </w:r>
          </w:p>
        </w:tc>
        <w:tc>
          <w:tcPr>
            <w:tcW w:w="156" w:type="dxa"/>
            <w:tcBorders/>
            <w:shd w:fill="D5EAEA" w:val="clear"/>
            <w:vAlign w:val="center"/>
          </w:tcPr>
          <w:p>
            <w:pPr>
              <w:pStyle w:val="TableContents"/>
              <w:bidi w:val="0"/>
              <w:spacing w:before="0" w:after="283"/>
              <w:jc w:val="left"/>
              <w:rPr/>
            </w:pPr>
            <w:r>
              <w:rPr/>
              <w:t> </w:t>
            </w:r>
          </w:p>
        </w:tc>
        <w:tc>
          <w:tcPr>
            <w:tcW w:w="910" w:type="dxa"/>
            <w:tcBorders/>
            <w:shd w:fill="D5EAEA" w:val="clear"/>
            <w:vAlign w:val="center"/>
          </w:tcPr>
          <w:p>
            <w:pPr>
              <w:pStyle w:val="TableContents"/>
              <w:bidi w:val="0"/>
              <w:spacing w:before="0" w:after="283"/>
              <w:jc w:val="right"/>
              <w:rPr/>
            </w:pPr>
            <w:r>
              <w:rPr/>
              <w:t>(1,132.2</w:t>
            </w:r>
          </w:p>
        </w:tc>
        <w:tc>
          <w:tcPr>
            <w:tcW w:w="105" w:type="dxa"/>
            <w:tcBorders/>
            <w:shd w:fill="D5EAEA" w:val="clear"/>
            <w:vAlign w:val="center"/>
          </w:tcPr>
          <w:p>
            <w:pPr>
              <w:pStyle w:val="TableContents"/>
              <w:bidi w:val="0"/>
              <w:spacing w:before="0" w:after="283"/>
              <w:jc w:val="left"/>
              <w:rPr/>
            </w:pPr>
            <w:r>
              <w:rPr/>
              <w:t>)</w:t>
            </w:r>
          </w:p>
        </w:tc>
        <w:tc>
          <w:tcPr>
            <w:tcW w:w="66" w:type="dxa"/>
            <w:tcBorders/>
            <w:shd w:fill="D5EAEA" w:val="clear"/>
            <w:vAlign w:val="center"/>
          </w:tcPr>
          <w:p>
            <w:pPr>
              <w:pStyle w:val="TableContents"/>
              <w:bidi w:val="0"/>
              <w:spacing w:before="0" w:after="283"/>
              <w:jc w:val="left"/>
              <w:rPr/>
            </w:pPr>
            <w:r>
              <w:rPr/>
              <w:t> </w:t>
            </w:r>
          </w:p>
        </w:tc>
        <w:tc>
          <w:tcPr>
            <w:tcW w:w="499" w:type="dxa"/>
            <w:tcBorders/>
            <w:shd w:fill="D5EAEA" w:val="clear"/>
            <w:vAlign w:val="center"/>
          </w:tcPr>
          <w:p>
            <w:pPr>
              <w:pStyle w:val="TableContents"/>
              <w:bidi w:val="0"/>
              <w:spacing w:before="0" w:after="283"/>
              <w:jc w:val="left"/>
              <w:rPr/>
            </w:pPr>
            <w:r>
              <w:rPr/>
              <w:t> </w:t>
            </w:r>
          </w:p>
        </w:tc>
        <w:tc>
          <w:tcPr>
            <w:tcW w:w="213" w:type="dxa"/>
            <w:tcBorders/>
            <w:shd w:fill="D5EAEA" w:val="clear"/>
            <w:vAlign w:val="center"/>
          </w:tcPr>
          <w:p>
            <w:pPr>
              <w:pStyle w:val="TableContents"/>
              <w:bidi w:val="0"/>
              <w:spacing w:before="0" w:after="283"/>
              <w:jc w:val="left"/>
              <w:rPr>
                <w:sz w:val="4"/>
                <w:szCs w:val="4"/>
              </w:rPr>
            </w:pPr>
            <w:r>
              <w:rPr>
                <w:sz w:val="4"/>
                <w:szCs w:val="4"/>
              </w:rPr>
            </w:r>
          </w:p>
        </w:tc>
        <w:tc>
          <w:tcPr>
            <w:tcW w:w="355" w:type="dxa"/>
            <w:tcBorders/>
            <w:shd w:fill="D5EAEA" w:val="clear"/>
            <w:vAlign w:val="center"/>
          </w:tcPr>
          <w:p>
            <w:pPr>
              <w:pStyle w:val="TableContents"/>
              <w:bidi w:val="0"/>
              <w:spacing w:before="0" w:after="283"/>
              <w:ind w:left="0" w:right="0" w:hanging="187"/>
              <w:jc w:val="left"/>
              <w:rPr>
                <w:sz w:val="4"/>
                <w:szCs w:val="4"/>
              </w:rPr>
            </w:pPr>
            <w:r>
              <w:rPr>
                <w:sz w:val="4"/>
                <w:szCs w:val="4"/>
              </w:rPr>
            </w:r>
          </w:p>
        </w:tc>
      </w:tr>
      <w:tr>
        <w:trPr/>
        <w:tc>
          <w:tcPr>
            <w:tcW w:w="7841" w:type="dxa"/>
            <w:tcBorders/>
            <w:shd w:fill="FFFFFF" w:val="clear"/>
            <w:vAlign w:val="center"/>
          </w:tcPr>
          <w:p>
            <w:pPr>
              <w:pStyle w:val="TableContents"/>
              <w:bidi w:val="0"/>
              <w:spacing w:before="0" w:after="283"/>
              <w:jc w:val="left"/>
              <w:rPr/>
            </w:pPr>
            <w:r>
              <w:rPr/>
              <w:t>Total stockholders’ deficit</w:t>
              <w:tab/>
            </w:r>
          </w:p>
        </w:tc>
        <w:tc>
          <w:tcPr>
            <w:tcW w:w="60"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10" w:type="dxa"/>
            <w:tcBorders>
              <w:bottom w:val="double" w:sz="6" w:space="0" w:color="000000"/>
            </w:tcBorders>
            <w:shd w:fill="FFFFFF" w:val="clear"/>
            <w:tcMar>
              <w:bottom w:w="28" w:type="dxa"/>
            </w:tcMar>
            <w:vAlign w:val="center"/>
          </w:tcPr>
          <w:p>
            <w:pPr>
              <w:pStyle w:val="TableContents"/>
              <w:bidi w:val="0"/>
              <w:spacing w:before="0" w:after="283"/>
              <w:jc w:val="right"/>
              <w:rPr/>
            </w:pPr>
            <w:r>
              <w:rPr/>
              <w:t>(65.5</w:t>
            </w:r>
          </w:p>
        </w:tc>
        <w:tc>
          <w:tcPr>
            <w:tcW w:w="10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49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213" w:type="dxa"/>
            <w:tcBorders>
              <w:bottom w:val="double" w:sz="6"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355" w:type="dxa"/>
            <w:tcBorders>
              <w:bottom w:val="double" w:sz="6" w:space="0" w:color="000000"/>
            </w:tcBorders>
            <w:shd w:fill="FFFFFF" w:val="clear"/>
            <w:tcMar>
              <w:bottom w:w="28" w:type="dxa"/>
            </w:tcMar>
            <w:vAlign w:val="center"/>
          </w:tcPr>
          <w:p>
            <w:pPr>
              <w:pStyle w:val="TableContents"/>
              <w:bidi w:val="0"/>
              <w:spacing w:before="0" w:after="283"/>
              <w:ind w:left="0" w:right="0" w:hanging="187"/>
              <w:jc w:val="left"/>
              <w:rPr>
                <w:sz w:val="4"/>
                <w:szCs w:val="4"/>
              </w:rPr>
            </w:pPr>
            <w:r>
              <w:rPr>
                <w:sz w:val="4"/>
                <w:szCs w:val="4"/>
              </w:rPr>
            </w:r>
          </w:p>
        </w:tc>
      </w:tr>
      <w:tr>
        <w:trPr/>
        <w:tc>
          <w:tcPr>
            <w:tcW w:w="7841" w:type="dxa"/>
            <w:tcBorders/>
            <w:shd w:fill="D5EAEA" w:val="clear"/>
            <w:vAlign w:val="center"/>
          </w:tcPr>
          <w:p>
            <w:pPr>
              <w:pStyle w:val="TableContents"/>
              <w:bidi w:val="0"/>
              <w:spacing w:before="0" w:after="283"/>
              <w:jc w:val="left"/>
              <w:rPr/>
            </w:pPr>
            <w:r>
              <w:rPr/>
              <w:t>Total capitalization</w:t>
              <w:tab/>
            </w:r>
          </w:p>
        </w:tc>
        <w:tc>
          <w:tcPr>
            <w:tcW w:w="60" w:type="dxa"/>
            <w:tcBorders/>
            <w:shd w:fill="D5EAEA" w:val="clear"/>
            <w:vAlign w:val="center"/>
          </w:tcPr>
          <w:p>
            <w:pPr>
              <w:pStyle w:val="TableContents"/>
              <w:bidi w:val="0"/>
              <w:spacing w:before="0" w:after="283"/>
              <w:jc w:val="left"/>
              <w:rPr/>
            </w:pPr>
            <w:r>
              <w:rPr/>
              <w:t> </w:t>
            </w:r>
          </w:p>
        </w:tc>
        <w:tc>
          <w:tcPr>
            <w:tcW w:w="156" w:type="dxa"/>
            <w:tcBorders>
              <w:bottom w:val="double" w:sz="6" w:space="0" w:color="000000"/>
            </w:tcBorders>
            <w:shd w:fill="D5EAEA" w:val="clear"/>
            <w:tcMar>
              <w:bottom w:w="28" w:type="dxa"/>
            </w:tcMar>
            <w:vAlign w:val="center"/>
          </w:tcPr>
          <w:p>
            <w:pPr>
              <w:pStyle w:val="TableContents"/>
              <w:bidi w:val="0"/>
              <w:spacing w:before="0" w:after="283"/>
              <w:jc w:val="left"/>
              <w:rPr/>
            </w:pPr>
            <w:r>
              <w:rPr/>
              <w:t>$</w:t>
            </w:r>
          </w:p>
        </w:tc>
        <w:tc>
          <w:tcPr>
            <w:tcW w:w="910" w:type="dxa"/>
            <w:tcBorders>
              <w:bottom w:val="double" w:sz="6" w:space="0" w:color="000000"/>
            </w:tcBorders>
            <w:shd w:fill="D5EAEA" w:val="clear"/>
            <w:tcMar>
              <w:bottom w:w="28" w:type="dxa"/>
            </w:tcMar>
            <w:vAlign w:val="center"/>
          </w:tcPr>
          <w:p>
            <w:pPr>
              <w:pStyle w:val="TableContents"/>
              <w:bidi w:val="0"/>
              <w:spacing w:before="0" w:after="283"/>
              <w:jc w:val="right"/>
              <w:rPr/>
            </w:pPr>
            <w:r>
              <w:rPr/>
              <w:t>192.4</w:t>
            </w:r>
          </w:p>
        </w:tc>
        <w:tc>
          <w:tcPr>
            <w:tcW w:w="105" w:type="dxa"/>
            <w:tcBorders>
              <w:bottom w:val="double" w:sz="6" w:space="0" w:color="000000"/>
            </w:tcBorders>
            <w:shd w:fill="D5EAEA" w:val="clear"/>
            <w:tcMar>
              <w:bottom w:w="28" w:type="dxa"/>
            </w:tcMar>
            <w:vAlign w:val="center"/>
          </w:tcPr>
          <w:p>
            <w:pPr>
              <w:pStyle w:val="TableContents"/>
              <w:bidi w:val="0"/>
              <w:spacing w:before="0" w:after="283"/>
              <w:jc w:val="left"/>
              <w:rPr/>
            </w:pPr>
            <w:r>
              <w:rPr/>
              <w:t> </w:t>
            </w:r>
          </w:p>
        </w:tc>
        <w:tc>
          <w:tcPr>
            <w:tcW w:w="66" w:type="dxa"/>
            <w:tcBorders/>
            <w:shd w:fill="D5EAEA" w:val="clear"/>
            <w:vAlign w:val="center"/>
          </w:tcPr>
          <w:p>
            <w:pPr>
              <w:pStyle w:val="TableContents"/>
              <w:bidi w:val="0"/>
              <w:spacing w:before="0" w:after="283"/>
              <w:jc w:val="left"/>
              <w:rPr/>
            </w:pPr>
            <w:r>
              <w:rPr/>
              <w:t> </w:t>
            </w:r>
          </w:p>
        </w:tc>
        <w:tc>
          <w:tcPr>
            <w:tcW w:w="499" w:type="dxa"/>
            <w:tcBorders>
              <w:bottom w:val="double" w:sz="6" w:space="0" w:color="000000"/>
            </w:tcBorders>
            <w:shd w:fill="D5EAEA" w:val="clear"/>
            <w:tcMar>
              <w:bottom w:w="28" w:type="dxa"/>
            </w:tcMar>
            <w:vAlign w:val="center"/>
          </w:tcPr>
          <w:p>
            <w:pPr>
              <w:pStyle w:val="TableContents"/>
              <w:bidi w:val="0"/>
              <w:spacing w:before="0" w:after="283"/>
              <w:jc w:val="left"/>
              <w:rPr/>
            </w:pPr>
            <w:r>
              <w:rPr/>
              <w:t>$</w:t>
            </w:r>
          </w:p>
        </w:tc>
        <w:tc>
          <w:tcPr>
            <w:tcW w:w="213" w:type="dxa"/>
            <w:tcBorders>
              <w:bottom w:val="double" w:sz="6" w:space="0" w:color="000000"/>
            </w:tcBorders>
            <w:shd w:fill="D5EAEA" w:val="clear"/>
            <w:tcMar>
              <w:bottom w:w="28" w:type="dxa"/>
            </w:tcMar>
            <w:vAlign w:val="center"/>
          </w:tcPr>
          <w:p>
            <w:pPr>
              <w:pStyle w:val="TableContents"/>
              <w:bidi w:val="0"/>
              <w:spacing w:before="0" w:after="283"/>
              <w:jc w:val="left"/>
              <w:rPr>
                <w:sz w:val="4"/>
                <w:szCs w:val="4"/>
              </w:rPr>
            </w:pPr>
            <w:r>
              <w:rPr>
                <w:sz w:val="4"/>
                <w:szCs w:val="4"/>
              </w:rPr>
            </w:r>
          </w:p>
        </w:tc>
        <w:tc>
          <w:tcPr>
            <w:tcW w:w="355" w:type="dxa"/>
            <w:tcBorders>
              <w:bottom w:val="double" w:sz="6" w:space="0" w:color="000000"/>
            </w:tcBorders>
            <w:shd w:fill="D5EAEA" w:val="clear"/>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60" w:after="6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263"/>
        <w:gridCol w:w="9905"/>
      </w:tblGrid>
      <w:tr>
        <w:trPr/>
        <w:tc>
          <w:tcPr>
            <w:tcW w:w="3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(1)</w:t>
            </w:r>
          </w:p>
        </w:tc>
        <w:tc>
          <w:tcPr>
            <w:tcW w:w="9905" w:type="dxa"/>
            <w:tcBorders/>
            <w:vAlign w:val="center"/>
          </w:tcPr>
          <w:p>
            <w:pPr>
              <w:pStyle w:val="TableContents"/>
              <w:bidi w:val="0"/>
              <w:spacing w:before="0" w:after="283"/>
              <w:jc w:val="left"/>
              <w:rPr/>
            </w:pPr>
            <w:r>
              <w:rPr/>
              <w:t>Cash and cash equivalents exclude restricted cash, current of $4.0 million and prepaid expenses and other current assets of $11.5 million as of July 31, 2026.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(2)</w:t>
            </w:r>
          </w:p>
        </w:tc>
        <w:tc>
          <w:tcPr>
            <w:tcW w:w="9943" w:type="dxa"/>
            <w:tcBorders/>
            <w:vAlign w:val="center"/>
          </w:tcPr>
          <w:p>
            <w:pPr>
              <w:pStyle w:val="TableContents"/>
              <w:bidi w:val="0"/>
              <w:spacing w:before="0" w:after="283"/>
              <w:jc w:val="left"/>
              <w:rPr/>
            </w:pPr>
            <w:r>
              <w:rPr/>
              <w:t>On September 1, 2026, the Company entered into an amendment to the Existing Credit Agreement establishing an incremental term loan facility in an aggregate principal amount of $10,000,000 (the “Third Amendment Incremental Term Loan Facility”).  The Company concurrently borrowed the full amount of the term loans available under the Third Amendment Incremental Term Loan Facility, in an aggregate principal amount of $10,000,000 (the “Third Amendment Incremental Term Loan”), excluding fees and expenses. The “As Adjusted” reflects the incurrence of the Third Amendment Incremental Term Loan after July 31, 2026.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7"/>
        <w:gridCol w:w="9881"/>
      </w:tblGrid>
      <w:tr>
        <w:trPr/>
        <w:tc>
          <w:tcPr>
            <w:tcW w:w="3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pPr>
            <w:r>
              <w:rPr/>
              <w:t>(3)</w:t>
            </w:r>
          </w:p>
        </w:tc>
        <w:tc>
          <w:tcPr>
            <w:tcW w:w="9881" w:type="dxa"/>
            <w:tcBorders/>
            <w:vAlign w:val="center"/>
          </w:tcPr>
          <w:p>
            <w:pPr>
              <w:pStyle w:val="TableContents"/>
              <w:bidi w:val="0"/>
              <w:spacing w:before="0" w:after="283"/>
              <w:jc w:val="left"/>
              <w:rPr/>
            </w:pPr>
            <w:r>
              <w:rPr/>
              <w:t>Consists of operating lease liabilities of $32.8 million and other liabilities of $1.5 million as of July 31, 2026.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3"/>
        <w:gridCol w:w="9955"/>
      </w:tblGrid>
      <w:tr>
        <w:trPr/>
        <w:tc>
          <w:tcPr>
            <w:tcW w:w="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20"/>
              </w:rPr>
            </w:pPr>
            <w:r>
              <w:rPr>
                <w:sz w:val="20"/>
              </w:rPr>
              <w:t>(4)</w:t>
            </w:r>
          </w:p>
        </w:tc>
        <w:tc>
          <w:tcPr>
            <w:tcW w:w="9955" w:type="dxa"/>
            <w:tcBorders/>
            <w:vAlign w:val="center"/>
          </w:tcPr>
          <w:p>
            <w:pPr>
              <w:pStyle w:val="TableContents"/>
              <w:bidi w:val="0"/>
              <w:spacing w:before="0" w:after="283"/>
              <w:jc w:val="left"/>
              <w:rPr/>
            </w:pPr>
            <w:r>
              <w:rPr/>
              <w:t>“</w:t>
            </w:r>
            <w:r>
              <w:rPr>
                <w:sz w:val="20"/>
              </w:rPr>
              <w:t xml:space="preserve">As Adjusted” in additional paid-in capital includes $15.0 million from the sale by us of up to 4,225,352 shares of Class A Common Stock related to this offering, assuming the </w:t>
            </w:r>
            <w:r>
              <w:rPr/>
              <w:t>floor price per share set forth on the cover of this prospectus</w:t>
            </w:r>
            <w:r>
              <w:rPr>
                <w:sz w:val="20"/>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DILUTION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do not exercise your rights to subscribe for Class A Common Stock in the Rights Offering, your ownership interest will be diluted. In addition, if you exercise your rights to subscribe for shares of Class A Common Stock in the Rights Offering, your ownership interest will be accreted or diluted immediately to the extent of the difference between the subscription price per share of Class A Common Stock and the adjusted net tangible book value per share of Class A Common Stock after the Rights Offering.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tangible book value as of July 31, 2026, was approximately $(94.8) million, or approximately $(2.81) per share. Net tangible book value is calculated using exact amounts, and there may be differences from amounts reported in our quarterly filings due to rounding. Net tangible book value per share is determined by subtracting our total liabilities from the total book value of our tangible assets (excluding right of use assets) and dividing the difference by the number of shares of Class A Common Stock deemed to be outstanding immediately prior to the Rights Offering.</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Dilution per share to purchasers in the Rights Offering represents the difference between the amount per share paid by purchasers for our Class A Common Stock in the Rights Offering and the further adjusted net tangible book value per share of our Class A Common Stock immediately following the completion of the Recapitalization Transactions.</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effect to the sale of up to 4,225,352 shares of Class A Common Stock upon exercise of subscription rights offered by this prospectus at the subscription price of $3.55 per share, assuming the floor price per share set forth on the cover of this prospectus, after deducting the estimated fees, commissions and our estimated offering expenses, our as adjusted net tangible book value as of July 31, 2026, would have been approximately $            million or approximately $           per share, utilizing the “As Adjusted” Class A Common Stock outstanding included in the Capitalization section. This represents an immediate increase in net tangible book value of approximately $           per share to our existing stockholders and an immediate increase in net tangible book value of approximately $           per share to purchasers of our Class A Common Stock in the Rights Offering, as illustrated by the following table:</w:t>
      </w:r>
    </w:p>
    <w:p>
      <w:pPr>
        <w:pStyle w:val="TextBody"/>
        <w:bidi w:val="0"/>
        <w:spacing w:before="0" w:after="0"/>
        <w:ind w:left="0" w:right="0" w:firstLine="40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397"/>
        <w:gridCol w:w="808"/>
      </w:tblGrid>
      <w:tr>
        <w:trPr/>
        <w:tc>
          <w:tcPr>
            <w:tcW w:w="9397" w:type="dxa"/>
            <w:tcBorders/>
            <w:vAlign w:val="center"/>
          </w:tcPr>
          <w:p>
            <w:pPr>
              <w:pStyle w:val="TableContents"/>
              <w:bidi w:val="0"/>
              <w:spacing w:before="0" w:after="283"/>
              <w:jc w:val="left"/>
              <w:rPr>
                <w:b/>
              </w:rPr>
            </w:pPr>
            <w:r>
              <w:rPr>
                <w:b/>
              </w:rPr>
              <w:t>Subscription price for one share of Class A Common Stock</w:t>
            </w:r>
          </w:p>
        </w:tc>
        <w:tc>
          <w:tcPr>
            <w:tcW w:w="808" w:type="dxa"/>
            <w:tcBorders>
              <w:bottom w:val="single" w:sz="8" w:space="0" w:color="D99594"/>
            </w:tcBorders>
            <w:tcMar>
              <w:bottom w:w="28" w:type="dxa"/>
            </w:tcMar>
            <w:vAlign w:val="center"/>
          </w:tcPr>
          <w:p>
            <w:pPr>
              <w:pStyle w:val="TableContents"/>
              <w:bidi w:val="0"/>
              <w:spacing w:before="0" w:after="283"/>
              <w:jc w:val="left"/>
              <w:rPr>
                <w:b/>
              </w:rPr>
            </w:pPr>
            <w:r>
              <w:rPr>
                <w:b/>
              </w:rPr>
              <w:t xml:space="preserve">$           </w:t>
            </w:r>
          </w:p>
        </w:tc>
      </w:tr>
      <w:tr>
        <w:trPr/>
        <w:tc>
          <w:tcPr>
            <w:tcW w:w="9397" w:type="dxa"/>
            <w:tcBorders/>
            <w:shd w:fill="F2DBDB" w:val="clear"/>
            <w:vAlign w:val="center"/>
          </w:tcPr>
          <w:p>
            <w:pPr>
              <w:pStyle w:val="TableContents"/>
              <w:bidi w:val="0"/>
              <w:spacing w:before="0" w:after="283"/>
              <w:jc w:val="left"/>
              <w:rPr>
                <w:b/>
              </w:rPr>
            </w:pPr>
            <w:r>
              <w:rPr>
                <w:b/>
              </w:rPr>
              <w:t>Net tangible book value per share as of July 31, 2026</w:t>
            </w:r>
          </w:p>
        </w:tc>
        <w:tc>
          <w:tcPr>
            <w:tcW w:w="808" w:type="dxa"/>
            <w:tcBorders/>
            <w:shd w:fill="F2DBDB" w:val="clear"/>
            <w:vAlign w:val="center"/>
          </w:tcPr>
          <w:p>
            <w:pPr>
              <w:pStyle w:val="TableContents"/>
              <w:bidi w:val="0"/>
              <w:spacing w:before="0" w:after="283"/>
              <w:jc w:val="left"/>
              <w:rPr/>
            </w:pPr>
            <w:r>
              <w:rPr/>
              <w:t>$(2.81)</w:t>
            </w:r>
          </w:p>
        </w:tc>
      </w:tr>
      <w:tr>
        <w:trPr/>
        <w:tc>
          <w:tcPr>
            <w:tcW w:w="9397" w:type="dxa"/>
            <w:tcBorders/>
            <w:vAlign w:val="center"/>
          </w:tcPr>
          <w:p>
            <w:pPr>
              <w:pStyle w:val="TableContents"/>
              <w:bidi w:val="0"/>
              <w:spacing w:before="0" w:after="283"/>
              <w:jc w:val="left"/>
              <w:rPr>
                <w:b/>
              </w:rPr>
            </w:pPr>
            <w:r>
              <w:rPr>
                <w:b/>
              </w:rPr>
              <w:t>As adjusted net tangible book value per share after giving effect to the completion of the Rights Offering</w:t>
            </w:r>
          </w:p>
        </w:tc>
        <w:tc>
          <w:tcPr>
            <w:tcW w:w="808" w:type="dxa"/>
            <w:tcBorders/>
            <w:vAlign w:val="center"/>
          </w:tcPr>
          <w:p>
            <w:pPr>
              <w:pStyle w:val="TableContents"/>
              <w:bidi w:val="0"/>
              <w:spacing w:before="0" w:after="283"/>
              <w:jc w:val="left"/>
              <w:rPr/>
            </w:pPr>
            <w:r>
              <w:rPr/>
              <w:t>$</w:t>
            </w:r>
          </w:p>
        </w:tc>
      </w:tr>
      <w:tr>
        <w:trPr/>
        <w:tc>
          <w:tcPr>
            <w:tcW w:w="9397" w:type="dxa"/>
            <w:tcBorders/>
            <w:shd w:fill="F2DBDB" w:val="clear"/>
            <w:vAlign w:val="center"/>
          </w:tcPr>
          <w:p>
            <w:pPr>
              <w:pStyle w:val="TableContents"/>
              <w:bidi w:val="0"/>
              <w:spacing w:before="0" w:after="283"/>
              <w:jc w:val="left"/>
              <w:rPr>
                <w:b/>
              </w:rPr>
            </w:pPr>
            <w:r>
              <w:rPr>
                <w:b/>
              </w:rPr>
              <w:t>Increase in net tangible book value per share after giving effect to the completion of the Rights Offering</w:t>
            </w:r>
          </w:p>
        </w:tc>
        <w:tc>
          <w:tcPr>
            <w:tcW w:w="808" w:type="dxa"/>
            <w:tcBorders/>
            <w:shd w:fill="F2DBDB" w:val="clear"/>
            <w:vAlign w:val="center"/>
          </w:tcPr>
          <w:p>
            <w:pPr>
              <w:pStyle w:val="TableContents"/>
              <w:bidi w:val="0"/>
              <w:spacing w:before="0" w:after="283"/>
              <w:jc w:val="left"/>
              <w:rPr/>
            </w:pPr>
            <w:r>
              <w:rPr/>
              <w:t>$</w:t>
            </w:r>
          </w:p>
        </w:tc>
      </w:tr>
      <w:tr>
        <w:trPr/>
        <w:tc>
          <w:tcPr>
            <w:tcW w:w="9397" w:type="dxa"/>
            <w:tcBorders/>
            <w:vAlign w:val="center"/>
          </w:tcPr>
          <w:p>
            <w:pPr>
              <w:pStyle w:val="TableContents"/>
              <w:bidi w:val="0"/>
              <w:spacing w:before="0" w:after="283"/>
              <w:jc w:val="left"/>
              <w:rPr>
                <w:b/>
              </w:rPr>
            </w:pPr>
            <w:r>
              <w:rPr>
                <w:b/>
              </w:rPr>
              <w:t>Increase in net tangible book value per share to purchasers in the Rights Offering</w:t>
            </w:r>
          </w:p>
        </w:tc>
        <w:tc>
          <w:tcPr>
            <w:tcW w:w="808"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discussion of accretion and dilution, and the table quantifying it, assume no exercise of any outstanding options or other potentially dilutive securities. The exercise of potentially dilutive securities having an exercise price less than the offering price would decrease the accretive effect to purchasers in the Rights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DESCRIPTION OF THE RIGHTS OFFERING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distributing, at no charge, to the holders of our Class A Common Stock transferable subscription rights to purchase up to an aggregate of 4,225,352 shares of our Class A Common Stock at a subscription price of $3.55 per share, assuming the floor price per share set forth on the cover of this prospectus. The offering will commence on                     , 2026. We are offering to each of our stockholders one right for each share of Class A Common Stock owned by that stockholder as of 5:00 p.m., New York City time, on           , 2026 (the “Record Date”). Each right will entitle its holder to purchase additional shares of Class A Common Stock on a pro rata basis relative to their ownership interest in us as of the Record Date. As of           , 2026, we had outstanding            shares of Class A Common Stock. As a result, each right would have entitled its holder to approximately            shares of our Class A Common Stock as of such date, which is subject to change as of the Record Date. See “Risks Relating to the Rights Offering-The subscription price determined for this offering is not necessarily an indication of the fair value of our Class A Common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subscription rights will be evidenced by transferable rights certificates.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holders who fully exercise their rights will be entitled to subscribe for additional shares of our Class A Common Stock to the extent that other rights holders do not exercise their rights in full (the “oversubscription privilege”), subject to certain limitations described herein. The oversubscription privilege allows a rights holder to subscribe for additional shares of our Class A Common Stock at the subscription price. If a sufficient number of shares of our Class A Common Stock is unavailable to fully satisfy the oversubscription privilege requests, the available shares of Class A Common Stock will be sold pro rata among rights holders who exercised their oversubscription privilege based on the number of shares of Class A Common Stock each rights holder subscribed for under the basic subscription privilege.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Reasons for the Rights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offering is being made to raise capital to provide us with additional liquidity See “Use of Proceeds.”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Important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important dates applicable to this offering and the rights.</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80" w:type="dxa"/>
          <w:right w:w="0" w:type="dxa"/>
        </w:tblCellMar>
      </w:tblPr>
      <w:tblGrid>
        <w:gridCol w:w="1772"/>
        <w:gridCol w:w="60"/>
        <w:gridCol w:w="1940"/>
        <w:gridCol w:w="60"/>
        <w:gridCol w:w="6373"/>
      </w:tblGrid>
      <w:tr>
        <w:trPr/>
        <w:tc>
          <w:tcPr>
            <w:tcW w:w="1772" w:type="dxa"/>
            <w:tcBorders>
              <w:bottom w:val="single" w:sz="8" w:space="0" w:color="000000"/>
            </w:tcBorders>
            <w:vAlign w:val="center"/>
          </w:tcPr>
          <w:p>
            <w:pPr>
              <w:pStyle w:val="TableContents"/>
              <w:bidi w:val="0"/>
              <w:spacing w:before="0" w:after="283"/>
              <w:ind w:left="0" w:right="0" w:hanging="0"/>
              <w:jc w:val="center"/>
              <w:rPr>
                <w:b/>
              </w:rPr>
            </w:pPr>
            <w:r>
              <w:rPr>
                <w:b/>
              </w:rPr>
              <w:t>Event</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940" w:type="dxa"/>
            <w:tcBorders>
              <w:bottom w:val="single" w:sz="8" w:space="0" w:color="000000"/>
            </w:tcBorders>
            <w:vAlign w:val="center"/>
          </w:tcPr>
          <w:p>
            <w:pPr>
              <w:pStyle w:val="TableContents"/>
              <w:bidi w:val="0"/>
              <w:spacing w:before="0" w:after="283"/>
              <w:ind w:left="0" w:right="0" w:hanging="0"/>
              <w:jc w:val="center"/>
              <w:rPr>
                <w:b/>
              </w:rPr>
            </w:pPr>
            <w:r>
              <w:rPr>
                <w:b/>
              </w:rPr>
              <w:t>Calendar Date</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373" w:type="dxa"/>
            <w:tcBorders>
              <w:bottom w:val="single" w:sz="8" w:space="0" w:color="000000"/>
            </w:tcBorders>
            <w:vAlign w:val="center"/>
          </w:tcPr>
          <w:p>
            <w:pPr>
              <w:pStyle w:val="TableContents"/>
              <w:bidi w:val="0"/>
              <w:spacing w:before="0" w:after="283"/>
              <w:ind w:left="0" w:right="0" w:hanging="0"/>
              <w:jc w:val="center"/>
              <w:rPr>
                <w:b/>
              </w:rPr>
            </w:pPr>
            <w:r>
              <w:rPr>
                <w:b/>
              </w:rPr>
              <w:t>Significance</w:t>
            </w:r>
          </w:p>
        </w:tc>
      </w:tr>
      <w:tr>
        <w:trPr/>
        <w:tc>
          <w:tcPr>
            <w:tcW w:w="1772" w:type="dxa"/>
            <w:tcBorders/>
            <w:tcMar>
              <w:bottom w:w="0" w:type="dxa"/>
            </w:tcMar>
            <w:vAlign w:val="center"/>
          </w:tcPr>
          <w:p>
            <w:pPr>
              <w:pStyle w:val="TableContents"/>
              <w:bidi w:val="0"/>
              <w:spacing w:before="0" w:after="283"/>
              <w:ind w:left="0" w:right="0" w:hanging="0"/>
              <w:jc w:val="left"/>
              <w:rPr/>
            </w:pPr>
            <w:r>
              <w:rPr/>
              <w:t>Record Date</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940" w:type="dxa"/>
            <w:tcBorders/>
            <w:tcMar>
              <w:bottom w:w="0" w:type="dxa"/>
            </w:tcMar>
            <w:vAlign w:val="center"/>
          </w:tcPr>
          <w:p>
            <w:pPr>
              <w:pStyle w:val="TableContents"/>
              <w:bidi w:val="0"/>
              <w:spacing w:before="0" w:after="283"/>
              <w:ind w:left="0" w:right="0" w:hanging="0"/>
              <w:jc w:val="left"/>
              <w:rPr/>
            </w:pPr>
            <w:r>
              <w:rPr/>
              <w:t>5:00 p.m., New York City time, on           , 2026.</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373" w:type="dxa"/>
            <w:tcBorders/>
            <w:tcMar>
              <w:bottom w:w="0" w:type="dxa"/>
            </w:tcMar>
            <w:vAlign w:val="center"/>
          </w:tcPr>
          <w:p>
            <w:pPr>
              <w:pStyle w:val="TableContents"/>
              <w:bidi w:val="0"/>
              <w:spacing w:before="0" w:after="283"/>
              <w:ind w:left="0" w:right="0" w:hanging="0"/>
              <w:jc w:val="left"/>
              <w:rPr/>
            </w:pPr>
            <w:r>
              <w:rPr/>
              <w:t>Only holders of record of our Class A Common Stock as of the close of business on this date, as determined by the Subscription Agent based on the book-entry facilities of DTC and the register maintained by Equiniti in its capacity as our transfer agent, will be entitled to receive rights.</w:t>
            </w:r>
          </w:p>
        </w:tc>
      </w:tr>
      <w:tr>
        <w:trPr/>
        <w:tc>
          <w:tcPr>
            <w:tcW w:w="1772" w:type="dxa"/>
            <w:tcBorders/>
            <w:tcMar>
              <w:bottom w:w="0" w:type="dxa"/>
            </w:tcMar>
            <w:vAlign w:val="center"/>
          </w:tcPr>
          <w:p>
            <w:pPr>
              <w:pStyle w:val="TableContents"/>
              <w:bidi w:val="0"/>
              <w:spacing w:before="0" w:after="283"/>
              <w:ind w:left="0" w:right="0" w:hanging="0"/>
              <w:jc w:val="left"/>
              <w:rPr/>
            </w:pPr>
            <w:r>
              <w:rPr/>
              <w:t>Subscription Period Commences</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940" w:type="dxa"/>
            <w:tcBorders/>
            <w:tcMar>
              <w:bottom w:w="0" w:type="dxa"/>
            </w:tcMar>
            <w:vAlign w:val="center"/>
          </w:tcPr>
          <w:p>
            <w:pPr>
              <w:pStyle w:val="TableContents"/>
              <w:bidi w:val="0"/>
              <w:spacing w:before="0" w:after="283"/>
              <w:ind w:left="0" w:right="0" w:hanging="0"/>
              <w:jc w:val="left"/>
              <w:rPr/>
            </w:pPr>
            <w:r>
              <w:rPr/>
              <w:t>           </w:t>
            </w:r>
            <w:r>
              <w:rPr/>
              <w:t>, 2026.</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373" w:type="dxa"/>
            <w:tcBorders/>
            <w:tcMar>
              <w:bottom w:w="0" w:type="dxa"/>
            </w:tcMar>
            <w:vAlign w:val="center"/>
          </w:tcPr>
          <w:p>
            <w:pPr>
              <w:pStyle w:val="TableContents"/>
              <w:bidi w:val="0"/>
              <w:spacing w:before="0" w:after="283"/>
              <w:ind w:left="0" w:right="0" w:hanging="0"/>
              <w:jc w:val="left"/>
              <w:rPr/>
            </w:pPr>
            <w:r>
              <w:rPr/>
              <w:t>Holders of rights may begin to subscribe for new shares of Class A Common Stock.</w:t>
            </w:r>
          </w:p>
        </w:tc>
      </w:tr>
      <w:tr>
        <w:trPr/>
        <w:tc>
          <w:tcPr>
            <w:tcW w:w="1772" w:type="dxa"/>
            <w:tcBorders/>
            <w:tcMar>
              <w:bottom w:w="0" w:type="dxa"/>
            </w:tcMar>
            <w:vAlign w:val="center"/>
          </w:tcPr>
          <w:p>
            <w:pPr>
              <w:pStyle w:val="TableContents"/>
              <w:bidi w:val="0"/>
              <w:spacing w:before="0" w:after="283"/>
              <w:ind w:left="0" w:right="0" w:hanging="0"/>
              <w:jc w:val="left"/>
              <w:rPr/>
            </w:pPr>
            <w:r>
              <w:rPr/>
              <w:t>Last Day to Transfer Rights</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940" w:type="dxa"/>
            <w:tcBorders/>
            <w:tcMar>
              <w:bottom w:w="0" w:type="dxa"/>
            </w:tcMar>
            <w:vAlign w:val="center"/>
          </w:tcPr>
          <w:p>
            <w:pPr>
              <w:pStyle w:val="TableContents"/>
              <w:bidi w:val="0"/>
              <w:spacing w:before="0" w:after="283"/>
              <w:ind w:left="0" w:right="0" w:hanging="0"/>
              <w:jc w:val="left"/>
              <w:rPr/>
            </w:pPr>
            <w:r>
              <w:rPr/>
              <w:t xml:space="preserve">           </w:t>
            </w:r>
            <w:r>
              <w:rPr/>
              <w:t>, 2026.</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373" w:type="dxa"/>
            <w:tcBorders/>
            <w:tcMar>
              <w:bottom w:w="0" w:type="dxa"/>
            </w:tcMar>
            <w:vAlign w:val="center"/>
          </w:tcPr>
          <w:p>
            <w:pPr>
              <w:pStyle w:val="TableContents"/>
              <w:bidi w:val="0"/>
              <w:spacing w:before="0" w:after="283"/>
              <w:ind w:left="0" w:right="0" w:hanging="0"/>
              <w:jc w:val="left"/>
              <w:rPr/>
            </w:pPr>
            <w:r>
              <w:rPr/>
              <w:t>Holders of rights who wish to transfer or sell their rights must do so on or prior to this date.</w:t>
            </w:r>
          </w:p>
        </w:tc>
      </w:tr>
      <w:tr>
        <w:trPr/>
        <w:tc>
          <w:tcPr>
            <w:tcW w:w="1772" w:type="dxa"/>
            <w:tcBorders/>
            <w:tcMar>
              <w:bottom w:w="0" w:type="dxa"/>
            </w:tcMar>
            <w:vAlign w:val="center"/>
          </w:tcPr>
          <w:p>
            <w:pPr>
              <w:pStyle w:val="TableContents"/>
              <w:bidi w:val="0"/>
              <w:spacing w:before="0" w:after="283"/>
              <w:ind w:left="0" w:right="0" w:hanging="0"/>
              <w:jc w:val="left"/>
              <w:rPr/>
            </w:pPr>
            <w:r>
              <w:rPr/>
              <w:t>Expiration Date; Subscription Period Ends</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940" w:type="dxa"/>
            <w:tcBorders/>
            <w:tcMar>
              <w:bottom w:w="0" w:type="dxa"/>
            </w:tcMar>
            <w:vAlign w:val="center"/>
          </w:tcPr>
          <w:p>
            <w:pPr>
              <w:pStyle w:val="TableContents"/>
              <w:bidi w:val="0"/>
              <w:spacing w:before="0" w:after="283"/>
              <w:ind w:left="0" w:right="0" w:hanging="0"/>
              <w:jc w:val="left"/>
              <w:rPr/>
            </w:pPr>
            <w:r>
              <w:rPr/>
              <w:t>5:00 p.m., New York City time, on           , 2026.</w:t>
            </w:r>
          </w:p>
        </w:tc>
        <w:tc>
          <w:tcPr>
            <w:tcW w:w="60" w:type="dxa"/>
            <w:tcBorders/>
            <w:tcMar>
              <w:bottom w:w="0" w:type="dxa"/>
            </w:tcMar>
            <w:vAlign w:val="center"/>
          </w:tcPr>
          <w:p>
            <w:pPr>
              <w:pStyle w:val="TableContents"/>
              <w:bidi w:val="0"/>
              <w:spacing w:before="0" w:after="283"/>
              <w:jc w:val="left"/>
              <w:rPr/>
            </w:pPr>
            <w:r>
              <w:rPr/>
              <w:t> </w:t>
            </w:r>
          </w:p>
        </w:tc>
        <w:tc>
          <w:tcPr>
            <w:tcW w:w="6373"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Deadline to exercise outstanding rights and to request additional new shares of Class A Common Stock under the oversubscription privilege.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rights may no longer subscribe for new shares of Class A Common Stock after this time.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shares of Class A Common Stock that are unsubscribed in this offering (if any) are expected to be purchased by the Investor Group.</w:t>
            </w:r>
          </w:p>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09"/>
        <w:gridCol w:w="60"/>
        <w:gridCol w:w="1305"/>
        <w:gridCol w:w="60"/>
        <w:gridCol w:w="6571"/>
      </w:tblGrid>
      <w:tr>
        <w:trPr/>
        <w:tc>
          <w:tcPr>
            <w:tcW w:w="2209"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05"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571" w:type="dxa"/>
            <w:tcBorders/>
            <w:vAlign w:val="center"/>
          </w:tcPr>
          <w:p>
            <w:pPr>
              <w:pStyle w:val="TableContents"/>
              <w:bidi w:val="0"/>
              <w:spacing w:before="0" w:after="283"/>
              <w:ind w:left="0" w:right="0" w:hanging="0"/>
              <w:jc w:val="left"/>
              <w:rPr>
                <w:sz w:val="4"/>
                <w:szCs w:val="4"/>
              </w:rPr>
            </w:pPr>
            <w:r>
              <w:rPr>
                <w:sz w:val="4"/>
                <w:szCs w:val="4"/>
              </w:rPr>
            </w:r>
          </w:p>
        </w:tc>
      </w:tr>
      <w:tr>
        <w:trPr/>
        <w:tc>
          <w:tcPr>
            <w:tcW w:w="2209" w:type="dxa"/>
            <w:tcBorders/>
            <w:vAlign w:val="center"/>
          </w:tcPr>
          <w:p>
            <w:pPr>
              <w:pStyle w:val="TableContents"/>
              <w:bidi w:val="0"/>
              <w:spacing w:before="0" w:after="283"/>
              <w:ind w:left="0" w:right="0" w:hanging="0"/>
              <w:jc w:val="left"/>
              <w:rPr/>
            </w:pPr>
            <w:r>
              <w:rPr/>
              <w:t>Settlement of Rights Offering</w:t>
            </w:r>
          </w:p>
        </w:tc>
        <w:tc>
          <w:tcPr>
            <w:tcW w:w="60" w:type="dxa"/>
            <w:tcBorders/>
            <w:vAlign w:val="center"/>
          </w:tcPr>
          <w:p>
            <w:pPr>
              <w:pStyle w:val="TableContents"/>
              <w:bidi w:val="0"/>
              <w:spacing w:before="0" w:after="283"/>
              <w:ind w:left="0" w:right="0" w:hanging="0"/>
              <w:jc w:val="left"/>
              <w:rPr/>
            </w:pPr>
            <w:r>
              <w:rPr/>
              <w:t> </w:t>
            </w:r>
          </w:p>
        </w:tc>
        <w:tc>
          <w:tcPr>
            <w:tcW w:w="1305" w:type="dxa"/>
            <w:tcBorders/>
            <w:vAlign w:val="center"/>
          </w:tcPr>
          <w:p>
            <w:pPr>
              <w:pStyle w:val="TableContents"/>
              <w:bidi w:val="0"/>
              <w:spacing w:before="0" w:after="283"/>
              <w:ind w:left="0" w:right="0" w:hanging="0"/>
              <w:jc w:val="left"/>
              <w:rPr/>
            </w:pPr>
            <w:r>
              <w:rPr/>
              <w:t>           </w:t>
            </w:r>
            <w:r>
              <w:rPr/>
              <w:t>, 2026.</w:t>
            </w:r>
          </w:p>
        </w:tc>
        <w:tc>
          <w:tcPr>
            <w:tcW w:w="60" w:type="dxa"/>
            <w:tcBorders/>
            <w:vAlign w:val="center"/>
          </w:tcPr>
          <w:p>
            <w:pPr>
              <w:pStyle w:val="TableContents"/>
              <w:bidi w:val="0"/>
              <w:spacing w:before="0" w:after="283"/>
              <w:ind w:left="0" w:right="0" w:hanging="0"/>
              <w:jc w:val="left"/>
              <w:rPr/>
            </w:pPr>
            <w:r>
              <w:rPr/>
              <w:t> </w:t>
            </w:r>
          </w:p>
        </w:tc>
        <w:tc>
          <w:tcPr>
            <w:tcW w:w="6571" w:type="dxa"/>
            <w:tcBorders/>
            <w:vAlign w:val="center"/>
          </w:tcPr>
          <w:p>
            <w:pPr>
              <w:pStyle w:val="TableContents"/>
              <w:bidi w:val="0"/>
              <w:spacing w:before="0" w:after="283"/>
              <w:ind w:left="0" w:right="0" w:hanging="0"/>
              <w:jc w:val="left"/>
              <w:rPr/>
            </w:pPr>
            <w:r>
              <w:rPr/>
              <w:t>We expect to deliver the new shares of Class A Common Stock issued in respect of the rights through the book-entry facilities of DTC.</w:t>
            </w:r>
          </w:p>
        </w:tc>
      </w:tr>
      <w:tr>
        <w:trPr/>
        <w:tc>
          <w:tcPr>
            <w:tcW w:w="2209" w:type="dxa"/>
            <w:tcBorders/>
            <w:vAlign w:val="center"/>
          </w:tcPr>
          <w:p>
            <w:pPr>
              <w:pStyle w:val="TableContents"/>
              <w:bidi w:val="0"/>
              <w:spacing w:before="0" w:after="283"/>
              <w:ind w:left="0" w:right="0" w:hanging="0"/>
              <w:jc w:val="left"/>
              <w:rPr/>
            </w:pPr>
            <w:r>
              <w:rPr/>
              <w:t>Settlement of Backstop Commitment</w:t>
            </w:r>
          </w:p>
        </w:tc>
        <w:tc>
          <w:tcPr>
            <w:tcW w:w="60" w:type="dxa"/>
            <w:tcBorders/>
            <w:vAlign w:val="center"/>
          </w:tcPr>
          <w:p>
            <w:pPr>
              <w:pStyle w:val="TableContents"/>
              <w:bidi w:val="0"/>
              <w:spacing w:before="0" w:after="283"/>
              <w:ind w:left="0" w:right="0" w:hanging="0"/>
              <w:jc w:val="left"/>
              <w:rPr/>
            </w:pPr>
            <w:r>
              <w:rPr/>
              <w:t> </w:t>
            </w:r>
          </w:p>
        </w:tc>
        <w:tc>
          <w:tcPr>
            <w:tcW w:w="1305" w:type="dxa"/>
            <w:tcBorders/>
            <w:vAlign w:val="center"/>
          </w:tcPr>
          <w:p>
            <w:pPr>
              <w:pStyle w:val="TableContents"/>
              <w:bidi w:val="0"/>
              <w:spacing w:before="0" w:after="283"/>
              <w:ind w:left="0" w:right="0" w:hanging="0"/>
              <w:jc w:val="left"/>
              <w:rPr/>
            </w:pPr>
            <w:r>
              <w:rPr/>
              <w:t>          </w:t>
            </w:r>
            <w:r>
              <w:rPr/>
              <w:t>, 2026.</w:t>
            </w:r>
          </w:p>
        </w:tc>
        <w:tc>
          <w:tcPr>
            <w:tcW w:w="60" w:type="dxa"/>
            <w:tcBorders/>
            <w:vAlign w:val="center"/>
          </w:tcPr>
          <w:p>
            <w:pPr>
              <w:pStyle w:val="TableContents"/>
              <w:bidi w:val="0"/>
              <w:spacing w:before="0" w:after="283"/>
              <w:ind w:left="0" w:right="0" w:hanging="0"/>
              <w:jc w:val="left"/>
              <w:rPr/>
            </w:pPr>
            <w:r>
              <w:rPr/>
              <w:t> </w:t>
            </w:r>
          </w:p>
        </w:tc>
        <w:tc>
          <w:tcPr>
            <w:tcW w:w="6571" w:type="dxa"/>
            <w:tcBorders/>
            <w:vAlign w:val="center"/>
          </w:tcPr>
          <w:p>
            <w:pPr>
              <w:pStyle w:val="TableContents"/>
              <w:bidi w:val="0"/>
              <w:spacing w:before="0" w:after="283"/>
              <w:jc w:val="left"/>
              <w:rPr/>
            </w:pPr>
            <w:r>
              <w:rPr/>
              <w:t>We expect to deliver the new shares of Class A Common Stock issued pursuant to the Backstop Agreement through the book-entry facilities of DTC.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Backstop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Backstop Agreement, the Investor Group has agreed to purchase from us, at a price per share equal to the subscription price, all unsubscribed shares of Class A Common Stock in this offering for cash. The Investor Group will be entitled to exercise its own subscription rights that it receives pursuant to this offering, and it will not receive any fee for acting as the backstop purchaser for this offering.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Group’s obligation to purchase shares of Class A Common Stock pursuant to the Backstop Agreement is subject to customary closing conditions, including that (i) the company shall comply with its obligations under the Backstop Agreement in all material respects, (ii) the representations and warranties of the company set forth in the Backstop Agreement shall be true and correct as of the date of the Backstop Agreement and upon the closing of the purchase of shares pursuant to the Backstop Agreement, and any failure of any such representations and warranties to be so true and correct has not resulted in, and would not reasonably be expected to result in, individually or in the aggregate, a Company Material Adverse Effect (as defined in the Backstop Agreement); and (iii) consummation of this offering and delivery of a subscription notice to the Investor Group.</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Backstop Agreement may be terminated upon the parties’ mutual written consent.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shares of Class A Common Stock purchased by the Investor Group pursuant to the Backstop Agreement will be issued in a private placement transaction, exempt from the registration requirements of the Securities Act and, accordingly, will be restricted securities.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right will entitle its holder to purchase shares of Class A Common Stock on a pro rata basis relative to their ownership interest in us as of the Record Date, at a subscription price equal to the greater of (i) $3.55, which represents the volume weighted average price of our Class A Common Stock for the 15-day second trading period ending on the trading day pre eding the date of the Backstop Agreement and (ii) the volume weighted average price of our Class A Common Stock for the 15-day trading period through preceding and including the Record Date, in each case, per whole share of Class A Common Stock. The subscription price per share for this offering was determined by the Board. This price was determined in connection with the negotiation of the Backstop Agreement.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subscription price does not necessarily bear any relationship to the book value of our assets, cash flows, financial condition, net worth or any other established criteria used to value securities. You should not consider the subscription price to be an indication of the fair value of the Class A Common Stock to be offered in this offering. On and after the date of this prospectus, our Class A Common Stock may trade at prices above or below the subscription price.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Conditions, Amendment, Withdrawal and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terminate, amend or modify this offering, in whole or in part, at any time before completion of this offering. If we make any fundamental change to the terms of this offering after the date of effectiveness of this prospectus, we will file a post-effective amendment to the registration statement of which this prospectus forms a</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and offer subscribers the opportunity to cancel their subscriptions. In such event, we will issue subscription refunds to each stockholder that subscribed for shares in this offering and recirculate an amended prospectus after the post-effective amendment is declared effective with the SEC. If we extend the Expiration Date in connection with any post-effective amendment, we will allow holders of rights a reasonable period of additional time to make new investment decisions on the basis of the new information set forth in the amended prospectus that will form a part of the post-effective amendment. In such event, we will issue a press release announcing the changes to this offering and the new offering Expiration Date. The terms and conditions of this offering will not be modified or amended after the Expiration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reserve the right to withdraw and terminate this offering at any time for any reason. We also may terminate this offering at any time before its completion if our Board decides to do so in its sole discretion. If we terminate this offering, we will issue a press release notifying stockholders of the termination.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condition to the completion of this offering does not occur, or if this offering is terminated, in whole or in part, all affected rights will expire without value and all subscription payments received by the Subscription Agent will be returned promptly, without interest or deduction. See also “—Termination Rights.”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Rights Offering on Existing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ownership interests and voting interests of the existing stockholders who do not exercise their basic subscription rights will be diluted. See “Risk Factors.”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entitle holders to a basic subscription privilege and an oversubscription privilege.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18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Basic Subscription Privilege</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will entitle the holder thereof to a basic subscription privilege. The basic subscription privilege entitles you to purchase additional shares of Class A Common Stock on a pro rata basis relative to your ownership interest in us as of the Record Date, upon delivery of the required documents and payment of the subscription price of $3.55 whole share, assuming the floor price per share set forth on the cover of this prospectus. As of           , 2026, we had outstanding            shares of Class A Common Stock. As a result, each right would have entitled you to up to approximately            shares of our Class A Common Stock as of such date, which is subject to change as of the Record Date. See “Risks Relating to the Rights Offering-The subscription price determined for this offering is not necessarily an indication of the fair value of our Class A Common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not required to exercise your basic subscription privilege, in full or in part, unless you wish to also purchase shares of Class A Common Stock under your oversubscription privilege described below, in which case you are required to exercise your basic subscription privilege in full. We will deliver any shares of Class A Common Stock that you purchase pursuant to the basic subscription privilege as soon as practicable after the Expiration Date. All shares that are purchased in this offering will be issued in uncertificated, book-entry form, which means that you will receive a direct registration account statement from our transfer agent reflecting ownership of such shares if you are a holder of record. If you hold your shares in the name of a bank, broker, dealer or other nominee, DTC will credit your nominee with the shares you purchased in this offering.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18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Oversubscription Privilege</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your basic subscription privilege, you may subscribe for additional shares of our Class A Common Stock upon delivery of the required documents and payment of the subscription price of $3.55 per whole share before the Expiration Date, assuming the floor price per share set forth on the cover of this prospectus. You may only exercise your oversubscription privilege if you exercised your basic subscription privilege in full, including payment of the subscription price therefor, and other holders of rights do not exercise their basic subscription privilege in full. We will deliver any shares of Class A Common Stock that you purchase pursuant to the oversubscription privilege as soon as practicable after the Expiration Date.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 Rata Allocation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are not enough shares of our Class A Common Stock to satisfy all subscriptions made under the oversubscription privilege, we will allocate the remaining shares of our Class A Common Stock pro rata, after eliminating all fractional shares, among those oversubscribing rights holders. “Pro rata” means in proportion to the number of shares of our Class A Common Stock that you and the other rights holders have purchased by exercising your basic subscription privilege. If there is a pro rata allocation of the remaining shares of our Class A Common Stock and you receive an allocation of a greater number of shares of Class A Common Stock than you subscribed for under your oversubscription privilege, we will allocate to you only the number of shares of Class A Common Stock for which you subscribed. We will allocate the remaining shares of Class A Common Stock among all other holders exercising their oversubscription privileges.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Group will not be allocated any shares of Class A Common Stock pursuant to the Backstop Agreement until all of the rights holders exercising their oversubscription privileges, which could include the Investor Group, have been allocated the number of additional shares of Class A Common Stock for which they oversubscribed.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18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Full Exercise of Basic Subscription Privilege</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exercise your oversubscription privilege only if you exercise your basic subscription privilege in full. To determine if you have fully exercised your basic subscription privilege, we will consider only the basic subscription rights held by you in the same capacity. For example, suppose that you were granted rights for shares of our Class A Common Stock that you own individually and shares of our Class A Common Stock that you own collectively with your spouse. If you wish to exercise your oversubscription privilege with respect to the rights you own individually, but not with respect to the rights you own collectively with your spouse, you only need to fully exercise your basic subscription privilege with respect to your individually owned rights. You do not have to subscribe for any shares of Class A Common Stock under the rights owned collectively with your spouse to exercise your individual oversubscription privilege.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you complete the portion of your rights certificate to exercise your oversubscription privilege, you will be representing and certifying that you have fully exercised your basic subscription privilege as to shares of our Class A Common Stock that you hold in that capacity. You must exercise your oversubscription privilege at the same time you exercise your basic subscription privilege in full.</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18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Return of Excess Payment</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exercised your oversubscription privilege and are allocated less than all of the shares of our Class A Common Stock for which you wished to subscribe, your excess payment for shares of Class A Common Stock that were not allocated to you will be returned to you via check, without interest or deduction, as soon as practicable after the Expiration Date. We will deliver or cause the transfer agent to deliver any shares that you purchase as soon as practicable after the Expiration Date and after all pro rata allocations and adjustments have been completed.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Method of Subscription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are evidenced by rights certificates, which may be physical certificates but will more likely be electronic certificates issued through the facilities of DTC. Except as described below under “—Non-U.S. Stockholders,” the rights certificates will be mailed to stockholders as of the Record Date or, if such stockholders’ shares of Class A Common Stock are held by a depository or nominee on his, her or its behalf, to such depository or nominee. Rights may be exercised by completing and signing the rights certificate that accompanies this prospectus together with any required signature guarantees and mailing it in the envelope provided, or otherwise delivering the completed and duly executed rights certificate to the Subscription Agent, together with payment in full for the shares of Class A Common Stock at the subscription price by the Expiration Date and any other supplemental documentation requested, unless delivery of the rights certificate is effected pursuant to the guaranteed delivery procedures.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Completed rights certificates and related payments must be received by the Subscription Agent prior to 5:00 p.m., New York City time, on or before the Expiration Date, at the offices of the Subscription Agent at the address set forth below, unless delivery of the rights certificate is effected pursuant to the guaranteed delivery procedures described below.</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Method of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participating rights holder may send the rights certificate together with payment for the shares of Class A Common Stock subscribed for in this offering to the Subscription Agent based on the subscription price of $            per whole share. Except as described below under “Guaranteed Delivery Procedures,” to be accepted, the payment, together with a properly completed and executed rights certificate, must be received by the Subscription Agent at one of the Subscription Agent’s offices set forth below (see “—Delivery of Subscription Materials and Payment”), at or prior to 5:00 p.m., New York City time, on the Expiration Date. </w:t>
      </w:r>
      <w:r>
        <w:rPr>
          <w:rFonts w:ascii="Times New Roman;Times;Serif" w:hAnsi="Times New Roman;Times;Serif"/>
          <w:b/>
          <w:i w:val="false"/>
          <w:caps w:val="false"/>
          <w:smallCaps w:val="false"/>
          <w:sz w:val="20"/>
        </w:rPr>
        <w:t>Do not send rights certificates, notices of guaranteed delivery or payments to 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payments by a participating rights holder must be in U.S. dollars only by wire transfer in immediately available funds to “Broadridge Corporate Issuer Solutions, LLC” with reference to the rights holder’s name, or by certified bank or cashier’s check drawn upon a U.S. bank payable to “Broadridge Corporate Issuer Solutions, LLC” See “—Delivery of Subscription Materials and Payment” for more information on payment methods for the Class A Common Stock. The Subscription Agent will deposit all funds received by it prior to the final payment date into a segregated account pending pro-ration and distribution of the shares of Class A Common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method of delivery of rights certificates and payment of the subscription price will be at the election and risk of the participating rights holders, but if sent by mail it is recommended that such certificates and payments be sent by traceable or overnight mail, properly insured, with return receipt requested, and that a sufficient number of days be allowed to ensure delivery to the Subscription Agent and clearance of payment prior to 5:00 p.m., New York City time, on the Expiration Date.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Whichever of the methods described above is used, issuance of the shares of Class A Common Stock purchased is subject to collection of checks and actual payment.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participating rights holder who subscribes for shares of Class A Common Stock does not make payment of any amounts due by the Expiration Date, the Subscription Agent reserves the right to take any or all of the following actions: (i) reallocate the shares of Class A Common Stock to other participating rights holders; (ii) apply any payment actually received by it from the participating rights holder toward the purchase of the greatest whole number of shares of Class A Common Stock which could be acquired by such participating rights holder upon exercise of the right; and (iii) exercise any and all other rights or remedies to which it may be entitled, including the right to set off against payments actually received by it with respect to such subscribed shares of Class A Common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questions concerning the timeliness, validity, form and eligibility of any exercise of rights will be determined by us, and such determinations will be final and binding. We, in our sole discretion, may waive any defect or irregularity, or permit a defect or irregularity to be corrected within such time as we may determine, or reject the purported exercise of any right. Subscriptions will not be deemed to have been received or accepted until all irregularities have been waived or cured within such time as we determine in our sole discretion. The Subscription Agent will not be under any duty to give notification of any defect or irregularity in connection with the submission of rights certificates or incur any liability for failure to give such notification.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Participating rights holders will have no right to revoke their subscription after the Subscription Agent’s receipt of their payment for shares of Class A Common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Missing or Incomplete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you hold your shares of Class A Common Stock in the name of a custodian bank, broker, dealer or other nominee, the nominee will exercise the rights on your behalf in accordance with your instructions. </w:t>
      </w:r>
      <w:r>
        <w:rPr>
          <w:rFonts w:ascii="Times New Roman;Times;Serif" w:hAnsi="Times New Roman;Times;Serif"/>
          <w:b/>
          <w:i w:val="false"/>
          <w:caps w:val="false"/>
          <w:smallCaps w:val="false"/>
          <w:sz w:val="20"/>
        </w:rPr>
        <w:t>Your nominee may establish a deadline that may be before the Expiration Date that we have established for this offering.</w:t>
      </w:r>
      <w:r>
        <w:rPr>
          <w:rFonts w:ascii="Times New Roman;Times;Serif" w:hAnsi="Times New Roman;Times;Serif"/>
          <w:b w:val="false"/>
          <w:i w:val="false"/>
          <w:caps w:val="false"/>
          <w:smallCaps w:val="false"/>
          <w:sz w:val="20"/>
        </w:rPr>
        <w:t xml:space="preserve"> If you send a payment that is insufficient to purchase the number of shares of Class A Common Stock you requested, or if the number of shares of Class A Common Stock you requested is not specified in the forms, the payment received will be applied to exercise your rights to the fullest extent possible based on the amount of the payment received, subject to the availability of shares of Class A Common Stock under the oversubscription privilege and the elimination of fractional shares of Class A Common Stock. Any excess subscription payments received by the Subscription Agent will be returned, without interest, as soon as practicable following the Expiration Date.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you fail to complete and sign the rights certificate or otherwise fail to follow the subscription procedures that apply to the exercise of your rights before the Expiration Date, the Subscription Agent will reject your subscription or accept it to the extent of the payment received. Neither we nor the Subscription Agent undertake any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Expiration of the Rights Offering and Extensions, Amendments and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exercise your rights at any time before 5:00 p.m., New York City time, on           , 2026, the Expiration Date for this offering. We may, in our sole discretion, extend the time available for exercising the rights. If the commencement of this offering is delayed for a period of time, the Expiration Date of this offering will be similarly extended.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extend the duration of this offering as required by applicable law, and may choose to extend it if we decide that changes in the market price of our Class A Common Stock warrant an extension or if we decide to give investors more time to exercise their rights in this offering, although we do not presently intend to do so. We may extend the Expiration Date by giving oral or written notice to the Subscription Agent and the information agent on or before the scheduled Expiration Date. If we elect to extend the Expiration Date, we will issue a press release announcing such extension no later than 9:00 a.m., New York City time, on the next business day after the most recently announced Expiration Date.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reserve the right, in our sole discretion, to amend or modify the terms of this offering.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do not exercise your rights before the Expiration Date, your unexercised rights will be null and void and will have no value. We will not be obligated to honor your exercise of rights if the Subscription Agent receives the documents relating to your exercise after the Expiration Date, regardless of when you transmitted the documents, except if you have timely transmitted the documents under the guaranteed delivery procedures described below.</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may terminate this offering, in whole or in part, in its sole discretion at any time for any reason. If we terminate this offering, any funds you paid to the Subscription Agent will be promptly refunded via check, without interest or deduction.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Instructions for Completing Your Rights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and follow the instructions accompanying the rights certificates carefully.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responsible for the method of delivery of your rights certificates with your subscription price payment to the Subscription Agent. If you send your rights certificates and subscription price payment by mail, we recommend that you send them by traceable or overnight mail, properly insured, with return receipt requested. You should allow a sufficient number of days to ensure delivery to the Subscription Agent prior to the Expiration Date.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Delivery of Subscription Materials and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Subscription Agent for this offering is Broadridge Corporate Issuer Solutions, LLC. You should deliver your rights certificate and payment of the subscription price or, if applicable, notices of guaranteed delivery, to the Subscription Agent by one of the methods described below:</w:t>
      </w:r>
    </w:p>
    <w:p>
      <w:pPr>
        <w:pStyle w:val="TextBody"/>
        <w:bidi w:val="0"/>
        <w:spacing w:before="0" w:after="0"/>
        <w:ind w:left="0" w:right="0" w:firstLine="360"/>
        <w:jc w:val="left"/>
        <w:rPr>
          <w:caps w:val="false"/>
          <w:smallCaps w:val="false"/>
        </w:rPr>
      </w:pPr>
      <w:r>
        <w:rPr>
          <w:caps w:val="false"/>
          <w:smallCaps w:val="false"/>
        </w:rPr>
        <w:t> </w:t>
      </w:r>
    </w:p>
    <w:tbl>
      <w:tblPr>
        <w:tblW w:w="8728" w:type="dxa"/>
        <w:jc w:val="left"/>
        <w:tblInd w:w="0" w:type="dxa"/>
        <w:tblLayout w:type="fixed"/>
        <w:tblCellMar>
          <w:top w:w="0" w:type="dxa"/>
          <w:left w:w="0" w:type="dxa"/>
          <w:bottom w:w="28" w:type="dxa"/>
          <w:right w:w="0" w:type="dxa"/>
        </w:tblCellMar>
      </w:tblPr>
      <w:tblGrid>
        <w:gridCol w:w="4306"/>
        <w:gridCol w:w="116"/>
        <w:gridCol w:w="4306"/>
      </w:tblGrid>
      <w:tr>
        <w:trPr/>
        <w:tc>
          <w:tcPr>
            <w:tcW w:w="4306" w:type="dxa"/>
            <w:tcBorders>
              <w:bottom w:val="single" w:sz="8" w:space="0" w:color="000000"/>
            </w:tcBorders>
            <w:vAlign w:val="center"/>
          </w:tcPr>
          <w:p>
            <w:pPr>
              <w:pStyle w:val="TableContents"/>
              <w:bidi w:val="0"/>
              <w:spacing w:before="0" w:after="283"/>
              <w:ind w:left="0" w:right="0" w:hanging="0"/>
              <w:jc w:val="center"/>
              <w:rPr>
                <w:b/>
              </w:rPr>
            </w:pPr>
            <w:r>
              <w:rPr>
                <w:b/>
              </w:rPr>
              <w:t>By Mail</w:t>
            </w:r>
          </w:p>
        </w:tc>
        <w:tc>
          <w:tcPr>
            <w:tcW w:w="116" w:type="dxa"/>
            <w:tcBorders/>
            <w:tcMar>
              <w:top w:w="28" w:type="dxa"/>
              <w:left w:w="28" w:type="dxa"/>
              <w:right w:w="28" w:type="dxa"/>
            </w:tcMar>
            <w:vAlign w:val="center"/>
          </w:tcPr>
          <w:p>
            <w:pPr>
              <w:pStyle w:val="TableContents"/>
              <w:bidi w:val="0"/>
              <w:spacing w:before="0" w:after="283"/>
              <w:ind w:left="0" w:right="0" w:hanging="0"/>
              <w:jc w:val="left"/>
              <w:rPr/>
            </w:pPr>
            <w:r>
              <w:rPr/>
              <w:t> </w:t>
            </w:r>
          </w:p>
        </w:tc>
        <w:tc>
          <w:tcPr>
            <w:tcW w:w="4306" w:type="dxa"/>
            <w:tcBorders>
              <w:bottom w:val="single" w:sz="8" w:space="0" w:color="000000"/>
            </w:tcBorders>
            <w:vAlign w:val="center"/>
          </w:tcPr>
          <w:p>
            <w:pPr>
              <w:pStyle w:val="TableContents"/>
              <w:bidi w:val="0"/>
              <w:spacing w:before="0" w:after="283"/>
              <w:ind w:left="0" w:right="0" w:hanging="0"/>
              <w:jc w:val="center"/>
              <w:rPr>
                <w:b/>
              </w:rPr>
            </w:pPr>
            <w:r>
              <w:rPr>
                <w:b/>
              </w:rPr>
              <w:t>By Overnight Carrier</w:t>
            </w:r>
          </w:p>
        </w:tc>
      </w:tr>
      <w:tr>
        <w:trPr/>
        <w:tc>
          <w:tcPr>
            <w:tcW w:w="4306" w:type="dxa"/>
            <w:tcBorders/>
            <w:tcMar>
              <w:top w:w="28" w:type="dxa"/>
              <w:left w:w="28" w:type="dxa"/>
              <w:right w:w="28" w:type="dxa"/>
            </w:tcMar>
            <w:vAlign w:val="center"/>
          </w:tcPr>
          <w:p>
            <w:pPr>
              <w:pStyle w:val="TableContents"/>
              <w:bidi w:val="0"/>
              <w:spacing w:before="0" w:after="283"/>
              <w:ind w:left="0" w:right="0" w:hanging="0"/>
              <w:jc w:val="center"/>
              <w:rPr/>
            </w:pPr>
            <w:r>
              <w:rPr/>
              <w:t>Broadridge Corporate Issuer Solutions, LLC</w:t>
            </w:r>
          </w:p>
        </w:tc>
        <w:tc>
          <w:tcPr>
            <w:tcW w:w="116" w:type="dxa"/>
            <w:tcBorders/>
            <w:tcMar>
              <w:top w:w="28" w:type="dxa"/>
              <w:left w:w="28" w:type="dxa"/>
              <w:right w:w="28" w:type="dxa"/>
            </w:tcMar>
            <w:vAlign w:val="center"/>
          </w:tcPr>
          <w:p>
            <w:pPr>
              <w:pStyle w:val="TableContents"/>
              <w:bidi w:val="0"/>
              <w:spacing w:before="0" w:after="283"/>
              <w:ind w:left="0" w:right="0" w:hanging="0"/>
              <w:jc w:val="left"/>
              <w:rPr/>
            </w:pPr>
            <w:r>
              <w:rPr/>
              <w:t> </w:t>
            </w:r>
          </w:p>
        </w:tc>
        <w:tc>
          <w:tcPr>
            <w:tcW w:w="4306" w:type="dxa"/>
            <w:tcBorders/>
            <w:tcMar>
              <w:top w:w="28" w:type="dxa"/>
              <w:left w:w="28" w:type="dxa"/>
              <w:right w:w="28" w:type="dxa"/>
            </w:tcMar>
            <w:vAlign w:val="center"/>
          </w:tcPr>
          <w:p>
            <w:pPr>
              <w:pStyle w:val="TableContents"/>
              <w:bidi w:val="0"/>
              <w:spacing w:before="0" w:after="283"/>
              <w:ind w:left="0" w:right="0" w:hanging="0"/>
              <w:jc w:val="center"/>
              <w:rPr/>
            </w:pPr>
            <w:r>
              <w:rPr/>
              <w:t>Broadridge Corporate Issuer Solutions, LLC</w:t>
            </w:r>
          </w:p>
        </w:tc>
      </w:tr>
      <w:tr>
        <w:trPr/>
        <w:tc>
          <w:tcPr>
            <w:tcW w:w="4306" w:type="dxa"/>
            <w:tcBorders/>
            <w:tcMar>
              <w:top w:w="28" w:type="dxa"/>
              <w:left w:w="28" w:type="dxa"/>
              <w:right w:w="28" w:type="dxa"/>
            </w:tcMar>
            <w:vAlign w:val="center"/>
          </w:tcPr>
          <w:p>
            <w:pPr>
              <w:pStyle w:val="TableContents"/>
              <w:bidi w:val="0"/>
              <w:spacing w:before="0" w:after="283"/>
              <w:ind w:left="0" w:right="0" w:hanging="0"/>
              <w:jc w:val="center"/>
              <w:rPr/>
            </w:pPr>
            <w:r>
              <w:rPr/>
              <w:t>Attention: BCIS Re-Organization Dept.</w:t>
            </w:r>
          </w:p>
        </w:tc>
        <w:tc>
          <w:tcPr>
            <w:tcW w:w="116" w:type="dxa"/>
            <w:tcBorders/>
            <w:tcMar>
              <w:top w:w="28" w:type="dxa"/>
              <w:left w:w="28" w:type="dxa"/>
              <w:right w:w="28" w:type="dxa"/>
            </w:tcMar>
            <w:vAlign w:val="center"/>
          </w:tcPr>
          <w:p>
            <w:pPr>
              <w:pStyle w:val="TableContents"/>
              <w:bidi w:val="0"/>
              <w:spacing w:before="0" w:after="283"/>
              <w:ind w:left="0" w:right="0" w:hanging="0"/>
              <w:jc w:val="left"/>
              <w:rPr/>
            </w:pPr>
            <w:r>
              <w:rPr/>
              <w:t> </w:t>
            </w:r>
          </w:p>
        </w:tc>
        <w:tc>
          <w:tcPr>
            <w:tcW w:w="4306" w:type="dxa"/>
            <w:tcBorders/>
            <w:tcMar>
              <w:top w:w="28" w:type="dxa"/>
              <w:left w:w="28" w:type="dxa"/>
              <w:right w:w="28" w:type="dxa"/>
            </w:tcMar>
            <w:vAlign w:val="center"/>
          </w:tcPr>
          <w:p>
            <w:pPr>
              <w:pStyle w:val="TableContents"/>
              <w:bidi w:val="0"/>
              <w:spacing w:before="0" w:after="283"/>
              <w:ind w:left="0" w:right="0" w:hanging="0"/>
              <w:jc w:val="center"/>
              <w:rPr/>
            </w:pPr>
            <w:r>
              <w:rPr/>
              <w:t>Attention: BCIS IWS</w:t>
            </w:r>
          </w:p>
        </w:tc>
      </w:tr>
      <w:tr>
        <w:trPr/>
        <w:tc>
          <w:tcPr>
            <w:tcW w:w="4306" w:type="dxa"/>
            <w:tcBorders/>
            <w:tcMar>
              <w:top w:w="28" w:type="dxa"/>
              <w:left w:w="28" w:type="dxa"/>
              <w:right w:w="28" w:type="dxa"/>
            </w:tcMar>
            <w:vAlign w:val="center"/>
          </w:tcPr>
          <w:p>
            <w:pPr>
              <w:pStyle w:val="TableContents"/>
              <w:bidi w:val="0"/>
              <w:spacing w:before="0" w:after="283"/>
              <w:ind w:left="0" w:right="0" w:hanging="0"/>
              <w:jc w:val="center"/>
              <w:rPr/>
            </w:pPr>
            <w:r>
              <w:rPr/>
              <w:t>P.O. Box 1317</w:t>
            </w:r>
          </w:p>
        </w:tc>
        <w:tc>
          <w:tcPr>
            <w:tcW w:w="116" w:type="dxa"/>
            <w:tcBorders/>
            <w:tcMar>
              <w:top w:w="28" w:type="dxa"/>
              <w:left w:w="28" w:type="dxa"/>
              <w:right w:w="28" w:type="dxa"/>
            </w:tcMar>
            <w:vAlign w:val="center"/>
          </w:tcPr>
          <w:p>
            <w:pPr>
              <w:pStyle w:val="TableContents"/>
              <w:bidi w:val="0"/>
              <w:spacing w:before="0" w:after="283"/>
              <w:ind w:left="0" w:right="0" w:hanging="0"/>
              <w:jc w:val="left"/>
              <w:rPr/>
            </w:pPr>
            <w:r>
              <w:rPr/>
              <w:t> </w:t>
            </w:r>
          </w:p>
        </w:tc>
        <w:tc>
          <w:tcPr>
            <w:tcW w:w="4306" w:type="dxa"/>
            <w:tcBorders/>
            <w:tcMar>
              <w:top w:w="28" w:type="dxa"/>
              <w:left w:w="28" w:type="dxa"/>
              <w:right w:w="28" w:type="dxa"/>
            </w:tcMar>
            <w:vAlign w:val="center"/>
          </w:tcPr>
          <w:p>
            <w:pPr>
              <w:pStyle w:val="TableContents"/>
              <w:bidi w:val="0"/>
              <w:spacing w:before="0" w:after="283"/>
              <w:ind w:left="0" w:right="0" w:hanging="0"/>
              <w:jc w:val="center"/>
              <w:rPr/>
            </w:pPr>
            <w:r>
              <w:rPr/>
              <w:t>51 Mercedes Way</w:t>
            </w:r>
          </w:p>
        </w:tc>
      </w:tr>
      <w:tr>
        <w:trPr/>
        <w:tc>
          <w:tcPr>
            <w:tcW w:w="4306" w:type="dxa"/>
            <w:tcBorders/>
            <w:tcMar>
              <w:top w:w="28" w:type="dxa"/>
              <w:left w:w="28" w:type="dxa"/>
              <w:right w:w="28" w:type="dxa"/>
            </w:tcMar>
            <w:vAlign w:val="center"/>
          </w:tcPr>
          <w:p>
            <w:pPr>
              <w:pStyle w:val="TableContents"/>
              <w:bidi w:val="0"/>
              <w:spacing w:before="0" w:after="283"/>
              <w:ind w:left="0" w:right="0" w:hanging="0"/>
              <w:jc w:val="center"/>
              <w:rPr/>
            </w:pPr>
            <w:r>
              <w:rPr/>
              <w:t>Brentwood, New York 11717-0693</w:t>
            </w:r>
          </w:p>
        </w:tc>
        <w:tc>
          <w:tcPr>
            <w:tcW w:w="116" w:type="dxa"/>
            <w:tcBorders/>
            <w:tcMar>
              <w:top w:w="28" w:type="dxa"/>
              <w:left w:w="28" w:type="dxa"/>
              <w:right w:w="28" w:type="dxa"/>
            </w:tcMar>
            <w:vAlign w:val="center"/>
          </w:tcPr>
          <w:p>
            <w:pPr>
              <w:pStyle w:val="TableContents"/>
              <w:bidi w:val="0"/>
              <w:spacing w:before="0" w:after="283"/>
              <w:ind w:left="0" w:right="0" w:hanging="0"/>
              <w:jc w:val="left"/>
              <w:rPr/>
            </w:pPr>
            <w:r>
              <w:rPr/>
              <w:t> </w:t>
            </w:r>
          </w:p>
        </w:tc>
        <w:tc>
          <w:tcPr>
            <w:tcW w:w="4306" w:type="dxa"/>
            <w:tcBorders/>
            <w:tcMar>
              <w:top w:w="28" w:type="dxa"/>
              <w:left w:w="28" w:type="dxa"/>
              <w:right w:w="28" w:type="dxa"/>
            </w:tcMar>
            <w:vAlign w:val="center"/>
          </w:tcPr>
          <w:p>
            <w:pPr>
              <w:pStyle w:val="TableContents"/>
              <w:bidi w:val="0"/>
              <w:spacing w:before="0" w:after="283"/>
              <w:jc w:val="center"/>
              <w:rPr/>
            </w:pPr>
            <w:r>
              <w:rPr/>
              <w:t>Edgewood, New York 11717</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delivery to an address or by any method other than as set forth above will not constitute valid delivery, and we may not honor the exercise of your rights. In considering which method of delivery to use, holders of rights should take into consideration the amount of time remaining in this offering, as well as any guaranteed delivery procedures, to ensure that materials are delivered prior to the Expiration Date.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must be made in full in U.S. currency by: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certified bank or cashier’s check drawn on a U.S. bank payable to “Broadridge Corporate Issuer Solutions, LLC, as Subscription Agent for Rent the Runway, Inc.”;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wire transfer or transfer of immediately available funds to the account maintained by the Subscription Agent (see the rights certificate for the wire instructions).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received after 5:00 p.m., New York City time, on the Expiration Date will not be honored, and, in such event, the Subscription Agent will return your payment to you, without interest, as soon as practicable. If you hold your shares of Class A Common Stock in street name, please contact your bank, broker or nominee for instructions on how to participate in this offering.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Questions About Exercising Subscription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any questions or require assistance regarding the method of exercising your rights or requests for additional copies of this document, you should contact the Subscription Agent, Broadridge Corporate Issuer Solutions, LLC, at 888-789-8409 or by e-mail at shareholder@broadridge.com.</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Calculation of Rights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do not indicate the number of rights being exercised, or do not forward full payment of the total subscription price payment for the number of rights that you indicate are being exercised, (i) the Subscription Agent will have the right to reject and return your subscription for correction or (ii) you will be deemed to have exercised your basic subscription privilege with respect to the maximum number of rights that may be exercised with the aggregate subscription price payment you delivered to the Subscription Agent. If your aggregate subscription price payment is greater than the amount you owe for your subscription, you will be deemed to have exercised your oversubscription privilege to purchase the maximum number of shares of our Class A Common Stock with your overpayment. If we do not apply your full subscription price payment to your purchase of shares of our Class A Common Stock, we or the Subscription Agent will return the excess amount to you via check, without interest or deduction, as soon as practicable after the Expiration Date.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Regulatory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be required to issue to you shares of our Class A Common Stock pursuant to this offering if, in our opinion, it would be unlawful to do so or you would be required to obtain prior clearance or approval from any state or federal regulatory authorities to own or control such shares if, on the Expiration Date, you have not obtained such clearance or approval. We reserve the right to delay the commencement of this offering in certain states or other jurisdictions if necessary to comply with local laws. We may elect not to offer shares to residents of any state or other jurisdiction whose laws would require a change in this offering in order to carry out this offering in such state or jurisdiction.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rights issued to a stockholder of record who would, in our opinion, be required to obtain prior clearance or approval from any state, federal or non-U.S. regulatory authority for the ownership or exercise of rights or the ownership of additional shares are null and void and may not be held or exercised by any such holder if, at such time, such holder has not obtained such clearance or approval.</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Exercising a Portion of Your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subscribe for fewer than all of the shares of our Class A Common Stock represented by your rights certificate, you may receive from the Subscription Agent a new rights certificate representing your unused rights.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do not indicate the number of rights being exercised, or if you do not make full payment of the total subscription price payment for the number of rights that you indicate are being exercised, (i) the Subscription Agent will have the right to reject and return your subscription for correction or (ii) you will be deemed to have exercised your right with respect to the maximum number of rights that may be exercised with the aggregate subscription price payment you delivered to the Subscription Agent. If we do not apply your full subscription price payment to the purchase of shares of Class A Common Stock, we or the Subscription Agent will return the excess amount to you via check, without interest or deduction, promptly after the Expiration Date.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Guaranteed Delivery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wish to exercise subscription rights, but you do not have sufficient time to deliver the rights certificate evidencing your subscription rights to the Subscription Agent on or before the Expiration Date, you may exercise your subscription rights by delivering:</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to the Subscription Agent on or before the Expiration Date the payment for each share you elected to purchase pursuant to the exercise of rights in the manner set forth above under “—Method of Subscription”;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to the Subscription Agent before the Expiration Date the form entitled “Notice of Guaranteed Delivery”;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properly completed rights certificate evidencing your rights being exercised and the form entitled “Nominee Holder Certification,” if applicable, with any required signatures guaranteed, to the Subscription Agent within one business day following the date you submit your Notice of Guaranteed Delivery.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Notice of Guaranteed Delivery must be delivered in substantially the same form provided with the Instructions for Use of Rent the Runway, Inc.’s rights certificate, which will be distributed to you with your rights certificate. Your Notice of Guaranteed Delivery must include a signature guarantee from an eligible institution, acceptable to the Subscription Agent. A form of that guarantee is included with the Notice of Guaranteed Delivery.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your Notice of Guaranteed Delivery, you must provide (i) your name, (ii) the number of rights represented by your rights certificate, the number of shares of our Class A Common Stock for which you are subscribing under your basic subscription privilege and the number of shares of our Class A Common Stock for which you are subscribing under your oversubscription privilege and (iii) your guarantee that you will deliver to the Subscription Agent a rights certificate evidencing the rights you are exercising within one business day following the date the Subscription Agent receives your Notice of Guaranteed Delivery.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deliver your Notice of Guaranteed Delivery to the Subscription Agent in the same manner as your rights certificate at the address set forth above under “—Delivery of Subscription Materials and Payment.”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Procedures for DTC Participants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the exercise of your basic subscription privilege and your oversubscription privilege may be made through the facilities of DTC. If you are a broker, dealer, trustee or a depositary for securities who holds our Class A Common Stock for the account of others as a nominee holder, you may exercise your basic subscription privilege and your oversubscription privilege through DTC’s PSOP Function on the “agents subscription over PTS” procedures and instructing DTC to charge the applicable DTC account for the subscription payment and to deliver such amount to the Subscription Agent. DTC must receive the rights certificate, Notice of Guaranteed Delivery (if applicable), and payment for the new shares before 2:15 p.m., New York City time, on the Expiration Date, unless guaranteed delivery procedures are utilized with respect to delivery of your rights certificate.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charging any fee or sales commission to issue rights to you or to issue shares of Class A Common Stock to you if you exercise your rights. If you exercise your rights through the record holders of your shares of Class A Common Stock, you are responsible for paying any commissions, fees, taxes or other expenses your record holder may charge you. We will pay all fees and expenses of the Subscription Agent related to this offering and have also agreed to indemnify the Subscription Agent from liabilities that it may incur in connection with this offering.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Fractional Shares of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shares of Class A Common Stock will be sold at a purchase price of $3.55 per whole share, assuming the floor price per share set forth on the cover of this prospectus. We will not issue fractional shares of Class A Common Stock or cash in lieu of fractional shares of Class A Common Stock. Fractional shares of Class A Common Stock resulting from the exercise of the basic subscription and oversubscription privileges will be eliminated by rounding down to the nearest whole share of Class A Common Stock, with such adjustments as may be necessary to ensure that we offer no more than             shares of Class A Common Stock in this offering. In the event that, because of the rounding of fractional shares of Class A Common Stock, this offering would have been subscribed in an amount in excess of             shares of Class A Common Stock, all holders’ shares issued in this offering will be reduced in an equitable manner. Any excess subscription payments received by the Subscription Agent will be returned, without interest, as soon as practicable.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to Beneficial Holders and Nominees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you are a broker, a trustee or a depositary for securities who holds shares of our Class A Common Stock for the account of others on the Record Date, you should notify the respective beneficial owners of such shares of this offering as soon as possible to find out their intentions with respect to exercising their rights. You should obtain instructions from the beneficial owner with respect to their rights, as set forth in the instructions we have provided to you for your distribution to beneficial owners. If the beneficial owner so instructs, you should complete the appropriate rights certificates and submit them to the Subscription Agent with the proper payment. If you hold shares of our Class A Common Stock for the account of more than one beneficial owner, you may exercise the number of rights to which all such beneficial owners in the aggregate otherwise would have been entitled had they been direct record holders of our Class A Common Stock on the Record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you, as a nominee record holder, make a proper showing to the Subscription Agent by submitting the form entitled “Nominee Holder Certification” that we will provide to you with your rights offering materials. If you did not receive this form, you should contact the Subscription Agent, Broadridge Corporate Issuer Solutions, LLC, to request a copy.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 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beneficial owner of shares of our Class A Common Stock or will receive your rights through a broker, custodian bank or other nominee, we will ask your broker, custodian bank or other nominee to notify you of this offering. If you wish to exercise your rights, you will need to have your broker, custodian bank or other nominee act for you. To indicate your decision with respect to your rights, you should complete and return to your broker, custodian bank or other nominee the form entitled “Beneficial Owner Election Form.” You should receive this form from your broker, custodian bank or other nominee with the other offering materials. If you wish to obtain a separate rights certificate, you should contact the nominee as soon as possible and request that a separate rights certificate be issued to you. You should contact your broker, custodian bank or other nominee if you do not receive this form, but you believe you are entitled to participate in this offering. We are not responsible if you do not receive the form from your broker, custodian bank or nominee or if you receive it without sufficient time to respond.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Validity of Subscriptions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resolve all questions regarding the validity and form of the exercise of your rights, including time of receipt and eligibility to participate in this offering. Our determination will be final and binding. Once made, subscriptions and directions are irrevocable, and we will not accept any alternative, conditional or contingent subscriptions or directions. We reserve the absolute right to reject any subscriptions or directions not properly submitted or the acceptance of which would be unlawful. You must resolve any irregularities in connection with your subscriptions before the subscription period expires, unless we waive them in our sole discretion. Neither we nor the Subscription Agent is under any duty to notify you or your representative of defects in your subscriptions. A subscription will be considered accepted, subject to our right to withdraw or terminate this offering, only when the Subscription Agent receives a properly completed and duly executed rights certificate, any other required documents and the full subscription payment. Our interpretations of the terms and conditions of this offering will be final and binding.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Funds Held by Subscription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Subscription Agent will hold your payment of the subscription price in a segregated account with other payments received from other rights holders until we issue shares of our Class A Common Stock to you upon consummation of this offering or the withdrawal or termination of this offering.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Subscription Agent returns payments to you through your broker, dealer, custodian bank or other nominee, then such broker, dealer, custodian bank or other nominee may charge you separate service or administration fees. We are not responsible for covering or reimbursing any such fees.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 Rights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will have no rights as a holder of the shares of our Class A Common Stock that you purchase in this offering until you receive a direct registration account statement from our transfer agent reflecting ownership of such shares, or your account at your nominee is credited with the shares of our Class A Common Stock purchased in this offering.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Revocation or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you have exercised your rights or have instructed your nominee of your subscription request, you may not revoke or change your exercise or request a refund of monies paid. All exercises of rights are irrevocable, even if you learn information about us that you consider unfavorable. You should not exercise your rights unless you are certain that you wish to purchase shares of our Class A Common Stock at the subscription price. Rights not exercised prior to the Expiration Date of this offering will expire and will have no value.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 and Trading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Common Stock is traded on the Nasdaq Global Market under the symbol “RENT.” On           , 2026, the last reported sale price of our shares of Class A Common Stock on the Nasdaq was $            per share.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will not be listed for trading on the Nasdaq or any other national securities exchange or nationally recognized trading system.</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Transfers and Sales of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evidenced by a rights certificate may be transferred (i) in whole, by endorsing the rights certificate for transfer in accordance with the accompanying instructions or (ii) in part, by delivering to the Subscription Agent a rights certificate properly endorsed for transfer, with instructions to register such portion of the rights evidenced thereby in the name of the transferee and to issue a new rights certificate to the transferee evidencing such transferred rights. In such event, a new rights certificate evidencing the balance of the rights will be issued to the stockholder or, if the stockholder so instructs, to an additional transferee. The signature on the rights certificate must correspond to the name as written upon the face of the rights certificate, without alteration, enlargement, or any change. A signature guarantee must be provided by an Eligible Guarantor Institution as that term is defined in Rule 17Ad-15 under the Exchange Act, subject to the standards and procedures adopted by 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wishing to transfer all or a portion of their rights should allow at least five business days prior to the Expiration Date of this offering for: (i) the transfer instructions to be received and processed by the Subscription Agent; (ii) a new rights certificate to be issued and transmitted to the transferee(s) with respect to transferred rights and to the transferor with respect to retained rights, if any; and (iii) the rights evidenced by such new rights certificate to be exercised or sold by the recipients thereof. Neither we nor the Subscription Agent shall have any liability to a transferee or transferor of rights if rights certificates are not received in time for exercise prior to the Expiration Date.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fees charged by the Subscription Agent, which will be paid by us, all commissions, fees and other expenses (including brokerage commissions and transfer taxes) incurred or charged in connection with the purchase, sale or exercise of rights will be for the account of the transferor of the rights. None of those commissions, fees or expenses will be paid by us or the Subscription Agent.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that the rights will be eligible for transfer through, and that the exercise of the basic subscription and oversubscription privileges may be effected through, the facilities of DTC. Holders of DTC exercised rights may exercise the oversubscription right in respect of such DTC exercised rights by properly completing and duly executing and delivering to the Subscription Agent, at or before 5:00 p.m., New York City time, on the Expiration Date, a nominee holder over-rights certificate or a substantially similar form satisfactory to the Subscription Agent, together with payment of the estimated subscription price for the number of shares for which the oversubscription privilege is to be exercised.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Equiniti Trust Company, LLC is the transfer agent and registrar for our Class A Common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appointed Broadridge Corporate Issuer Solutions, LLC to act as Subscription Agent for this offering. You should direct any questions or requests for assistance concerning the method of subscribing for the shares of our Class A Common Stock or for additional copies of this prospectus to the Subscription Agent. Please refer to the “Questions About Exercising Subscription Rights” above for contact information.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Class A Common Stock Outstanding After the Rights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shares of our Class A Common Stock issued and outstanding as of July 31, 2026, up tp approximately             shares of our Class A Common Stock will be issued and outstanding after giving effect to this offering, assuming full exercise of all basic subscription privileges. We will not be issuing share certificates for the Class A Common Stock issued pursuant to this offering. Issuance of Class A Common Stock will be made electronically via book entry by Equiniti Trust Company, LLC, our transfer agent.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Federal Income Tax Considerations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authorities governing transactions such as this offering are complex and unclear in certain respects (including with respect to the effects of the oversubscription privilege), we believe and intend to take the position that a holder’s receipt or exercise of rights should generally be non-taxable for U.S. federal income tax purposes. This position regarding the non-taxable treatment of this offering is, however, not binding on the Internal Revenue Service (the “IRS”) or the courts. You should consult your tax advisor as to the particular tax consequences to you of the receipt of rights in this offering and the exercise, sale or lapse of the rights, including the applicability of any state, local or non-U.S. tax laws in light of your particular circumstances. For a more detailed discussion, see “Material U.S. Federal Income Tax Consequences.”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Non-U.S.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Subscription Agent will not mail rights certificates to stockholders on the Record Date whose addresses are outside the United States, and such holders’ rights certificates will be held by the Subscription Agent for their account until any instructions are received to exercise their rights. If you are a stockholder whose address is outside the United States, to exercise your rights, you must notify the Subscription Agent before 11:00 a.m., New York City time, on          , 2026, which is five business days prior to the Expiration Date, unless extended by us, and, if we so request, must establish to our satisfaction that you are permitted to exercise your rights under applicable law. Any questions related to exercising rights should be directed to the Subscription Agent. If these procedures are not followed prior to the Expiration Date, those holders’ rights will expire. We will decide all questions concerning the timeliness, validity, form and eligibility of the exercise of your rights, and any such determinations by us will be final and binding.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offering is not being made in any state or other jurisdiction in which it would be unlawful to do so, nor are we selling to you, or accepting any offers from you to purchase, shares of our Class A Common Stock if you are a resident of any such state or other jurisdiction. If necessary, we may delay commencement of this offering in certain states or other jurisdictions in order to comply with the securities law requirements of those states or other jurisdictions. We do not anticipate that there will be any changes in this offering, and we may, in our sole discretion, decline to make modifications to the terms of this offering requested by regulators in states or other jurisdictions, in which case stockholders who live in those states or other jurisdictions will not be eligible to participate in this offering.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Interests of Our Executive Officers and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officers and directors who hold shares of Class A Common Stock may participate in this offering at the same subscription price as all other stockholders, but none of our executive officers and directors are obligated to so participate.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Recommendation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in shares of our Class A Common Stock must be made according to each investor’s evaluation of such investor’s own best interests and after considering all of the information herein, including the “Risk Factors” section beginning on page 8 of this prospectus.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our Board has, or will, make any recommendation to stockholders whether to exercise their rights in this offering. You should make an independent investment decision about whether to exercise your rights based on your own assessment of our business and this offering.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9" w:name="a_008"/>
      <w:bookmarkEnd w:id="9"/>
      <w:r>
        <w:rPr>
          <w:rFonts w:ascii="Times New Roman;Times;Serif" w:hAnsi="Times New Roman;Times;Serif"/>
          <w:b/>
          <w:i w:val="false"/>
          <w:caps/>
          <w:sz w:val="20"/>
        </w:rPr>
        <w:t>MATERIAL U.S. FEDERAL INCOME TAX CONSEQUENCES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summary of the material U.S. federal income tax consequences of the receipt, exercise (or expiration) and disposition of the rights acquired through this offering and the ownership and disposition of shares of our Class A Common Stock received upon exercise of the rights. This discussion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a holder of the rights or shares of our Class A Common Stock. We have not sought and will not seek any rulings from the IRS regarding the matters discussed below. There can be no assurance the IRS or a court will not take a contrary position to that discussed below regarding the tax consequences of the receipt of rights through this offering by persons holding shares of our Class A Common Stock entitled to receive rights pursuant to this offering, the exercise (or expiration) of the rights, the disposition of the rights, and the ownership and disposition of shares of our Class A Common Stock acquired upon exercise of the rights.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limited to the rights acquired through this offering and shares of our Class A Common Stock acquired upon exercise of rights, in each case, that are held as a “capital asset” within the meaning of Section 1221 of the Code (generally, property held for investment). This discussion does not address all U.S. federal income tax consequences relevant to a holder’s particular circumstances, including the impact of any minimum tax or the Medicare contribution tax on net investment income. In addition, it does not address consequences relevant to holders subject to special rules, including, without limitation:</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167"/>
        <w:gridCol w:w="9988"/>
      </w:tblGrid>
      <w:tr>
        <w:trPr/>
        <w:tc>
          <w:tcPr>
            <w:tcW w:w="5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Symbol" w:hAnsi="Symbol"/>
              </w:rPr>
            </w:pPr>
            <w:r>
              <w:rPr>
                <w:rFonts w:ascii="Symbol" w:hAnsi="Symbol"/>
              </w:rPr>
              <w:t>·</w:t>
            </w:r>
          </w:p>
        </w:tc>
        <w:tc>
          <w:tcPr>
            <w:tcW w:w="9988" w:type="dxa"/>
            <w:tcBorders/>
            <w:vAlign w:val="center"/>
          </w:tcPr>
          <w:p>
            <w:pPr>
              <w:pStyle w:val="TableContents"/>
              <w:bidi w:val="0"/>
              <w:spacing w:before="0" w:after="283"/>
              <w:jc w:val="left"/>
              <w:rPr/>
            </w:pPr>
            <w:r>
              <w:rPr/>
              <w:t>U.S. expatriates and former citizens or long-term residents of the United States;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persons holding the rights or shares of our Class A Common Stock as part of a hedge, straddle or other risk reduction strategy or as part of a conversion transaction or other integrated investment;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218"/>
        <w:gridCol w:w="9921"/>
      </w:tblGrid>
      <w:tr>
        <w:trPr/>
        <w:tc>
          <w:tcPr>
            <w:tcW w:w="6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Symbol" w:hAnsi="Symbol"/>
              </w:rPr>
            </w:pPr>
            <w:r>
              <w:rPr>
                <w:rFonts w:ascii="Symbol" w:hAnsi="Symbol"/>
              </w:rPr>
              <w:t>·</w:t>
            </w:r>
          </w:p>
        </w:tc>
        <w:tc>
          <w:tcPr>
            <w:tcW w:w="9921" w:type="dxa"/>
            <w:tcBorders/>
            <w:vAlign w:val="center"/>
          </w:tcPr>
          <w:p>
            <w:pPr>
              <w:pStyle w:val="TableContents"/>
              <w:bidi w:val="0"/>
              <w:spacing w:before="0" w:after="283"/>
              <w:jc w:val="left"/>
              <w:rPr/>
            </w:pPr>
            <w:r>
              <w:rPr/>
              <w:t>banks, insurance companies, and other financial institutions;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brokers, dealers or traders in securities or currencies or traders that elect to mark-to-market their securities;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w:t>
            </w:r>
            <w:r>
              <w:rPr/>
              <w:t>controlled foreign corporations,” “passive foreign investment companies,” and corporations that accumulate earnings to avoid U.S. federal income tax;</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S corporations, partnerships or other entities or arrangements treated as partnerships or other pass-through entities for U.S. federal income tax purposes (and investors therein);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real estate investment trusts, regulated investment companies, grantor trusts, tax-exempt organizations or governmental organizations;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persons deemed to sell the rights or shares of our Class A Common Stock under the constructive sale provisions of the Code;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persons subject to special tax accounting rules as a result of any item of gross income being taken into account in an applicable financial statement (as defined in the Code);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persons who received, hold or will receive shares of our Class A Common Stock or the rights pursuant to the exercise of any employee stock option or otherwise as compensation and persons who hold restricted Class A Common Stock;</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9"/>
        <w:gridCol w:w="424"/>
        <w:gridCol w:w="9652"/>
      </w:tblGrid>
      <w:tr>
        <w:trPr/>
        <w:tc>
          <w:tcPr>
            <w:tcW w:w="12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rFonts w:ascii="Symbol" w:hAnsi="Symbol"/>
              </w:rPr>
            </w:pPr>
            <w:r>
              <w:rPr>
                <w:rFonts w:ascii="Symbol" w:hAnsi="Symbol"/>
              </w:rPr>
              <w:t>·</w:t>
            </w:r>
          </w:p>
        </w:tc>
        <w:tc>
          <w:tcPr>
            <w:tcW w:w="9652" w:type="dxa"/>
            <w:tcBorders/>
            <w:vAlign w:val="center"/>
          </w:tcPr>
          <w:p>
            <w:pPr>
              <w:pStyle w:val="TableContents"/>
              <w:bidi w:val="0"/>
              <w:spacing w:before="0" w:after="283"/>
              <w:jc w:val="left"/>
              <w:rPr/>
            </w:pPr>
            <w:r>
              <w:rPr/>
              <w:t>tax-qualified retirement plans;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persons who own or have owned (directly, indirectly or constructively) 5% or more of our Class A Common Stock;</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39"/>
        <w:gridCol w:w="10024"/>
      </w:tblGrid>
      <w:tr>
        <w:trPr/>
        <w:tc>
          <w:tcPr>
            <w:tcW w:w="4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Symbol" w:hAnsi="Symbol"/>
              </w:rPr>
            </w:pPr>
            <w:r>
              <w:rPr>
                <w:rFonts w:ascii="Symbol" w:hAnsi="Symbol"/>
              </w:rPr>
              <w:t>·</w:t>
            </w:r>
          </w:p>
        </w:tc>
        <w:tc>
          <w:tcPr>
            <w:tcW w:w="10024" w:type="dxa"/>
            <w:tcBorders/>
            <w:vAlign w:val="center"/>
          </w:tcPr>
          <w:p>
            <w:pPr>
              <w:pStyle w:val="TableContents"/>
              <w:bidi w:val="0"/>
              <w:spacing w:before="0" w:after="283"/>
              <w:jc w:val="left"/>
              <w:rPr/>
            </w:pPr>
            <w:r>
              <w:rPr/>
              <w:t>U.S. Holders (as defined below) that have a functional currency other than the U.S. dollar;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members of the Investor Group that purchase our Class A Common Stock pursuant to the Backstop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entity or arrangement treated as a partnership for U.S. federal income tax purposes holds shares of our Class A Common Stock, receives rights pursuant to this offering or receives shares of our Class A Common Stock upon exercise of rights, as the case may be, the tax treatment of a partner in the partnership will generally depend on the status of the partner, the activities of the partnership and certain determinations made at the partner level. Accordingly, partnerships and the partners in such partnerships should consult their tax advisors regarding the U.S. federal income tax consequences to them.</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discussion is for information purposes only and is not tax advice. Investors should consult their tax advisors with respect to the application of U.S. federal income tax laws to their particular situations as well as any tax consequences of the receipt, ownership, exercise and disposition of rights and the ownership and disposition of shares of our Class A Common Stock acquired upon exercise of rights arising under the U.S. federal estate or gift tax laws or under the laws of any state, local or non-U.S. taxing jurisdiction or under any applicable income tax treaty.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 Considerations Applicable to U.S.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Definition of a U.S. Holder</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“U.S. Holder” is any beneficial owner of shares of our Class A Common Stock, subscription rights distributed in this offering or shares of our Class A Common Stock acquired upon exercise of rights, as the case may be, that, for U.S. federal income tax purposes, is or is treated as any of the following:</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213"/>
        <w:gridCol w:w="9928"/>
      </w:tblGrid>
      <w:tr>
        <w:trPr/>
        <w:tc>
          <w:tcPr>
            <w:tcW w:w="6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Symbol" w:hAnsi="Symbol"/>
              </w:rPr>
            </w:pPr>
            <w:r>
              <w:rPr>
                <w:rFonts w:ascii="Symbol" w:hAnsi="Symbol"/>
              </w:rPr>
              <w:t>·</w:t>
            </w:r>
          </w:p>
        </w:tc>
        <w:tc>
          <w:tcPr>
            <w:tcW w:w="9928" w:type="dxa"/>
            <w:tcBorders/>
            <w:vAlign w:val="center"/>
          </w:tcPr>
          <w:p>
            <w:pPr>
              <w:pStyle w:val="TableContents"/>
              <w:bidi w:val="0"/>
              <w:spacing w:before="0" w:after="283"/>
              <w:jc w:val="left"/>
              <w:rPr/>
            </w:pPr>
            <w:r>
              <w:rPr/>
              <w:t>an individual who is a citizen or resident of the United States;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 corporation created or organized under the laws of the United States, any state thereof, or the District of Columbia;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34"/>
        <w:gridCol w:w="10031"/>
      </w:tblGrid>
      <w:tr>
        <w:trPr/>
        <w:tc>
          <w:tcPr>
            <w:tcW w:w="4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rFonts w:ascii="Symbol" w:hAnsi="Symbol"/>
              </w:rPr>
            </w:pPr>
            <w:r>
              <w:rPr>
                <w:rFonts w:ascii="Symbol" w:hAnsi="Symbol"/>
              </w:rPr>
              <w:t>·</w:t>
            </w:r>
          </w:p>
        </w:tc>
        <w:tc>
          <w:tcPr>
            <w:tcW w:w="10031" w:type="dxa"/>
            <w:tcBorders/>
            <w:vAlign w:val="center"/>
          </w:tcPr>
          <w:p>
            <w:pPr>
              <w:pStyle w:val="TableContents"/>
              <w:bidi w:val="0"/>
              <w:spacing w:before="0" w:after="283"/>
              <w:jc w:val="left"/>
              <w:rPr/>
            </w:pPr>
            <w:r>
              <w:rPr/>
              <w:t>an estate or trust, the income of which is subject to U.S. federal income tax regardless of its source.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8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Receipt of Rights</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authorities governing transactions such as this offering are complex and unclear in certain respects (including with respect to the effects of the over-subscription privilege), we believe and intend to take the position that a U.S. Holder’s receipt of rights pursuant to this offering should not be treated as a taxable distribution with respect to such holder’s existing shares of Class A Common Stock for U.S. federal income tax purposes. Section 305(a) of the Code generally provides that the receipt by a stockholder of a right to acquire stock or warrants is not included in the taxable income of the stockholder; however, the general non-recognition rule in Section 305(a) of the Code is subject to exceptions described in Section 305(b) of the Code, which include “disproportionate distributions.” A disproportionate distribution is generally a distribution or a series of distributions, including deemed distributions, that has the effect of the receipt of cash or other property by some stockholders (including holders of rights to acquire stock and holders of debt instruments convertible into stock) and an increase in the proportionate interest of other stockholders (including holders of rights to acquire stock and holders of debt instruments convertible into stock) in a corporation’s assets or earnings and profits.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made any distributions of cash or property (other than stock or rights to acquire stock) with respect to our stock or stock options. Currently, we do not intend to make any future distributions of cash or property (other than stock or rights to acquire stock) with respect to our stock or stock options; however, there is no guarantee that we will not make such distributions or payments, or distributions or payments in respect of other equity or convertible debt instruments, in the future.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position regarding the non-taxable treatment of this offering is not binding on the IRS or the courts. If this position is finally determined by the IRS or a court to be incorrect, whether because, contrary to our expectations, distributions of cash or property (other than stock or rights to acquire stock) are made with respect to our stock or stock options, because the issuance of the rights is a “disproportionate distribution” or for any other reason, the fair market value of the rights would be taxable to U.S. Holders of our Class A Common Stock generally in the manner as described below under “—Distributions on Class A Common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remainder of this discussion is based upon the treatment of this offering as a non-taxable distribution with respect to a U.S. Holder’s existing shares of Class A Common Stock for U.S. federal income tax purposes.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18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 Basis and Holding Period in the Rights</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fair market value of the rights a U.S. Holder receives is less than 15% of the fair market value of the U.S. Holder’s existing shares of Class A Common Stock with respect to which the rights are distributed on the date the U.S. Holder receives the rights, Section 307(b) of the Code provides that the rights will be allocated a zero tax basis for U.S. federal income tax purposes, unless the U.S. Holder elects to allocate the tax basis in the holder’s existing shares of Class A Common Stock between the existing shares of Class A Common Stock and the rights in proportion to the relative fair market values of the existing shares of Class A Common Stock and the rights determined on the date of receipt of the rights. If a U.S. Holder chooses to allocate tax basis between the holder’s existing common shares and the rights, the U.S. Holder must make this election on a statement included with the holder’s timely filed U.S. federal income tax return (including extensions) for the taxable year in which the U.S. Holder receives the rights. Such an election is irrevocable.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if the fair market value of the rights a U.S. Holder receives is 15% or more of the fair market value of the holder’s existing shares of Class A Common Stock on the date the U.S. Holder receives the rights, then the U.S. Holder must allocate tax basis in the existing shares of Class A Common Stock between those shares and the rights the U.S. Holder receives in proportion to their fair market values determined on the date the U.S. Holder receives the rights. Please refer to the discussion below regarding the U.S. tax treatment of a U.S. Holder that, at the time of the receipt of the right, no longer holds the Class A Common Stock with respect to which the right was distributed.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market value of the rights on the date that the rights are distributed is uncertain, and we have not obtained, and do not intend to obtain, an appraisal of the fair market value of the rights on that date. In determining the fair market value of the rights, U.S. Holders should consider all relevant facts and circumstances, including, without limitation, any difference between the subscription price of the rights and the trading price of our shares of Class A Common Stock on the date that the rights are distributed, the fair market value and the length of the period during which the rights may be exercised.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Holder’s holding period in the rights it receives will include the holding period of the U.S. Holder’s existing shares of Class A Common Stock with respect to which the rights are distributed.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18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Exercise of Rights</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will not recognize gain or loss upon the exercise of a right received in this offering. A U.S. Holder’s adjusted tax basis, if any, in the right plus the subscription price will establish the U.S. Holder’s initial tax basis in the shares of Class A Common Stock received upon exercise of such U.S. Holder’s right. It is unclear whether a U.S. Holder’s holding period for a share of Class A Common Stock acquired upon exercise of a right in this offering will begin on the date of exercise or the day following the date of exercise.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the time of the receipt or exercise of the right, the U.S. Holder no longer holds the Class A Common Stock with respect to which the right was distributed, then certain aspects of the tax treatment of the receipt and exercise of the right are unclear, including (i) the allocation of the tax basis between the shares of our Class A Common Stock previously sold and the right, (ii) the impact of such allocation on the amount and timing of gain or loss recognized with respect to the shares of our Class A Common Stock previously sold, and (iii) the impact of such allocation on the tax basis of the shares of our Class A Common Stock acquired upon exercise of the right. Furthermore, if you exercise the rights and sell other shares of our Class A Common Stock within the 61-day period beginning 30 days before the exercise date and ending 30 days after the exercise date, the “wash sale” rules may disallow the recognition of any loss upon the sale of our Class A Common Stock. If a U.S. Holder exercises a right received in this offering after disposing of shares of our Class A Common Stock with respect to which the right is received, the U.S. Holder should consult its tax advisor.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Expiration of Rights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Holder allows rights received in this offering to expire, the U.S. Holder should not recognize any gain or loss for U.S. federal income tax purposes, and the U.S. Holder should re-allocate any portion of the tax basis in its existing common shares previously allocated to the rights that have expired to such U.S. Holder’s existing common shares.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18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 Exchange or Other Disposition of Rights</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sale, exchange, or other taxable disposition of rights received in this offering, a U.S. Holder generally will recognize capital gain or loss equal to the difference between the amount realized and the U.S. Holder’s adjusted tax basis, if any, in such rights. Such capital gain or loss will be long-term capital gain or loss if the U.S. Holder’s holding period of the rights exceeded one year at the time of disposition. Long-term capital gains recognized by certain non-corporate taxpayers, including individuals, generally are subject to reduced rates of taxation. The deductibility of capital losses is subject to limitations.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18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Distributions on Class A Common Stock</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anticipate declaring or paying cash dividends to holders of our Class A Common Stock in the foreseeable future. However, if we do make distributions of cash or property on our Class A Common Stock, such distributions will constitute dividends to the extent paid out of our current or accumulated earnings and profits, as determined for U.S. federal income tax purposes. Dividends received by a corporate U.S. Holder may be eligible for a dividends received deduction, subject to applicable limitations. Dividends received by certain non-corporate U.S. Holders, including individuals, are generally taxed at the lower applicable capital gains rate, provided that certain holding period and other requirements are satisfied. Distributions in excess of our current and accumulated earnings and profits will constitute a return of capital and first be applied against and reduce a U.S. Holder’s adjusted tax basis in its Class A Common Stock, as the case may be, but not below zero. Any excess will be treated as capital gain and will be treated as described below under “—Sale, Exchange or Other Disposition of Class A Common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18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 Exchange or Other Disposition of Class A Common Stock</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sale, exchange, or other taxable disposition of our Class A Common Stock, a U.S. Holder generally will recognize capital gain or loss equal to the difference between the amount realized (not including any amount attributable to declared and unpaid dividends, which will be taxable to U.S. Holders who have not previously included such dividends in income as described above under “—Distributions on Class A Common Stock”) and the U.S. Holder’s adjusted tax basis in our Class A Common Stock. Such capital gain or loss will generally be long-term capital gain or loss if the U.S. Holder’s holding period for our Class A Common Stock exceeded one year at the time of disposition. Long-term capital gains recognized by certain non-corporate U.S. Holders, including individuals, generally are subject to reduced rates of taxation. The deductibility of capital losses is subject to limitations.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18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Information Reporting and Backup Withholding </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may be subject to information reporting and backup withholding when such holder receives dividend payments (including constructive dividends) or receives proceeds from the sale or other taxable disposition of the shares of our Class A Common Stock acquired through the exercise of rights. Certain U.S. Holders are exempt from backup withholding, including corporations and certain tax-exempt organizations. A U.S. Holder will be subject to backup withholding unless such holder provides the holder’s taxpayer identification number and otherwise complies with applicable requirements of the backup withholding rules or the holder provides proof of an applicable exemption.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Any amounts withheld under the backup withholding rules may be allowed as a refund or a credit against a U.S. Holder’s U.S. federal income tax liability, provided the required information is timely furnished to the IRS. U.S. Holders should consult their tax advisors regarding their qualification for an exemption from backup withholding and the procedures for obtaining such an exemption.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 Considerations Applicable to Non-U.S.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“Non-U.S. Holder” is any beneficial owner of shares of our Class A Common Stock, our rights or shares of our Class A Common Stock acquired upon exercise of rights, as the case may be, that is neither a U.S. Holder nor an entity or arrangement treated as a partnership for U.S. federal income tax purposes.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Receipt, Exercise and Expiration of the Rights</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discussion assumes that the receipt of rights will be treated as a non-taxable distribution. See “—Tax Considerations Applicable to U.S. Holders-Receipt of Rights” above. In such case, Non-U.S. Holders will not be subject to U.S. federal income tax (or any withholding thereof) on the receipt, exercise or expiration of the rights. Otherwise, the fair market value of the rights would be taxable to Non-U.S. Holders of our Class A Common Stock generally in the manner as described below under “—Distributions on Class A Common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18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Distributions on Class A Common Stock</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anticipate declaring or paying cash dividends to holders of our Class A Common Stock in the foreseeable future. However, if we do make distributions of cash or property on our Class A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Class A Common Stock, but not below zero. Any excess will be treated as capital gain and will be treated as described below under “—Sale or Other Disposition of Class A Common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 below on effectively connected income, dividends paid to a Non-U.S. Holder will be subject to U.S. federal withholding tax at a rate of 30% of the gross amount of the dividends (or such lower rate specified by an applicable income tax treaty), provided that the Non-U.S. Holder furnishes a valid IRS Form W-8BEN or W-8BEN-E (or other applicable documentation) claiming such benefits. Dividends will not be subject to withholding if they are effectively connected with the conduct of a trade or business within the United States and the Non-U.S. Holder provides a valid IRS Form W-8ECI. A Non-U.S. Holder that does not timely furnish the required documentation, but that qualifies for a reduced treaty rate, may obtain a refund of any excess amounts withheld by timely filing an appropriate claim for refund with the IRS.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Non-U.S. Holders should consult their tax advisors regarding their entitlement to benefits under any applicable income tax treaty.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dividends paid to a Non-U.S. Holder are effectively connected with the Non-U.S. Holder’s conduct of a trade or business within the United States (and, if required by an applicable income tax treaty, the Non-U.S. Holder maintains a permanent establishment or fixed base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effectively connected dividends will be subject to U.S. federal income tax on a net income basis at the regular graduated U.S. federal income tax rates applicable to U.S. persons.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18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 or Other Disposition of Rights or Class A Common Stock</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discussions below under “—Information Reporting and Backup Withholding” and “— FATCA,” a Non-U.S. Holder will not be subject to U.S. federal income tax on any gain realized upon the sale or other taxable disposition of our rights or Class A Common Stock unless:</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gain is effectively connected with the Non-U.S. Holder’s conduct of a trade or business within the United States (and, if required by an applicable income tax treaty, the Non-U.S. Holder maintains a permanent establishment or fixed base in the United States to which such gain is attributable);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Non-U.S. Holder is a nonresident alien individual present in the United States for 183 days or more during the taxable year of the disposition and certain other requirements are met; or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29</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subscription rights distributed in this offering or Class A Common Stock constitute a U.S. real property interest (“USRPI”) by reason of our status as a U.S. real property holding corporation (“USRPHC”) for U.S. federal income tax purposes.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described in the first bullet point above generally will be subject to U.S. federal income tax on a net income basis at the regular rates applicable to U.S. persons. A Non-U.S. Holder that is a corporation also may be subject to a branch profits tax at a rate of 30% (or such lower rate specified by an applicable income tax treaty) on such effectively connected gain, as adjusted for certain items.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Holder described in the second bullet point above will be subject to U.S. federal income tax at a rate of 30% (or such lower rate specified by an applicable income tax treaty) on gain realized upon the sale or other taxable disposition of our rights or Class A Common Stock, which may be offset by U.S. source capital losses of the Non-U.S. Holder (even though the individual is not considered a resident of the United States), provided that the Non-U.S. Holder has timely filed U.S. federal income tax returns with respect to such losses.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assets used or held for use in a trade or business, there can be no assurance we currently are not a USRPHC or will not become one in the future. Even if we are or were to become a USRPHC, gain arising from the sale or other taxable disposition of our Class A Common Stock by a Non-U.S. Holder will not be subject to U.S. federal income tax if our Class A Common Stock is “regularly traded,” as defined by applicable Treasury regulations, on an established securities market and such Non-U.S. Holder owned, actually and constructively, 5% or less of our Class A Common Stock throughout the shorter of the five-year period ending on the date of the sale or other taxable disposition or the Non-U.S. Holder’s holding period.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Non-U.S. Holders should consult their tax advisors regarding potentially applicable income tax treaties that may provide for different rules.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18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Information Reporting and Backup Withholding</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(including constructive dividends) on our Class A Common Stock will not be subject to backup withholding, provided that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(including deemed distributions) on our Class A Common Stock paid to the Non-U.S. Holder, regardless of whether such distributions constitute dividends or whether any tax was actually withheld. In addition, proceeds of the sale or other taxable disposition of our rights or Class A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rights or Class A Common Stock conducted through a non-U.S. office of a non-U.S. broker generally will not be subject to backup withholding or information reporting.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information returns that are filed with the IRS may also be made available under the provisions of an applicable treaty or agreement to the tax authorities of the country in which the Non-U.S. Holder resides or is established.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FATCA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of the Code commonly referred to as “FATCA” require withholding of 30% on payments of dividends on our Class A Common Stock, as well as of gross proceeds of dispositions of our Class A Common Stock,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an applicable foreign country may modify these requirements. Under proposed regulations, the preamble to which states that taxpayers may rely on the proposed regulations until final regulations are issued, this withholding tax will not apply to the gross proceeds from the sale, exchange, redemption or other taxable disposition of our Class A Common Stock. If FATCA withholding is imposed, a beneficial owner that is not a foreign financial institution generally may obtain a refund of any amounts withheld by filing a U.S. federal income tax return (which may entail significant administrative burden).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should consult their tax advisors regarding the potential application of withholding under FATCA to their receipt, ownership, and exercise and disposition of rights and the ownership and disposition of shares of our Class A Common Stock acquired upon exercise of rights.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0" w:name="a_009"/>
      <w:bookmarkEnd w:id="10"/>
      <w:r>
        <w:rPr>
          <w:rFonts w:ascii="Times New Roman;Times;Serif" w:hAnsi="Times New Roman;Times;Serif"/>
          <w:b/>
          <w:i w:val="false"/>
          <w:caps/>
          <w:sz w:val="20"/>
        </w:rPr>
        <w:t>PLAN OF DISTRIBUTION</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on or about           , 2026, the rights will be distributed to holders of our Class A Common Stock as of the Record Date. If you wish to exercise your rights and purchase shares of Class A Common Stock in this offering, you should timely comply with the procedures described in “Description of the Rights Offering.”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Class A Common Stock offered pursuant to this offering are being offered by us directly to all holders of our Class A Common Stock. We intend to distribute subscription materials, including rights certificates, to those persons that were holders of our Class A Common Stock on the Record Date.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retained Broadridge Corporate Issuer Solutions, LLC, as the Subscription Agent. We will pay all customary fees and expenses of the Subscription Agent related to this offering. We have also agreed to indemnify the Subscription Agent with respect to certain liabilities that it may incur in connection with this offering.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employed any brokers, dealers or underwriters in connection with the solicitation or exercise of rights. Our officers and directors may solicit responses from the holders of rights in connection with this offering, but such officers and directors will not receive any commissions or compensation for such services other than their normal compensation.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rights that are not subscribed for by existing stockholders will not be reoffered to the public. Pursuant to the Backstop Agreement, the Investor Group has agreed to purchase from us, at a price per share equal to the subscription price, all unsubscribed shares of Class A Common Stock in this offering (if any) for cash. The Investor Group will be entitled to exercise its own subscription rights that it receives pursuant to this offering, and it will not receive any fee for acting as the backstop purchaser for this offering.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we will incur approximately $           million in total expenses in connection with this offering.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rights are transferable, they will not be listed for trading on the Nasdaq or any other national securities exchange or nationally recognized trading system.</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1" w:name="a_010"/>
      <w:bookmarkEnd w:id="11"/>
      <w:r>
        <w:rPr>
          <w:rFonts w:ascii="Times New Roman;Times;Serif" w:hAnsi="Times New Roman;Times;Serif"/>
          <w:b/>
          <w:i w:val="false"/>
          <w:caps/>
          <w:sz w:val="20"/>
        </w:rPr>
        <w:t>LEGAL MATTERS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issuance of the securities offered hereby will be passed upon for the company by Davis Polk &amp; Wardwell LLP.</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2" w:name="a_011"/>
      <w:bookmarkEnd w:id="12"/>
      <w:r>
        <w:rPr>
          <w:rFonts w:ascii="Times New Roman;Times;Serif" w:hAnsi="Times New Roman;Times;Serif"/>
          <w:b/>
          <w:i w:val="false"/>
          <w:caps/>
          <w:sz w:val="20"/>
        </w:rPr>
        <w:t>EXPERTS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incorporated in this Prospectus by reference to the Annual Report on Form 10-K for the year ended January 31, 2026 have been so incorporated in reliance on the report of PricewaterhouseCoopers LLP, an independent registered public accounting firm, given on the authority of said firm as experts in auditing and accounting.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3" w:name="a_012"/>
      <w:bookmarkEnd w:id="13"/>
      <w:r>
        <w:rPr>
          <w:rFonts w:ascii="Times New Roman;Times;Serif" w:hAnsi="Times New Roman;Times;Serif"/>
          <w:b/>
          <w:i w:val="false"/>
          <w:caps/>
          <w:sz w:val="20"/>
        </w:rPr>
        <w:t>WHERE YOU CAN FIND MORE INFORMATION</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a registration statement on Form S-1 with the SEC with respect to the securities offered by this prospectus. This prospectus does not include all of the information contained in the registration statement. You should refer to the registration statement and its exhibits for additional information. Whenever we make references in this prospectus to any of our contracts, agreement or other documents, the references are not necessarily complete, and you should refer to the exhibits attached to the registration statement for copies of the actual contract, agreement or other document.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file annual, quarterly and current reports, proxy statements and other information with the SEC. Our SEC filings are available to the public on the SEC’s website at http://www.sec.gov. Information about us, including certain SEC filings, is also available at our website at investors.renttherunway.com. However, the information contained in, or that can be accessed through, our website is not incorporated by reference in, and is not part of, this prospectus.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 this prospectus the information in other documents that we file with the SEC, which means that we can disclose important information to you by referring you to those documents. The information incorporated or deemed to be incorporated by reference is considered to be a part of this prospectus, and any statement made in a document incorporated by reference into this prospectus will be deemed to be modified or superseded for purposes of this prospectus to the extent that a statement contained in this prospectus modifies or supersedes that statement.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in this prospectus the documents listed below and any future filings that we may make with the SEC under Sections 13(a), 13(c), 14 or 15(d) of the Exchange Act prior to the termination of this offering (provided, however, that we are not incorporating, in each case, any documents or information deemed to have been “furnished” under Items 2.02, 7.01 or 9.01 of Form 8-K or other information deemed to have been “furnished” and not filed in accordance with SEC rules):</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Annual Report on Form 10-K for the fiscal year ended January 31, 2026, filed with the SEC on </w:t>
            </w:r>
            <w:hyperlink r:id="rId3">
              <w:r>
                <w:rPr>
                  <w:rStyle w:val="InternetLink"/>
                </w:rPr>
                <w:t>April 14, 2026</w:t>
              </w:r>
            </w:hyperlink>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Quarterly Reports on Form 10-Q for the fiscal quarter ended April 30, 2026, filed with the SEC on </w:t>
            </w:r>
            <w:hyperlink r:id="rId4">
              <w:r>
                <w:rPr>
                  <w:rStyle w:val="InternetLink"/>
                </w:rPr>
                <w:t>June 3, 2026</w:t>
              </w:r>
            </w:hyperlink>
            <w:r>
              <w:rPr/>
              <w:t xml:space="preserve">, and for the fiscal quarter ended July 31, 2026, filed with the SEC on </w:t>
            </w:r>
            <w:hyperlink r:id="rId5">
              <w:r>
                <w:rPr>
                  <w:rStyle w:val="InternetLink"/>
                  <w:color w:val="0000FF"/>
                </w:rPr>
                <w:t>September 11, 2026</w:t>
              </w:r>
            </w:hyperlink>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152"/>
        <w:gridCol w:w="10007"/>
      </w:tblGrid>
      <w:tr>
        <w:trPr/>
        <w:tc>
          <w:tcPr>
            <w:tcW w:w="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rFonts w:ascii="Symbol" w:hAnsi="Symbol"/>
              </w:rPr>
            </w:pPr>
            <w:r>
              <w:rPr>
                <w:rFonts w:ascii="Symbol" w:hAnsi="Symbol"/>
              </w:rPr>
              <w:t>·</w:t>
            </w:r>
          </w:p>
        </w:tc>
        <w:tc>
          <w:tcPr>
            <w:tcW w:w="10007" w:type="dxa"/>
            <w:tcBorders/>
            <w:vAlign w:val="center"/>
          </w:tcPr>
          <w:p>
            <w:pPr>
              <w:pStyle w:val="TableContents"/>
              <w:bidi w:val="0"/>
              <w:spacing w:before="0" w:after="283"/>
              <w:jc w:val="left"/>
              <w:rPr/>
            </w:pPr>
            <w:r>
              <w:rPr/>
              <w:t xml:space="preserve">Definitive Proxy Statement on Schedule 14A, filed with the SEC on </w:t>
            </w:r>
            <w:hyperlink r:id="rId6">
              <w:r>
                <w:rPr>
                  <w:rStyle w:val="InternetLink"/>
                </w:rPr>
                <w:t>June 1, 2026</w:t>
              </w:r>
            </w:hyperlink>
            <w:r>
              <w:rPr/>
              <w: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Current Reports on Form 8-K, filed with the SEC on </w:t>
            </w:r>
            <w:hyperlink r:id="rId7">
              <w:r>
                <w:rPr>
                  <w:rStyle w:val="InternetLink"/>
                </w:rPr>
                <w:t>April 15, 2026</w:t>
              </w:r>
            </w:hyperlink>
            <w:r>
              <w:rPr/>
              <w:t xml:space="preserve">, </w:t>
            </w:r>
            <w:hyperlink r:id="rId8">
              <w:r>
                <w:rPr>
                  <w:rStyle w:val="InternetLink"/>
                </w:rPr>
                <w:t>May 13, 2026</w:t>
              </w:r>
            </w:hyperlink>
            <w:r>
              <w:rPr/>
              <w:t xml:space="preserve"> (excluding Item 7.01), </w:t>
            </w:r>
            <w:hyperlink r:id="rId9">
              <w:r>
                <w:rPr>
                  <w:rStyle w:val="InternetLink"/>
                </w:rPr>
                <w:t>May 21, 2026</w:t>
              </w:r>
            </w:hyperlink>
            <w:r>
              <w:rPr/>
              <w:t xml:space="preserve">, </w:t>
            </w:r>
            <w:hyperlink r:id="rId10">
              <w:r>
                <w:rPr>
                  <w:rStyle w:val="InternetLink"/>
                </w:rPr>
                <w:t>July 16, 2026</w:t>
              </w:r>
            </w:hyperlink>
            <w:r>
              <w:rPr/>
              <w:t xml:space="preserve">, </w:t>
            </w:r>
            <w:hyperlink r:id="rId11">
              <w:r>
                <w:rPr>
                  <w:rStyle w:val="InternetLink"/>
                </w:rPr>
                <w:t>August 13, 2026</w:t>
              </w:r>
            </w:hyperlink>
            <w:r>
              <w:rPr/>
              <w:t xml:space="preserve">, </w:t>
            </w:r>
            <w:hyperlink r:id="rId12">
              <w:r>
                <w:rPr>
                  <w:rStyle w:val="InternetLink"/>
                </w:rPr>
                <w:t>September 1, 2026</w:t>
              </w:r>
            </w:hyperlink>
            <w:r>
              <w:rPr/>
              <w:t xml:space="preserve">, </w:t>
            </w:r>
            <w:hyperlink r:id="rId13">
              <w:r>
                <w:rPr>
                  <w:rStyle w:val="InternetLink"/>
                </w:rPr>
                <w:t>September 4, 2026</w:t>
              </w:r>
            </w:hyperlink>
            <w:r>
              <w:rPr/>
              <w:t xml:space="preserve"> and </w:t>
            </w:r>
            <w:hyperlink r:id="rId14">
              <w:r>
                <w:rPr>
                  <w:rStyle w:val="InternetLink"/>
                </w:rPr>
                <w:t>September 11, 2026</w:t>
              </w:r>
            </w:hyperlink>
            <w:r>
              <w:rPr/>
              <w:t xml:space="preserve"> (including Items 1.01 and 3.02).</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without charge to each person, including any beneficial owner, to whom a copy of this prospectus is delivered, upon written or oral request of any such person, a copy of any and all of the information that has been incorporated by reference in this prospectus, other than exhibits to such documents, unless such exhibits have been specifically incorporated by reference herein. Requests for such copies should be made by writing or telephoning us at the following address: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 the Runway,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Corporate Secretary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Jay Street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Brooklyn, New York 11201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524-6860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bdr w:val="single" w:sz="24" w:space="1" w:color="000000"/>
        </w:rPr>
      </w:pPr>
      <w:r>
        <w:rPr>
          <w:bdr w:val="single" w:sz="24"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057275" cy="14573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5"/>
                    <a:stretch>
                      <a:fillRect/>
                    </a:stretch>
                  </pic:blipFill>
                  <pic:spPr bwMode="auto">
                    <a:xfrm>
                      <a:off x="0" y="0"/>
                      <a:ext cx="1057275" cy="14573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RENT THE RUNWAY,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Class A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Subscription Rights to Purchase up to 4,225,352 Shares of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Class A Common Stock at $            per Share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2026</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br/>
        <w:t>INFORMATION NOT REQUIRED IN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13. Other Expenses of Issuance and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expenses expected to be incurred by Rent the Runway, Inc. (the “registrant”) in connection with the issuance and distribution of the securities being registered under this registration statement are estimated to be as follows:</w:t>
      </w:r>
    </w:p>
    <w:p>
      <w:pPr>
        <w:pStyle w:val="TextBody"/>
        <w:bidi w:val="0"/>
        <w:spacing w:before="0" w:after="0"/>
        <w:ind w:left="0" w:right="0" w:firstLine="360"/>
        <w:jc w:val="left"/>
        <w:rPr>
          <w:caps w:val="false"/>
          <w:smallCaps w:val="false"/>
        </w:rPr>
      </w:pPr>
      <w:r>
        <w:rPr>
          <w:caps w:val="false"/>
          <w:smallCaps w:val="false"/>
        </w:rPr>
        <w:t> </w:t>
      </w:r>
    </w:p>
    <w:tbl>
      <w:tblPr>
        <w:tblW w:w="6399" w:type="dxa"/>
        <w:jc w:val="left"/>
        <w:tblInd w:w="0" w:type="dxa"/>
        <w:tblLayout w:type="fixed"/>
        <w:tblCellMar>
          <w:top w:w="0" w:type="dxa"/>
          <w:left w:w="0" w:type="dxa"/>
          <w:bottom w:w="0" w:type="dxa"/>
          <w:right w:w="0" w:type="dxa"/>
        </w:tblCellMar>
      </w:tblPr>
      <w:tblGrid>
        <w:gridCol w:w="4355"/>
        <w:gridCol w:w="60"/>
        <w:gridCol w:w="258"/>
        <w:gridCol w:w="1588"/>
        <w:gridCol w:w="138"/>
      </w:tblGrid>
      <w:tr>
        <w:trPr/>
        <w:tc>
          <w:tcPr>
            <w:tcW w:w="43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84" w:type="dxa"/>
            <w:gridSpan w:val="3"/>
            <w:tcBorders>
              <w:bottom w:val="single" w:sz="8" w:space="0" w:color="000000"/>
            </w:tcBorders>
            <w:tcMar>
              <w:bottom w:w="28" w:type="dxa"/>
            </w:tcMar>
            <w:vAlign w:val="center"/>
          </w:tcPr>
          <w:p>
            <w:pPr>
              <w:pStyle w:val="TableContents"/>
              <w:bidi w:val="0"/>
              <w:spacing w:before="0" w:after="283"/>
              <w:jc w:val="center"/>
              <w:rPr>
                <w:b/>
              </w:rPr>
            </w:pPr>
            <w:r>
              <w:rPr>
                <w:b/>
              </w:rPr>
              <w:t>Amount to Be Paid</w:t>
            </w:r>
          </w:p>
        </w:tc>
      </w:tr>
      <w:tr>
        <w:trPr/>
        <w:tc>
          <w:tcPr>
            <w:tcW w:w="4355" w:type="dxa"/>
            <w:tcBorders/>
            <w:shd w:fill="D5EAEA" w:val="clear"/>
            <w:vAlign w:val="center"/>
          </w:tcPr>
          <w:p>
            <w:pPr>
              <w:pStyle w:val="TableContents"/>
              <w:bidi w:val="0"/>
              <w:spacing w:before="0" w:after="283"/>
              <w:jc w:val="left"/>
              <w:rPr/>
            </w:pPr>
            <w:r>
              <w:rPr/>
              <w:t>SEC registration fee</w:t>
              <w:tab/>
            </w:r>
          </w:p>
        </w:tc>
        <w:tc>
          <w:tcPr>
            <w:tcW w:w="60" w:type="dxa"/>
            <w:tcBorders/>
            <w:shd w:fill="D5EAEA" w:val="clear"/>
            <w:vAlign w:val="center"/>
          </w:tcPr>
          <w:p>
            <w:pPr>
              <w:pStyle w:val="TableContents"/>
              <w:bidi w:val="0"/>
              <w:spacing w:before="0" w:after="283"/>
              <w:jc w:val="left"/>
              <w:rPr/>
            </w:pPr>
            <w:r>
              <w:rPr/>
              <w:t> </w:t>
            </w:r>
          </w:p>
        </w:tc>
        <w:tc>
          <w:tcPr>
            <w:tcW w:w="258" w:type="dxa"/>
            <w:tcBorders/>
            <w:shd w:fill="D5EAEA" w:val="clear"/>
            <w:vAlign w:val="center"/>
          </w:tcPr>
          <w:p>
            <w:pPr>
              <w:pStyle w:val="TableContents"/>
              <w:bidi w:val="0"/>
              <w:spacing w:before="0" w:after="283"/>
              <w:jc w:val="left"/>
              <w:rPr/>
            </w:pPr>
            <w:r>
              <w:rPr/>
              <w:t>$</w:t>
            </w:r>
          </w:p>
        </w:tc>
        <w:tc>
          <w:tcPr>
            <w:tcW w:w="1588" w:type="dxa"/>
            <w:tcBorders/>
            <w:shd w:fill="D5EAEA" w:val="clear"/>
            <w:vAlign w:val="center"/>
          </w:tcPr>
          <w:p>
            <w:pPr>
              <w:pStyle w:val="TableContents"/>
              <w:bidi w:val="0"/>
              <w:spacing w:before="0" w:after="283"/>
              <w:jc w:val="right"/>
              <w:rPr/>
            </w:pPr>
            <w:r>
              <w:rPr/>
              <w:t>2,071.50</w:t>
            </w:r>
          </w:p>
        </w:tc>
        <w:tc>
          <w:tcPr>
            <w:tcW w:w="138" w:type="dxa"/>
            <w:tcBorders/>
            <w:shd w:fill="D5EAEA"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283"/>
              <w:jc w:val="left"/>
              <w:rPr/>
            </w:pPr>
            <w:r>
              <w:rPr/>
              <w:t>Transfer agent’s fees</w:t>
              <w:tab/>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588" w:type="dxa"/>
            <w:tcBorders/>
            <w:shd w:fill="FFFFFF" w:val="clear"/>
            <w:vAlign w:val="center"/>
          </w:tcPr>
          <w:p>
            <w:pPr>
              <w:pStyle w:val="TableContents"/>
              <w:bidi w:val="0"/>
              <w:spacing w:before="0" w:after="283"/>
              <w:jc w:val="right"/>
              <w:rPr/>
            </w:pPr>
            <w:r>
              <w:rPr/>
              <w:t>*</w:t>
            </w:r>
          </w:p>
        </w:tc>
        <w:tc>
          <w:tcPr>
            <w:tcW w:w="138" w:type="dxa"/>
            <w:tcBorders/>
            <w:shd w:fill="FFFFFF" w:val="clear"/>
            <w:vAlign w:val="center"/>
          </w:tcPr>
          <w:p>
            <w:pPr>
              <w:pStyle w:val="TableContents"/>
              <w:bidi w:val="0"/>
              <w:spacing w:before="0" w:after="283"/>
              <w:jc w:val="left"/>
              <w:rPr/>
            </w:pPr>
            <w:r>
              <w:rPr/>
              <w:t> </w:t>
            </w:r>
          </w:p>
        </w:tc>
      </w:tr>
      <w:tr>
        <w:trPr/>
        <w:tc>
          <w:tcPr>
            <w:tcW w:w="4355" w:type="dxa"/>
            <w:tcBorders/>
            <w:shd w:fill="D5EAEA" w:val="clear"/>
            <w:vAlign w:val="center"/>
          </w:tcPr>
          <w:p>
            <w:pPr>
              <w:pStyle w:val="TableContents"/>
              <w:bidi w:val="0"/>
              <w:spacing w:before="0" w:after="283"/>
              <w:jc w:val="left"/>
              <w:rPr/>
            </w:pPr>
            <w:r>
              <w:rPr/>
              <w:t>Printing and engraving expenses</w:t>
              <w:tab/>
            </w:r>
          </w:p>
        </w:tc>
        <w:tc>
          <w:tcPr>
            <w:tcW w:w="60" w:type="dxa"/>
            <w:tcBorders/>
            <w:shd w:fill="D5EAEA" w:val="clear"/>
            <w:vAlign w:val="center"/>
          </w:tcPr>
          <w:p>
            <w:pPr>
              <w:pStyle w:val="TableContents"/>
              <w:bidi w:val="0"/>
              <w:spacing w:before="0" w:after="283"/>
              <w:jc w:val="left"/>
              <w:rPr/>
            </w:pPr>
            <w:r>
              <w:rPr/>
              <w:t> </w:t>
            </w:r>
          </w:p>
        </w:tc>
        <w:tc>
          <w:tcPr>
            <w:tcW w:w="258" w:type="dxa"/>
            <w:tcBorders/>
            <w:shd w:fill="D5EAEA" w:val="clear"/>
            <w:vAlign w:val="center"/>
          </w:tcPr>
          <w:p>
            <w:pPr>
              <w:pStyle w:val="TableContents"/>
              <w:bidi w:val="0"/>
              <w:spacing w:before="0" w:after="283"/>
              <w:jc w:val="left"/>
              <w:rPr/>
            </w:pPr>
            <w:r>
              <w:rPr/>
              <w:t> </w:t>
            </w:r>
          </w:p>
        </w:tc>
        <w:tc>
          <w:tcPr>
            <w:tcW w:w="1588" w:type="dxa"/>
            <w:tcBorders/>
            <w:shd w:fill="D5EAEA" w:val="clear"/>
            <w:vAlign w:val="center"/>
          </w:tcPr>
          <w:p>
            <w:pPr>
              <w:pStyle w:val="TableContents"/>
              <w:bidi w:val="0"/>
              <w:spacing w:before="0" w:after="283"/>
              <w:jc w:val="right"/>
              <w:rPr/>
            </w:pPr>
            <w:r>
              <w:rPr/>
              <w:t>*</w:t>
            </w:r>
          </w:p>
        </w:tc>
        <w:tc>
          <w:tcPr>
            <w:tcW w:w="138" w:type="dxa"/>
            <w:tcBorders/>
            <w:shd w:fill="D5EAEA"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283"/>
              <w:jc w:val="left"/>
              <w:rPr/>
            </w:pPr>
            <w:r>
              <w:rPr/>
              <w:t>Legal fees and expenses</w:t>
              <w:tab/>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588" w:type="dxa"/>
            <w:tcBorders/>
            <w:shd w:fill="FFFFFF" w:val="clear"/>
            <w:vAlign w:val="center"/>
          </w:tcPr>
          <w:p>
            <w:pPr>
              <w:pStyle w:val="TableContents"/>
              <w:bidi w:val="0"/>
              <w:spacing w:before="0" w:after="283"/>
              <w:jc w:val="right"/>
              <w:rPr/>
            </w:pPr>
            <w:r>
              <w:rPr/>
              <w:t>*</w:t>
            </w:r>
          </w:p>
        </w:tc>
        <w:tc>
          <w:tcPr>
            <w:tcW w:w="138" w:type="dxa"/>
            <w:tcBorders/>
            <w:shd w:fill="FFFFFF" w:val="clear"/>
            <w:vAlign w:val="center"/>
          </w:tcPr>
          <w:p>
            <w:pPr>
              <w:pStyle w:val="TableContents"/>
              <w:bidi w:val="0"/>
              <w:spacing w:before="0" w:after="283"/>
              <w:jc w:val="left"/>
              <w:rPr/>
            </w:pPr>
            <w:r>
              <w:rPr/>
              <w:t> </w:t>
            </w:r>
          </w:p>
        </w:tc>
      </w:tr>
      <w:tr>
        <w:trPr/>
        <w:tc>
          <w:tcPr>
            <w:tcW w:w="4355" w:type="dxa"/>
            <w:tcBorders/>
            <w:shd w:fill="D5EAEA" w:val="clear"/>
            <w:vAlign w:val="center"/>
          </w:tcPr>
          <w:p>
            <w:pPr>
              <w:pStyle w:val="TableContents"/>
              <w:bidi w:val="0"/>
              <w:spacing w:before="0" w:after="283"/>
              <w:jc w:val="left"/>
              <w:rPr/>
            </w:pPr>
            <w:r>
              <w:rPr/>
              <w:t>Accounting fees and expenses</w:t>
              <w:tab/>
            </w:r>
          </w:p>
        </w:tc>
        <w:tc>
          <w:tcPr>
            <w:tcW w:w="60" w:type="dxa"/>
            <w:tcBorders/>
            <w:shd w:fill="D5EAEA" w:val="clear"/>
            <w:vAlign w:val="center"/>
          </w:tcPr>
          <w:p>
            <w:pPr>
              <w:pStyle w:val="TableContents"/>
              <w:bidi w:val="0"/>
              <w:spacing w:before="0" w:after="283"/>
              <w:jc w:val="left"/>
              <w:rPr/>
            </w:pPr>
            <w:r>
              <w:rPr/>
              <w:t> </w:t>
            </w:r>
          </w:p>
        </w:tc>
        <w:tc>
          <w:tcPr>
            <w:tcW w:w="258" w:type="dxa"/>
            <w:tcBorders/>
            <w:shd w:fill="D5EAEA" w:val="clear"/>
            <w:vAlign w:val="center"/>
          </w:tcPr>
          <w:p>
            <w:pPr>
              <w:pStyle w:val="TableContents"/>
              <w:bidi w:val="0"/>
              <w:spacing w:before="0" w:after="283"/>
              <w:jc w:val="left"/>
              <w:rPr/>
            </w:pPr>
            <w:r>
              <w:rPr/>
              <w:t> </w:t>
            </w:r>
          </w:p>
        </w:tc>
        <w:tc>
          <w:tcPr>
            <w:tcW w:w="1588" w:type="dxa"/>
            <w:tcBorders/>
            <w:shd w:fill="D5EAEA" w:val="clear"/>
            <w:vAlign w:val="center"/>
          </w:tcPr>
          <w:p>
            <w:pPr>
              <w:pStyle w:val="TableContents"/>
              <w:bidi w:val="0"/>
              <w:spacing w:before="0" w:after="283"/>
              <w:jc w:val="right"/>
              <w:rPr/>
            </w:pPr>
            <w:r>
              <w:rPr/>
              <w:t>*</w:t>
            </w:r>
          </w:p>
        </w:tc>
        <w:tc>
          <w:tcPr>
            <w:tcW w:w="138" w:type="dxa"/>
            <w:tcBorders/>
            <w:shd w:fill="D5EAEA"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283"/>
              <w:jc w:val="left"/>
              <w:rPr/>
            </w:pPr>
            <w:r>
              <w:rPr/>
              <w:t>Subscription agent and information agent fees</w:t>
              <w:tab/>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588" w:type="dxa"/>
            <w:tcBorders/>
            <w:shd w:fill="FFFFFF" w:val="clear"/>
            <w:vAlign w:val="center"/>
          </w:tcPr>
          <w:p>
            <w:pPr>
              <w:pStyle w:val="TableContents"/>
              <w:bidi w:val="0"/>
              <w:spacing w:before="0" w:after="283"/>
              <w:jc w:val="right"/>
              <w:rPr/>
            </w:pPr>
            <w:r>
              <w:rPr/>
              <w:t>*</w:t>
            </w:r>
          </w:p>
        </w:tc>
        <w:tc>
          <w:tcPr>
            <w:tcW w:w="138" w:type="dxa"/>
            <w:tcBorders/>
            <w:shd w:fill="FFFFFF" w:val="clear"/>
            <w:vAlign w:val="center"/>
          </w:tcPr>
          <w:p>
            <w:pPr>
              <w:pStyle w:val="TableContents"/>
              <w:bidi w:val="0"/>
              <w:spacing w:before="0" w:after="283"/>
              <w:jc w:val="left"/>
              <w:rPr/>
            </w:pPr>
            <w:r>
              <w:rPr/>
              <w:t> </w:t>
            </w:r>
          </w:p>
        </w:tc>
      </w:tr>
      <w:tr>
        <w:trPr/>
        <w:tc>
          <w:tcPr>
            <w:tcW w:w="4355" w:type="dxa"/>
            <w:tcBorders/>
            <w:shd w:fill="D5EAEA" w:val="clear"/>
            <w:vAlign w:val="center"/>
          </w:tcPr>
          <w:p>
            <w:pPr>
              <w:pStyle w:val="TableContents"/>
              <w:bidi w:val="0"/>
              <w:spacing w:before="0" w:after="283"/>
              <w:jc w:val="left"/>
              <w:rPr/>
            </w:pPr>
            <w:r>
              <w:rPr/>
              <w:t>Tax consulting fees</w:t>
              <w:tab/>
            </w:r>
          </w:p>
        </w:tc>
        <w:tc>
          <w:tcPr>
            <w:tcW w:w="60" w:type="dxa"/>
            <w:tcBorders/>
            <w:shd w:fill="D5EAEA" w:val="clear"/>
            <w:vAlign w:val="center"/>
          </w:tcPr>
          <w:p>
            <w:pPr>
              <w:pStyle w:val="TableContents"/>
              <w:bidi w:val="0"/>
              <w:spacing w:before="0" w:after="283"/>
              <w:jc w:val="left"/>
              <w:rPr/>
            </w:pPr>
            <w:r>
              <w:rPr/>
              <w:t> </w:t>
            </w:r>
          </w:p>
        </w:tc>
        <w:tc>
          <w:tcPr>
            <w:tcW w:w="258"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1588" w:type="dxa"/>
            <w:tcBorders>
              <w:bottom w:val="single" w:sz="8" w:space="0" w:color="000000"/>
            </w:tcBorders>
            <w:shd w:fill="D5EAEA" w:val="clear"/>
            <w:tcMar>
              <w:bottom w:w="28" w:type="dxa"/>
            </w:tcMar>
            <w:vAlign w:val="center"/>
          </w:tcPr>
          <w:p>
            <w:pPr>
              <w:pStyle w:val="TableContents"/>
              <w:pBdr>
                <w:bottom w:val="single" w:sz="4" w:space="1" w:color="000000"/>
              </w:pBdr>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8" w:type="dxa"/>
            <w:tcBorders>
              <w:bottom w:val="single" w:sz="8" w:space="0" w:color="000000"/>
            </w:tcBorders>
            <w:shd w:fill="D5EAEA" w:val="clear"/>
            <w:tcMar>
              <w:bottom w:w="28" w:type="dxa"/>
            </w:tcMar>
            <w:vAlign w:val="center"/>
          </w:tcPr>
          <w:p>
            <w:pPr>
              <w:pStyle w:val="TableContents"/>
              <w:bidi w:val="0"/>
              <w:spacing w:before="0" w:after="283"/>
              <w:ind w:left="0" w:right="0" w:hanging="187"/>
              <w:jc w:val="left"/>
              <w:rPr/>
            </w:pPr>
            <w:r>
              <w:rPr/>
              <w:t> </w:t>
            </w:r>
          </w:p>
        </w:tc>
      </w:tr>
      <w:tr>
        <w:trPr/>
        <w:tc>
          <w:tcPr>
            <w:tcW w:w="4355" w:type="dxa"/>
            <w:tcBorders/>
            <w:shd w:fill="FFFFFF" w:val="clear"/>
            <w:vAlign w:val="center"/>
          </w:tcPr>
          <w:p>
            <w:pPr>
              <w:pStyle w:val="TableContents"/>
              <w:bidi w:val="0"/>
              <w:spacing w:before="0" w:after="283"/>
              <w:jc w:val="left"/>
              <w:rPr/>
            </w:pPr>
            <w:r>
              <w:rPr/>
              <w:t>Total</w:t>
              <w:tab/>
            </w:r>
          </w:p>
        </w:tc>
        <w:tc>
          <w:tcPr>
            <w:tcW w:w="60" w:type="dxa"/>
            <w:tcBorders/>
            <w:shd w:fill="FFFFFF" w:val="cle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88"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w:t>
            </w:r>
          </w:p>
        </w:tc>
        <w:tc>
          <w:tcPr>
            <w:tcW w:w="13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To be filed by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amounts set forth above, other than the registration fee, is an estimate.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Delaware General Corporation Law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Delaware General Corporation Law provides that Section 145 is not exclusive of other rights to which those seeking indemnification may be entitled under any bylaw, agreement, vote of stockholders or disinterested directors or otherwise. Section 7.01 of the registrant’s amended and restated bylaws provides for indemnification by the registrant of its directors and officers to the fullest extent permitted by the Delaware General Corporation Law. The registrant has entered into indemnification agreements with each of its current directors and executive officers to provide these directors and executive officers additional contractual assurances regarding the scope of the indemnification set forth in the registrant’s twelfth amended and restated certificate of incorporation and amended and restated bylaws and to provide additional procedural protections. There is no pending litigation or proceeding involving a director or executive officer of the registrant for which indemnification is sought.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or officer, except for liability (i) for any breach of the director’s or officer’s duty of loyalty to the corporation or its stockholders, (ii) for acts or omissions not in good faith or which involve intentional misconduct or a knowing violation of law, (iii) for a director for unlawful payments of dividends or unlawful stock repurchases, redemptions or other distributions, (iv) for any transaction from which the director or officer derived an improper personal benefit or (v) for an officer in any action by or in the right of the corporation. The registrant’s twelfth amended and restated certificate of incorporation provides for such limitation of liability with respect to its directors.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maintains standard policies of insurance under which coverage is provided (a) to its directors and officers against loss rising from claims made by reason of breach of duty or other wrongful act, and (b) to the registrant with respect to payments which may be made by the registrant to such officers and directors pursuant to the above indemnification provision or otherwise as a matter of law.</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Recent Sales of Unregistered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 and Financial Statement Schedules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26"/>
        <w:gridCol w:w="2362"/>
        <w:gridCol w:w="7517"/>
      </w:tblGrid>
      <w:tr>
        <w:trPr/>
        <w:tc>
          <w:tcPr>
            <w:tcW w:w="326"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pPr>
            <w:r>
              <w:rPr/>
              <w:t>(a)</w:t>
            </w:r>
          </w:p>
        </w:tc>
        <w:tc>
          <w:tcPr>
            <w:tcW w:w="7517" w:type="dxa"/>
            <w:tcBorders/>
            <w:vAlign w:val="center"/>
          </w:tcPr>
          <w:p>
            <w:pPr>
              <w:pStyle w:val="TableContents"/>
              <w:bidi w:val="0"/>
              <w:spacing w:before="0" w:after="283"/>
              <w:jc w:val="left"/>
              <w:rPr/>
            </w:pPr>
            <w:r>
              <w:rPr/>
              <w:t>Exhibits.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Exhibit index on the page immediately preceding the signature page for a list of exhibits filed as part of this registration statement, which Exhibit index is incorporated herein by reference.</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0"/>
        <w:gridCol w:w="921"/>
        <w:gridCol w:w="9164"/>
      </w:tblGrid>
      <w:tr>
        <w:trPr/>
        <w:tc>
          <w:tcPr>
            <w:tcW w:w="120"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pPr>
            <w:r>
              <w:rPr/>
              <w:t>(b)</w:t>
            </w:r>
          </w:p>
        </w:tc>
        <w:tc>
          <w:tcPr>
            <w:tcW w:w="9164" w:type="dxa"/>
            <w:tcBorders/>
            <w:vAlign w:val="center"/>
          </w:tcPr>
          <w:p>
            <w:pPr>
              <w:pStyle w:val="TableContents"/>
              <w:bidi w:val="0"/>
              <w:spacing w:before="0" w:after="283"/>
              <w:jc w:val="left"/>
              <w:rPr/>
            </w:pPr>
            <w:r>
              <w:rPr/>
              <w:t>Financial statement schedules.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financial statement schedules are omitted because they are not required or are not applicable, or the information is otherwise set forth in the consolidated financial statements and related notes thereto.</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7"/>
        <w:gridCol w:w="9891"/>
      </w:tblGrid>
      <w:tr>
        <w:trPr/>
        <w:tc>
          <w:tcPr>
            <w:tcW w:w="3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(1)</w:t>
            </w:r>
          </w:p>
        </w:tc>
        <w:tc>
          <w:tcPr>
            <w:tcW w:w="9891" w:type="dxa"/>
            <w:tcBorders/>
            <w:vAlign w:val="center"/>
          </w:tcPr>
          <w:p>
            <w:pPr>
              <w:pStyle w:val="TableContents"/>
              <w:bidi w:val="0"/>
              <w:spacing w:before="0" w:after="283"/>
              <w:jc w:val="left"/>
              <w:rPr/>
            </w:pPr>
            <w:r>
              <w:rPr/>
              <w:t>To file, during any period in which offers or sales are being made, a post-effective amendment to this registration statement: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314"/>
        <w:gridCol w:w="9840"/>
      </w:tblGrid>
      <w:tr>
        <w:trPr/>
        <w:tc>
          <w:tcPr>
            <w:tcW w:w="5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pPr>
            <w:r>
              <w:rPr/>
              <w:t>(i)</w:t>
            </w:r>
          </w:p>
        </w:tc>
        <w:tc>
          <w:tcPr>
            <w:tcW w:w="9840" w:type="dxa"/>
            <w:tcBorders/>
            <w:vAlign w:val="center"/>
          </w:tcPr>
          <w:p>
            <w:pPr>
              <w:pStyle w:val="TableContents"/>
              <w:bidi w:val="0"/>
              <w:spacing w:before="0" w:after="283"/>
              <w:jc w:val="left"/>
              <w:rPr/>
            </w:pPr>
            <w:r>
              <w:rPr/>
              <w:t>to include any prospectus required by Section 10(a)(3) of the Securities Act;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(ii)</w:t>
            </w:r>
          </w:p>
        </w:tc>
        <w:tc>
          <w:tcPr>
            <w:tcW w:w="9946" w:type="dxa"/>
            <w:tcBorders/>
            <w:vAlign w:val="center"/>
          </w:tcPr>
          <w:p>
            <w:pPr>
              <w:pStyle w:val="TableContents"/>
              <w:bidi w:val="0"/>
              <w:spacing w:before="0" w:after="283"/>
              <w:jc w:val="left"/>
              <w:rPr/>
            </w:pPr>
            <w:r>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Filing Fee Tables” or “Calculation of Registration Fee” table, as applicable, in the effective registration statement;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1"/>
        <w:gridCol w:w="9857"/>
      </w:tblGrid>
      <w:tr>
        <w:trPr/>
        <w:tc>
          <w:tcPr>
            <w:tcW w:w="3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pPr>
            <w:r>
              <w:rPr/>
              <w:t>(iii)</w:t>
            </w:r>
          </w:p>
        </w:tc>
        <w:tc>
          <w:tcPr>
            <w:tcW w:w="9857" w:type="dxa"/>
            <w:tcBorders/>
            <w:vAlign w:val="center"/>
          </w:tcPr>
          <w:p>
            <w:pPr>
              <w:pStyle w:val="TableContents"/>
              <w:bidi w:val="0"/>
              <w:spacing w:before="0" w:after="283"/>
              <w:jc w:val="left"/>
              <w:rPr/>
            </w:pPr>
            <w:r>
              <w:rPr/>
              <w:t>to include any material information with respect to the plan of distribution not previously disclosed in this registration statement or any material change to such information in this registration statement;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paragraphs (i), (ii) and (iii) do not apply if the information required to be included in a post-effective amendment by those paragraphs is contained in periodic reports filed with or furnished to the Securities and Exchange Commission by the registrant pursuant to Section 13 or 15(d) of the Securities Exchange Act of 1934, as amended (the “Exchange Act”), that are incorporated by reference in this registration statement.</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(2)</w:t>
            </w:r>
          </w:p>
        </w:tc>
        <w:tc>
          <w:tcPr>
            <w:tcW w:w="9930" w:type="dxa"/>
            <w:tcBorders/>
            <w:vAlign w:val="center"/>
          </w:tcPr>
          <w:p>
            <w:pPr>
              <w:pStyle w:val="TableContents"/>
              <w:bidi w:val="0"/>
              <w:spacing w:before="0" w:after="283"/>
              <w:jc w:val="left"/>
              <w:rPr/>
            </w:pPr>
            <w:r>
              <w:rPr/>
              <w:t xml:space="preserve">That, for the purpose of determining any liability under the Securities Act, each such post-effective amendment shall be deemed to be a new registration statement relating to the securities offered therein, and this offering of such securities at that time shall be deemed to be the initial </w:t>
            </w:r>
            <w:r>
              <w:rPr>
                <w:i/>
              </w:rPr>
              <w:t>bona fide</w:t>
            </w:r>
            <w:r>
              <w:rPr/>
              <w:t xml:space="preserve"> offering thereof.</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1"/>
        <w:gridCol w:w="9907"/>
      </w:tblGrid>
      <w:tr>
        <w:trPr/>
        <w:tc>
          <w:tcPr>
            <w:tcW w:w="3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(3)</w:t>
            </w:r>
          </w:p>
        </w:tc>
        <w:tc>
          <w:tcPr>
            <w:tcW w:w="9907" w:type="dxa"/>
            <w:tcBorders/>
            <w:vAlign w:val="center"/>
          </w:tcPr>
          <w:p>
            <w:pPr>
              <w:pStyle w:val="TableContents"/>
              <w:bidi w:val="0"/>
              <w:spacing w:before="0" w:after="283"/>
              <w:jc w:val="left"/>
              <w:rPr/>
            </w:pPr>
            <w:r>
              <w:rPr/>
              <w:t>To remove from registration by means of a post-effective amendment any of the securities being registered which remain unsold at the termination of this offering.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(4)</w:t>
            </w:r>
          </w:p>
        </w:tc>
        <w:tc>
          <w:tcPr>
            <w:tcW w:w="9944" w:type="dxa"/>
            <w:tcBorders/>
            <w:vAlign w:val="center"/>
          </w:tcPr>
          <w:p>
            <w:pPr>
              <w:pStyle w:val="TableContents"/>
              <w:bidi w:val="0"/>
              <w:spacing w:before="0" w:after="283"/>
              <w:jc w:val="left"/>
              <w:rPr/>
            </w:pPr>
            <w:r>
              <w:rPr/>
              <w:t>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(5)</w:t>
            </w:r>
          </w:p>
        </w:tc>
        <w:tc>
          <w:tcPr>
            <w:tcW w:w="9942" w:type="dxa"/>
            <w:tcBorders/>
            <w:vAlign w:val="center"/>
          </w:tcPr>
          <w:p>
            <w:pPr>
              <w:pStyle w:val="TableContents"/>
              <w:bidi w:val="0"/>
              <w:spacing w:before="0" w:after="283"/>
              <w:jc w:val="left"/>
              <w:rPr/>
            </w:pPr>
            <w:r>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1"/>
        <w:gridCol w:w="9957"/>
      </w:tblGrid>
      <w:tr>
        <w:trPr/>
        <w:tc>
          <w:tcPr>
            <w:tcW w:w="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(i)</w:t>
            </w:r>
          </w:p>
        </w:tc>
        <w:tc>
          <w:tcPr>
            <w:tcW w:w="9957" w:type="dxa"/>
            <w:tcBorders/>
            <w:vAlign w:val="center"/>
          </w:tcPr>
          <w:p>
            <w:pPr>
              <w:pStyle w:val="TableContents"/>
              <w:bidi w:val="0"/>
              <w:spacing w:before="0" w:after="283"/>
              <w:jc w:val="left"/>
              <w:rPr/>
            </w:pPr>
            <w:r>
              <w:rPr/>
              <w:t>any preliminary prospectus or prospectus of the undersigned registrant relating to this offering required to be filed pursuant to Rule 424;</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2"/>
        <w:gridCol w:w="9906"/>
      </w:tblGrid>
      <w:tr>
        <w:trPr/>
        <w:tc>
          <w:tcPr>
            <w:tcW w:w="3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(ii)</w:t>
            </w:r>
          </w:p>
        </w:tc>
        <w:tc>
          <w:tcPr>
            <w:tcW w:w="9906" w:type="dxa"/>
            <w:tcBorders/>
            <w:vAlign w:val="center"/>
          </w:tcPr>
          <w:p>
            <w:pPr>
              <w:pStyle w:val="TableContents"/>
              <w:bidi w:val="0"/>
              <w:spacing w:before="0" w:after="283"/>
              <w:jc w:val="left"/>
              <w:rPr/>
            </w:pPr>
            <w:r>
              <w:rPr/>
              <w:t>any free writing prospectus relating to this offering prepared by or on behalf of the undersigned registrant or used or referred to by the undersigned registrant;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9"/>
        <w:gridCol w:w="9859"/>
      </w:tblGrid>
      <w:tr>
        <w:trPr/>
        <w:tc>
          <w:tcPr>
            <w:tcW w:w="3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pPr>
            <w:r>
              <w:rPr/>
              <w:t>(iii)</w:t>
            </w:r>
          </w:p>
        </w:tc>
        <w:tc>
          <w:tcPr>
            <w:tcW w:w="9859" w:type="dxa"/>
            <w:tcBorders/>
            <w:vAlign w:val="center"/>
          </w:tcPr>
          <w:p>
            <w:pPr>
              <w:pStyle w:val="TableContents"/>
              <w:bidi w:val="0"/>
              <w:spacing w:before="0" w:after="283"/>
              <w:jc w:val="left"/>
              <w:rPr/>
            </w:pPr>
            <w:r>
              <w:rPr/>
              <w:t>the portion of any other free writing prospectus relating to this offering containing material information about the undersigned registrant or its securities provided by or on behalf of the undersigned registrant;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6"/>
        <w:gridCol w:w="9822"/>
      </w:tblGrid>
      <w:tr>
        <w:trPr/>
        <w:tc>
          <w:tcPr>
            <w:tcW w:w="3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pPr>
            <w:r>
              <w:rPr/>
              <w:t>(iv)</w:t>
            </w:r>
          </w:p>
        </w:tc>
        <w:tc>
          <w:tcPr>
            <w:tcW w:w="9822" w:type="dxa"/>
            <w:tcBorders/>
            <w:vAlign w:val="center"/>
          </w:tcPr>
          <w:p>
            <w:pPr>
              <w:pStyle w:val="TableContents"/>
              <w:bidi w:val="0"/>
              <w:spacing w:before="0" w:after="283"/>
              <w:jc w:val="left"/>
              <w:rPr/>
            </w:pPr>
            <w:r>
              <w:rPr/>
              <w:t>any other communication that is an offer in this offering made by the undersigned registrant to the purchaser.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(6)</w:t>
            </w:r>
          </w:p>
        </w:tc>
        <w:tc>
          <w:tcPr>
            <w:tcW w:w="9941" w:type="dxa"/>
            <w:tcBorders/>
            <w:vAlign w:val="center"/>
          </w:tcPr>
          <w:p>
            <w:pPr>
              <w:pStyle w:val="TableContents"/>
              <w:bidi w:val="0"/>
              <w:spacing w:before="0" w:after="283"/>
              <w:jc w:val="left"/>
              <w:rPr/>
            </w:pPr>
            <w:r>
              <w:rPr/>
              <w:t xml:space="preserve">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this offering of such securities at that time shall be deemed to be the initial </w:t>
            </w:r>
            <w:r>
              <w:rPr>
                <w:i/>
              </w:rPr>
              <w:t>bona fide</w:t>
            </w:r>
            <w:r>
              <w:rPr/>
              <w:t xml:space="preserve"> offering thereof.</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(7)</w:t>
            </w:r>
          </w:p>
        </w:tc>
        <w:tc>
          <w:tcPr>
            <w:tcW w:w="9947" w:type="dxa"/>
            <w:tcBorders/>
            <w:vAlign w:val="center"/>
          </w:tcPr>
          <w:p>
            <w:pPr>
              <w:pStyle w:val="TableContents"/>
              <w:bidi w:val="0"/>
              <w:spacing w:before="0" w:after="283"/>
              <w:jc w:val="left"/>
              <w:rPr/>
            </w:pPr>
            <w:r>
              <w:rPr/>
              <w:t>Insofar as indemnification for liabilities arising under the Securities Act may be permitted to directors, officers or persons controlling the registrant, the registrant has been informed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has duly caused this registration statement to be signed on its behalf by the undersigned, thereunto duly authorized, in the City of Brooklyn, State of New York, on September 11, 2026.</w:t>
      </w:r>
    </w:p>
    <w:p>
      <w:pPr>
        <w:pStyle w:val="TextBody"/>
        <w:bidi w:val="0"/>
        <w:spacing w:before="0" w:after="0"/>
        <w:ind w:left="0" w:right="0" w:firstLine="360"/>
        <w:jc w:val="left"/>
        <w:rPr>
          <w:caps w:val="false"/>
          <w:smallCaps w:val="false"/>
        </w:rPr>
      </w:pPr>
      <w:r>
        <w:rPr>
          <w:caps w:val="false"/>
          <w:smallCaps w:val="false"/>
        </w:rPr>
        <w:t> </w:t>
      </w:r>
    </w:p>
    <w:tbl>
      <w:tblPr>
        <w:tblW w:w="4125" w:type="dxa"/>
        <w:jc w:val="left"/>
        <w:tblInd w:w="0" w:type="dxa"/>
        <w:tblLayout w:type="fixed"/>
        <w:tblCellMar>
          <w:top w:w="0" w:type="dxa"/>
          <w:left w:w="0" w:type="dxa"/>
          <w:bottom w:w="0" w:type="dxa"/>
          <w:right w:w="0" w:type="dxa"/>
        </w:tblCellMar>
      </w:tblPr>
      <w:tblGrid>
        <w:gridCol w:w="75"/>
        <w:gridCol w:w="365"/>
        <w:gridCol w:w="650"/>
        <w:gridCol w:w="3035"/>
      </w:tblGrid>
      <w:tr>
        <w:trPr/>
        <w:tc>
          <w:tcPr>
            <w:tcW w:w="75" w:type="dxa"/>
            <w:tcBorders/>
            <w:vAlign w:val="center"/>
          </w:tcPr>
          <w:p>
            <w:pPr>
              <w:pStyle w:val="TableContents"/>
              <w:bidi w:val="0"/>
              <w:spacing w:before="0" w:after="283"/>
              <w:jc w:val="left"/>
              <w:rPr/>
            </w:pPr>
            <w:r>
              <w:rPr/>
              <w:t> </w:t>
            </w:r>
          </w:p>
        </w:tc>
        <w:tc>
          <w:tcPr>
            <w:tcW w:w="4050" w:type="dxa"/>
            <w:gridSpan w:val="3"/>
            <w:tcBorders/>
            <w:vAlign w:val="center"/>
          </w:tcPr>
          <w:p>
            <w:pPr>
              <w:pStyle w:val="TableContents"/>
              <w:bidi w:val="0"/>
              <w:spacing w:before="0" w:after="283"/>
              <w:jc w:val="left"/>
              <w:rPr>
                <w:b/>
              </w:rPr>
            </w:pPr>
            <w:r>
              <w:rPr>
                <w:b/>
              </w:rPr>
              <w:t>RENT THE RUNWAY, INC.</w:t>
            </w:r>
          </w:p>
        </w:tc>
      </w:tr>
      <w:tr>
        <w:trPr/>
        <w:tc>
          <w:tcPr>
            <w:tcW w:w="75" w:type="dxa"/>
            <w:tcBorders/>
            <w:vAlign w:val="center"/>
          </w:tcPr>
          <w:p>
            <w:pPr>
              <w:pStyle w:val="TableContents"/>
              <w:bidi w:val="0"/>
              <w:spacing w:before="0" w:after="283"/>
              <w:jc w:val="left"/>
              <w:rPr/>
            </w:pPr>
            <w:r>
              <w:rPr/>
              <w:t> </w:t>
            </w:r>
          </w:p>
        </w:tc>
        <w:tc>
          <w:tcPr>
            <w:tcW w:w="405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3685" w:type="dxa"/>
            <w:gridSpan w:val="2"/>
            <w:tcBorders>
              <w:bottom w:val="single" w:sz="8" w:space="0" w:color="000000"/>
            </w:tcBorders>
            <w:tcMar>
              <w:bottom w:w="28" w:type="dxa"/>
            </w:tcMar>
            <w:vAlign w:val="center"/>
          </w:tcPr>
          <w:p>
            <w:pPr>
              <w:pStyle w:val="TableContents"/>
              <w:bidi w:val="0"/>
              <w:spacing w:before="0" w:after="283"/>
              <w:jc w:val="left"/>
              <w:rPr/>
            </w:pPr>
            <w:r>
              <w:rPr/>
              <w:t>/s/ Teri Bariquit</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3035" w:type="dxa"/>
            <w:tcBorders/>
            <w:vAlign w:val="center"/>
          </w:tcPr>
          <w:p>
            <w:pPr>
              <w:pStyle w:val="TableContents"/>
              <w:bidi w:val="0"/>
              <w:spacing w:before="0" w:after="283"/>
              <w:jc w:val="left"/>
              <w:rPr/>
            </w:pPr>
            <w:r>
              <w:rPr/>
              <w:t>Teri Bariquit</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3035" w:type="dxa"/>
            <w:tcBorders/>
            <w:vAlign w:val="center"/>
          </w:tcPr>
          <w:p>
            <w:pPr>
              <w:pStyle w:val="TableContents"/>
              <w:bidi w:val="0"/>
              <w:spacing w:before="0" w:after="283"/>
              <w:jc w:val="left"/>
              <w:rPr/>
            </w:pPr>
            <w:r>
              <w:rPr/>
              <w:t>Interim Chief Executive Officer</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person whose signature appears below constitutes and appoints Cara Schembri, and her true and lawful attorneys-in-fact and agents, with full power of substitution and resubstitution, for her and in her name, place and stead, in any and all capacities, to sign any and all amendments (including post-effective amendments) to this registration statement and any and all additional registration statements pursuant to Rule 462(b) of the Securities Act of 1933, and to file the same, with all exhibits thereto, and all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or her substitute or substitutes may lawfully do or cause to be done by virtue hereof.</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bidi w:val="0"/>
        <w:spacing w:before="0" w:after="0"/>
        <w:ind w:left="0" w:right="0" w:firstLine="360"/>
        <w:jc w:val="left"/>
        <w:rPr>
          <w:caps w:val="false"/>
          <w:smallCaps w:val="false"/>
        </w:rPr>
      </w:pPr>
      <w:r>
        <w:rPr>
          <w:caps w:val="false"/>
          <w:smallCaps w:val="false"/>
        </w:rPr>
        <w:t> </w:t>
      </w:r>
    </w:p>
    <w:tbl>
      <w:tblPr>
        <w:tblW w:w="9930" w:type="dxa"/>
        <w:jc w:val="left"/>
        <w:tblInd w:w="0" w:type="dxa"/>
        <w:tblLayout w:type="fixed"/>
        <w:tblCellMar>
          <w:top w:w="0" w:type="dxa"/>
          <w:left w:w="0" w:type="dxa"/>
          <w:bottom w:w="0" w:type="dxa"/>
          <w:right w:w="0" w:type="dxa"/>
        </w:tblCellMar>
      </w:tblPr>
      <w:tblGrid>
        <w:gridCol w:w="2390"/>
        <w:gridCol w:w="5600"/>
        <w:gridCol w:w="1940"/>
      </w:tblGrid>
      <w:tr>
        <w:trPr/>
        <w:tc>
          <w:tcPr>
            <w:tcW w:w="2390" w:type="dxa"/>
            <w:tcBorders/>
            <w:vAlign w:val="center"/>
          </w:tcPr>
          <w:p>
            <w:pPr>
              <w:pStyle w:val="TableContents"/>
              <w:bidi w:val="0"/>
              <w:spacing w:before="0" w:after="283"/>
              <w:jc w:val="center"/>
              <w:rPr>
                <w:b/>
                <w:u w:val="single"/>
              </w:rPr>
            </w:pPr>
            <w:r>
              <w:rPr>
                <w:b/>
                <w:u w:val="single"/>
              </w:rPr>
              <w:t>Signature</w:t>
            </w:r>
          </w:p>
        </w:tc>
        <w:tc>
          <w:tcPr>
            <w:tcW w:w="5600" w:type="dxa"/>
            <w:tcBorders/>
            <w:vAlign w:val="center"/>
          </w:tcPr>
          <w:p>
            <w:pPr>
              <w:pStyle w:val="TableContents"/>
              <w:bidi w:val="0"/>
              <w:spacing w:before="0" w:after="283"/>
              <w:jc w:val="center"/>
              <w:rPr>
                <w:b/>
                <w:u w:val="single"/>
              </w:rPr>
            </w:pPr>
            <w:r>
              <w:rPr>
                <w:b/>
                <w:u w:val="single"/>
              </w:rPr>
              <w:t>Title</w:t>
            </w:r>
          </w:p>
        </w:tc>
        <w:tc>
          <w:tcPr>
            <w:tcW w:w="1940" w:type="dxa"/>
            <w:tcBorders/>
            <w:vAlign w:val="center"/>
          </w:tcPr>
          <w:p>
            <w:pPr>
              <w:pStyle w:val="TableContents"/>
              <w:bidi w:val="0"/>
              <w:spacing w:before="0" w:after="283"/>
              <w:jc w:val="center"/>
              <w:rPr>
                <w:b/>
                <w:u w:val="single"/>
              </w:rPr>
            </w:pPr>
            <w:r>
              <w:rPr>
                <w:b/>
                <w:u w:val="single"/>
              </w:rPr>
              <w:t>Date</w:t>
            </w:r>
          </w:p>
        </w:tc>
      </w:tr>
      <w:tr>
        <w:trPr/>
        <w:tc>
          <w:tcPr>
            <w:tcW w:w="2390" w:type="dxa"/>
            <w:tcBorders/>
            <w:vAlign w:val="center"/>
          </w:tcPr>
          <w:p>
            <w:pPr>
              <w:pStyle w:val="TableContents"/>
              <w:bidi w:val="0"/>
              <w:spacing w:before="0" w:after="283"/>
              <w:jc w:val="center"/>
              <w:rPr/>
            </w:pPr>
            <w:r>
              <w:rPr/>
              <w:t> </w:t>
            </w:r>
          </w:p>
        </w:tc>
        <w:tc>
          <w:tcPr>
            <w:tcW w:w="5600" w:type="dxa"/>
            <w:tcBorders/>
            <w:vAlign w:val="center"/>
          </w:tcPr>
          <w:p>
            <w:pPr>
              <w:pStyle w:val="TableContents"/>
              <w:bidi w:val="0"/>
              <w:spacing w:before="0" w:after="283"/>
              <w:jc w:val="center"/>
              <w:rPr/>
            </w:pPr>
            <w:r>
              <w:rPr/>
              <w:t> </w:t>
            </w:r>
          </w:p>
        </w:tc>
        <w:tc>
          <w:tcPr>
            <w:tcW w:w="1940" w:type="dxa"/>
            <w:tcBorders/>
            <w:vAlign w:val="center"/>
          </w:tcPr>
          <w:p>
            <w:pPr>
              <w:pStyle w:val="TableContents"/>
              <w:bidi w:val="0"/>
              <w:spacing w:before="0" w:after="283"/>
              <w:jc w:val="center"/>
              <w:rPr/>
            </w:pPr>
            <w:r>
              <w:rPr/>
              <w:t> </w:t>
            </w:r>
          </w:p>
        </w:tc>
      </w:tr>
      <w:tr>
        <w:trPr/>
        <w:tc>
          <w:tcPr>
            <w:tcW w:w="2390" w:type="dxa"/>
            <w:tcBorders>
              <w:bottom w:val="single" w:sz="8" w:space="0" w:color="000000"/>
            </w:tcBorders>
            <w:tcMar>
              <w:bottom w:w="28" w:type="dxa"/>
            </w:tcMar>
            <w:vAlign w:val="center"/>
          </w:tcPr>
          <w:p>
            <w:pPr>
              <w:pStyle w:val="TableContents"/>
              <w:bidi w:val="0"/>
              <w:spacing w:before="0" w:after="283"/>
              <w:jc w:val="center"/>
              <w:rPr/>
            </w:pPr>
            <w:r>
              <w:rPr/>
              <w:t>/s/ Teri Bariquit</w:t>
            </w:r>
          </w:p>
        </w:tc>
        <w:tc>
          <w:tcPr>
            <w:tcW w:w="5600" w:type="dxa"/>
            <w:tcBorders/>
            <w:vAlign w:val="center"/>
          </w:tcPr>
          <w:p>
            <w:pPr>
              <w:pStyle w:val="TableContents"/>
              <w:bidi w:val="0"/>
              <w:spacing w:before="0" w:after="283"/>
              <w:jc w:val="center"/>
              <w:rPr/>
            </w:pPr>
            <w:r>
              <w:rPr/>
              <w:t>Interim Chief Executive Officer and Director</w:t>
            </w:r>
          </w:p>
        </w:tc>
        <w:tc>
          <w:tcPr>
            <w:tcW w:w="1940" w:type="dxa"/>
            <w:tcBorders/>
            <w:vAlign w:val="center"/>
          </w:tcPr>
          <w:p>
            <w:pPr>
              <w:pStyle w:val="TableContents"/>
              <w:bidi w:val="0"/>
              <w:spacing w:before="0" w:after="283"/>
              <w:jc w:val="center"/>
              <w:rPr/>
            </w:pPr>
            <w:r>
              <w:rPr/>
              <w:t>September 11, 2026</w:t>
            </w:r>
          </w:p>
        </w:tc>
      </w:tr>
      <w:tr>
        <w:trPr/>
        <w:tc>
          <w:tcPr>
            <w:tcW w:w="2390" w:type="dxa"/>
            <w:tcBorders/>
            <w:vAlign w:val="center"/>
          </w:tcPr>
          <w:p>
            <w:pPr>
              <w:pStyle w:val="TableContents"/>
              <w:bidi w:val="0"/>
              <w:spacing w:before="0" w:after="283"/>
              <w:jc w:val="center"/>
              <w:rPr/>
            </w:pPr>
            <w:r>
              <w:rPr/>
              <w:t>Teri Bariquit</w:t>
            </w:r>
          </w:p>
        </w:tc>
        <w:tc>
          <w:tcPr>
            <w:tcW w:w="5600" w:type="dxa"/>
            <w:tcBorders/>
            <w:vAlign w:val="center"/>
          </w:tcPr>
          <w:p>
            <w:pPr>
              <w:pStyle w:val="TableContents"/>
              <w:bidi w:val="0"/>
              <w:spacing w:before="0" w:after="283"/>
              <w:jc w:val="center"/>
              <w:rPr/>
            </w:pPr>
            <w:r>
              <w:rPr/>
              <w:t>(principal executive officer)</w:t>
            </w:r>
          </w:p>
        </w:tc>
        <w:tc>
          <w:tcPr>
            <w:tcW w:w="1940" w:type="dxa"/>
            <w:tcBorders/>
            <w:vAlign w:val="center"/>
          </w:tcPr>
          <w:p>
            <w:pPr>
              <w:pStyle w:val="TableContents"/>
              <w:bidi w:val="0"/>
              <w:spacing w:before="0" w:after="283"/>
              <w:jc w:val="center"/>
              <w:rPr/>
            </w:pPr>
            <w:r>
              <w:rPr/>
              <w:t> </w:t>
            </w:r>
          </w:p>
        </w:tc>
      </w:tr>
      <w:tr>
        <w:trPr/>
        <w:tc>
          <w:tcPr>
            <w:tcW w:w="2390" w:type="dxa"/>
            <w:tcBorders/>
            <w:vAlign w:val="center"/>
          </w:tcPr>
          <w:p>
            <w:pPr>
              <w:pStyle w:val="TableContents"/>
              <w:bidi w:val="0"/>
              <w:spacing w:before="0" w:after="283"/>
              <w:jc w:val="center"/>
              <w:rPr/>
            </w:pPr>
            <w:r>
              <w:rPr/>
              <w:t> </w:t>
            </w:r>
          </w:p>
        </w:tc>
        <w:tc>
          <w:tcPr>
            <w:tcW w:w="5600" w:type="dxa"/>
            <w:tcBorders/>
            <w:vAlign w:val="center"/>
          </w:tcPr>
          <w:p>
            <w:pPr>
              <w:pStyle w:val="TableContents"/>
              <w:bidi w:val="0"/>
              <w:spacing w:before="0" w:after="283"/>
              <w:jc w:val="center"/>
              <w:rPr/>
            </w:pPr>
            <w:r>
              <w:rPr/>
              <w:t> </w:t>
            </w:r>
          </w:p>
        </w:tc>
        <w:tc>
          <w:tcPr>
            <w:tcW w:w="1940" w:type="dxa"/>
            <w:tcBorders/>
            <w:vAlign w:val="center"/>
          </w:tcPr>
          <w:p>
            <w:pPr>
              <w:pStyle w:val="TableContents"/>
              <w:bidi w:val="0"/>
              <w:spacing w:before="0" w:after="283"/>
              <w:jc w:val="center"/>
              <w:rPr/>
            </w:pPr>
            <w:r>
              <w:rPr/>
              <w:t> </w:t>
            </w:r>
          </w:p>
        </w:tc>
      </w:tr>
      <w:tr>
        <w:trPr/>
        <w:tc>
          <w:tcPr>
            <w:tcW w:w="2390" w:type="dxa"/>
            <w:tcBorders/>
            <w:vAlign w:val="center"/>
          </w:tcPr>
          <w:p>
            <w:pPr>
              <w:pStyle w:val="TableContents"/>
              <w:bidi w:val="0"/>
              <w:spacing w:before="0" w:after="283"/>
              <w:jc w:val="center"/>
              <w:rPr/>
            </w:pPr>
            <w:r>
              <w:rPr/>
              <w:t> </w:t>
            </w:r>
          </w:p>
        </w:tc>
        <w:tc>
          <w:tcPr>
            <w:tcW w:w="5600" w:type="dxa"/>
            <w:tcBorders/>
            <w:vAlign w:val="center"/>
          </w:tcPr>
          <w:p>
            <w:pPr>
              <w:pStyle w:val="TableContents"/>
              <w:bidi w:val="0"/>
              <w:spacing w:before="0" w:after="283"/>
              <w:jc w:val="center"/>
              <w:rPr/>
            </w:pPr>
            <w:r>
              <w:rPr/>
              <w:t> </w:t>
            </w:r>
          </w:p>
        </w:tc>
        <w:tc>
          <w:tcPr>
            <w:tcW w:w="1940" w:type="dxa"/>
            <w:tcBorders/>
            <w:vAlign w:val="center"/>
          </w:tcPr>
          <w:p>
            <w:pPr>
              <w:pStyle w:val="TableContents"/>
              <w:bidi w:val="0"/>
              <w:spacing w:before="0" w:after="283"/>
              <w:jc w:val="center"/>
              <w:rPr/>
            </w:pPr>
            <w:r>
              <w:rPr/>
              <w:t> </w:t>
            </w:r>
          </w:p>
        </w:tc>
      </w:tr>
      <w:tr>
        <w:trPr/>
        <w:tc>
          <w:tcPr>
            <w:tcW w:w="2390" w:type="dxa"/>
            <w:tcBorders>
              <w:bottom w:val="single" w:sz="8" w:space="0" w:color="000000"/>
            </w:tcBorders>
            <w:tcMar>
              <w:bottom w:w="28" w:type="dxa"/>
            </w:tcMar>
            <w:vAlign w:val="center"/>
          </w:tcPr>
          <w:p>
            <w:pPr>
              <w:pStyle w:val="TableContents"/>
              <w:bidi w:val="0"/>
              <w:spacing w:before="0" w:after="283"/>
              <w:jc w:val="center"/>
              <w:rPr/>
            </w:pPr>
            <w:r>
              <w:rPr/>
              <w:t>/s/ Dave Loretta</w:t>
            </w:r>
          </w:p>
        </w:tc>
        <w:tc>
          <w:tcPr>
            <w:tcW w:w="5600" w:type="dxa"/>
            <w:tcBorders/>
            <w:vAlign w:val="center"/>
          </w:tcPr>
          <w:p>
            <w:pPr>
              <w:pStyle w:val="TableContents"/>
              <w:bidi w:val="0"/>
              <w:spacing w:before="0" w:after="283"/>
              <w:jc w:val="center"/>
              <w:rPr/>
            </w:pPr>
            <w:r>
              <w:rPr/>
              <w:t>Interim Chief Financial Officer</w:t>
            </w:r>
          </w:p>
        </w:tc>
        <w:tc>
          <w:tcPr>
            <w:tcW w:w="1940" w:type="dxa"/>
            <w:tcBorders/>
            <w:vAlign w:val="center"/>
          </w:tcPr>
          <w:p>
            <w:pPr>
              <w:pStyle w:val="TableContents"/>
              <w:bidi w:val="0"/>
              <w:spacing w:before="0" w:after="283"/>
              <w:jc w:val="center"/>
              <w:rPr/>
            </w:pPr>
            <w:r>
              <w:rPr/>
              <w:t>September 11, 2026</w:t>
            </w:r>
          </w:p>
        </w:tc>
      </w:tr>
      <w:tr>
        <w:trPr/>
        <w:tc>
          <w:tcPr>
            <w:tcW w:w="2390" w:type="dxa"/>
            <w:tcBorders/>
            <w:vAlign w:val="center"/>
          </w:tcPr>
          <w:p>
            <w:pPr>
              <w:pStyle w:val="TableContents"/>
              <w:bidi w:val="0"/>
              <w:spacing w:before="0" w:after="283"/>
              <w:jc w:val="center"/>
              <w:rPr/>
            </w:pPr>
            <w:r>
              <w:rPr/>
              <w:t>Dave Loretta</w:t>
            </w:r>
          </w:p>
        </w:tc>
        <w:tc>
          <w:tcPr>
            <w:tcW w:w="5600" w:type="dxa"/>
            <w:tcBorders/>
            <w:vAlign w:val="center"/>
          </w:tcPr>
          <w:p>
            <w:pPr>
              <w:pStyle w:val="TableContents"/>
              <w:bidi w:val="0"/>
              <w:spacing w:before="0" w:after="283"/>
              <w:jc w:val="center"/>
              <w:rPr/>
            </w:pPr>
            <w:r>
              <w:rPr/>
              <w:t>(principal financial officer and principal accounting officer)</w:t>
            </w:r>
          </w:p>
        </w:tc>
        <w:tc>
          <w:tcPr>
            <w:tcW w:w="1940" w:type="dxa"/>
            <w:tcBorders/>
            <w:vAlign w:val="center"/>
          </w:tcPr>
          <w:p>
            <w:pPr>
              <w:pStyle w:val="TableContents"/>
              <w:bidi w:val="0"/>
              <w:spacing w:before="0" w:after="283"/>
              <w:jc w:val="center"/>
              <w:rPr/>
            </w:pPr>
            <w:r>
              <w:rPr/>
              <w:t> </w:t>
            </w:r>
          </w:p>
        </w:tc>
      </w:tr>
      <w:tr>
        <w:trPr/>
        <w:tc>
          <w:tcPr>
            <w:tcW w:w="2390" w:type="dxa"/>
            <w:tcBorders/>
            <w:vAlign w:val="center"/>
          </w:tcPr>
          <w:p>
            <w:pPr>
              <w:pStyle w:val="TableContents"/>
              <w:bidi w:val="0"/>
              <w:spacing w:before="0" w:after="283"/>
              <w:jc w:val="center"/>
              <w:rPr/>
            </w:pPr>
            <w:r>
              <w:rPr/>
              <w:t> </w:t>
            </w:r>
          </w:p>
        </w:tc>
        <w:tc>
          <w:tcPr>
            <w:tcW w:w="5600" w:type="dxa"/>
            <w:tcBorders/>
            <w:vAlign w:val="center"/>
          </w:tcPr>
          <w:p>
            <w:pPr>
              <w:pStyle w:val="TableContents"/>
              <w:bidi w:val="0"/>
              <w:spacing w:before="0" w:after="283"/>
              <w:jc w:val="center"/>
              <w:rPr/>
            </w:pPr>
            <w:r>
              <w:rPr/>
              <w:t> </w:t>
            </w:r>
          </w:p>
        </w:tc>
        <w:tc>
          <w:tcPr>
            <w:tcW w:w="1940" w:type="dxa"/>
            <w:tcBorders/>
            <w:vAlign w:val="center"/>
          </w:tcPr>
          <w:p>
            <w:pPr>
              <w:pStyle w:val="TableContents"/>
              <w:bidi w:val="0"/>
              <w:spacing w:before="0" w:after="283"/>
              <w:jc w:val="center"/>
              <w:rPr/>
            </w:pPr>
            <w:r>
              <w:rPr/>
              <w:t> </w:t>
            </w:r>
          </w:p>
        </w:tc>
      </w:tr>
      <w:tr>
        <w:trPr/>
        <w:tc>
          <w:tcPr>
            <w:tcW w:w="2390" w:type="dxa"/>
            <w:tcBorders/>
            <w:vAlign w:val="center"/>
          </w:tcPr>
          <w:p>
            <w:pPr>
              <w:pStyle w:val="TableContents"/>
              <w:bidi w:val="0"/>
              <w:spacing w:before="0" w:after="283"/>
              <w:jc w:val="center"/>
              <w:rPr/>
            </w:pPr>
            <w:r>
              <w:rPr/>
              <w:t> </w:t>
            </w:r>
          </w:p>
        </w:tc>
        <w:tc>
          <w:tcPr>
            <w:tcW w:w="5600" w:type="dxa"/>
            <w:tcBorders/>
            <w:vAlign w:val="center"/>
          </w:tcPr>
          <w:p>
            <w:pPr>
              <w:pStyle w:val="TableContents"/>
              <w:bidi w:val="0"/>
              <w:spacing w:before="0" w:after="283"/>
              <w:jc w:val="center"/>
              <w:rPr/>
            </w:pPr>
            <w:r>
              <w:rPr/>
              <w:t> </w:t>
            </w:r>
          </w:p>
        </w:tc>
        <w:tc>
          <w:tcPr>
            <w:tcW w:w="1940" w:type="dxa"/>
            <w:tcBorders/>
            <w:vAlign w:val="center"/>
          </w:tcPr>
          <w:p>
            <w:pPr>
              <w:pStyle w:val="TableContents"/>
              <w:bidi w:val="0"/>
              <w:spacing w:before="0" w:after="283"/>
              <w:jc w:val="center"/>
              <w:rPr/>
            </w:pPr>
            <w:r>
              <w:rPr/>
              <w:t> </w:t>
            </w:r>
          </w:p>
        </w:tc>
      </w:tr>
      <w:tr>
        <w:trPr/>
        <w:tc>
          <w:tcPr>
            <w:tcW w:w="2390" w:type="dxa"/>
            <w:tcBorders>
              <w:bottom w:val="single" w:sz="8" w:space="0" w:color="000000"/>
            </w:tcBorders>
            <w:tcMar>
              <w:bottom w:w="28" w:type="dxa"/>
            </w:tcMar>
            <w:vAlign w:val="center"/>
          </w:tcPr>
          <w:p>
            <w:pPr>
              <w:pStyle w:val="TableContents"/>
              <w:bidi w:val="0"/>
              <w:spacing w:before="0" w:after="283"/>
              <w:jc w:val="center"/>
              <w:rPr/>
            </w:pPr>
            <w:r>
              <w:rPr/>
              <w:t>/s/ Dhiren Fonseca</w:t>
            </w:r>
          </w:p>
        </w:tc>
        <w:tc>
          <w:tcPr>
            <w:tcW w:w="5600" w:type="dxa"/>
            <w:tcBorders/>
            <w:vAlign w:val="center"/>
          </w:tcPr>
          <w:p>
            <w:pPr>
              <w:pStyle w:val="TableContents"/>
              <w:bidi w:val="0"/>
              <w:spacing w:before="0" w:after="283"/>
              <w:jc w:val="center"/>
              <w:rPr/>
            </w:pPr>
            <w:r>
              <w:rPr/>
              <w:t>Executive Chairman and Director</w:t>
            </w:r>
          </w:p>
        </w:tc>
        <w:tc>
          <w:tcPr>
            <w:tcW w:w="1940" w:type="dxa"/>
            <w:tcBorders/>
            <w:vAlign w:val="center"/>
          </w:tcPr>
          <w:p>
            <w:pPr>
              <w:pStyle w:val="TableContents"/>
              <w:bidi w:val="0"/>
              <w:spacing w:before="0" w:after="283"/>
              <w:jc w:val="center"/>
              <w:rPr/>
            </w:pPr>
            <w:r>
              <w:rPr/>
              <w:t>September 11, 2026</w:t>
            </w:r>
          </w:p>
        </w:tc>
      </w:tr>
      <w:tr>
        <w:trPr/>
        <w:tc>
          <w:tcPr>
            <w:tcW w:w="2390" w:type="dxa"/>
            <w:tcBorders/>
            <w:vAlign w:val="center"/>
          </w:tcPr>
          <w:p>
            <w:pPr>
              <w:pStyle w:val="TableContents"/>
              <w:bidi w:val="0"/>
              <w:spacing w:before="0" w:after="283"/>
              <w:jc w:val="center"/>
              <w:rPr/>
            </w:pPr>
            <w:r>
              <w:rPr/>
              <w:t>Dhiren Fonseca</w:t>
            </w:r>
          </w:p>
        </w:tc>
        <w:tc>
          <w:tcPr>
            <w:tcW w:w="5600" w:type="dxa"/>
            <w:tcBorders/>
            <w:vAlign w:val="center"/>
          </w:tcPr>
          <w:p>
            <w:pPr>
              <w:pStyle w:val="TableContents"/>
              <w:bidi w:val="0"/>
              <w:spacing w:before="0" w:after="283"/>
              <w:jc w:val="center"/>
              <w:rPr/>
            </w:pPr>
            <w:r>
              <w:rPr/>
              <w:t> </w:t>
            </w:r>
          </w:p>
        </w:tc>
        <w:tc>
          <w:tcPr>
            <w:tcW w:w="1940" w:type="dxa"/>
            <w:tcBorders/>
            <w:vAlign w:val="center"/>
          </w:tcPr>
          <w:p>
            <w:pPr>
              <w:pStyle w:val="TableContents"/>
              <w:bidi w:val="0"/>
              <w:spacing w:before="0" w:after="283"/>
              <w:jc w:val="center"/>
              <w:rPr/>
            </w:pPr>
            <w:r>
              <w:rPr/>
              <w:t> </w:t>
            </w:r>
          </w:p>
        </w:tc>
      </w:tr>
      <w:tr>
        <w:trPr/>
        <w:tc>
          <w:tcPr>
            <w:tcW w:w="2390" w:type="dxa"/>
            <w:tcBorders/>
            <w:vAlign w:val="center"/>
          </w:tcPr>
          <w:p>
            <w:pPr>
              <w:pStyle w:val="TableContents"/>
              <w:bidi w:val="0"/>
              <w:spacing w:before="0" w:after="283"/>
              <w:jc w:val="center"/>
              <w:rPr/>
            </w:pPr>
            <w:r>
              <w:rPr/>
              <w:t> </w:t>
            </w:r>
          </w:p>
        </w:tc>
        <w:tc>
          <w:tcPr>
            <w:tcW w:w="5600" w:type="dxa"/>
            <w:tcBorders/>
            <w:vAlign w:val="center"/>
          </w:tcPr>
          <w:p>
            <w:pPr>
              <w:pStyle w:val="TableContents"/>
              <w:bidi w:val="0"/>
              <w:spacing w:before="0" w:after="283"/>
              <w:jc w:val="center"/>
              <w:rPr/>
            </w:pPr>
            <w:r>
              <w:rPr/>
              <w:t> </w:t>
            </w:r>
          </w:p>
        </w:tc>
        <w:tc>
          <w:tcPr>
            <w:tcW w:w="1940" w:type="dxa"/>
            <w:tcBorders/>
            <w:vAlign w:val="center"/>
          </w:tcPr>
          <w:p>
            <w:pPr>
              <w:pStyle w:val="TableContents"/>
              <w:bidi w:val="0"/>
              <w:spacing w:before="0" w:after="283"/>
              <w:jc w:val="center"/>
              <w:rPr/>
            </w:pPr>
            <w:r>
              <w:rPr/>
              <w:t> </w:t>
            </w:r>
          </w:p>
        </w:tc>
      </w:tr>
      <w:tr>
        <w:trPr/>
        <w:tc>
          <w:tcPr>
            <w:tcW w:w="2390" w:type="dxa"/>
            <w:tcBorders/>
            <w:vAlign w:val="center"/>
          </w:tcPr>
          <w:p>
            <w:pPr>
              <w:pStyle w:val="TableContents"/>
              <w:bidi w:val="0"/>
              <w:spacing w:before="0" w:after="283"/>
              <w:jc w:val="center"/>
              <w:rPr/>
            </w:pPr>
            <w:r>
              <w:rPr/>
              <w:t> </w:t>
            </w:r>
          </w:p>
        </w:tc>
        <w:tc>
          <w:tcPr>
            <w:tcW w:w="5600" w:type="dxa"/>
            <w:tcBorders/>
            <w:vAlign w:val="center"/>
          </w:tcPr>
          <w:p>
            <w:pPr>
              <w:pStyle w:val="TableContents"/>
              <w:bidi w:val="0"/>
              <w:spacing w:before="0" w:after="283"/>
              <w:jc w:val="center"/>
              <w:rPr/>
            </w:pPr>
            <w:r>
              <w:rPr/>
              <w:t> </w:t>
            </w:r>
          </w:p>
        </w:tc>
        <w:tc>
          <w:tcPr>
            <w:tcW w:w="1940" w:type="dxa"/>
            <w:tcBorders/>
            <w:vAlign w:val="center"/>
          </w:tcPr>
          <w:p>
            <w:pPr>
              <w:pStyle w:val="TableContents"/>
              <w:bidi w:val="0"/>
              <w:spacing w:before="0" w:after="283"/>
              <w:jc w:val="center"/>
              <w:rPr/>
            </w:pPr>
            <w:r>
              <w:rPr/>
              <w:t> </w:t>
            </w:r>
          </w:p>
        </w:tc>
      </w:tr>
      <w:tr>
        <w:trPr/>
        <w:tc>
          <w:tcPr>
            <w:tcW w:w="2390" w:type="dxa"/>
            <w:tcBorders>
              <w:bottom w:val="single" w:sz="8" w:space="0" w:color="000000"/>
            </w:tcBorders>
            <w:tcMar>
              <w:bottom w:w="28" w:type="dxa"/>
            </w:tcMar>
            <w:vAlign w:val="center"/>
          </w:tcPr>
          <w:p>
            <w:pPr>
              <w:pStyle w:val="TableContents"/>
              <w:bidi w:val="0"/>
              <w:spacing w:before="0" w:after="283"/>
              <w:jc w:val="center"/>
              <w:rPr/>
            </w:pPr>
            <w:r>
              <w:rPr/>
              <w:t>/s/ Peter Comisar</w:t>
            </w:r>
          </w:p>
        </w:tc>
        <w:tc>
          <w:tcPr>
            <w:tcW w:w="5600" w:type="dxa"/>
            <w:tcBorders/>
            <w:vAlign w:val="center"/>
          </w:tcPr>
          <w:p>
            <w:pPr>
              <w:pStyle w:val="TableContents"/>
              <w:bidi w:val="0"/>
              <w:spacing w:before="0" w:after="283"/>
              <w:jc w:val="center"/>
              <w:rPr/>
            </w:pPr>
            <w:r>
              <w:rPr/>
              <w:t>Director</w:t>
            </w:r>
          </w:p>
        </w:tc>
        <w:tc>
          <w:tcPr>
            <w:tcW w:w="1940" w:type="dxa"/>
            <w:tcBorders/>
            <w:vAlign w:val="center"/>
          </w:tcPr>
          <w:p>
            <w:pPr>
              <w:pStyle w:val="TableContents"/>
              <w:bidi w:val="0"/>
              <w:spacing w:before="0" w:after="283"/>
              <w:jc w:val="center"/>
              <w:rPr/>
            </w:pPr>
            <w:r>
              <w:rPr/>
              <w:t>September 11, 2026</w:t>
            </w:r>
          </w:p>
        </w:tc>
      </w:tr>
      <w:tr>
        <w:trPr/>
        <w:tc>
          <w:tcPr>
            <w:tcW w:w="2390" w:type="dxa"/>
            <w:tcBorders/>
            <w:vAlign w:val="center"/>
          </w:tcPr>
          <w:p>
            <w:pPr>
              <w:pStyle w:val="TableContents"/>
              <w:bidi w:val="0"/>
              <w:spacing w:before="0" w:after="283"/>
              <w:jc w:val="center"/>
              <w:rPr/>
            </w:pPr>
            <w:r>
              <w:rPr/>
              <w:t>Peter Comisar</w:t>
            </w:r>
          </w:p>
        </w:tc>
        <w:tc>
          <w:tcPr>
            <w:tcW w:w="5600" w:type="dxa"/>
            <w:tcBorders/>
            <w:vAlign w:val="center"/>
          </w:tcPr>
          <w:p>
            <w:pPr>
              <w:pStyle w:val="TableContents"/>
              <w:bidi w:val="0"/>
              <w:spacing w:before="0" w:after="283"/>
              <w:jc w:val="center"/>
              <w:rPr/>
            </w:pPr>
            <w:r>
              <w:rPr/>
              <w:t> </w:t>
            </w:r>
          </w:p>
        </w:tc>
        <w:tc>
          <w:tcPr>
            <w:tcW w:w="1940" w:type="dxa"/>
            <w:tcBorders/>
            <w:vAlign w:val="center"/>
          </w:tcPr>
          <w:p>
            <w:pPr>
              <w:pStyle w:val="TableContents"/>
              <w:bidi w:val="0"/>
              <w:spacing w:before="0" w:after="283"/>
              <w:jc w:val="center"/>
              <w:rPr/>
            </w:pPr>
            <w:r>
              <w:rPr/>
              <w:t> </w:t>
            </w:r>
          </w:p>
        </w:tc>
      </w:tr>
      <w:tr>
        <w:trPr/>
        <w:tc>
          <w:tcPr>
            <w:tcW w:w="2390" w:type="dxa"/>
            <w:tcBorders/>
            <w:vAlign w:val="center"/>
          </w:tcPr>
          <w:p>
            <w:pPr>
              <w:pStyle w:val="TableContents"/>
              <w:bidi w:val="0"/>
              <w:spacing w:before="0" w:after="283"/>
              <w:jc w:val="center"/>
              <w:rPr/>
            </w:pPr>
            <w:r>
              <w:rPr/>
              <w:t> </w:t>
            </w:r>
          </w:p>
        </w:tc>
        <w:tc>
          <w:tcPr>
            <w:tcW w:w="5600" w:type="dxa"/>
            <w:tcBorders/>
            <w:vAlign w:val="center"/>
          </w:tcPr>
          <w:p>
            <w:pPr>
              <w:pStyle w:val="TableContents"/>
              <w:bidi w:val="0"/>
              <w:spacing w:before="0" w:after="283"/>
              <w:jc w:val="center"/>
              <w:rPr/>
            </w:pPr>
            <w:r>
              <w:rPr/>
              <w:t> </w:t>
            </w:r>
          </w:p>
        </w:tc>
        <w:tc>
          <w:tcPr>
            <w:tcW w:w="1940" w:type="dxa"/>
            <w:tcBorders/>
            <w:vAlign w:val="center"/>
          </w:tcPr>
          <w:p>
            <w:pPr>
              <w:pStyle w:val="TableContents"/>
              <w:bidi w:val="0"/>
              <w:spacing w:before="0" w:after="283"/>
              <w:jc w:val="center"/>
              <w:rPr/>
            </w:pPr>
            <w:r>
              <w:rPr/>
              <w:t> </w:t>
            </w:r>
          </w:p>
        </w:tc>
      </w:tr>
      <w:tr>
        <w:trPr/>
        <w:tc>
          <w:tcPr>
            <w:tcW w:w="2390" w:type="dxa"/>
            <w:tcBorders/>
            <w:vAlign w:val="center"/>
          </w:tcPr>
          <w:p>
            <w:pPr>
              <w:pStyle w:val="TableContents"/>
              <w:bidi w:val="0"/>
              <w:spacing w:before="0" w:after="283"/>
              <w:jc w:val="center"/>
              <w:rPr/>
            </w:pPr>
            <w:r>
              <w:rPr/>
              <w:t> </w:t>
            </w:r>
          </w:p>
        </w:tc>
        <w:tc>
          <w:tcPr>
            <w:tcW w:w="5600" w:type="dxa"/>
            <w:tcBorders/>
            <w:vAlign w:val="center"/>
          </w:tcPr>
          <w:p>
            <w:pPr>
              <w:pStyle w:val="TableContents"/>
              <w:bidi w:val="0"/>
              <w:spacing w:before="0" w:after="283"/>
              <w:jc w:val="center"/>
              <w:rPr/>
            </w:pPr>
            <w:r>
              <w:rPr/>
              <w:t> </w:t>
            </w:r>
          </w:p>
        </w:tc>
        <w:tc>
          <w:tcPr>
            <w:tcW w:w="1940" w:type="dxa"/>
            <w:tcBorders/>
            <w:vAlign w:val="center"/>
          </w:tcPr>
          <w:p>
            <w:pPr>
              <w:pStyle w:val="TableContents"/>
              <w:bidi w:val="0"/>
              <w:spacing w:before="0" w:after="283"/>
              <w:jc w:val="center"/>
              <w:rPr/>
            </w:pPr>
            <w:r>
              <w:rPr/>
              <w:t> </w:t>
            </w:r>
          </w:p>
        </w:tc>
      </w:tr>
      <w:tr>
        <w:trPr/>
        <w:tc>
          <w:tcPr>
            <w:tcW w:w="2390" w:type="dxa"/>
            <w:tcBorders>
              <w:bottom w:val="single" w:sz="8" w:space="0" w:color="000000"/>
            </w:tcBorders>
            <w:tcMar>
              <w:bottom w:w="28" w:type="dxa"/>
            </w:tcMar>
            <w:vAlign w:val="center"/>
          </w:tcPr>
          <w:p>
            <w:pPr>
              <w:pStyle w:val="TableContents"/>
              <w:bidi w:val="0"/>
              <w:spacing w:before="0" w:after="283"/>
              <w:jc w:val="center"/>
              <w:rPr/>
            </w:pPr>
            <w:r>
              <w:rPr/>
              <w:t>/s/ Damian Giangiacomo</w:t>
            </w:r>
          </w:p>
        </w:tc>
        <w:tc>
          <w:tcPr>
            <w:tcW w:w="5600" w:type="dxa"/>
            <w:tcBorders/>
            <w:vAlign w:val="center"/>
          </w:tcPr>
          <w:p>
            <w:pPr>
              <w:pStyle w:val="TableContents"/>
              <w:bidi w:val="0"/>
              <w:spacing w:before="0" w:after="283"/>
              <w:jc w:val="center"/>
              <w:rPr/>
            </w:pPr>
            <w:r>
              <w:rPr/>
              <w:t>Director</w:t>
            </w:r>
          </w:p>
        </w:tc>
        <w:tc>
          <w:tcPr>
            <w:tcW w:w="1940" w:type="dxa"/>
            <w:tcBorders/>
            <w:vAlign w:val="center"/>
          </w:tcPr>
          <w:p>
            <w:pPr>
              <w:pStyle w:val="TableContents"/>
              <w:bidi w:val="0"/>
              <w:spacing w:before="0" w:after="283"/>
              <w:jc w:val="center"/>
              <w:rPr/>
            </w:pPr>
            <w:r>
              <w:rPr/>
              <w:t>September 11, 2026</w:t>
            </w:r>
          </w:p>
        </w:tc>
      </w:tr>
      <w:tr>
        <w:trPr/>
        <w:tc>
          <w:tcPr>
            <w:tcW w:w="2390" w:type="dxa"/>
            <w:tcBorders/>
            <w:vAlign w:val="center"/>
          </w:tcPr>
          <w:p>
            <w:pPr>
              <w:pStyle w:val="TableContents"/>
              <w:bidi w:val="0"/>
              <w:spacing w:before="0" w:after="283"/>
              <w:jc w:val="center"/>
              <w:rPr/>
            </w:pPr>
            <w:r>
              <w:rPr/>
              <w:t>Damian Giangiacomo</w:t>
            </w:r>
          </w:p>
        </w:tc>
        <w:tc>
          <w:tcPr>
            <w:tcW w:w="5600" w:type="dxa"/>
            <w:tcBorders/>
            <w:vAlign w:val="center"/>
          </w:tcPr>
          <w:p>
            <w:pPr>
              <w:pStyle w:val="TableContents"/>
              <w:bidi w:val="0"/>
              <w:spacing w:before="0" w:after="283"/>
              <w:jc w:val="center"/>
              <w:rPr/>
            </w:pPr>
            <w:r>
              <w:rPr/>
              <w:t> </w:t>
            </w:r>
          </w:p>
        </w:tc>
        <w:tc>
          <w:tcPr>
            <w:tcW w:w="1940" w:type="dxa"/>
            <w:tcBorders/>
            <w:vAlign w:val="center"/>
          </w:tcPr>
          <w:p>
            <w:pPr>
              <w:pStyle w:val="TableContents"/>
              <w:bidi w:val="0"/>
              <w:spacing w:before="0" w:after="283"/>
              <w:jc w:val="center"/>
              <w:rPr/>
            </w:pPr>
            <w:r>
              <w:rPr/>
              <w:t> </w:t>
            </w:r>
          </w:p>
        </w:tc>
      </w:tr>
      <w:tr>
        <w:trPr/>
        <w:tc>
          <w:tcPr>
            <w:tcW w:w="2390" w:type="dxa"/>
            <w:tcBorders/>
            <w:vAlign w:val="center"/>
          </w:tcPr>
          <w:p>
            <w:pPr>
              <w:pStyle w:val="TableContents"/>
              <w:bidi w:val="0"/>
              <w:spacing w:before="0" w:after="283"/>
              <w:jc w:val="center"/>
              <w:rPr/>
            </w:pPr>
            <w:r>
              <w:rPr/>
              <w:t> </w:t>
            </w:r>
          </w:p>
        </w:tc>
        <w:tc>
          <w:tcPr>
            <w:tcW w:w="5600" w:type="dxa"/>
            <w:tcBorders/>
            <w:vAlign w:val="center"/>
          </w:tcPr>
          <w:p>
            <w:pPr>
              <w:pStyle w:val="TableContents"/>
              <w:bidi w:val="0"/>
              <w:spacing w:before="0" w:after="283"/>
              <w:jc w:val="center"/>
              <w:rPr/>
            </w:pPr>
            <w:r>
              <w:rPr/>
              <w:t> </w:t>
            </w:r>
          </w:p>
        </w:tc>
        <w:tc>
          <w:tcPr>
            <w:tcW w:w="1940" w:type="dxa"/>
            <w:tcBorders/>
            <w:vAlign w:val="center"/>
          </w:tcPr>
          <w:p>
            <w:pPr>
              <w:pStyle w:val="TableContents"/>
              <w:bidi w:val="0"/>
              <w:spacing w:before="0" w:after="283"/>
              <w:jc w:val="center"/>
              <w:rPr/>
            </w:pPr>
            <w:r>
              <w:rPr/>
              <w:t> </w:t>
            </w:r>
          </w:p>
        </w:tc>
      </w:tr>
      <w:tr>
        <w:trPr/>
        <w:tc>
          <w:tcPr>
            <w:tcW w:w="2390" w:type="dxa"/>
            <w:tcBorders/>
            <w:vAlign w:val="center"/>
          </w:tcPr>
          <w:p>
            <w:pPr>
              <w:pStyle w:val="TableContents"/>
              <w:bidi w:val="0"/>
              <w:spacing w:before="0" w:after="283"/>
              <w:jc w:val="center"/>
              <w:rPr/>
            </w:pPr>
            <w:r>
              <w:rPr/>
              <w:t> </w:t>
            </w:r>
          </w:p>
        </w:tc>
        <w:tc>
          <w:tcPr>
            <w:tcW w:w="5600" w:type="dxa"/>
            <w:tcBorders/>
            <w:vAlign w:val="center"/>
          </w:tcPr>
          <w:p>
            <w:pPr>
              <w:pStyle w:val="TableContents"/>
              <w:bidi w:val="0"/>
              <w:spacing w:before="0" w:after="283"/>
              <w:jc w:val="center"/>
              <w:rPr/>
            </w:pPr>
            <w:r>
              <w:rPr/>
              <w:t> </w:t>
            </w:r>
          </w:p>
        </w:tc>
        <w:tc>
          <w:tcPr>
            <w:tcW w:w="1940" w:type="dxa"/>
            <w:tcBorders/>
            <w:vAlign w:val="center"/>
          </w:tcPr>
          <w:p>
            <w:pPr>
              <w:pStyle w:val="TableContents"/>
              <w:bidi w:val="0"/>
              <w:spacing w:before="0" w:after="283"/>
              <w:jc w:val="center"/>
              <w:rPr/>
            </w:pPr>
            <w:r>
              <w:rPr/>
              <w:t> </w:t>
            </w:r>
          </w:p>
        </w:tc>
      </w:tr>
      <w:tr>
        <w:trPr/>
        <w:tc>
          <w:tcPr>
            <w:tcW w:w="2390" w:type="dxa"/>
            <w:tcBorders>
              <w:bottom w:val="single" w:sz="8" w:space="0" w:color="000000"/>
            </w:tcBorders>
            <w:tcMar>
              <w:bottom w:w="28" w:type="dxa"/>
            </w:tcMar>
            <w:vAlign w:val="center"/>
          </w:tcPr>
          <w:p>
            <w:pPr>
              <w:pStyle w:val="TableContents"/>
              <w:bidi w:val="0"/>
              <w:spacing w:before="0" w:after="283"/>
              <w:jc w:val="center"/>
              <w:rPr/>
            </w:pPr>
            <w:r>
              <w:rPr/>
              <w:t>/s/ Daniel Rosensweig</w:t>
            </w:r>
          </w:p>
        </w:tc>
        <w:tc>
          <w:tcPr>
            <w:tcW w:w="5600" w:type="dxa"/>
            <w:tcBorders/>
            <w:vAlign w:val="center"/>
          </w:tcPr>
          <w:p>
            <w:pPr>
              <w:pStyle w:val="TableContents"/>
              <w:bidi w:val="0"/>
              <w:spacing w:before="0" w:after="283"/>
              <w:jc w:val="center"/>
              <w:rPr/>
            </w:pPr>
            <w:r>
              <w:rPr/>
              <w:t>Director</w:t>
            </w:r>
          </w:p>
        </w:tc>
        <w:tc>
          <w:tcPr>
            <w:tcW w:w="1940" w:type="dxa"/>
            <w:tcBorders/>
            <w:vAlign w:val="center"/>
          </w:tcPr>
          <w:p>
            <w:pPr>
              <w:pStyle w:val="TableContents"/>
              <w:bidi w:val="0"/>
              <w:spacing w:before="0" w:after="283"/>
              <w:jc w:val="center"/>
              <w:rPr/>
            </w:pPr>
            <w:r>
              <w:rPr/>
              <w:t>September 11, 2026</w:t>
            </w:r>
          </w:p>
        </w:tc>
      </w:tr>
      <w:tr>
        <w:trPr/>
        <w:tc>
          <w:tcPr>
            <w:tcW w:w="2390" w:type="dxa"/>
            <w:tcBorders/>
            <w:vAlign w:val="center"/>
          </w:tcPr>
          <w:p>
            <w:pPr>
              <w:pStyle w:val="TableContents"/>
              <w:bidi w:val="0"/>
              <w:spacing w:before="0" w:after="283"/>
              <w:jc w:val="center"/>
              <w:rPr/>
            </w:pPr>
            <w:r>
              <w:rPr/>
              <w:t>Daniel Rosensweig</w:t>
            </w:r>
          </w:p>
        </w:tc>
        <w:tc>
          <w:tcPr>
            <w:tcW w:w="5600" w:type="dxa"/>
            <w:tcBorders/>
            <w:vAlign w:val="center"/>
          </w:tcPr>
          <w:p>
            <w:pPr>
              <w:pStyle w:val="TableContents"/>
              <w:bidi w:val="0"/>
              <w:spacing w:before="0" w:after="283"/>
              <w:jc w:val="center"/>
              <w:rPr/>
            </w:pPr>
            <w:r>
              <w:rPr/>
              <w:t> </w:t>
            </w:r>
          </w:p>
        </w:tc>
        <w:tc>
          <w:tcPr>
            <w:tcW w:w="1940" w:type="dxa"/>
            <w:tcBorders/>
            <w:vAlign w:val="center"/>
          </w:tcPr>
          <w:p>
            <w:pPr>
              <w:pStyle w:val="TableContents"/>
              <w:bidi w:val="0"/>
              <w:spacing w:before="0" w:after="283"/>
              <w:jc w:val="center"/>
              <w:rPr/>
            </w:pPr>
            <w:r>
              <w:rPr/>
              <w:t> </w:t>
            </w:r>
          </w:p>
        </w:tc>
      </w:tr>
      <w:tr>
        <w:trPr/>
        <w:tc>
          <w:tcPr>
            <w:tcW w:w="2390" w:type="dxa"/>
            <w:tcBorders/>
            <w:vAlign w:val="center"/>
          </w:tcPr>
          <w:p>
            <w:pPr>
              <w:pStyle w:val="TableContents"/>
              <w:bidi w:val="0"/>
              <w:spacing w:before="0" w:after="283"/>
              <w:jc w:val="center"/>
              <w:rPr/>
            </w:pPr>
            <w:r>
              <w:rPr/>
              <w:t> </w:t>
            </w:r>
          </w:p>
        </w:tc>
        <w:tc>
          <w:tcPr>
            <w:tcW w:w="5600" w:type="dxa"/>
            <w:tcBorders/>
            <w:vAlign w:val="center"/>
          </w:tcPr>
          <w:p>
            <w:pPr>
              <w:pStyle w:val="TableContents"/>
              <w:bidi w:val="0"/>
              <w:spacing w:before="0" w:after="283"/>
              <w:jc w:val="center"/>
              <w:rPr/>
            </w:pPr>
            <w:r>
              <w:rPr/>
              <w:t> </w:t>
            </w:r>
          </w:p>
        </w:tc>
        <w:tc>
          <w:tcPr>
            <w:tcW w:w="1940" w:type="dxa"/>
            <w:tcBorders/>
            <w:vAlign w:val="center"/>
          </w:tcPr>
          <w:p>
            <w:pPr>
              <w:pStyle w:val="TableContents"/>
              <w:bidi w:val="0"/>
              <w:spacing w:before="0" w:after="283"/>
              <w:jc w:val="center"/>
              <w:rPr/>
            </w:pPr>
            <w:r>
              <w:rPr/>
              <w:t> </w:t>
            </w:r>
          </w:p>
        </w:tc>
      </w:tr>
      <w:tr>
        <w:trPr/>
        <w:tc>
          <w:tcPr>
            <w:tcW w:w="2390" w:type="dxa"/>
            <w:tcBorders/>
            <w:vAlign w:val="center"/>
          </w:tcPr>
          <w:p>
            <w:pPr>
              <w:pStyle w:val="TableContents"/>
              <w:bidi w:val="0"/>
              <w:spacing w:before="0" w:after="283"/>
              <w:jc w:val="center"/>
              <w:rPr/>
            </w:pPr>
            <w:r>
              <w:rPr/>
              <w:t> </w:t>
            </w:r>
          </w:p>
        </w:tc>
        <w:tc>
          <w:tcPr>
            <w:tcW w:w="5600" w:type="dxa"/>
            <w:tcBorders/>
            <w:vAlign w:val="center"/>
          </w:tcPr>
          <w:p>
            <w:pPr>
              <w:pStyle w:val="TableContents"/>
              <w:bidi w:val="0"/>
              <w:spacing w:before="0" w:after="283"/>
              <w:jc w:val="center"/>
              <w:rPr/>
            </w:pPr>
            <w:r>
              <w:rPr/>
              <w:t> </w:t>
            </w:r>
          </w:p>
        </w:tc>
        <w:tc>
          <w:tcPr>
            <w:tcW w:w="1940" w:type="dxa"/>
            <w:tcBorders/>
            <w:vAlign w:val="center"/>
          </w:tcPr>
          <w:p>
            <w:pPr>
              <w:pStyle w:val="TableContents"/>
              <w:bidi w:val="0"/>
              <w:spacing w:before="0" w:after="283"/>
              <w:jc w:val="center"/>
              <w:rPr/>
            </w:pPr>
            <w:r>
              <w:rPr/>
              <w:t> </w:t>
            </w:r>
          </w:p>
        </w:tc>
      </w:tr>
      <w:tr>
        <w:trPr/>
        <w:tc>
          <w:tcPr>
            <w:tcW w:w="2390" w:type="dxa"/>
            <w:tcBorders>
              <w:bottom w:val="single" w:sz="8" w:space="0" w:color="000000"/>
            </w:tcBorders>
            <w:tcMar>
              <w:bottom w:w="28" w:type="dxa"/>
            </w:tcMar>
            <w:vAlign w:val="center"/>
          </w:tcPr>
          <w:p>
            <w:pPr>
              <w:pStyle w:val="TableContents"/>
              <w:bidi w:val="0"/>
              <w:spacing w:before="0" w:after="283"/>
              <w:jc w:val="center"/>
              <w:rPr/>
            </w:pPr>
            <w:r>
              <w:rPr/>
              <w:t>/s/ Suchi Sastri</w:t>
            </w:r>
          </w:p>
        </w:tc>
        <w:tc>
          <w:tcPr>
            <w:tcW w:w="5600" w:type="dxa"/>
            <w:tcBorders/>
            <w:vAlign w:val="center"/>
          </w:tcPr>
          <w:p>
            <w:pPr>
              <w:pStyle w:val="TableContents"/>
              <w:bidi w:val="0"/>
              <w:spacing w:before="0" w:after="283"/>
              <w:jc w:val="center"/>
              <w:rPr/>
            </w:pPr>
            <w:r>
              <w:rPr/>
              <w:t>Director</w:t>
            </w:r>
          </w:p>
        </w:tc>
        <w:tc>
          <w:tcPr>
            <w:tcW w:w="1940" w:type="dxa"/>
            <w:tcBorders/>
            <w:vAlign w:val="center"/>
          </w:tcPr>
          <w:p>
            <w:pPr>
              <w:pStyle w:val="TableContents"/>
              <w:bidi w:val="0"/>
              <w:spacing w:before="0" w:after="283"/>
              <w:jc w:val="center"/>
              <w:rPr/>
            </w:pPr>
            <w:r>
              <w:rPr/>
              <w:t>September 11, 2026</w:t>
            </w:r>
          </w:p>
        </w:tc>
      </w:tr>
      <w:tr>
        <w:trPr/>
        <w:tc>
          <w:tcPr>
            <w:tcW w:w="2390" w:type="dxa"/>
            <w:tcBorders/>
            <w:vAlign w:val="center"/>
          </w:tcPr>
          <w:p>
            <w:pPr>
              <w:pStyle w:val="TableContents"/>
              <w:bidi w:val="0"/>
              <w:spacing w:before="0" w:after="283"/>
              <w:jc w:val="center"/>
              <w:rPr/>
            </w:pPr>
            <w:r>
              <w:rPr/>
              <w:t>Suchi Sastri</w:t>
            </w:r>
          </w:p>
        </w:tc>
        <w:tc>
          <w:tcPr>
            <w:tcW w:w="5600" w:type="dxa"/>
            <w:tcBorders/>
            <w:vAlign w:val="center"/>
          </w:tcPr>
          <w:p>
            <w:pPr>
              <w:pStyle w:val="TableContents"/>
              <w:bidi w:val="0"/>
              <w:spacing w:before="0" w:after="283"/>
              <w:jc w:val="center"/>
              <w:rPr/>
            </w:pPr>
            <w:r>
              <w:rPr/>
              <w:t> </w:t>
            </w:r>
          </w:p>
        </w:tc>
        <w:tc>
          <w:tcPr>
            <w:tcW w:w="194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60" w:type="dxa"/>
          <w:left w:w="60" w:type="dxa"/>
          <w:bottom w:w="60" w:type="dxa"/>
          <w:right w:w="60" w:type="dxa"/>
        </w:tblCellMar>
      </w:tblPr>
      <w:tblGrid>
        <w:gridCol w:w="874"/>
        <w:gridCol w:w="6272"/>
        <w:gridCol w:w="665"/>
        <w:gridCol w:w="859"/>
        <w:gridCol w:w="815"/>
        <w:gridCol w:w="720"/>
      </w:tblGrid>
      <w:tr>
        <w:trPr/>
        <w:tc>
          <w:tcPr>
            <w:tcW w:w="7146" w:type="dxa"/>
            <w:gridSpan w:val="2"/>
            <w:tcBorders/>
            <w:vAlign w:val="center"/>
          </w:tcPr>
          <w:p>
            <w:pPr>
              <w:pStyle w:val="TableContents"/>
              <w:bidi w:val="0"/>
              <w:spacing w:before="0" w:after="283"/>
              <w:jc w:val="left"/>
              <w:rPr/>
            </w:pPr>
            <w:r>
              <w:rPr/>
              <w:t> </w:t>
            </w:r>
          </w:p>
        </w:tc>
        <w:tc>
          <w:tcPr>
            <w:tcW w:w="3059" w:type="dxa"/>
            <w:gridSpan w:val="4"/>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Incorporated by Reference </w:t>
            </w:r>
          </w:p>
        </w:tc>
      </w:tr>
      <w:tr>
        <w:trPr/>
        <w:tc>
          <w:tcPr>
            <w:tcW w:w="874"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 </w:t>
            </w:r>
          </w:p>
        </w:tc>
        <w:tc>
          <w:tcPr>
            <w:tcW w:w="6272"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w:t>
            </w:r>
          </w:p>
        </w:tc>
        <w:tc>
          <w:tcPr>
            <w:tcW w:w="66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w:t>
            </w:r>
          </w:p>
        </w:tc>
        <w:tc>
          <w:tcPr>
            <w:tcW w:w="859"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No. </w:t>
            </w:r>
          </w:p>
        </w:tc>
        <w:tc>
          <w:tcPr>
            <w:tcW w:w="81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w:t>
            </w:r>
          </w:p>
        </w:tc>
        <w:tc>
          <w:tcPr>
            <w:tcW w:w="72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w:t>
            </w:r>
          </w:p>
        </w:tc>
      </w:tr>
      <w:tr>
        <w:trPr/>
        <w:tc>
          <w:tcPr>
            <w:tcW w:w="874" w:type="dxa"/>
            <w:tcBorders/>
            <w:vAlign w:val="center"/>
          </w:tcPr>
          <w:p>
            <w:pPr>
              <w:pStyle w:val="TableContents"/>
              <w:bidi w:val="0"/>
              <w:spacing w:before="0" w:after="283"/>
              <w:jc w:val="center"/>
              <w:rPr/>
            </w:pPr>
            <w:hyperlink r:id="rId16">
              <w:r>
                <w:rPr>
                  <w:rStyle w:val="InternetLink"/>
                  <w:sz w:val="20"/>
                </w:rPr>
                <w:t>3.1</w:t>
              </w:r>
            </w:hyperlink>
          </w:p>
        </w:tc>
        <w:tc>
          <w:tcPr>
            <w:tcW w:w="6272" w:type="dxa"/>
            <w:tcBorders/>
            <w:vAlign w:val="center"/>
          </w:tcPr>
          <w:p>
            <w:pPr>
              <w:pStyle w:val="TableContents"/>
              <w:bidi w:val="0"/>
              <w:spacing w:before="0" w:after="283"/>
              <w:jc w:val="left"/>
              <w:rPr/>
            </w:pPr>
            <w:hyperlink r:id="rId17">
              <w:r>
                <w:rPr>
                  <w:rStyle w:val="InternetLink"/>
                  <w:sz w:val="20"/>
                </w:rPr>
                <w:t>Thirteenth Amended and Restated Certificate of Incorporation</w:t>
              </w:r>
            </w:hyperlink>
          </w:p>
        </w:tc>
        <w:tc>
          <w:tcPr>
            <w:tcW w:w="665" w:type="dxa"/>
            <w:tcBorders/>
            <w:vAlign w:val="center"/>
          </w:tcPr>
          <w:p>
            <w:pPr>
              <w:pStyle w:val="TableContents"/>
              <w:bidi w:val="0"/>
              <w:spacing w:before="0" w:after="283"/>
              <w:jc w:val="center"/>
              <w:rPr>
                <w:sz w:val="20"/>
              </w:rPr>
            </w:pPr>
            <w:r>
              <w:rPr>
                <w:sz w:val="20"/>
              </w:rPr>
              <w:t>8-K</w:t>
            </w:r>
          </w:p>
        </w:tc>
        <w:tc>
          <w:tcPr>
            <w:tcW w:w="859" w:type="dxa"/>
            <w:tcBorders/>
            <w:vAlign w:val="center"/>
          </w:tcPr>
          <w:p>
            <w:pPr>
              <w:pStyle w:val="TableContents"/>
              <w:bidi w:val="0"/>
              <w:spacing w:before="0" w:after="283"/>
              <w:jc w:val="center"/>
              <w:rPr>
                <w:sz w:val="20"/>
              </w:rPr>
            </w:pPr>
            <w:r>
              <w:rPr>
                <w:sz w:val="20"/>
              </w:rPr>
              <w:t>001-40958</w:t>
            </w:r>
          </w:p>
        </w:tc>
        <w:tc>
          <w:tcPr>
            <w:tcW w:w="815" w:type="dxa"/>
            <w:tcBorders/>
            <w:vAlign w:val="center"/>
          </w:tcPr>
          <w:p>
            <w:pPr>
              <w:pStyle w:val="TableContents"/>
              <w:bidi w:val="0"/>
              <w:spacing w:before="0" w:after="283"/>
              <w:jc w:val="center"/>
              <w:rPr>
                <w:sz w:val="20"/>
              </w:rPr>
            </w:pPr>
            <w:r>
              <w:rPr>
                <w:sz w:val="20"/>
              </w:rPr>
              <w:t>3.1</w:t>
            </w:r>
          </w:p>
        </w:tc>
        <w:tc>
          <w:tcPr>
            <w:tcW w:w="720" w:type="dxa"/>
            <w:tcBorders/>
            <w:vAlign w:val="center"/>
          </w:tcPr>
          <w:p>
            <w:pPr>
              <w:pStyle w:val="TableContents"/>
              <w:bidi w:val="0"/>
              <w:spacing w:before="0" w:after="283"/>
              <w:ind w:left="0" w:right="0" w:hanging="0"/>
              <w:jc w:val="center"/>
              <w:rPr>
                <w:sz w:val="20"/>
              </w:rPr>
            </w:pPr>
            <w:r>
              <w:rPr>
                <w:sz w:val="20"/>
              </w:rPr>
              <w:t>07/16/2026</w:t>
            </w:r>
          </w:p>
        </w:tc>
      </w:tr>
      <w:tr>
        <w:trPr/>
        <w:tc>
          <w:tcPr>
            <w:tcW w:w="874" w:type="dxa"/>
            <w:tcBorders/>
            <w:vAlign w:val="center"/>
          </w:tcPr>
          <w:p>
            <w:pPr>
              <w:pStyle w:val="TableContents"/>
              <w:bidi w:val="0"/>
              <w:spacing w:before="0" w:after="283"/>
              <w:jc w:val="center"/>
              <w:rPr/>
            </w:pPr>
            <w:hyperlink r:id="rId18">
              <w:r>
                <w:rPr>
                  <w:rStyle w:val="InternetLink"/>
                  <w:sz w:val="20"/>
                </w:rPr>
                <w:t>3.2</w:t>
              </w:r>
            </w:hyperlink>
          </w:p>
        </w:tc>
        <w:tc>
          <w:tcPr>
            <w:tcW w:w="6272" w:type="dxa"/>
            <w:tcBorders/>
            <w:vAlign w:val="center"/>
          </w:tcPr>
          <w:p>
            <w:pPr>
              <w:pStyle w:val="TableContents"/>
              <w:bidi w:val="0"/>
              <w:spacing w:before="0" w:after="283"/>
              <w:jc w:val="left"/>
              <w:rPr/>
            </w:pPr>
            <w:hyperlink r:id="rId19">
              <w:r>
                <w:rPr>
                  <w:rStyle w:val="InternetLink"/>
                  <w:sz w:val="20"/>
                </w:rPr>
                <w:t>Third Amended &amp; Restated By-Laws</w:t>
              </w:r>
            </w:hyperlink>
          </w:p>
        </w:tc>
        <w:tc>
          <w:tcPr>
            <w:tcW w:w="665" w:type="dxa"/>
            <w:tcBorders/>
            <w:vAlign w:val="center"/>
          </w:tcPr>
          <w:p>
            <w:pPr>
              <w:pStyle w:val="TableContents"/>
              <w:bidi w:val="0"/>
              <w:spacing w:before="0" w:after="283"/>
              <w:jc w:val="center"/>
              <w:rPr>
                <w:sz w:val="20"/>
              </w:rPr>
            </w:pPr>
            <w:r>
              <w:rPr>
                <w:sz w:val="20"/>
              </w:rPr>
              <w:t>8-K</w:t>
            </w:r>
          </w:p>
        </w:tc>
        <w:tc>
          <w:tcPr>
            <w:tcW w:w="859" w:type="dxa"/>
            <w:tcBorders/>
            <w:vAlign w:val="center"/>
          </w:tcPr>
          <w:p>
            <w:pPr>
              <w:pStyle w:val="TableContents"/>
              <w:bidi w:val="0"/>
              <w:spacing w:before="0" w:after="283"/>
              <w:jc w:val="center"/>
              <w:rPr>
                <w:sz w:val="20"/>
              </w:rPr>
            </w:pPr>
            <w:r>
              <w:rPr>
                <w:sz w:val="20"/>
              </w:rPr>
              <w:t>001-40958</w:t>
            </w:r>
          </w:p>
        </w:tc>
        <w:tc>
          <w:tcPr>
            <w:tcW w:w="815" w:type="dxa"/>
            <w:tcBorders/>
            <w:vAlign w:val="center"/>
          </w:tcPr>
          <w:p>
            <w:pPr>
              <w:pStyle w:val="TableContents"/>
              <w:bidi w:val="0"/>
              <w:spacing w:before="0" w:after="283"/>
              <w:jc w:val="center"/>
              <w:rPr>
                <w:sz w:val="20"/>
              </w:rPr>
            </w:pPr>
            <w:r>
              <w:rPr>
                <w:sz w:val="20"/>
              </w:rPr>
              <w:t>3.2</w:t>
            </w:r>
          </w:p>
        </w:tc>
        <w:tc>
          <w:tcPr>
            <w:tcW w:w="720" w:type="dxa"/>
            <w:tcBorders/>
            <w:vAlign w:val="center"/>
          </w:tcPr>
          <w:p>
            <w:pPr>
              <w:pStyle w:val="TableContents"/>
              <w:bidi w:val="0"/>
              <w:spacing w:before="0" w:after="283"/>
              <w:ind w:left="0" w:right="0" w:hanging="0"/>
              <w:jc w:val="center"/>
              <w:rPr>
                <w:sz w:val="20"/>
              </w:rPr>
            </w:pPr>
            <w:r>
              <w:rPr>
                <w:sz w:val="20"/>
              </w:rPr>
              <w:t>08/13/2026</w:t>
            </w:r>
          </w:p>
        </w:tc>
      </w:tr>
      <w:tr>
        <w:trPr/>
        <w:tc>
          <w:tcPr>
            <w:tcW w:w="874" w:type="dxa"/>
            <w:tcBorders/>
            <w:vAlign w:val="center"/>
          </w:tcPr>
          <w:p>
            <w:pPr>
              <w:pStyle w:val="TableContents"/>
              <w:bidi w:val="0"/>
              <w:spacing w:before="0" w:after="283"/>
              <w:jc w:val="center"/>
              <w:rPr/>
            </w:pPr>
            <w:r>
              <w:rPr/>
              <w:t>  </w:t>
            </w:r>
            <w:r>
              <w:rPr>
                <w:sz w:val="20"/>
              </w:rPr>
              <w:t>4.1*</w:t>
            </w:r>
          </w:p>
        </w:tc>
        <w:tc>
          <w:tcPr>
            <w:tcW w:w="6272" w:type="dxa"/>
            <w:tcBorders/>
            <w:vAlign w:val="center"/>
          </w:tcPr>
          <w:p>
            <w:pPr>
              <w:pStyle w:val="TableContents"/>
              <w:bidi w:val="0"/>
              <w:spacing w:before="0" w:after="283"/>
              <w:jc w:val="left"/>
              <w:rPr>
                <w:sz w:val="20"/>
              </w:rPr>
            </w:pPr>
            <w:r>
              <w:rPr>
                <w:sz w:val="20"/>
              </w:rPr>
              <w:t>Form of Rights Certificate</w:t>
            </w:r>
          </w:p>
        </w:tc>
        <w:tc>
          <w:tcPr>
            <w:tcW w:w="665" w:type="dxa"/>
            <w:tcBorders/>
            <w:vAlign w:val="center"/>
          </w:tcPr>
          <w:p>
            <w:pPr>
              <w:pStyle w:val="TableContents"/>
              <w:bidi w:val="0"/>
              <w:spacing w:before="0" w:after="283"/>
              <w:jc w:val="center"/>
              <w:rPr/>
            </w:pPr>
            <w:r>
              <w:rPr/>
              <w:t> </w:t>
            </w:r>
          </w:p>
        </w:tc>
        <w:tc>
          <w:tcPr>
            <w:tcW w:w="859" w:type="dxa"/>
            <w:tcBorders/>
            <w:vAlign w:val="center"/>
          </w:tcPr>
          <w:p>
            <w:pPr>
              <w:pStyle w:val="TableContents"/>
              <w:bidi w:val="0"/>
              <w:spacing w:before="0" w:after="283"/>
              <w:jc w:val="center"/>
              <w:rPr/>
            </w:pPr>
            <w:r>
              <w:rPr/>
              <w:t> </w:t>
            </w:r>
          </w:p>
        </w:tc>
        <w:tc>
          <w:tcPr>
            <w:tcW w:w="815" w:type="dxa"/>
            <w:tcBorders/>
            <w:vAlign w:val="center"/>
          </w:tcPr>
          <w:p>
            <w:pPr>
              <w:pStyle w:val="TableContents"/>
              <w:bidi w:val="0"/>
              <w:spacing w:before="0" w:after="283"/>
              <w:jc w:val="center"/>
              <w:rPr/>
            </w:pPr>
            <w:r>
              <w:rPr/>
              <w:t> </w:t>
            </w:r>
          </w:p>
        </w:tc>
        <w:tc>
          <w:tcPr>
            <w:tcW w:w="720" w:type="dxa"/>
            <w:tcBorders/>
            <w:vAlign w:val="center"/>
          </w:tcPr>
          <w:p>
            <w:pPr>
              <w:pStyle w:val="TableContents"/>
              <w:bidi w:val="0"/>
              <w:spacing w:before="0" w:after="283"/>
              <w:ind w:left="0" w:right="0" w:hanging="0"/>
              <w:jc w:val="center"/>
              <w:rPr/>
            </w:pPr>
            <w:r>
              <w:rPr/>
              <w:t> </w:t>
            </w:r>
          </w:p>
        </w:tc>
      </w:tr>
      <w:tr>
        <w:trPr/>
        <w:tc>
          <w:tcPr>
            <w:tcW w:w="874" w:type="dxa"/>
            <w:tcBorders/>
            <w:vAlign w:val="center"/>
          </w:tcPr>
          <w:p>
            <w:pPr>
              <w:pStyle w:val="TableContents"/>
              <w:bidi w:val="0"/>
              <w:spacing w:before="0" w:after="283"/>
              <w:jc w:val="center"/>
              <w:rPr/>
            </w:pPr>
            <w:hyperlink r:id="rId20">
              <w:r>
                <w:rPr>
                  <w:rStyle w:val="InternetLink"/>
                  <w:sz w:val="20"/>
                </w:rPr>
                <w:t>4.2</w:t>
              </w:r>
            </w:hyperlink>
          </w:p>
        </w:tc>
        <w:tc>
          <w:tcPr>
            <w:tcW w:w="6272" w:type="dxa"/>
            <w:tcBorders/>
            <w:vAlign w:val="center"/>
          </w:tcPr>
          <w:p>
            <w:pPr>
              <w:pStyle w:val="TableContents"/>
              <w:bidi w:val="0"/>
              <w:spacing w:before="0" w:after="283"/>
              <w:jc w:val="left"/>
              <w:rPr/>
            </w:pPr>
            <w:hyperlink r:id="rId21">
              <w:r>
                <w:rPr>
                  <w:rStyle w:val="InternetLink"/>
                  <w:sz w:val="20"/>
                </w:rPr>
                <w:t>Specimen Class A Common Stock Certificate</w:t>
              </w:r>
            </w:hyperlink>
          </w:p>
        </w:tc>
        <w:tc>
          <w:tcPr>
            <w:tcW w:w="665" w:type="dxa"/>
            <w:tcBorders/>
            <w:vAlign w:val="center"/>
          </w:tcPr>
          <w:p>
            <w:pPr>
              <w:pStyle w:val="TableContents"/>
              <w:bidi w:val="0"/>
              <w:spacing w:before="0" w:after="283"/>
              <w:jc w:val="center"/>
              <w:rPr>
                <w:sz w:val="20"/>
              </w:rPr>
            </w:pPr>
            <w:r>
              <w:rPr>
                <w:sz w:val="20"/>
              </w:rPr>
              <w:t>S-1</w:t>
            </w:r>
          </w:p>
        </w:tc>
        <w:tc>
          <w:tcPr>
            <w:tcW w:w="859" w:type="dxa"/>
            <w:tcBorders/>
            <w:vAlign w:val="center"/>
          </w:tcPr>
          <w:p>
            <w:pPr>
              <w:pStyle w:val="TableContents"/>
              <w:bidi w:val="0"/>
              <w:spacing w:before="0" w:after="283"/>
              <w:jc w:val="center"/>
              <w:rPr>
                <w:sz w:val="20"/>
              </w:rPr>
            </w:pPr>
            <w:r>
              <w:rPr>
                <w:sz w:val="20"/>
              </w:rPr>
              <w:t>333-260027</w:t>
            </w:r>
          </w:p>
        </w:tc>
        <w:tc>
          <w:tcPr>
            <w:tcW w:w="815" w:type="dxa"/>
            <w:tcBorders/>
            <w:vAlign w:val="center"/>
          </w:tcPr>
          <w:p>
            <w:pPr>
              <w:pStyle w:val="TableContents"/>
              <w:bidi w:val="0"/>
              <w:spacing w:before="0" w:after="283"/>
              <w:jc w:val="center"/>
              <w:rPr>
                <w:sz w:val="20"/>
              </w:rPr>
            </w:pPr>
            <w:r>
              <w:rPr>
                <w:sz w:val="20"/>
              </w:rPr>
              <w:t>4.1</w:t>
            </w:r>
          </w:p>
        </w:tc>
        <w:tc>
          <w:tcPr>
            <w:tcW w:w="720" w:type="dxa"/>
            <w:tcBorders/>
            <w:vAlign w:val="center"/>
          </w:tcPr>
          <w:p>
            <w:pPr>
              <w:pStyle w:val="TableContents"/>
              <w:bidi w:val="0"/>
              <w:spacing w:before="0" w:after="283"/>
              <w:ind w:left="0" w:right="0" w:hanging="0"/>
              <w:jc w:val="center"/>
              <w:rPr>
                <w:sz w:val="20"/>
              </w:rPr>
            </w:pPr>
            <w:r>
              <w:rPr>
                <w:sz w:val="20"/>
              </w:rPr>
              <w:t>10/04/2021</w:t>
            </w:r>
          </w:p>
        </w:tc>
      </w:tr>
      <w:tr>
        <w:trPr/>
        <w:tc>
          <w:tcPr>
            <w:tcW w:w="874" w:type="dxa"/>
            <w:tcBorders/>
            <w:vAlign w:val="center"/>
          </w:tcPr>
          <w:p>
            <w:pPr>
              <w:pStyle w:val="TableContents"/>
              <w:bidi w:val="0"/>
              <w:spacing w:before="0" w:after="283"/>
              <w:jc w:val="center"/>
              <w:rPr/>
            </w:pPr>
            <w:hyperlink r:id="rId22">
              <w:r>
                <w:rPr>
                  <w:rStyle w:val="InternetLink"/>
                  <w:sz w:val="20"/>
                </w:rPr>
                <w:t>4.3</w:t>
              </w:r>
            </w:hyperlink>
          </w:p>
        </w:tc>
        <w:tc>
          <w:tcPr>
            <w:tcW w:w="6272" w:type="dxa"/>
            <w:tcBorders/>
            <w:vAlign w:val="center"/>
          </w:tcPr>
          <w:p>
            <w:pPr>
              <w:pStyle w:val="TableContents"/>
              <w:bidi w:val="0"/>
              <w:spacing w:before="0" w:after="283"/>
              <w:jc w:val="left"/>
              <w:rPr/>
            </w:pPr>
            <w:hyperlink r:id="rId23">
              <w:r>
                <w:rPr>
                  <w:rStyle w:val="InternetLink"/>
                  <w:sz w:val="20"/>
                </w:rPr>
                <w:t>Eighth Amended and Restated Investors’ Rights Agreement, dated April 30, 2020, by and among Rent the Runway, Inc. and certain of its stockholders, as amended</w:t>
              </w:r>
            </w:hyperlink>
          </w:p>
        </w:tc>
        <w:tc>
          <w:tcPr>
            <w:tcW w:w="665" w:type="dxa"/>
            <w:tcBorders/>
            <w:vAlign w:val="center"/>
          </w:tcPr>
          <w:p>
            <w:pPr>
              <w:pStyle w:val="TableContents"/>
              <w:bidi w:val="0"/>
              <w:spacing w:before="0" w:after="283"/>
              <w:jc w:val="center"/>
              <w:rPr>
                <w:sz w:val="20"/>
              </w:rPr>
            </w:pPr>
            <w:r>
              <w:rPr>
                <w:sz w:val="20"/>
              </w:rPr>
              <w:t>S-1</w:t>
            </w:r>
          </w:p>
        </w:tc>
        <w:tc>
          <w:tcPr>
            <w:tcW w:w="859" w:type="dxa"/>
            <w:tcBorders/>
            <w:vAlign w:val="center"/>
          </w:tcPr>
          <w:p>
            <w:pPr>
              <w:pStyle w:val="TableContents"/>
              <w:bidi w:val="0"/>
              <w:spacing w:before="0" w:after="283"/>
              <w:jc w:val="center"/>
              <w:rPr>
                <w:sz w:val="20"/>
              </w:rPr>
            </w:pPr>
            <w:r>
              <w:rPr>
                <w:sz w:val="20"/>
              </w:rPr>
              <w:t>333-260027</w:t>
            </w:r>
          </w:p>
        </w:tc>
        <w:tc>
          <w:tcPr>
            <w:tcW w:w="815" w:type="dxa"/>
            <w:tcBorders/>
            <w:vAlign w:val="center"/>
          </w:tcPr>
          <w:p>
            <w:pPr>
              <w:pStyle w:val="TableContents"/>
              <w:bidi w:val="0"/>
              <w:spacing w:before="0" w:after="283"/>
              <w:jc w:val="center"/>
              <w:rPr>
                <w:sz w:val="20"/>
              </w:rPr>
            </w:pPr>
            <w:r>
              <w:rPr>
                <w:sz w:val="20"/>
              </w:rPr>
              <w:t>4.2</w:t>
            </w:r>
          </w:p>
        </w:tc>
        <w:tc>
          <w:tcPr>
            <w:tcW w:w="720" w:type="dxa"/>
            <w:tcBorders/>
            <w:vAlign w:val="center"/>
          </w:tcPr>
          <w:p>
            <w:pPr>
              <w:pStyle w:val="TableContents"/>
              <w:bidi w:val="0"/>
              <w:spacing w:before="0" w:after="283"/>
              <w:ind w:left="0" w:right="0" w:hanging="0"/>
              <w:jc w:val="center"/>
              <w:rPr>
                <w:sz w:val="20"/>
              </w:rPr>
            </w:pPr>
            <w:r>
              <w:rPr>
                <w:sz w:val="20"/>
              </w:rPr>
              <w:t>10/04/2021</w:t>
            </w:r>
          </w:p>
        </w:tc>
      </w:tr>
      <w:tr>
        <w:trPr/>
        <w:tc>
          <w:tcPr>
            <w:tcW w:w="874" w:type="dxa"/>
            <w:tcBorders/>
            <w:vAlign w:val="center"/>
          </w:tcPr>
          <w:p>
            <w:pPr>
              <w:pStyle w:val="TableContents"/>
              <w:bidi w:val="0"/>
              <w:spacing w:before="0" w:after="283"/>
              <w:jc w:val="center"/>
              <w:rPr/>
            </w:pPr>
            <w:hyperlink w:anchor="dp253177_ex0501.htm">
              <w:r>
                <w:rPr>
                  <w:rStyle w:val="InternetLink"/>
                  <w:sz w:val="20"/>
                </w:rPr>
                <w:t>5.1</w:t>
              </w:r>
            </w:hyperlink>
          </w:p>
        </w:tc>
        <w:tc>
          <w:tcPr>
            <w:tcW w:w="6272" w:type="dxa"/>
            <w:tcBorders/>
            <w:vAlign w:val="center"/>
          </w:tcPr>
          <w:p>
            <w:pPr>
              <w:pStyle w:val="TableContents"/>
              <w:bidi w:val="0"/>
              <w:spacing w:before="0" w:after="283"/>
              <w:jc w:val="left"/>
              <w:rPr/>
            </w:pPr>
            <w:hyperlink w:anchor="dp253177_ex0501.htm">
              <w:r>
                <w:rPr>
                  <w:rStyle w:val="InternetLink"/>
                  <w:sz w:val="20"/>
                </w:rPr>
                <w:t>Opinion of Davis Polk &amp; Wardwell LLP</w:t>
              </w:r>
            </w:hyperlink>
          </w:p>
        </w:tc>
        <w:tc>
          <w:tcPr>
            <w:tcW w:w="665" w:type="dxa"/>
            <w:tcBorders/>
            <w:vAlign w:val="center"/>
          </w:tcPr>
          <w:p>
            <w:pPr>
              <w:pStyle w:val="TableContents"/>
              <w:bidi w:val="0"/>
              <w:spacing w:before="0" w:after="283"/>
              <w:jc w:val="center"/>
              <w:rPr/>
            </w:pPr>
            <w:r>
              <w:rPr/>
              <w:t> </w:t>
            </w:r>
          </w:p>
        </w:tc>
        <w:tc>
          <w:tcPr>
            <w:tcW w:w="859" w:type="dxa"/>
            <w:tcBorders/>
            <w:vAlign w:val="center"/>
          </w:tcPr>
          <w:p>
            <w:pPr>
              <w:pStyle w:val="TableContents"/>
              <w:bidi w:val="0"/>
              <w:spacing w:before="0" w:after="283"/>
              <w:jc w:val="center"/>
              <w:rPr/>
            </w:pPr>
            <w:r>
              <w:rPr/>
              <w:t> </w:t>
            </w:r>
          </w:p>
        </w:tc>
        <w:tc>
          <w:tcPr>
            <w:tcW w:w="815" w:type="dxa"/>
            <w:tcBorders/>
            <w:vAlign w:val="center"/>
          </w:tcPr>
          <w:p>
            <w:pPr>
              <w:pStyle w:val="TableContents"/>
              <w:bidi w:val="0"/>
              <w:spacing w:before="0" w:after="283"/>
              <w:jc w:val="center"/>
              <w:rPr/>
            </w:pPr>
            <w:r>
              <w:rPr/>
              <w:t> </w:t>
            </w:r>
          </w:p>
        </w:tc>
        <w:tc>
          <w:tcPr>
            <w:tcW w:w="720" w:type="dxa"/>
            <w:tcBorders/>
            <w:vAlign w:val="center"/>
          </w:tcPr>
          <w:p>
            <w:pPr>
              <w:pStyle w:val="TableContents"/>
              <w:bidi w:val="0"/>
              <w:spacing w:before="0" w:after="283"/>
              <w:ind w:left="0" w:right="0" w:hanging="0"/>
              <w:jc w:val="center"/>
              <w:rPr/>
            </w:pPr>
            <w:r>
              <w:rPr/>
              <w:t> </w:t>
            </w:r>
          </w:p>
        </w:tc>
      </w:tr>
      <w:tr>
        <w:trPr/>
        <w:tc>
          <w:tcPr>
            <w:tcW w:w="874" w:type="dxa"/>
            <w:tcBorders/>
            <w:vAlign w:val="center"/>
          </w:tcPr>
          <w:p>
            <w:pPr>
              <w:pStyle w:val="TableContents"/>
              <w:bidi w:val="0"/>
              <w:spacing w:before="0" w:after="283"/>
              <w:jc w:val="center"/>
              <w:rPr/>
            </w:pPr>
            <w:hyperlink r:id="rId24">
              <w:r>
                <w:rPr>
                  <w:rStyle w:val="InternetLink"/>
                  <w:sz w:val="20"/>
                </w:rPr>
                <w:t>10.1+</w:t>
              </w:r>
            </w:hyperlink>
          </w:p>
        </w:tc>
        <w:tc>
          <w:tcPr>
            <w:tcW w:w="6272" w:type="dxa"/>
            <w:tcBorders/>
            <w:vAlign w:val="center"/>
          </w:tcPr>
          <w:p>
            <w:pPr>
              <w:pStyle w:val="TableContents"/>
              <w:bidi w:val="0"/>
              <w:spacing w:before="0" w:after="283"/>
              <w:jc w:val="left"/>
              <w:rPr/>
            </w:pPr>
            <w:hyperlink r:id="rId25">
              <w:r>
                <w:rPr>
                  <w:rStyle w:val="InternetLink"/>
                  <w:sz w:val="20"/>
                </w:rPr>
                <w:t>2009 Stock Incentive Plan</w:t>
              </w:r>
            </w:hyperlink>
          </w:p>
        </w:tc>
        <w:tc>
          <w:tcPr>
            <w:tcW w:w="665" w:type="dxa"/>
            <w:tcBorders/>
            <w:vAlign w:val="center"/>
          </w:tcPr>
          <w:p>
            <w:pPr>
              <w:pStyle w:val="TableContents"/>
              <w:bidi w:val="0"/>
              <w:spacing w:before="0" w:after="283"/>
              <w:jc w:val="center"/>
              <w:rPr>
                <w:sz w:val="20"/>
              </w:rPr>
            </w:pPr>
            <w:r>
              <w:rPr>
                <w:sz w:val="20"/>
              </w:rPr>
              <w:t>S-1/A</w:t>
            </w:r>
          </w:p>
        </w:tc>
        <w:tc>
          <w:tcPr>
            <w:tcW w:w="859" w:type="dxa"/>
            <w:tcBorders/>
            <w:vAlign w:val="center"/>
          </w:tcPr>
          <w:p>
            <w:pPr>
              <w:pStyle w:val="TableContents"/>
              <w:bidi w:val="0"/>
              <w:spacing w:before="0" w:after="283"/>
              <w:jc w:val="center"/>
              <w:rPr>
                <w:sz w:val="20"/>
              </w:rPr>
            </w:pPr>
            <w:r>
              <w:rPr>
                <w:sz w:val="20"/>
              </w:rPr>
              <w:t>333-260027</w:t>
            </w:r>
          </w:p>
        </w:tc>
        <w:tc>
          <w:tcPr>
            <w:tcW w:w="815" w:type="dxa"/>
            <w:tcBorders/>
            <w:vAlign w:val="center"/>
          </w:tcPr>
          <w:p>
            <w:pPr>
              <w:pStyle w:val="TableContents"/>
              <w:bidi w:val="0"/>
              <w:spacing w:before="0" w:after="283"/>
              <w:jc w:val="center"/>
              <w:rPr>
                <w:sz w:val="20"/>
              </w:rPr>
            </w:pPr>
            <w:r>
              <w:rPr>
                <w:sz w:val="20"/>
              </w:rPr>
              <w:t>10.2</w:t>
            </w:r>
          </w:p>
        </w:tc>
        <w:tc>
          <w:tcPr>
            <w:tcW w:w="720" w:type="dxa"/>
            <w:tcBorders/>
            <w:vAlign w:val="center"/>
          </w:tcPr>
          <w:p>
            <w:pPr>
              <w:pStyle w:val="TableContents"/>
              <w:bidi w:val="0"/>
              <w:spacing w:before="0" w:after="283"/>
              <w:ind w:left="0" w:right="0" w:hanging="0"/>
              <w:jc w:val="center"/>
              <w:rPr>
                <w:sz w:val="20"/>
              </w:rPr>
            </w:pPr>
            <w:r>
              <w:rPr>
                <w:sz w:val="20"/>
              </w:rPr>
              <w:t>10/18/2021</w:t>
            </w:r>
          </w:p>
        </w:tc>
      </w:tr>
      <w:tr>
        <w:trPr/>
        <w:tc>
          <w:tcPr>
            <w:tcW w:w="874" w:type="dxa"/>
            <w:tcBorders/>
            <w:vAlign w:val="center"/>
          </w:tcPr>
          <w:p>
            <w:pPr>
              <w:pStyle w:val="TableContents"/>
              <w:bidi w:val="0"/>
              <w:spacing w:before="0" w:after="283"/>
              <w:jc w:val="center"/>
              <w:rPr/>
            </w:pPr>
            <w:hyperlink r:id="rId26">
              <w:r>
                <w:rPr>
                  <w:rStyle w:val="InternetLink"/>
                  <w:sz w:val="20"/>
                </w:rPr>
                <w:t>10.2+</w:t>
              </w:r>
            </w:hyperlink>
          </w:p>
        </w:tc>
        <w:tc>
          <w:tcPr>
            <w:tcW w:w="6272" w:type="dxa"/>
            <w:tcBorders/>
            <w:vAlign w:val="center"/>
          </w:tcPr>
          <w:p>
            <w:pPr>
              <w:pStyle w:val="TableContents"/>
              <w:bidi w:val="0"/>
              <w:spacing w:before="0" w:after="283"/>
              <w:jc w:val="left"/>
              <w:rPr/>
            </w:pPr>
            <w:hyperlink r:id="rId27">
              <w:r>
                <w:rPr>
                  <w:rStyle w:val="InternetLink"/>
                  <w:sz w:val="20"/>
                </w:rPr>
                <w:t>2019 Stock Incentive Plan</w:t>
              </w:r>
            </w:hyperlink>
          </w:p>
        </w:tc>
        <w:tc>
          <w:tcPr>
            <w:tcW w:w="665" w:type="dxa"/>
            <w:tcBorders/>
            <w:vAlign w:val="center"/>
          </w:tcPr>
          <w:p>
            <w:pPr>
              <w:pStyle w:val="TableContents"/>
              <w:bidi w:val="0"/>
              <w:spacing w:before="0" w:after="283"/>
              <w:jc w:val="center"/>
              <w:rPr>
                <w:sz w:val="20"/>
              </w:rPr>
            </w:pPr>
            <w:r>
              <w:rPr>
                <w:sz w:val="20"/>
              </w:rPr>
              <w:t>S-1/A</w:t>
            </w:r>
          </w:p>
        </w:tc>
        <w:tc>
          <w:tcPr>
            <w:tcW w:w="859" w:type="dxa"/>
            <w:tcBorders/>
            <w:vAlign w:val="center"/>
          </w:tcPr>
          <w:p>
            <w:pPr>
              <w:pStyle w:val="TableContents"/>
              <w:bidi w:val="0"/>
              <w:spacing w:before="0" w:after="283"/>
              <w:jc w:val="center"/>
              <w:rPr>
                <w:sz w:val="20"/>
              </w:rPr>
            </w:pPr>
            <w:r>
              <w:rPr>
                <w:sz w:val="20"/>
              </w:rPr>
              <w:t>333-260027</w:t>
            </w:r>
          </w:p>
        </w:tc>
        <w:tc>
          <w:tcPr>
            <w:tcW w:w="815" w:type="dxa"/>
            <w:tcBorders/>
            <w:vAlign w:val="center"/>
          </w:tcPr>
          <w:p>
            <w:pPr>
              <w:pStyle w:val="TableContents"/>
              <w:bidi w:val="0"/>
              <w:spacing w:before="0" w:after="283"/>
              <w:jc w:val="center"/>
              <w:rPr>
                <w:sz w:val="20"/>
              </w:rPr>
            </w:pPr>
            <w:r>
              <w:rPr>
                <w:sz w:val="20"/>
              </w:rPr>
              <w:t>10.5</w:t>
            </w:r>
          </w:p>
        </w:tc>
        <w:tc>
          <w:tcPr>
            <w:tcW w:w="720" w:type="dxa"/>
            <w:tcBorders/>
            <w:vAlign w:val="center"/>
          </w:tcPr>
          <w:p>
            <w:pPr>
              <w:pStyle w:val="TableContents"/>
              <w:bidi w:val="0"/>
              <w:spacing w:before="0" w:after="283"/>
              <w:ind w:left="0" w:right="0" w:hanging="0"/>
              <w:jc w:val="center"/>
              <w:rPr>
                <w:sz w:val="20"/>
              </w:rPr>
            </w:pPr>
            <w:r>
              <w:rPr>
                <w:sz w:val="20"/>
              </w:rPr>
              <w:t>10/18/2021</w:t>
            </w:r>
          </w:p>
        </w:tc>
      </w:tr>
      <w:tr>
        <w:trPr/>
        <w:tc>
          <w:tcPr>
            <w:tcW w:w="874" w:type="dxa"/>
            <w:tcBorders/>
            <w:vAlign w:val="center"/>
          </w:tcPr>
          <w:p>
            <w:pPr>
              <w:pStyle w:val="TableContents"/>
              <w:bidi w:val="0"/>
              <w:spacing w:before="0" w:after="283"/>
              <w:jc w:val="center"/>
              <w:rPr/>
            </w:pPr>
            <w:hyperlink r:id="rId28">
              <w:r>
                <w:rPr>
                  <w:rStyle w:val="InternetLink"/>
                  <w:sz w:val="20"/>
                </w:rPr>
                <w:t>10.3+</w:t>
              </w:r>
            </w:hyperlink>
          </w:p>
        </w:tc>
        <w:tc>
          <w:tcPr>
            <w:tcW w:w="6272" w:type="dxa"/>
            <w:tcBorders/>
            <w:vAlign w:val="center"/>
          </w:tcPr>
          <w:p>
            <w:pPr>
              <w:pStyle w:val="TableContents"/>
              <w:bidi w:val="0"/>
              <w:spacing w:before="0" w:after="283"/>
              <w:jc w:val="left"/>
              <w:rPr/>
            </w:pPr>
            <w:hyperlink r:id="rId29">
              <w:r>
                <w:rPr>
                  <w:rStyle w:val="InternetLink"/>
                  <w:sz w:val="20"/>
                </w:rPr>
                <w:t>Amended and Restated 2021 Incentive Award Plan</w:t>
              </w:r>
            </w:hyperlink>
            <w:r>
              <w:rPr>
                <w:sz w:val="20"/>
              </w:rPr>
              <w:t xml:space="preserve"> </w:t>
            </w:r>
          </w:p>
        </w:tc>
        <w:tc>
          <w:tcPr>
            <w:tcW w:w="665" w:type="dxa"/>
            <w:tcBorders/>
            <w:vAlign w:val="center"/>
          </w:tcPr>
          <w:p>
            <w:pPr>
              <w:pStyle w:val="TableContents"/>
              <w:bidi w:val="0"/>
              <w:spacing w:before="0" w:after="283"/>
              <w:jc w:val="center"/>
              <w:rPr>
                <w:sz w:val="20"/>
              </w:rPr>
            </w:pPr>
            <w:r>
              <w:rPr>
                <w:sz w:val="20"/>
              </w:rPr>
              <w:t>S-1/A</w:t>
            </w:r>
          </w:p>
        </w:tc>
        <w:tc>
          <w:tcPr>
            <w:tcW w:w="859" w:type="dxa"/>
            <w:tcBorders/>
            <w:vAlign w:val="center"/>
          </w:tcPr>
          <w:p>
            <w:pPr>
              <w:pStyle w:val="TableContents"/>
              <w:bidi w:val="0"/>
              <w:spacing w:before="0" w:after="283"/>
              <w:jc w:val="center"/>
              <w:rPr>
                <w:sz w:val="20"/>
              </w:rPr>
            </w:pPr>
            <w:r>
              <w:rPr>
                <w:sz w:val="20"/>
              </w:rPr>
              <w:t>333-260027</w:t>
            </w:r>
          </w:p>
        </w:tc>
        <w:tc>
          <w:tcPr>
            <w:tcW w:w="815" w:type="dxa"/>
            <w:tcBorders/>
            <w:vAlign w:val="center"/>
          </w:tcPr>
          <w:p>
            <w:pPr>
              <w:pStyle w:val="TableContents"/>
              <w:bidi w:val="0"/>
              <w:spacing w:before="0" w:after="283"/>
              <w:jc w:val="center"/>
              <w:rPr>
                <w:sz w:val="20"/>
              </w:rPr>
            </w:pPr>
            <w:r>
              <w:rPr>
                <w:sz w:val="20"/>
              </w:rPr>
              <w:t>10.9</w:t>
            </w:r>
          </w:p>
        </w:tc>
        <w:tc>
          <w:tcPr>
            <w:tcW w:w="720" w:type="dxa"/>
            <w:tcBorders/>
            <w:vAlign w:val="center"/>
          </w:tcPr>
          <w:p>
            <w:pPr>
              <w:pStyle w:val="TableContents"/>
              <w:bidi w:val="0"/>
              <w:spacing w:before="0" w:after="283"/>
              <w:ind w:left="0" w:right="0" w:hanging="0"/>
              <w:jc w:val="center"/>
              <w:rPr>
                <w:sz w:val="20"/>
              </w:rPr>
            </w:pPr>
            <w:r>
              <w:rPr>
                <w:sz w:val="20"/>
              </w:rPr>
              <w:t>10/22/2021</w:t>
            </w:r>
          </w:p>
        </w:tc>
      </w:tr>
      <w:tr>
        <w:trPr/>
        <w:tc>
          <w:tcPr>
            <w:tcW w:w="874" w:type="dxa"/>
            <w:tcBorders/>
            <w:vAlign w:val="center"/>
          </w:tcPr>
          <w:p>
            <w:pPr>
              <w:pStyle w:val="TableContents"/>
              <w:bidi w:val="0"/>
              <w:spacing w:before="0" w:after="283"/>
              <w:jc w:val="center"/>
              <w:rPr/>
            </w:pPr>
            <w:hyperlink r:id="rId30">
              <w:r>
                <w:rPr>
                  <w:rStyle w:val="InternetLink"/>
                  <w:sz w:val="20"/>
                </w:rPr>
                <w:t>10.4+</w:t>
              </w:r>
            </w:hyperlink>
          </w:p>
        </w:tc>
        <w:tc>
          <w:tcPr>
            <w:tcW w:w="6272" w:type="dxa"/>
            <w:tcBorders/>
            <w:vAlign w:val="center"/>
          </w:tcPr>
          <w:p>
            <w:pPr>
              <w:pStyle w:val="TableContents"/>
              <w:bidi w:val="0"/>
              <w:spacing w:before="0" w:after="283"/>
              <w:jc w:val="left"/>
              <w:rPr/>
            </w:pPr>
            <w:hyperlink r:id="rId31">
              <w:r>
                <w:rPr>
                  <w:rStyle w:val="InternetLink"/>
                  <w:sz w:val="20"/>
                </w:rPr>
                <w:t>Second Amended and Restated 2021 Incentive Award Plan</w:t>
              </w:r>
            </w:hyperlink>
          </w:p>
        </w:tc>
        <w:tc>
          <w:tcPr>
            <w:tcW w:w="665" w:type="dxa"/>
            <w:tcBorders/>
            <w:vAlign w:val="center"/>
          </w:tcPr>
          <w:p>
            <w:pPr>
              <w:pStyle w:val="TableContents"/>
              <w:bidi w:val="0"/>
              <w:spacing w:before="0" w:after="283"/>
              <w:jc w:val="center"/>
              <w:rPr>
                <w:sz w:val="20"/>
              </w:rPr>
            </w:pPr>
            <w:r>
              <w:rPr>
                <w:sz w:val="20"/>
              </w:rPr>
              <w:t>S-8</w:t>
            </w:r>
          </w:p>
        </w:tc>
        <w:tc>
          <w:tcPr>
            <w:tcW w:w="859" w:type="dxa"/>
            <w:tcBorders/>
            <w:vAlign w:val="center"/>
          </w:tcPr>
          <w:p>
            <w:pPr>
              <w:pStyle w:val="TableContents"/>
              <w:bidi w:val="0"/>
              <w:spacing w:before="0" w:after="283"/>
              <w:jc w:val="center"/>
              <w:rPr>
                <w:sz w:val="20"/>
              </w:rPr>
            </w:pPr>
            <w:r>
              <w:rPr>
                <w:sz w:val="20"/>
              </w:rPr>
              <w:t>33-291155</w:t>
            </w:r>
          </w:p>
        </w:tc>
        <w:tc>
          <w:tcPr>
            <w:tcW w:w="815" w:type="dxa"/>
            <w:tcBorders/>
            <w:vAlign w:val="center"/>
          </w:tcPr>
          <w:p>
            <w:pPr>
              <w:pStyle w:val="TableContents"/>
              <w:bidi w:val="0"/>
              <w:spacing w:before="0" w:after="283"/>
              <w:jc w:val="center"/>
              <w:rPr>
                <w:sz w:val="20"/>
              </w:rPr>
            </w:pPr>
            <w:r>
              <w:rPr>
                <w:sz w:val="20"/>
              </w:rPr>
              <w:t>99.1</w:t>
            </w:r>
          </w:p>
        </w:tc>
        <w:tc>
          <w:tcPr>
            <w:tcW w:w="720" w:type="dxa"/>
            <w:tcBorders/>
            <w:vAlign w:val="center"/>
          </w:tcPr>
          <w:p>
            <w:pPr>
              <w:pStyle w:val="TableContents"/>
              <w:bidi w:val="0"/>
              <w:spacing w:before="0" w:after="283"/>
              <w:ind w:left="0" w:right="0" w:hanging="0"/>
              <w:jc w:val="center"/>
              <w:rPr>
                <w:sz w:val="20"/>
              </w:rPr>
            </w:pPr>
            <w:r>
              <w:rPr>
                <w:sz w:val="20"/>
              </w:rPr>
              <w:t>10/29/2025</w:t>
            </w:r>
          </w:p>
        </w:tc>
      </w:tr>
      <w:tr>
        <w:trPr/>
        <w:tc>
          <w:tcPr>
            <w:tcW w:w="874" w:type="dxa"/>
            <w:tcBorders/>
            <w:vAlign w:val="center"/>
          </w:tcPr>
          <w:p>
            <w:pPr>
              <w:pStyle w:val="TableContents"/>
              <w:bidi w:val="0"/>
              <w:spacing w:before="0" w:after="283"/>
              <w:jc w:val="center"/>
              <w:rPr/>
            </w:pPr>
            <w:hyperlink r:id="rId32">
              <w:r>
                <w:rPr>
                  <w:rStyle w:val="InternetLink"/>
                  <w:sz w:val="20"/>
                </w:rPr>
                <w:t>10.5+</w:t>
              </w:r>
            </w:hyperlink>
          </w:p>
        </w:tc>
        <w:tc>
          <w:tcPr>
            <w:tcW w:w="6272" w:type="dxa"/>
            <w:tcBorders/>
            <w:vAlign w:val="center"/>
          </w:tcPr>
          <w:p>
            <w:pPr>
              <w:pStyle w:val="TableContents"/>
              <w:bidi w:val="0"/>
              <w:spacing w:before="0" w:after="283"/>
              <w:jc w:val="left"/>
              <w:rPr/>
            </w:pPr>
            <w:hyperlink r:id="rId33">
              <w:r>
                <w:rPr>
                  <w:rStyle w:val="InternetLink"/>
                  <w:sz w:val="20"/>
                </w:rPr>
                <w:t>First Amendment to Second Amended and Restated 2021 Incentive Award Plan</w:t>
              </w:r>
            </w:hyperlink>
          </w:p>
        </w:tc>
        <w:tc>
          <w:tcPr>
            <w:tcW w:w="665" w:type="dxa"/>
            <w:tcBorders/>
            <w:vAlign w:val="center"/>
          </w:tcPr>
          <w:p>
            <w:pPr>
              <w:pStyle w:val="TableContents"/>
              <w:bidi w:val="0"/>
              <w:spacing w:before="0" w:after="283"/>
              <w:jc w:val="center"/>
              <w:rPr>
                <w:sz w:val="20"/>
              </w:rPr>
            </w:pPr>
            <w:r>
              <w:rPr>
                <w:sz w:val="20"/>
              </w:rPr>
              <w:t>S-8</w:t>
            </w:r>
          </w:p>
        </w:tc>
        <w:tc>
          <w:tcPr>
            <w:tcW w:w="859" w:type="dxa"/>
            <w:tcBorders/>
            <w:vAlign w:val="center"/>
          </w:tcPr>
          <w:p>
            <w:pPr>
              <w:pStyle w:val="TableContents"/>
              <w:bidi w:val="0"/>
              <w:spacing w:before="0" w:after="283"/>
              <w:jc w:val="center"/>
              <w:rPr>
                <w:sz w:val="20"/>
              </w:rPr>
            </w:pPr>
            <w:r>
              <w:rPr>
                <w:sz w:val="20"/>
              </w:rPr>
              <w:t>33-291155</w:t>
            </w:r>
          </w:p>
        </w:tc>
        <w:tc>
          <w:tcPr>
            <w:tcW w:w="815" w:type="dxa"/>
            <w:tcBorders/>
            <w:vAlign w:val="center"/>
          </w:tcPr>
          <w:p>
            <w:pPr>
              <w:pStyle w:val="TableContents"/>
              <w:bidi w:val="0"/>
              <w:spacing w:before="0" w:after="283"/>
              <w:jc w:val="center"/>
              <w:rPr>
                <w:sz w:val="20"/>
              </w:rPr>
            </w:pPr>
            <w:r>
              <w:rPr>
                <w:sz w:val="20"/>
              </w:rPr>
              <w:t>99.2</w:t>
            </w:r>
          </w:p>
        </w:tc>
        <w:tc>
          <w:tcPr>
            <w:tcW w:w="720" w:type="dxa"/>
            <w:tcBorders/>
            <w:vAlign w:val="center"/>
          </w:tcPr>
          <w:p>
            <w:pPr>
              <w:pStyle w:val="TableContents"/>
              <w:bidi w:val="0"/>
              <w:spacing w:before="0" w:after="283"/>
              <w:ind w:left="0" w:right="0" w:hanging="0"/>
              <w:jc w:val="center"/>
              <w:rPr>
                <w:sz w:val="20"/>
              </w:rPr>
            </w:pPr>
            <w:r>
              <w:rPr>
                <w:sz w:val="20"/>
              </w:rPr>
              <w:t>12/15/2025</w:t>
            </w:r>
          </w:p>
        </w:tc>
      </w:tr>
      <w:tr>
        <w:trPr/>
        <w:tc>
          <w:tcPr>
            <w:tcW w:w="874" w:type="dxa"/>
            <w:tcBorders/>
            <w:vAlign w:val="center"/>
          </w:tcPr>
          <w:p>
            <w:pPr>
              <w:pStyle w:val="TableContents"/>
              <w:bidi w:val="0"/>
              <w:spacing w:before="0" w:after="283"/>
              <w:jc w:val="center"/>
              <w:rPr/>
            </w:pPr>
            <w:hyperlink r:id="rId34">
              <w:r>
                <w:rPr>
                  <w:rStyle w:val="InternetLink"/>
                  <w:sz w:val="20"/>
                </w:rPr>
                <w:t>10.6+</w:t>
              </w:r>
            </w:hyperlink>
          </w:p>
        </w:tc>
        <w:tc>
          <w:tcPr>
            <w:tcW w:w="6272" w:type="dxa"/>
            <w:tcBorders/>
            <w:vAlign w:val="center"/>
          </w:tcPr>
          <w:p>
            <w:pPr>
              <w:pStyle w:val="TableContents"/>
              <w:bidi w:val="0"/>
              <w:spacing w:before="0" w:after="283"/>
              <w:jc w:val="left"/>
              <w:rPr/>
            </w:pPr>
            <w:hyperlink r:id="rId35">
              <w:r>
                <w:rPr>
                  <w:rStyle w:val="InternetLink"/>
                  <w:sz w:val="20"/>
                </w:rPr>
                <w:t>Form of Indemnification Agreement between the Company and each of its directors and executive officers</w:t>
              </w:r>
            </w:hyperlink>
          </w:p>
        </w:tc>
        <w:tc>
          <w:tcPr>
            <w:tcW w:w="665" w:type="dxa"/>
            <w:tcBorders/>
            <w:vAlign w:val="center"/>
          </w:tcPr>
          <w:p>
            <w:pPr>
              <w:pStyle w:val="TableContents"/>
              <w:bidi w:val="0"/>
              <w:spacing w:before="0" w:after="283"/>
              <w:jc w:val="center"/>
              <w:rPr>
                <w:sz w:val="20"/>
              </w:rPr>
            </w:pPr>
            <w:r>
              <w:rPr>
                <w:sz w:val="20"/>
              </w:rPr>
              <w:t>S-1/A</w:t>
            </w:r>
          </w:p>
        </w:tc>
        <w:tc>
          <w:tcPr>
            <w:tcW w:w="859" w:type="dxa"/>
            <w:tcBorders/>
            <w:vAlign w:val="center"/>
          </w:tcPr>
          <w:p>
            <w:pPr>
              <w:pStyle w:val="TableContents"/>
              <w:bidi w:val="0"/>
              <w:spacing w:before="0" w:after="283"/>
              <w:jc w:val="center"/>
              <w:rPr>
                <w:sz w:val="20"/>
              </w:rPr>
            </w:pPr>
            <w:r>
              <w:rPr>
                <w:sz w:val="20"/>
              </w:rPr>
              <w:t>333-260027</w:t>
            </w:r>
          </w:p>
        </w:tc>
        <w:tc>
          <w:tcPr>
            <w:tcW w:w="815" w:type="dxa"/>
            <w:tcBorders/>
            <w:vAlign w:val="center"/>
          </w:tcPr>
          <w:p>
            <w:pPr>
              <w:pStyle w:val="TableContents"/>
              <w:bidi w:val="0"/>
              <w:spacing w:before="0" w:after="283"/>
              <w:jc w:val="center"/>
              <w:rPr>
                <w:sz w:val="20"/>
              </w:rPr>
            </w:pPr>
            <w:r>
              <w:rPr>
                <w:sz w:val="20"/>
              </w:rPr>
              <w:t>10.1</w:t>
            </w:r>
          </w:p>
        </w:tc>
        <w:tc>
          <w:tcPr>
            <w:tcW w:w="720" w:type="dxa"/>
            <w:tcBorders/>
            <w:vAlign w:val="center"/>
          </w:tcPr>
          <w:p>
            <w:pPr>
              <w:pStyle w:val="TableContents"/>
              <w:bidi w:val="0"/>
              <w:spacing w:before="0" w:after="283"/>
              <w:ind w:left="0" w:right="0" w:hanging="0"/>
              <w:jc w:val="center"/>
              <w:rPr>
                <w:sz w:val="20"/>
              </w:rPr>
            </w:pPr>
            <w:r>
              <w:rPr>
                <w:sz w:val="20"/>
              </w:rPr>
              <w:t>10/18/2021</w:t>
            </w:r>
          </w:p>
        </w:tc>
      </w:tr>
      <w:tr>
        <w:trPr/>
        <w:tc>
          <w:tcPr>
            <w:tcW w:w="874" w:type="dxa"/>
            <w:tcBorders/>
            <w:vAlign w:val="center"/>
          </w:tcPr>
          <w:p>
            <w:pPr>
              <w:pStyle w:val="TableContents"/>
              <w:bidi w:val="0"/>
              <w:spacing w:before="0" w:after="283"/>
              <w:jc w:val="center"/>
              <w:rPr/>
            </w:pPr>
            <w:hyperlink r:id="rId36">
              <w:r>
                <w:rPr>
                  <w:rStyle w:val="InternetLink"/>
                  <w:sz w:val="20"/>
                </w:rPr>
                <w:t>10.7+</w:t>
              </w:r>
            </w:hyperlink>
          </w:p>
        </w:tc>
        <w:tc>
          <w:tcPr>
            <w:tcW w:w="6272" w:type="dxa"/>
            <w:tcBorders/>
            <w:vAlign w:val="center"/>
          </w:tcPr>
          <w:p>
            <w:pPr>
              <w:pStyle w:val="TableContents"/>
              <w:bidi w:val="0"/>
              <w:spacing w:before="0" w:after="283"/>
              <w:jc w:val="left"/>
              <w:rPr/>
            </w:pPr>
            <w:hyperlink r:id="rId37">
              <w:r>
                <w:rPr>
                  <w:rStyle w:val="InternetLink"/>
                  <w:sz w:val="20"/>
                </w:rPr>
                <w:t>Non-Employee Director Compensation Program</w:t>
              </w:r>
            </w:hyperlink>
          </w:p>
        </w:tc>
        <w:tc>
          <w:tcPr>
            <w:tcW w:w="665" w:type="dxa"/>
            <w:tcBorders/>
            <w:vAlign w:val="center"/>
          </w:tcPr>
          <w:p>
            <w:pPr>
              <w:pStyle w:val="TableContents"/>
              <w:bidi w:val="0"/>
              <w:spacing w:before="0" w:after="283"/>
              <w:jc w:val="center"/>
              <w:rPr>
                <w:sz w:val="20"/>
              </w:rPr>
            </w:pPr>
            <w:r>
              <w:rPr>
                <w:sz w:val="20"/>
              </w:rPr>
              <w:t>10-K</w:t>
            </w:r>
          </w:p>
        </w:tc>
        <w:tc>
          <w:tcPr>
            <w:tcW w:w="859" w:type="dxa"/>
            <w:tcBorders/>
            <w:vAlign w:val="center"/>
          </w:tcPr>
          <w:p>
            <w:pPr>
              <w:pStyle w:val="TableContents"/>
              <w:bidi w:val="0"/>
              <w:spacing w:before="0" w:after="283"/>
              <w:jc w:val="center"/>
              <w:rPr>
                <w:sz w:val="20"/>
              </w:rPr>
            </w:pPr>
            <w:r>
              <w:rPr>
                <w:sz w:val="20"/>
              </w:rPr>
              <w:t>001-40958</w:t>
            </w:r>
          </w:p>
        </w:tc>
        <w:tc>
          <w:tcPr>
            <w:tcW w:w="815" w:type="dxa"/>
            <w:tcBorders/>
            <w:vAlign w:val="center"/>
          </w:tcPr>
          <w:p>
            <w:pPr>
              <w:pStyle w:val="TableContents"/>
              <w:bidi w:val="0"/>
              <w:spacing w:before="0" w:after="283"/>
              <w:jc w:val="center"/>
              <w:rPr>
                <w:sz w:val="20"/>
              </w:rPr>
            </w:pPr>
            <w:r>
              <w:rPr>
                <w:sz w:val="20"/>
              </w:rPr>
              <w:t>10.7</w:t>
            </w:r>
          </w:p>
        </w:tc>
        <w:tc>
          <w:tcPr>
            <w:tcW w:w="720" w:type="dxa"/>
            <w:tcBorders/>
            <w:vAlign w:val="center"/>
          </w:tcPr>
          <w:p>
            <w:pPr>
              <w:pStyle w:val="TableContents"/>
              <w:bidi w:val="0"/>
              <w:spacing w:before="0" w:after="283"/>
              <w:ind w:left="0" w:right="0" w:hanging="0"/>
              <w:jc w:val="center"/>
              <w:rPr>
                <w:sz w:val="20"/>
              </w:rPr>
            </w:pPr>
            <w:r>
              <w:rPr>
                <w:sz w:val="20"/>
              </w:rPr>
              <w:t>04/14/2026</w:t>
            </w:r>
          </w:p>
        </w:tc>
      </w:tr>
      <w:tr>
        <w:trPr/>
        <w:tc>
          <w:tcPr>
            <w:tcW w:w="874" w:type="dxa"/>
            <w:tcBorders/>
            <w:vAlign w:val="center"/>
          </w:tcPr>
          <w:p>
            <w:pPr>
              <w:pStyle w:val="TableContents"/>
              <w:bidi w:val="0"/>
              <w:spacing w:before="0" w:after="283"/>
              <w:jc w:val="center"/>
              <w:rPr/>
            </w:pPr>
            <w:hyperlink r:id="rId38">
              <w:r>
                <w:rPr>
                  <w:rStyle w:val="InternetLink"/>
                  <w:sz w:val="20"/>
                </w:rPr>
                <w:t>10.8+</w:t>
              </w:r>
            </w:hyperlink>
          </w:p>
        </w:tc>
        <w:tc>
          <w:tcPr>
            <w:tcW w:w="6272" w:type="dxa"/>
            <w:tcBorders/>
            <w:vAlign w:val="center"/>
          </w:tcPr>
          <w:p>
            <w:pPr>
              <w:pStyle w:val="TableContents"/>
              <w:bidi w:val="0"/>
              <w:spacing w:before="0" w:after="283"/>
              <w:jc w:val="left"/>
              <w:rPr/>
            </w:pPr>
            <w:hyperlink r:id="rId39">
              <w:r>
                <w:rPr>
                  <w:rStyle w:val="InternetLink"/>
                  <w:sz w:val="20"/>
                </w:rPr>
                <w:t>2021 Employee Stock Purchase Plan</w:t>
              </w:r>
            </w:hyperlink>
          </w:p>
        </w:tc>
        <w:tc>
          <w:tcPr>
            <w:tcW w:w="665" w:type="dxa"/>
            <w:tcBorders/>
            <w:vAlign w:val="center"/>
          </w:tcPr>
          <w:p>
            <w:pPr>
              <w:pStyle w:val="TableContents"/>
              <w:bidi w:val="0"/>
              <w:spacing w:before="0" w:after="283"/>
              <w:jc w:val="center"/>
              <w:rPr>
                <w:sz w:val="20"/>
              </w:rPr>
            </w:pPr>
            <w:r>
              <w:rPr>
                <w:sz w:val="20"/>
              </w:rPr>
              <w:t>S-1/A</w:t>
            </w:r>
          </w:p>
        </w:tc>
        <w:tc>
          <w:tcPr>
            <w:tcW w:w="859" w:type="dxa"/>
            <w:tcBorders/>
            <w:vAlign w:val="center"/>
          </w:tcPr>
          <w:p>
            <w:pPr>
              <w:pStyle w:val="TableContents"/>
              <w:bidi w:val="0"/>
              <w:spacing w:before="0" w:after="283"/>
              <w:jc w:val="center"/>
              <w:rPr>
                <w:sz w:val="20"/>
              </w:rPr>
            </w:pPr>
            <w:r>
              <w:rPr>
                <w:sz w:val="20"/>
              </w:rPr>
              <w:t>333-260027</w:t>
            </w:r>
          </w:p>
        </w:tc>
        <w:tc>
          <w:tcPr>
            <w:tcW w:w="815" w:type="dxa"/>
            <w:tcBorders/>
            <w:vAlign w:val="center"/>
          </w:tcPr>
          <w:p>
            <w:pPr>
              <w:pStyle w:val="TableContents"/>
              <w:bidi w:val="0"/>
              <w:spacing w:before="0" w:after="283"/>
              <w:jc w:val="center"/>
              <w:rPr>
                <w:sz w:val="20"/>
              </w:rPr>
            </w:pPr>
            <w:r>
              <w:rPr>
                <w:sz w:val="20"/>
              </w:rPr>
              <w:t>10.14</w:t>
            </w:r>
          </w:p>
        </w:tc>
        <w:tc>
          <w:tcPr>
            <w:tcW w:w="720" w:type="dxa"/>
            <w:tcBorders/>
            <w:vAlign w:val="center"/>
          </w:tcPr>
          <w:p>
            <w:pPr>
              <w:pStyle w:val="TableContents"/>
              <w:bidi w:val="0"/>
              <w:spacing w:before="0" w:after="283"/>
              <w:ind w:left="0" w:right="0" w:hanging="0"/>
              <w:jc w:val="center"/>
              <w:rPr>
                <w:sz w:val="20"/>
              </w:rPr>
            </w:pPr>
            <w:r>
              <w:rPr>
                <w:sz w:val="20"/>
              </w:rPr>
              <w:t>10/22/2021</w:t>
            </w:r>
          </w:p>
        </w:tc>
      </w:tr>
      <w:tr>
        <w:trPr/>
        <w:tc>
          <w:tcPr>
            <w:tcW w:w="874" w:type="dxa"/>
            <w:tcBorders/>
            <w:vAlign w:val="center"/>
          </w:tcPr>
          <w:p>
            <w:pPr>
              <w:pStyle w:val="TableContents"/>
              <w:bidi w:val="0"/>
              <w:spacing w:before="0" w:after="283"/>
              <w:jc w:val="center"/>
              <w:rPr/>
            </w:pPr>
            <w:hyperlink r:id="rId40">
              <w:r>
                <w:rPr>
                  <w:rStyle w:val="InternetLink"/>
                  <w:sz w:val="20"/>
                </w:rPr>
                <w:t>10.9+</w:t>
              </w:r>
            </w:hyperlink>
          </w:p>
        </w:tc>
        <w:tc>
          <w:tcPr>
            <w:tcW w:w="6272" w:type="dxa"/>
            <w:tcBorders/>
            <w:vAlign w:val="center"/>
          </w:tcPr>
          <w:p>
            <w:pPr>
              <w:pStyle w:val="TableContents"/>
              <w:bidi w:val="0"/>
              <w:spacing w:before="0" w:after="283"/>
              <w:jc w:val="left"/>
              <w:rPr/>
            </w:pPr>
            <w:hyperlink r:id="rId41">
              <w:r>
                <w:rPr>
                  <w:rStyle w:val="InternetLink"/>
                  <w:sz w:val="20"/>
                </w:rPr>
                <w:t>Offer Letter between the Company and Sarah Tam, dated January 12, 2015</w:t>
              </w:r>
            </w:hyperlink>
          </w:p>
        </w:tc>
        <w:tc>
          <w:tcPr>
            <w:tcW w:w="665" w:type="dxa"/>
            <w:tcBorders/>
            <w:vAlign w:val="center"/>
          </w:tcPr>
          <w:p>
            <w:pPr>
              <w:pStyle w:val="TableContents"/>
              <w:bidi w:val="0"/>
              <w:spacing w:before="0" w:after="283"/>
              <w:jc w:val="center"/>
              <w:rPr>
                <w:sz w:val="20"/>
              </w:rPr>
            </w:pPr>
            <w:r>
              <w:rPr>
                <w:sz w:val="20"/>
              </w:rPr>
              <w:t>10-Q</w:t>
            </w:r>
          </w:p>
        </w:tc>
        <w:tc>
          <w:tcPr>
            <w:tcW w:w="859" w:type="dxa"/>
            <w:tcBorders/>
            <w:vAlign w:val="center"/>
          </w:tcPr>
          <w:p>
            <w:pPr>
              <w:pStyle w:val="TableContents"/>
              <w:bidi w:val="0"/>
              <w:spacing w:before="0" w:after="283"/>
              <w:jc w:val="center"/>
              <w:rPr>
                <w:sz w:val="20"/>
              </w:rPr>
            </w:pPr>
            <w:r>
              <w:rPr>
                <w:sz w:val="20"/>
              </w:rPr>
              <w:t>001-40958</w:t>
            </w:r>
          </w:p>
        </w:tc>
        <w:tc>
          <w:tcPr>
            <w:tcW w:w="815" w:type="dxa"/>
            <w:tcBorders/>
            <w:vAlign w:val="center"/>
          </w:tcPr>
          <w:p>
            <w:pPr>
              <w:pStyle w:val="TableContents"/>
              <w:bidi w:val="0"/>
              <w:spacing w:before="0" w:after="283"/>
              <w:jc w:val="center"/>
              <w:rPr>
                <w:sz w:val="20"/>
              </w:rPr>
            </w:pPr>
            <w:r>
              <w:rPr>
                <w:sz w:val="20"/>
              </w:rPr>
              <w:t>10.1</w:t>
            </w:r>
          </w:p>
        </w:tc>
        <w:tc>
          <w:tcPr>
            <w:tcW w:w="720" w:type="dxa"/>
            <w:tcBorders/>
            <w:vAlign w:val="center"/>
          </w:tcPr>
          <w:p>
            <w:pPr>
              <w:pStyle w:val="TableContents"/>
              <w:bidi w:val="0"/>
              <w:spacing w:before="0" w:after="283"/>
              <w:ind w:left="0" w:right="0" w:hanging="0"/>
              <w:jc w:val="center"/>
              <w:rPr>
                <w:sz w:val="20"/>
              </w:rPr>
            </w:pPr>
            <w:r>
              <w:rPr>
                <w:sz w:val="20"/>
              </w:rPr>
              <w:t>06/06/2025</w:t>
            </w:r>
          </w:p>
        </w:tc>
      </w:tr>
      <w:tr>
        <w:trPr/>
        <w:tc>
          <w:tcPr>
            <w:tcW w:w="874" w:type="dxa"/>
            <w:tcBorders/>
            <w:vAlign w:val="center"/>
          </w:tcPr>
          <w:p>
            <w:pPr>
              <w:pStyle w:val="TableContents"/>
              <w:bidi w:val="0"/>
              <w:spacing w:before="0" w:after="283"/>
              <w:jc w:val="center"/>
              <w:rPr/>
            </w:pPr>
            <w:hyperlink r:id="rId42">
              <w:r>
                <w:rPr>
                  <w:rStyle w:val="InternetLink"/>
                  <w:sz w:val="20"/>
                </w:rPr>
                <w:t>10.10</w:t>
              </w:r>
            </w:hyperlink>
          </w:p>
        </w:tc>
        <w:tc>
          <w:tcPr>
            <w:tcW w:w="6272" w:type="dxa"/>
            <w:tcBorders/>
            <w:vAlign w:val="center"/>
          </w:tcPr>
          <w:p>
            <w:pPr>
              <w:pStyle w:val="TableContents"/>
              <w:bidi w:val="0"/>
              <w:spacing w:before="0" w:after="283"/>
              <w:jc w:val="left"/>
              <w:rPr/>
            </w:pPr>
            <w:hyperlink r:id="rId43">
              <w:r>
                <w:rPr>
                  <w:rStyle w:val="InternetLink"/>
                  <w:sz w:val="20"/>
                </w:rPr>
                <w:t>Stockholders Agreement, dated October 29, 2021, by and among the Company, Jennifer Y. Hyman, entities affiliated with Bain Capital Ventures and entities affiliated with Highland Capital Partners and certain related parties</w:t>
              </w:r>
            </w:hyperlink>
          </w:p>
        </w:tc>
        <w:tc>
          <w:tcPr>
            <w:tcW w:w="665" w:type="dxa"/>
            <w:tcBorders/>
            <w:vAlign w:val="center"/>
          </w:tcPr>
          <w:p>
            <w:pPr>
              <w:pStyle w:val="TableContents"/>
              <w:bidi w:val="0"/>
              <w:spacing w:before="0" w:after="283"/>
              <w:jc w:val="center"/>
              <w:rPr>
                <w:sz w:val="20"/>
              </w:rPr>
            </w:pPr>
            <w:r>
              <w:rPr>
                <w:sz w:val="20"/>
              </w:rPr>
              <w:t>8-K</w:t>
            </w:r>
          </w:p>
        </w:tc>
        <w:tc>
          <w:tcPr>
            <w:tcW w:w="859" w:type="dxa"/>
            <w:tcBorders/>
            <w:vAlign w:val="center"/>
          </w:tcPr>
          <w:p>
            <w:pPr>
              <w:pStyle w:val="TableContents"/>
              <w:bidi w:val="0"/>
              <w:spacing w:before="0" w:after="283"/>
              <w:jc w:val="center"/>
              <w:rPr>
                <w:sz w:val="20"/>
              </w:rPr>
            </w:pPr>
            <w:r>
              <w:rPr>
                <w:sz w:val="20"/>
              </w:rPr>
              <w:t>001-40958</w:t>
            </w:r>
          </w:p>
        </w:tc>
        <w:tc>
          <w:tcPr>
            <w:tcW w:w="815" w:type="dxa"/>
            <w:tcBorders/>
            <w:vAlign w:val="center"/>
          </w:tcPr>
          <w:p>
            <w:pPr>
              <w:pStyle w:val="TableContents"/>
              <w:bidi w:val="0"/>
              <w:spacing w:before="0" w:after="283"/>
              <w:jc w:val="center"/>
              <w:rPr>
                <w:sz w:val="20"/>
              </w:rPr>
            </w:pPr>
            <w:r>
              <w:rPr>
                <w:sz w:val="20"/>
              </w:rPr>
              <w:t>10.1</w:t>
            </w:r>
          </w:p>
        </w:tc>
        <w:tc>
          <w:tcPr>
            <w:tcW w:w="720" w:type="dxa"/>
            <w:tcBorders/>
            <w:vAlign w:val="center"/>
          </w:tcPr>
          <w:p>
            <w:pPr>
              <w:pStyle w:val="TableContents"/>
              <w:bidi w:val="0"/>
              <w:spacing w:before="0" w:after="283"/>
              <w:ind w:left="0" w:right="0" w:hanging="0"/>
              <w:jc w:val="center"/>
              <w:rPr>
                <w:sz w:val="20"/>
              </w:rPr>
            </w:pPr>
            <w:r>
              <w:rPr>
                <w:sz w:val="20"/>
              </w:rPr>
              <w:t>10/29/2021</w:t>
            </w:r>
          </w:p>
        </w:tc>
      </w:tr>
      <w:tr>
        <w:trPr/>
        <w:tc>
          <w:tcPr>
            <w:tcW w:w="874" w:type="dxa"/>
            <w:tcBorders/>
            <w:vAlign w:val="center"/>
          </w:tcPr>
          <w:p>
            <w:pPr>
              <w:pStyle w:val="TableContents"/>
              <w:bidi w:val="0"/>
              <w:spacing w:before="0" w:after="283"/>
              <w:jc w:val="center"/>
              <w:rPr/>
            </w:pPr>
            <w:hyperlink r:id="rId44">
              <w:r>
                <w:rPr>
                  <w:rStyle w:val="InternetLink"/>
                  <w:sz w:val="20"/>
                </w:rPr>
                <w:t>10.11†X</w:t>
              </w:r>
            </w:hyperlink>
          </w:p>
        </w:tc>
        <w:tc>
          <w:tcPr>
            <w:tcW w:w="6272" w:type="dxa"/>
            <w:tcBorders/>
            <w:vAlign w:val="center"/>
          </w:tcPr>
          <w:p>
            <w:pPr>
              <w:pStyle w:val="TableContents"/>
              <w:bidi w:val="0"/>
              <w:spacing w:before="0" w:after="283"/>
              <w:jc w:val="left"/>
              <w:rPr/>
            </w:pPr>
            <w:hyperlink r:id="rId45">
              <w:r>
                <w:rPr>
                  <w:rStyle w:val="InternetLink"/>
                  <w:sz w:val="20"/>
                </w:rPr>
                <w:t>Lease, dated as of July 7, 2014 as amended by the certain Lease Modification Agreements, dated April 28, 2020 and August 9, 2020, each by and between Hartz Metro Leasehold I LLC and the Company.</w:t>
              </w:r>
            </w:hyperlink>
          </w:p>
        </w:tc>
        <w:tc>
          <w:tcPr>
            <w:tcW w:w="665" w:type="dxa"/>
            <w:tcBorders/>
            <w:vAlign w:val="center"/>
          </w:tcPr>
          <w:p>
            <w:pPr>
              <w:pStyle w:val="TableContents"/>
              <w:bidi w:val="0"/>
              <w:spacing w:before="0" w:after="283"/>
              <w:jc w:val="center"/>
              <w:rPr>
                <w:sz w:val="20"/>
              </w:rPr>
            </w:pPr>
            <w:r>
              <w:rPr>
                <w:sz w:val="20"/>
              </w:rPr>
              <w:t>S-1</w:t>
            </w:r>
          </w:p>
        </w:tc>
        <w:tc>
          <w:tcPr>
            <w:tcW w:w="859" w:type="dxa"/>
            <w:tcBorders/>
            <w:vAlign w:val="center"/>
          </w:tcPr>
          <w:p>
            <w:pPr>
              <w:pStyle w:val="TableContents"/>
              <w:bidi w:val="0"/>
              <w:spacing w:before="0" w:after="283"/>
              <w:jc w:val="center"/>
              <w:rPr>
                <w:sz w:val="20"/>
              </w:rPr>
            </w:pPr>
            <w:r>
              <w:rPr>
                <w:sz w:val="20"/>
              </w:rPr>
              <w:t>333-260027</w:t>
            </w:r>
          </w:p>
        </w:tc>
        <w:tc>
          <w:tcPr>
            <w:tcW w:w="815" w:type="dxa"/>
            <w:tcBorders/>
            <w:vAlign w:val="center"/>
          </w:tcPr>
          <w:p>
            <w:pPr>
              <w:pStyle w:val="TableContents"/>
              <w:bidi w:val="0"/>
              <w:spacing w:before="0" w:after="283"/>
              <w:jc w:val="center"/>
              <w:rPr>
                <w:sz w:val="20"/>
              </w:rPr>
            </w:pPr>
            <w:r>
              <w:rPr>
                <w:sz w:val="20"/>
              </w:rPr>
              <w:t>10.21</w:t>
            </w:r>
          </w:p>
        </w:tc>
        <w:tc>
          <w:tcPr>
            <w:tcW w:w="720" w:type="dxa"/>
            <w:tcBorders/>
            <w:vAlign w:val="center"/>
          </w:tcPr>
          <w:p>
            <w:pPr>
              <w:pStyle w:val="TableContents"/>
              <w:bidi w:val="0"/>
              <w:spacing w:before="0" w:after="283"/>
              <w:ind w:left="0" w:right="0" w:hanging="0"/>
              <w:jc w:val="center"/>
              <w:rPr>
                <w:sz w:val="20"/>
              </w:rPr>
            </w:pPr>
            <w:r>
              <w:rPr>
                <w:sz w:val="20"/>
              </w:rPr>
              <w:t>10/04/2021</w:t>
            </w:r>
          </w:p>
        </w:tc>
      </w:tr>
      <w:tr>
        <w:trPr/>
        <w:tc>
          <w:tcPr>
            <w:tcW w:w="874" w:type="dxa"/>
            <w:tcBorders/>
            <w:vAlign w:val="center"/>
          </w:tcPr>
          <w:p>
            <w:pPr>
              <w:pStyle w:val="TableContents"/>
              <w:bidi w:val="0"/>
              <w:spacing w:before="0" w:after="283"/>
              <w:jc w:val="center"/>
              <w:rPr/>
            </w:pPr>
            <w:hyperlink r:id="rId46">
              <w:r>
                <w:rPr>
                  <w:rStyle w:val="InternetLink"/>
                  <w:sz w:val="20"/>
                </w:rPr>
                <w:t>10.12†X</w:t>
              </w:r>
            </w:hyperlink>
          </w:p>
        </w:tc>
        <w:tc>
          <w:tcPr>
            <w:tcW w:w="6272" w:type="dxa"/>
            <w:tcBorders/>
            <w:vAlign w:val="center"/>
          </w:tcPr>
          <w:p>
            <w:pPr>
              <w:pStyle w:val="TableContents"/>
              <w:bidi w:val="0"/>
              <w:spacing w:before="0" w:after="283"/>
              <w:jc w:val="left"/>
              <w:rPr/>
            </w:pPr>
            <w:hyperlink r:id="rId47">
              <w:r>
                <w:rPr>
                  <w:rStyle w:val="InternetLink"/>
                  <w:sz w:val="20"/>
                </w:rPr>
                <w:t>Industrial Lease, dated March 31, 2018, as amended by that certain First Amendment to Industrial Lease, dated August 31, 2020, by and between CPF BARDIN JV LP and the Company.</w:t>
              </w:r>
            </w:hyperlink>
          </w:p>
        </w:tc>
        <w:tc>
          <w:tcPr>
            <w:tcW w:w="665" w:type="dxa"/>
            <w:tcBorders/>
            <w:vAlign w:val="center"/>
          </w:tcPr>
          <w:p>
            <w:pPr>
              <w:pStyle w:val="TableContents"/>
              <w:bidi w:val="0"/>
              <w:spacing w:before="0" w:after="283"/>
              <w:jc w:val="center"/>
              <w:rPr>
                <w:sz w:val="20"/>
              </w:rPr>
            </w:pPr>
            <w:r>
              <w:rPr>
                <w:sz w:val="20"/>
              </w:rPr>
              <w:t>S-1</w:t>
            </w:r>
          </w:p>
        </w:tc>
        <w:tc>
          <w:tcPr>
            <w:tcW w:w="859" w:type="dxa"/>
            <w:tcBorders/>
            <w:vAlign w:val="center"/>
          </w:tcPr>
          <w:p>
            <w:pPr>
              <w:pStyle w:val="TableContents"/>
              <w:bidi w:val="0"/>
              <w:spacing w:before="0" w:after="283"/>
              <w:jc w:val="center"/>
              <w:rPr>
                <w:sz w:val="20"/>
              </w:rPr>
            </w:pPr>
            <w:r>
              <w:rPr>
                <w:sz w:val="20"/>
              </w:rPr>
              <w:t>333-260027</w:t>
            </w:r>
          </w:p>
        </w:tc>
        <w:tc>
          <w:tcPr>
            <w:tcW w:w="815" w:type="dxa"/>
            <w:tcBorders/>
            <w:vAlign w:val="center"/>
          </w:tcPr>
          <w:p>
            <w:pPr>
              <w:pStyle w:val="TableContents"/>
              <w:bidi w:val="0"/>
              <w:spacing w:before="0" w:after="283"/>
              <w:jc w:val="center"/>
              <w:rPr>
                <w:sz w:val="20"/>
              </w:rPr>
            </w:pPr>
            <w:r>
              <w:rPr>
                <w:sz w:val="20"/>
              </w:rPr>
              <w:t>10.23</w:t>
            </w:r>
          </w:p>
        </w:tc>
        <w:tc>
          <w:tcPr>
            <w:tcW w:w="720" w:type="dxa"/>
            <w:tcBorders/>
            <w:vAlign w:val="center"/>
          </w:tcPr>
          <w:p>
            <w:pPr>
              <w:pStyle w:val="TableContents"/>
              <w:bidi w:val="0"/>
              <w:spacing w:before="0" w:after="283"/>
              <w:ind w:left="0" w:right="0" w:hanging="0"/>
              <w:jc w:val="center"/>
              <w:rPr>
                <w:sz w:val="20"/>
              </w:rPr>
            </w:pPr>
            <w:r>
              <w:rPr>
                <w:sz w:val="20"/>
              </w:rPr>
              <w:t>10/04/2021</w:t>
            </w:r>
          </w:p>
        </w:tc>
      </w:tr>
      <w:tr>
        <w:trPr/>
        <w:tc>
          <w:tcPr>
            <w:tcW w:w="874" w:type="dxa"/>
            <w:tcBorders/>
            <w:vAlign w:val="center"/>
          </w:tcPr>
          <w:p>
            <w:pPr>
              <w:pStyle w:val="TableContents"/>
              <w:bidi w:val="0"/>
              <w:spacing w:before="0" w:after="283"/>
              <w:jc w:val="center"/>
              <w:rPr/>
            </w:pPr>
            <w:hyperlink r:id="rId48">
              <w:r>
                <w:rPr>
                  <w:rStyle w:val="InternetLink"/>
                  <w:sz w:val="20"/>
                </w:rPr>
                <w:t>10.13†X</w:t>
              </w:r>
            </w:hyperlink>
          </w:p>
        </w:tc>
        <w:tc>
          <w:tcPr>
            <w:tcW w:w="6272" w:type="dxa"/>
            <w:tcBorders/>
            <w:vAlign w:val="center"/>
          </w:tcPr>
          <w:p>
            <w:pPr>
              <w:pStyle w:val="TableContents"/>
              <w:bidi w:val="0"/>
              <w:spacing w:before="0" w:after="283"/>
              <w:jc w:val="left"/>
              <w:rPr/>
            </w:pPr>
            <w:hyperlink r:id="rId49">
              <w:r>
                <w:rPr>
                  <w:rStyle w:val="InternetLink"/>
                  <w:sz w:val="20"/>
                </w:rPr>
                <w:t>Lease, dated as of April 1, 2019, as amended by that certain First Amendment of Lease, dated December 10, 2020, by and between 10 Jay Master Tenant LLC and the Company.</w:t>
              </w:r>
            </w:hyperlink>
          </w:p>
        </w:tc>
        <w:tc>
          <w:tcPr>
            <w:tcW w:w="665" w:type="dxa"/>
            <w:tcBorders/>
            <w:vAlign w:val="center"/>
          </w:tcPr>
          <w:p>
            <w:pPr>
              <w:pStyle w:val="TableContents"/>
              <w:bidi w:val="0"/>
              <w:spacing w:before="0" w:after="283"/>
              <w:jc w:val="center"/>
              <w:rPr>
                <w:sz w:val="20"/>
              </w:rPr>
            </w:pPr>
            <w:r>
              <w:rPr>
                <w:sz w:val="20"/>
              </w:rPr>
              <w:t>S-1</w:t>
            </w:r>
          </w:p>
        </w:tc>
        <w:tc>
          <w:tcPr>
            <w:tcW w:w="859" w:type="dxa"/>
            <w:tcBorders/>
            <w:vAlign w:val="center"/>
          </w:tcPr>
          <w:p>
            <w:pPr>
              <w:pStyle w:val="TableContents"/>
              <w:bidi w:val="0"/>
              <w:spacing w:before="0" w:after="283"/>
              <w:jc w:val="center"/>
              <w:rPr>
                <w:sz w:val="20"/>
              </w:rPr>
            </w:pPr>
            <w:r>
              <w:rPr>
                <w:sz w:val="20"/>
              </w:rPr>
              <w:t>333-260027</w:t>
            </w:r>
          </w:p>
        </w:tc>
        <w:tc>
          <w:tcPr>
            <w:tcW w:w="815" w:type="dxa"/>
            <w:tcBorders/>
            <w:vAlign w:val="center"/>
          </w:tcPr>
          <w:p>
            <w:pPr>
              <w:pStyle w:val="TableContents"/>
              <w:bidi w:val="0"/>
              <w:spacing w:before="0" w:after="283"/>
              <w:jc w:val="center"/>
              <w:rPr>
                <w:sz w:val="20"/>
              </w:rPr>
            </w:pPr>
            <w:r>
              <w:rPr>
                <w:sz w:val="20"/>
              </w:rPr>
              <w:t>10.24</w:t>
            </w:r>
          </w:p>
        </w:tc>
        <w:tc>
          <w:tcPr>
            <w:tcW w:w="720" w:type="dxa"/>
            <w:tcBorders/>
            <w:vAlign w:val="center"/>
          </w:tcPr>
          <w:p>
            <w:pPr>
              <w:pStyle w:val="TableContents"/>
              <w:bidi w:val="0"/>
              <w:spacing w:before="0" w:after="283"/>
              <w:ind w:left="0" w:right="0" w:hanging="0"/>
              <w:jc w:val="center"/>
              <w:rPr>
                <w:sz w:val="20"/>
              </w:rPr>
            </w:pPr>
            <w:r>
              <w:rPr>
                <w:sz w:val="20"/>
              </w:rPr>
              <w:t>10/04/2021</w:t>
            </w:r>
          </w:p>
        </w:tc>
      </w:tr>
      <w:tr>
        <w:trPr/>
        <w:tc>
          <w:tcPr>
            <w:tcW w:w="874" w:type="dxa"/>
            <w:tcBorders/>
            <w:vAlign w:val="center"/>
          </w:tcPr>
          <w:p>
            <w:pPr>
              <w:pStyle w:val="TableContents"/>
              <w:bidi w:val="0"/>
              <w:spacing w:before="0" w:after="283"/>
              <w:jc w:val="center"/>
              <w:rPr/>
            </w:pPr>
            <w:hyperlink r:id="rId50">
              <w:r>
                <w:rPr>
                  <w:rStyle w:val="InternetLink"/>
                  <w:sz w:val="20"/>
                </w:rPr>
                <w:t>10.14†</w:t>
              </w:r>
            </w:hyperlink>
          </w:p>
        </w:tc>
        <w:tc>
          <w:tcPr>
            <w:tcW w:w="6272" w:type="dxa"/>
            <w:tcBorders/>
            <w:vAlign w:val="center"/>
          </w:tcPr>
          <w:p>
            <w:pPr>
              <w:pStyle w:val="TableContents"/>
              <w:bidi w:val="0"/>
              <w:spacing w:before="0" w:after="283"/>
              <w:jc w:val="left"/>
              <w:rPr/>
            </w:pPr>
            <w:hyperlink r:id="rId51">
              <w:r>
                <w:rPr>
                  <w:rStyle w:val="InternetLink"/>
                  <w:sz w:val="20"/>
                </w:rPr>
                <w:t>Partial Termination and Second Amendment of Lease, dated February 16, 2022, by and between 10 Jay Master Tenant LLC and the Company.</w:t>
              </w:r>
            </w:hyperlink>
          </w:p>
        </w:tc>
        <w:tc>
          <w:tcPr>
            <w:tcW w:w="665" w:type="dxa"/>
            <w:tcBorders/>
            <w:vAlign w:val="center"/>
          </w:tcPr>
          <w:p>
            <w:pPr>
              <w:pStyle w:val="TableContents"/>
              <w:bidi w:val="0"/>
              <w:spacing w:before="0" w:after="283"/>
              <w:jc w:val="center"/>
              <w:rPr>
                <w:sz w:val="20"/>
              </w:rPr>
            </w:pPr>
            <w:r>
              <w:rPr>
                <w:sz w:val="20"/>
              </w:rPr>
              <w:t>10-K</w:t>
            </w:r>
          </w:p>
        </w:tc>
        <w:tc>
          <w:tcPr>
            <w:tcW w:w="859" w:type="dxa"/>
            <w:tcBorders/>
            <w:vAlign w:val="center"/>
          </w:tcPr>
          <w:p>
            <w:pPr>
              <w:pStyle w:val="TableContents"/>
              <w:bidi w:val="0"/>
              <w:spacing w:before="0" w:after="283"/>
              <w:jc w:val="center"/>
              <w:rPr>
                <w:sz w:val="20"/>
              </w:rPr>
            </w:pPr>
            <w:r>
              <w:rPr>
                <w:sz w:val="20"/>
              </w:rPr>
              <w:t>001-40958</w:t>
            </w:r>
          </w:p>
        </w:tc>
        <w:tc>
          <w:tcPr>
            <w:tcW w:w="815" w:type="dxa"/>
            <w:tcBorders/>
            <w:vAlign w:val="center"/>
          </w:tcPr>
          <w:p>
            <w:pPr>
              <w:pStyle w:val="TableContents"/>
              <w:bidi w:val="0"/>
              <w:spacing w:before="0" w:after="283"/>
              <w:jc w:val="center"/>
              <w:rPr>
                <w:sz w:val="20"/>
              </w:rPr>
            </w:pPr>
            <w:r>
              <w:rPr>
                <w:sz w:val="20"/>
              </w:rPr>
              <w:t>10.27</w:t>
            </w:r>
          </w:p>
        </w:tc>
        <w:tc>
          <w:tcPr>
            <w:tcW w:w="720" w:type="dxa"/>
            <w:tcBorders/>
            <w:vAlign w:val="center"/>
          </w:tcPr>
          <w:p>
            <w:pPr>
              <w:pStyle w:val="TableContents"/>
              <w:bidi w:val="0"/>
              <w:spacing w:before="0" w:after="283"/>
              <w:ind w:left="0" w:right="0" w:hanging="0"/>
              <w:jc w:val="center"/>
              <w:rPr/>
            </w:pPr>
            <w:r>
              <w:rPr/>
              <w:t>0</w:t>
            </w:r>
            <w:r>
              <w:rPr>
                <w:sz w:val="20"/>
              </w:rPr>
              <w:t>4/14/2022</w:t>
            </w:r>
          </w:p>
        </w:tc>
      </w:tr>
      <w:tr>
        <w:trPr/>
        <w:tc>
          <w:tcPr>
            <w:tcW w:w="874" w:type="dxa"/>
            <w:tcBorders/>
            <w:vAlign w:val="center"/>
          </w:tcPr>
          <w:p>
            <w:pPr>
              <w:pStyle w:val="TableContents"/>
              <w:bidi w:val="0"/>
              <w:spacing w:before="0" w:after="283"/>
              <w:jc w:val="center"/>
              <w:rPr/>
            </w:pPr>
            <w:hyperlink r:id="rId52">
              <w:r>
                <w:rPr>
                  <w:rStyle w:val="InternetLink"/>
                  <w:sz w:val="20"/>
                </w:rPr>
                <w:t>10.15+</w:t>
              </w:r>
            </w:hyperlink>
          </w:p>
        </w:tc>
        <w:tc>
          <w:tcPr>
            <w:tcW w:w="6272" w:type="dxa"/>
            <w:tcBorders/>
            <w:vAlign w:val="center"/>
          </w:tcPr>
          <w:p>
            <w:pPr>
              <w:pStyle w:val="TableContents"/>
              <w:bidi w:val="0"/>
              <w:spacing w:before="0" w:after="283"/>
              <w:jc w:val="left"/>
              <w:rPr/>
            </w:pPr>
            <w:hyperlink r:id="rId53">
              <w:r>
                <w:rPr>
                  <w:rStyle w:val="InternetLink"/>
                  <w:sz w:val="20"/>
                </w:rPr>
                <w:t>Form of Retention Bonus Letter</w:t>
              </w:r>
            </w:hyperlink>
          </w:p>
        </w:tc>
        <w:tc>
          <w:tcPr>
            <w:tcW w:w="665" w:type="dxa"/>
            <w:tcBorders/>
            <w:vAlign w:val="center"/>
          </w:tcPr>
          <w:p>
            <w:pPr>
              <w:pStyle w:val="TableContents"/>
              <w:bidi w:val="0"/>
              <w:spacing w:before="0" w:after="283"/>
              <w:jc w:val="center"/>
              <w:rPr>
                <w:sz w:val="20"/>
              </w:rPr>
            </w:pPr>
            <w:r>
              <w:rPr>
                <w:sz w:val="20"/>
              </w:rPr>
              <w:t>10-Q</w:t>
            </w:r>
          </w:p>
        </w:tc>
        <w:tc>
          <w:tcPr>
            <w:tcW w:w="859" w:type="dxa"/>
            <w:tcBorders/>
            <w:vAlign w:val="center"/>
          </w:tcPr>
          <w:p>
            <w:pPr>
              <w:pStyle w:val="TableContents"/>
              <w:bidi w:val="0"/>
              <w:spacing w:before="0" w:after="283"/>
              <w:jc w:val="center"/>
              <w:rPr>
                <w:sz w:val="20"/>
              </w:rPr>
            </w:pPr>
            <w:r>
              <w:rPr>
                <w:sz w:val="20"/>
              </w:rPr>
              <w:t>001-40958</w:t>
            </w:r>
          </w:p>
        </w:tc>
        <w:tc>
          <w:tcPr>
            <w:tcW w:w="815" w:type="dxa"/>
            <w:tcBorders/>
            <w:vAlign w:val="center"/>
          </w:tcPr>
          <w:p>
            <w:pPr>
              <w:pStyle w:val="TableContents"/>
              <w:bidi w:val="0"/>
              <w:spacing w:before="0" w:after="283"/>
              <w:jc w:val="center"/>
              <w:rPr>
                <w:sz w:val="20"/>
              </w:rPr>
            </w:pPr>
            <w:r>
              <w:rPr>
                <w:sz w:val="20"/>
              </w:rPr>
              <w:t>10.1</w:t>
            </w:r>
          </w:p>
        </w:tc>
        <w:tc>
          <w:tcPr>
            <w:tcW w:w="720" w:type="dxa"/>
            <w:tcBorders/>
            <w:vAlign w:val="center"/>
          </w:tcPr>
          <w:p>
            <w:pPr>
              <w:pStyle w:val="TableContents"/>
              <w:bidi w:val="0"/>
              <w:spacing w:before="0" w:after="283"/>
              <w:ind w:left="0" w:right="0" w:hanging="0"/>
              <w:jc w:val="center"/>
              <w:rPr>
                <w:sz w:val="20"/>
              </w:rPr>
            </w:pPr>
            <w:r>
              <w:rPr>
                <w:sz w:val="20"/>
              </w:rPr>
              <w:t>12/06/2023</w:t>
            </w:r>
          </w:p>
        </w:tc>
      </w:tr>
      <w:tr>
        <w:trPr/>
        <w:tc>
          <w:tcPr>
            <w:tcW w:w="874" w:type="dxa"/>
            <w:tcBorders/>
            <w:vAlign w:val="center"/>
          </w:tcPr>
          <w:p>
            <w:pPr>
              <w:pStyle w:val="TableContents"/>
              <w:bidi w:val="0"/>
              <w:spacing w:before="0" w:after="283"/>
              <w:jc w:val="center"/>
              <w:rPr/>
            </w:pPr>
            <w:hyperlink r:id="rId54">
              <w:r>
                <w:rPr>
                  <w:rStyle w:val="InternetLink"/>
                  <w:sz w:val="20"/>
                </w:rPr>
                <w:t>10.16†</w:t>
              </w:r>
            </w:hyperlink>
          </w:p>
        </w:tc>
        <w:tc>
          <w:tcPr>
            <w:tcW w:w="6272" w:type="dxa"/>
            <w:tcBorders/>
            <w:vAlign w:val="center"/>
          </w:tcPr>
          <w:p>
            <w:pPr>
              <w:pStyle w:val="TableContents"/>
              <w:bidi w:val="0"/>
              <w:spacing w:before="0" w:after="283"/>
              <w:jc w:val="left"/>
              <w:rPr/>
            </w:pPr>
            <w:hyperlink r:id="rId55">
              <w:r>
                <w:rPr>
                  <w:rStyle w:val="InternetLink"/>
                  <w:sz w:val="20"/>
                </w:rPr>
                <w:t>Third Lease Modification, dated as of January 29, 2024 by and between Hartz Metro Leasehold I LLC and the Company.</w:t>
              </w:r>
            </w:hyperlink>
          </w:p>
        </w:tc>
        <w:tc>
          <w:tcPr>
            <w:tcW w:w="665" w:type="dxa"/>
            <w:tcBorders/>
            <w:vAlign w:val="center"/>
          </w:tcPr>
          <w:p>
            <w:pPr>
              <w:pStyle w:val="TableContents"/>
              <w:bidi w:val="0"/>
              <w:spacing w:before="0" w:after="283"/>
              <w:jc w:val="center"/>
              <w:rPr>
                <w:sz w:val="20"/>
              </w:rPr>
            </w:pPr>
            <w:r>
              <w:rPr>
                <w:sz w:val="20"/>
              </w:rPr>
              <w:t>10-K</w:t>
            </w:r>
          </w:p>
        </w:tc>
        <w:tc>
          <w:tcPr>
            <w:tcW w:w="859" w:type="dxa"/>
            <w:tcBorders/>
            <w:vAlign w:val="center"/>
          </w:tcPr>
          <w:p>
            <w:pPr>
              <w:pStyle w:val="TableContents"/>
              <w:bidi w:val="0"/>
              <w:spacing w:before="0" w:after="283"/>
              <w:jc w:val="center"/>
              <w:rPr>
                <w:sz w:val="20"/>
              </w:rPr>
            </w:pPr>
            <w:r>
              <w:rPr>
                <w:sz w:val="20"/>
              </w:rPr>
              <w:t>001-40958</w:t>
            </w:r>
          </w:p>
        </w:tc>
        <w:tc>
          <w:tcPr>
            <w:tcW w:w="815" w:type="dxa"/>
            <w:tcBorders/>
            <w:vAlign w:val="center"/>
          </w:tcPr>
          <w:p>
            <w:pPr>
              <w:pStyle w:val="TableContents"/>
              <w:bidi w:val="0"/>
              <w:spacing w:before="0" w:after="283"/>
              <w:jc w:val="center"/>
              <w:rPr>
                <w:sz w:val="20"/>
              </w:rPr>
            </w:pPr>
            <w:r>
              <w:rPr>
                <w:sz w:val="20"/>
              </w:rPr>
              <w:t>10.32</w:t>
            </w:r>
          </w:p>
        </w:tc>
        <w:tc>
          <w:tcPr>
            <w:tcW w:w="720" w:type="dxa"/>
            <w:tcBorders/>
            <w:vAlign w:val="center"/>
          </w:tcPr>
          <w:p>
            <w:pPr>
              <w:pStyle w:val="TableContents"/>
              <w:bidi w:val="0"/>
              <w:spacing w:before="0" w:after="283"/>
              <w:ind w:left="0" w:right="0" w:hanging="0"/>
              <w:jc w:val="center"/>
              <w:rPr/>
            </w:pPr>
            <w:r>
              <w:rPr/>
              <w:t>0</w:t>
            </w:r>
            <w:r>
              <w:rPr>
                <w:sz w:val="20"/>
              </w:rPr>
              <w:t>4/11/2024</w:t>
            </w:r>
          </w:p>
        </w:tc>
      </w:tr>
      <w:tr>
        <w:trPr/>
        <w:tc>
          <w:tcPr>
            <w:tcW w:w="874" w:type="dxa"/>
            <w:tcBorders/>
            <w:vAlign w:val="center"/>
          </w:tcPr>
          <w:p>
            <w:pPr>
              <w:pStyle w:val="TableContents"/>
              <w:bidi w:val="0"/>
              <w:spacing w:before="0" w:after="283"/>
              <w:jc w:val="center"/>
              <w:rPr/>
            </w:pPr>
            <w:hyperlink r:id="rId56">
              <w:r>
                <w:rPr>
                  <w:rStyle w:val="InternetLink"/>
                  <w:sz w:val="20"/>
                </w:rPr>
                <w:t>10.17+</w:t>
              </w:r>
            </w:hyperlink>
          </w:p>
        </w:tc>
        <w:tc>
          <w:tcPr>
            <w:tcW w:w="6272" w:type="dxa"/>
            <w:tcBorders/>
            <w:vAlign w:val="center"/>
          </w:tcPr>
          <w:p>
            <w:pPr>
              <w:pStyle w:val="TableContents"/>
              <w:bidi w:val="0"/>
              <w:spacing w:before="0" w:after="283"/>
              <w:jc w:val="left"/>
              <w:rPr/>
            </w:pPr>
            <w:hyperlink r:id="rId57">
              <w:r>
                <w:rPr>
                  <w:rStyle w:val="InternetLink"/>
                  <w:sz w:val="20"/>
                </w:rPr>
                <w:t>Amended and Restated Executive Severance Plan</w:t>
              </w:r>
            </w:hyperlink>
          </w:p>
        </w:tc>
        <w:tc>
          <w:tcPr>
            <w:tcW w:w="665" w:type="dxa"/>
            <w:tcBorders/>
            <w:vAlign w:val="center"/>
          </w:tcPr>
          <w:p>
            <w:pPr>
              <w:pStyle w:val="TableContents"/>
              <w:bidi w:val="0"/>
              <w:spacing w:before="0" w:after="283"/>
              <w:jc w:val="center"/>
              <w:rPr>
                <w:sz w:val="20"/>
              </w:rPr>
            </w:pPr>
            <w:r>
              <w:rPr>
                <w:sz w:val="20"/>
              </w:rPr>
              <w:t>10-K</w:t>
            </w:r>
          </w:p>
        </w:tc>
        <w:tc>
          <w:tcPr>
            <w:tcW w:w="859" w:type="dxa"/>
            <w:tcBorders/>
            <w:vAlign w:val="center"/>
          </w:tcPr>
          <w:p>
            <w:pPr>
              <w:pStyle w:val="TableContents"/>
              <w:bidi w:val="0"/>
              <w:spacing w:before="0" w:after="283"/>
              <w:jc w:val="center"/>
              <w:rPr>
                <w:sz w:val="20"/>
              </w:rPr>
            </w:pPr>
            <w:r>
              <w:rPr>
                <w:sz w:val="20"/>
              </w:rPr>
              <w:t>001-40958</w:t>
            </w:r>
          </w:p>
        </w:tc>
        <w:tc>
          <w:tcPr>
            <w:tcW w:w="815" w:type="dxa"/>
            <w:tcBorders/>
            <w:vAlign w:val="center"/>
          </w:tcPr>
          <w:p>
            <w:pPr>
              <w:pStyle w:val="TableContents"/>
              <w:bidi w:val="0"/>
              <w:spacing w:before="0" w:after="283"/>
              <w:jc w:val="center"/>
              <w:rPr>
                <w:sz w:val="20"/>
              </w:rPr>
            </w:pPr>
            <w:r>
              <w:rPr>
                <w:sz w:val="20"/>
              </w:rPr>
              <w:t>10.33</w:t>
            </w:r>
          </w:p>
        </w:tc>
        <w:tc>
          <w:tcPr>
            <w:tcW w:w="720" w:type="dxa"/>
            <w:tcBorders/>
            <w:vAlign w:val="center"/>
          </w:tcPr>
          <w:p>
            <w:pPr>
              <w:pStyle w:val="TableContents"/>
              <w:bidi w:val="0"/>
              <w:spacing w:before="0" w:after="283"/>
              <w:ind w:left="0" w:right="0" w:hanging="0"/>
              <w:jc w:val="center"/>
              <w:rPr>
                <w:sz w:val="20"/>
              </w:rPr>
            </w:pPr>
            <w:r>
              <w:rPr>
                <w:sz w:val="20"/>
              </w:rPr>
              <w:t>04/11/2024</w:t>
            </w:r>
          </w:p>
        </w:tc>
      </w:tr>
      <w:tr>
        <w:trPr/>
        <w:tc>
          <w:tcPr>
            <w:tcW w:w="874" w:type="dxa"/>
            <w:tcBorders/>
            <w:vAlign w:val="center"/>
          </w:tcPr>
          <w:p>
            <w:pPr>
              <w:pStyle w:val="TableContents"/>
              <w:bidi w:val="0"/>
              <w:spacing w:before="0" w:after="283"/>
              <w:jc w:val="center"/>
              <w:rPr/>
            </w:pPr>
            <w:hyperlink r:id="rId58">
              <w:r>
                <w:rPr>
                  <w:rStyle w:val="InternetLink"/>
                  <w:sz w:val="20"/>
                </w:rPr>
                <w:t>10.18+</w:t>
              </w:r>
            </w:hyperlink>
          </w:p>
        </w:tc>
        <w:tc>
          <w:tcPr>
            <w:tcW w:w="6272" w:type="dxa"/>
            <w:tcBorders/>
            <w:vAlign w:val="center"/>
          </w:tcPr>
          <w:p>
            <w:pPr>
              <w:pStyle w:val="TableContents"/>
              <w:bidi w:val="0"/>
              <w:spacing w:before="0" w:after="283"/>
              <w:jc w:val="left"/>
              <w:rPr/>
            </w:pPr>
            <w:hyperlink r:id="rId59">
              <w:r>
                <w:rPr>
                  <w:rStyle w:val="InternetLink"/>
                  <w:sz w:val="20"/>
                </w:rPr>
                <w:t>Transaction Bonus Plan</w:t>
              </w:r>
            </w:hyperlink>
          </w:p>
        </w:tc>
        <w:tc>
          <w:tcPr>
            <w:tcW w:w="665" w:type="dxa"/>
            <w:tcBorders/>
            <w:vAlign w:val="center"/>
          </w:tcPr>
          <w:p>
            <w:pPr>
              <w:pStyle w:val="TableContents"/>
              <w:bidi w:val="0"/>
              <w:spacing w:before="0" w:after="283"/>
              <w:jc w:val="center"/>
              <w:rPr>
                <w:sz w:val="20"/>
              </w:rPr>
            </w:pPr>
            <w:r>
              <w:rPr>
                <w:sz w:val="20"/>
              </w:rPr>
              <w:t>8-K</w:t>
            </w:r>
          </w:p>
        </w:tc>
        <w:tc>
          <w:tcPr>
            <w:tcW w:w="859" w:type="dxa"/>
            <w:tcBorders/>
            <w:vAlign w:val="center"/>
          </w:tcPr>
          <w:p>
            <w:pPr>
              <w:pStyle w:val="TableContents"/>
              <w:bidi w:val="0"/>
              <w:spacing w:before="0" w:after="283"/>
              <w:jc w:val="center"/>
              <w:rPr>
                <w:sz w:val="20"/>
              </w:rPr>
            </w:pPr>
            <w:r>
              <w:rPr>
                <w:sz w:val="20"/>
              </w:rPr>
              <w:t>001-40958</w:t>
            </w:r>
          </w:p>
        </w:tc>
        <w:tc>
          <w:tcPr>
            <w:tcW w:w="815" w:type="dxa"/>
            <w:tcBorders/>
            <w:vAlign w:val="center"/>
          </w:tcPr>
          <w:p>
            <w:pPr>
              <w:pStyle w:val="TableContents"/>
              <w:bidi w:val="0"/>
              <w:spacing w:before="0" w:after="283"/>
              <w:jc w:val="center"/>
              <w:rPr>
                <w:sz w:val="20"/>
              </w:rPr>
            </w:pPr>
            <w:r>
              <w:rPr>
                <w:sz w:val="20"/>
              </w:rPr>
              <w:t>10.1</w:t>
            </w:r>
          </w:p>
        </w:tc>
        <w:tc>
          <w:tcPr>
            <w:tcW w:w="720" w:type="dxa"/>
            <w:tcBorders/>
            <w:vAlign w:val="center"/>
          </w:tcPr>
          <w:p>
            <w:pPr>
              <w:pStyle w:val="TableContents"/>
              <w:bidi w:val="0"/>
              <w:spacing w:before="0" w:after="283"/>
              <w:ind w:left="0" w:right="0" w:hanging="0"/>
              <w:jc w:val="center"/>
              <w:rPr>
                <w:sz w:val="20"/>
              </w:rPr>
            </w:pPr>
            <w:r>
              <w:rPr>
                <w:sz w:val="20"/>
              </w:rPr>
              <w:t>05/21/2024</w:t>
            </w:r>
          </w:p>
        </w:tc>
      </w:tr>
      <w:tr>
        <w:trPr/>
        <w:tc>
          <w:tcPr>
            <w:tcW w:w="874" w:type="dxa"/>
            <w:tcBorders/>
            <w:vAlign w:val="center"/>
          </w:tcPr>
          <w:p>
            <w:pPr>
              <w:pStyle w:val="TableContents"/>
              <w:bidi w:val="0"/>
              <w:spacing w:before="0" w:after="283"/>
              <w:jc w:val="center"/>
              <w:rPr/>
            </w:pPr>
            <w:hyperlink r:id="rId60">
              <w:r>
                <w:rPr>
                  <w:rStyle w:val="InternetLink"/>
                  <w:sz w:val="20"/>
                </w:rPr>
                <w:t>10.19+</w:t>
              </w:r>
            </w:hyperlink>
          </w:p>
        </w:tc>
        <w:tc>
          <w:tcPr>
            <w:tcW w:w="6272" w:type="dxa"/>
            <w:tcBorders/>
            <w:vAlign w:val="center"/>
          </w:tcPr>
          <w:p>
            <w:pPr>
              <w:pStyle w:val="TableContents"/>
              <w:bidi w:val="0"/>
              <w:spacing w:before="0" w:after="283"/>
              <w:jc w:val="left"/>
              <w:rPr/>
            </w:pPr>
            <w:hyperlink r:id="rId61">
              <w:r>
                <w:rPr>
                  <w:rStyle w:val="InternetLink"/>
                  <w:sz w:val="20"/>
                </w:rPr>
                <w:t>Amendment No. 1 to Rent the Runway, Inc. Transaction Bonus Plan</w:t>
              </w:r>
            </w:hyperlink>
          </w:p>
        </w:tc>
        <w:tc>
          <w:tcPr>
            <w:tcW w:w="665" w:type="dxa"/>
            <w:tcBorders/>
            <w:vAlign w:val="center"/>
          </w:tcPr>
          <w:p>
            <w:pPr>
              <w:pStyle w:val="TableContents"/>
              <w:bidi w:val="0"/>
              <w:spacing w:before="0" w:after="283"/>
              <w:jc w:val="center"/>
              <w:rPr>
                <w:sz w:val="20"/>
              </w:rPr>
            </w:pPr>
            <w:r>
              <w:rPr>
                <w:sz w:val="20"/>
              </w:rPr>
              <w:t>10-Q</w:t>
            </w:r>
          </w:p>
        </w:tc>
        <w:tc>
          <w:tcPr>
            <w:tcW w:w="859" w:type="dxa"/>
            <w:tcBorders/>
            <w:vAlign w:val="center"/>
          </w:tcPr>
          <w:p>
            <w:pPr>
              <w:pStyle w:val="TableContents"/>
              <w:bidi w:val="0"/>
              <w:spacing w:before="0" w:after="283"/>
              <w:jc w:val="center"/>
              <w:rPr>
                <w:sz w:val="20"/>
              </w:rPr>
            </w:pPr>
            <w:r>
              <w:rPr>
                <w:sz w:val="20"/>
              </w:rPr>
              <w:t>001-40958</w:t>
            </w:r>
          </w:p>
        </w:tc>
        <w:tc>
          <w:tcPr>
            <w:tcW w:w="815" w:type="dxa"/>
            <w:tcBorders/>
            <w:vAlign w:val="center"/>
          </w:tcPr>
          <w:p>
            <w:pPr>
              <w:pStyle w:val="TableContents"/>
              <w:bidi w:val="0"/>
              <w:spacing w:before="0" w:after="283"/>
              <w:jc w:val="center"/>
              <w:rPr>
                <w:sz w:val="20"/>
              </w:rPr>
            </w:pPr>
            <w:r>
              <w:rPr>
                <w:sz w:val="20"/>
              </w:rPr>
              <w:t>10.1</w:t>
            </w:r>
          </w:p>
        </w:tc>
        <w:tc>
          <w:tcPr>
            <w:tcW w:w="720" w:type="dxa"/>
            <w:tcBorders/>
            <w:vAlign w:val="center"/>
          </w:tcPr>
          <w:p>
            <w:pPr>
              <w:pStyle w:val="TableContents"/>
              <w:bidi w:val="0"/>
              <w:spacing w:before="0" w:after="283"/>
              <w:ind w:left="0" w:right="0" w:hanging="0"/>
              <w:jc w:val="center"/>
              <w:rPr/>
            </w:pPr>
            <w:r>
              <w:rPr/>
              <w:t>0</w:t>
            </w:r>
            <w:r>
              <w:rPr>
                <w:sz w:val="20"/>
              </w:rPr>
              <w:t>9/12/2025</w:t>
            </w:r>
          </w:p>
        </w:tc>
      </w:tr>
      <w:tr>
        <w:trPr/>
        <w:tc>
          <w:tcPr>
            <w:tcW w:w="874" w:type="dxa"/>
            <w:tcBorders/>
            <w:vAlign w:val="center"/>
          </w:tcPr>
          <w:p>
            <w:pPr>
              <w:pStyle w:val="TableContents"/>
              <w:bidi w:val="0"/>
              <w:spacing w:before="0" w:after="283"/>
              <w:jc w:val="center"/>
              <w:rPr/>
            </w:pPr>
            <w:hyperlink r:id="rId62">
              <w:r>
                <w:rPr>
                  <w:rStyle w:val="InternetLink"/>
                  <w:sz w:val="20"/>
                </w:rPr>
                <w:t>10.20+</w:t>
              </w:r>
            </w:hyperlink>
          </w:p>
        </w:tc>
        <w:tc>
          <w:tcPr>
            <w:tcW w:w="6272" w:type="dxa"/>
            <w:tcBorders/>
            <w:vAlign w:val="center"/>
          </w:tcPr>
          <w:p>
            <w:pPr>
              <w:pStyle w:val="TableContents"/>
              <w:bidi w:val="0"/>
              <w:spacing w:before="0" w:after="283"/>
              <w:jc w:val="left"/>
              <w:rPr/>
            </w:pPr>
            <w:hyperlink r:id="rId63">
              <w:r>
                <w:rPr>
                  <w:rStyle w:val="InternetLink"/>
                  <w:sz w:val="20"/>
                </w:rPr>
                <w:t>Amendment No. 2 to Rent the Runway, Inc. Transaction Bonus Plan</w:t>
              </w:r>
            </w:hyperlink>
          </w:p>
        </w:tc>
        <w:tc>
          <w:tcPr>
            <w:tcW w:w="665" w:type="dxa"/>
            <w:tcBorders/>
            <w:vAlign w:val="center"/>
          </w:tcPr>
          <w:p>
            <w:pPr>
              <w:pStyle w:val="TableContents"/>
              <w:bidi w:val="0"/>
              <w:spacing w:before="0" w:after="283"/>
              <w:jc w:val="center"/>
              <w:rPr>
                <w:sz w:val="20"/>
              </w:rPr>
            </w:pPr>
            <w:r>
              <w:rPr>
                <w:sz w:val="20"/>
              </w:rPr>
              <w:t>8-K</w:t>
            </w:r>
          </w:p>
        </w:tc>
        <w:tc>
          <w:tcPr>
            <w:tcW w:w="859" w:type="dxa"/>
            <w:tcBorders/>
            <w:vAlign w:val="center"/>
          </w:tcPr>
          <w:p>
            <w:pPr>
              <w:pStyle w:val="TableContents"/>
              <w:bidi w:val="0"/>
              <w:spacing w:before="0" w:after="283"/>
              <w:jc w:val="center"/>
              <w:rPr>
                <w:sz w:val="20"/>
              </w:rPr>
            </w:pPr>
            <w:r>
              <w:rPr>
                <w:sz w:val="20"/>
              </w:rPr>
              <w:t>001-40958</w:t>
            </w:r>
          </w:p>
        </w:tc>
        <w:tc>
          <w:tcPr>
            <w:tcW w:w="815" w:type="dxa"/>
            <w:tcBorders/>
            <w:vAlign w:val="center"/>
          </w:tcPr>
          <w:p>
            <w:pPr>
              <w:pStyle w:val="TableContents"/>
              <w:bidi w:val="0"/>
              <w:spacing w:before="0" w:after="283"/>
              <w:jc w:val="center"/>
              <w:rPr>
                <w:sz w:val="20"/>
              </w:rPr>
            </w:pPr>
            <w:r>
              <w:rPr>
                <w:sz w:val="20"/>
              </w:rPr>
              <w:t>10.5</w:t>
            </w:r>
          </w:p>
        </w:tc>
        <w:tc>
          <w:tcPr>
            <w:tcW w:w="720" w:type="dxa"/>
            <w:tcBorders/>
            <w:vAlign w:val="center"/>
          </w:tcPr>
          <w:p>
            <w:pPr>
              <w:pStyle w:val="TableContents"/>
              <w:bidi w:val="0"/>
              <w:spacing w:before="0" w:after="283"/>
              <w:ind w:left="0" w:right="0" w:hanging="0"/>
              <w:jc w:val="center"/>
              <w:rPr>
                <w:sz w:val="20"/>
              </w:rPr>
            </w:pPr>
            <w:r>
              <w:rPr>
                <w:sz w:val="20"/>
              </w:rPr>
              <w:t>08/21/2025</w:t>
            </w:r>
          </w:p>
        </w:tc>
      </w:tr>
      <w:tr>
        <w:trPr/>
        <w:tc>
          <w:tcPr>
            <w:tcW w:w="874" w:type="dxa"/>
            <w:tcBorders/>
            <w:vAlign w:val="center"/>
          </w:tcPr>
          <w:p>
            <w:pPr>
              <w:pStyle w:val="TableContents"/>
              <w:bidi w:val="0"/>
              <w:spacing w:before="0" w:after="283"/>
              <w:jc w:val="center"/>
              <w:rPr/>
            </w:pPr>
            <w:hyperlink r:id="rId64">
              <w:r>
                <w:rPr>
                  <w:rStyle w:val="InternetLink"/>
                  <w:sz w:val="20"/>
                </w:rPr>
                <w:t>10.21</w:t>
              </w:r>
            </w:hyperlink>
          </w:p>
        </w:tc>
        <w:tc>
          <w:tcPr>
            <w:tcW w:w="6272" w:type="dxa"/>
            <w:tcBorders/>
            <w:vAlign w:val="center"/>
          </w:tcPr>
          <w:p>
            <w:pPr>
              <w:pStyle w:val="TableContents"/>
              <w:bidi w:val="0"/>
              <w:spacing w:before="0" w:after="283"/>
              <w:jc w:val="left"/>
              <w:rPr/>
            </w:pPr>
            <w:hyperlink r:id="rId65">
              <w:r>
                <w:rPr>
                  <w:rStyle w:val="InternetLink"/>
                  <w:sz w:val="20"/>
                </w:rPr>
                <w:t>Exchange Agreement, dated August 20, 2025, by and between Rent the Runway, Inc. and CHS US Investments LLC</w:t>
              </w:r>
            </w:hyperlink>
          </w:p>
        </w:tc>
        <w:tc>
          <w:tcPr>
            <w:tcW w:w="665" w:type="dxa"/>
            <w:tcBorders/>
            <w:vAlign w:val="center"/>
          </w:tcPr>
          <w:p>
            <w:pPr>
              <w:pStyle w:val="TableContents"/>
              <w:bidi w:val="0"/>
              <w:spacing w:before="0" w:after="283"/>
              <w:jc w:val="center"/>
              <w:rPr>
                <w:sz w:val="20"/>
              </w:rPr>
            </w:pPr>
            <w:r>
              <w:rPr>
                <w:sz w:val="20"/>
              </w:rPr>
              <w:t>8-K</w:t>
            </w:r>
          </w:p>
        </w:tc>
        <w:tc>
          <w:tcPr>
            <w:tcW w:w="859" w:type="dxa"/>
            <w:tcBorders/>
            <w:vAlign w:val="center"/>
          </w:tcPr>
          <w:p>
            <w:pPr>
              <w:pStyle w:val="TableContents"/>
              <w:bidi w:val="0"/>
              <w:spacing w:before="0" w:after="283"/>
              <w:jc w:val="center"/>
              <w:rPr>
                <w:sz w:val="20"/>
              </w:rPr>
            </w:pPr>
            <w:r>
              <w:rPr>
                <w:sz w:val="20"/>
              </w:rPr>
              <w:t>001-40958</w:t>
            </w:r>
          </w:p>
        </w:tc>
        <w:tc>
          <w:tcPr>
            <w:tcW w:w="815" w:type="dxa"/>
            <w:tcBorders/>
            <w:vAlign w:val="center"/>
          </w:tcPr>
          <w:p>
            <w:pPr>
              <w:pStyle w:val="TableContents"/>
              <w:bidi w:val="0"/>
              <w:spacing w:before="0" w:after="283"/>
              <w:jc w:val="center"/>
              <w:rPr>
                <w:sz w:val="20"/>
              </w:rPr>
            </w:pPr>
            <w:r>
              <w:rPr>
                <w:sz w:val="20"/>
              </w:rPr>
              <w:t>10.1</w:t>
            </w:r>
          </w:p>
        </w:tc>
        <w:tc>
          <w:tcPr>
            <w:tcW w:w="720" w:type="dxa"/>
            <w:tcBorders/>
            <w:vAlign w:val="center"/>
          </w:tcPr>
          <w:p>
            <w:pPr>
              <w:pStyle w:val="TableContents"/>
              <w:bidi w:val="0"/>
              <w:spacing w:before="0" w:after="283"/>
              <w:ind w:left="0" w:right="0" w:hanging="0"/>
              <w:jc w:val="center"/>
              <w:rPr/>
            </w:pPr>
            <w:r>
              <w:rPr/>
              <w:t>0</w:t>
            </w:r>
            <w:r>
              <w:rPr>
                <w:sz w:val="20"/>
              </w:rPr>
              <w:t>8/21/2025</w:t>
            </w:r>
          </w:p>
        </w:tc>
      </w:tr>
      <w:tr>
        <w:trPr/>
        <w:tc>
          <w:tcPr>
            <w:tcW w:w="874" w:type="dxa"/>
            <w:tcBorders/>
            <w:vAlign w:val="center"/>
          </w:tcPr>
          <w:p>
            <w:pPr>
              <w:pStyle w:val="TableContents"/>
              <w:bidi w:val="0"/>
              <w:spacing w:before="0" w:after="283"/>
              <w:jc w:val="center"/>
              <w:rPr/>
            </w:pPr>
            <w:hyperlink r:id="rId66">
              <w:r>
                <w:rPr>
                  <w:rStyle w:val="InternetLink"/>
                  <w:sz w:val="20"/>
                </w:rPr>
                <w:t>10.22</w:t>
              </w:r>
            </w:hyperlink>
          </w:p>
        </w:tc>
        <w:tc>
          <w:tcPr>
            <w:tcW w:w="6272" w:type="dxa"/>
            <w:tcBorders/>
            <w:vAlign w:val="center"/>
          </w:tcPr>
          <w:p>
            <w:pPr>
              <w:pStyle w:val="TableContents"/>
              <w:bidi w:val="0"/>
              <w:spacing w:before="0" w:after="283"/>
              <w:jc w:val="left"/>
              <w:rPr/>
            </w:pPr>
            <w:hyperlink r:id="rId67">
              <w:r>
                <w:rPr>
                  <w:rStyle w:val="InternetLink"/>
                  <w:sz w:val="20"/>
                </w:rPr>
                <w:t>Investor Rights Agreement, dated August 20, 2025, by and among Rent the Runway, Inc., CHS US Investments LLC, Gateway Runway, LLC, S3 RR Aggregator, LLC and entities affiliated with Jennifer Hyman</w:t>
              </w:r>
            </w:hyperlink>
          </w:p>
        </w:tc>
        <w:tc>
          <w:tcPr>
            <w:tcW w:w="665" w:type="dxa"/>
            <w:tcBorders/>
            <w:vAlign w:val="center"/>
          </w:tcPr>
          <w:p>
            <w:pPr>
              <w:pStyle w:val="TableContents"/>
              <w:bidi w:val="0"/>
              <w:spacing w:before="0" w:after="283"/>
              <w:jc w:val="center"/>
              <w:rPr>
                <w:sz w:val="20"/>
              </w:rPr>
            </w:pPr>
            <w:r>
              <w:rPr>
                <w:sz w:val="20"/>
              </w:rPr>
              <w:t>8-K</w:t>
            </w:r>
          </w:p>
        </w:tc>
        <w:tc>
          <w:tcPr>
            <w:tcW w:w="859" w:type="dxa"/>
            <w:tcBorders/>
            <w:vAlign w:val="center"/>
          </w:tcPr>
          <w:p>
            <w:pPr>
              <w:pStyle w:val="TableContents"/>
              <w:bidi w:val="0"/>
              <w:spacing w:before="0" w:after="283"/>
              <w:jc w:val="center"/>
              <w:rPr>
                <w:sz w:val="20"/>
              </w:rPr>
            </w:pPr>
            <w:r>
              <w:rPr>
                <w:sz w:val="20"/>
              </w:rPr>
              <w:t>001-40958</w:t>
            </w:r>
          </w:p>
        </w:tc>
        <w:tc>
          <w:tcPr>
            <w:tcW w:w="815" w:type="dxa"/>
            <w:tcBorders/>
            <w:vAlign w:val="center"/>
          </w:tcPr>
          <w:p>
            <w:pPr>
              <w:pStyle w:val="TableContents"/>
              <w:bidi w:val="0"/>
              <w:spacing w:before="0" w:after="283"/>
              <w:jc w:val="center"/>
              <w:rPr>
                <w:sz w:val="20"/>
              </w:rPr>
            </w:pPr>
            <w:r>
              <w:rPr>
                <w:sz w:val="20"/>
              </w:rPr>
              <w:t>10.2</w:t>
            </w:r>
          </w:p>
        </w:tc>
        <w:tc>
          <w:tcPr>
            <w:tcW w:w="720" w:type="dxa"/>
            <w:tcBorders/>
            <w:vAlign w:val="center"/>
          </w:tcPr>
          <w:p>
            <w:pPr>
              <w:pStyle w:val="TableContents"/>
              <w:bidi w:val="0"/>
              <w:spacing w:before="0" w:after="283"/>
              <w:ind w:left="0" w:right="0" w:hanging="0"/>
              <w:jc w:val="center"/>
              <w:rPr/>
            </w:pPr>
            <w:r>
              <w:rPr/>
              <w:t>0</w:t>
            </w:r>
            <w:r>
              <w:rPr>
                <w:sz w:val="20"/>
              </w:rPr>
              <w:t>8/21/2025</w:t>
            </w:r>
          </w:p>
        </w:tc>
      </w:tr>
      <w:tr>
        <w:trPr/>
        <w:tc>
          <w:tcPr>
            <w:tcW w:w="874" w:type="dxa"/>
            <w:tcBorders/>
            <w:vAlign w:val="center"/>
          </w:tcPr>
          <w:p>
            <w:pPr>
              <w:pStyle w:val="TableContents"/>
              <w:bidi w:val="0"/>
              <w:spacing w:before="0" w:after="283"/>
              <w:jc w:val="center"/>
              <w:rPr/>
            </w:pPr>
            <w:hyperlink r:id="rId68">
              <w:r>
                <w:rPr>
                  <w:rStyle w:val="InternetLink"/>
                  <w:sz w:val="20"/>
                </w:rPr>
                <w:t>10.23</w:t>
              </w:r>
            </w:hyperlink>
          </w:p>
        </w:tc>
        <w:tc>
          <w:tcPr>
            <w:tcW w:w="6272" w:type="dxa"/>
            <w:tcBorders/>
            <w:vAlign w:val="center"/>
          </w:tcPr>
          <w:p>
            <w:pPr>
              <w:pStyle w:val="TableContents"/>
              <w:bidi w:val="0"/>
              <w:spacing w:before="0" w:after="283"/>
              <w:jc w:val="left"/>
              <w:rPr/>
            </w:pPr>
            <w:hyperlink r:id="rId69">
              <w:r>
                <w:rPr>
                  <w:rStyle w:val="InternetLink"/>
                  <w:sz w:val="20"/>
                </w:rPr>
                <w:t>Rights Offering Backstop Agreement, dated August 20, 2025, by and among Rent the Runway, Inc. and CHS US Investments LLC, Gateway Runway, LLC and S3 RR Aggregator, LLC</w:t>
              </w:r>
            </w:hyperlink>
          </w:p>
        </w:tc>
        <w:tc>
          <w:tcPr>
            <w:tcW w:w="665" w:type="dxa"/>
            <w:tcBorders/>
            <w:vAlign w:val="center"/>
          </w:tcPr>
          <w:p>
            <w:pPr>
              <w:pStyle w:val="TableContents"/>
              <w:bidi w:val="0"/>
              <w:spacing w:before="0" w:after="283"/>
              <w:jc w:val="center"/>
              <w:rPr>
                <w:sz w:val="20"/>
              </w:rPr>
            </w:pPr>
            <w:r>
              <w:rPr>
                <w:sz w:val="20"/>
              </w:rPr>
              <w:t>8-K</w:t>
            </w:r>
          </w:p>
        </w:tc>
        <w:tc>
          <w:tcPr>
            <w:tcW w:w="859" w:type="dxa"/>
            <w:tcBorders/>
            <w:vAlign w:val="center"/>
          </w:tcPr>
          <w:p>
            <w:pPr>
              <w:pStyle w:val="TableContents"/>
              <w:bidi w:val="0"/>
              <w:spacing w:before="0" w:after="283"/>
              <w:jc w:val="center"/>
              <w:rPr>
                <w:sz w:val="20"/>
              </w:rPr>
            </w:pPr>
            <w:r>
              <w:rPr>
                <w:sz w:val="20"/>
              </w:rPr>
              <w:t>001-40958</w:t>
            </w:r>
          </w:p>
        </w:tc>
        <w:tc>
          <w:tcPr>
            <w:tcW w:w="815" w:type="dxa"/>
            <w:tcBorders/>
            <w:vAlign w:val="center"/>
          </w:tcPr>
          <w:p>
            <w:pPr>
              <w:pStyle w:val="TableContents"/>
              <w:bidi w:val="0"/>
              <w:spacing w:before="0" w:after="283"/>
              <w:jc w:val="center"/>
              <w:rPr>
                <w:sz w:val="20"/>
              </w:rPr>
            </w:pPr>
            <w:r>
              <w:rPr>
                <w:sz w:val="20"/>
              </w:rPr>
              <w:t>10.3</w:t>
            </w:r>
          </w:p>
        </w:tc>
        <w:tc>
          <w:tcPr>
            <w:tcW w:w="720" w:type="dxa"/>
            <w:tcBorders/>
            <w:vAlign w:val="center"/>
          </w:tcPr>
          <w:p>
            <w:pPr>
              <w:pStyle w:val="TableContents"/>
              <w:bidi w:val="0"/>
              <w:spacing w:before="0" w:after="283"/>
              <w:ind w:left="0" w:right="0" w:hanging="0"/>
              <w:jc w:val="center"/>
              <w:rPr>
                <w:sz w:val="20"/>
              </w:rPr>
            </w:pPr>
            <w:r>
              <w:rPr>
                <w:sz w:val="20"/>
              </w:rPr>
              <w:t>08/21/2025</w:t>
            </w:r>
          </w:p>
        </w:tc>
      </w:tr>
      <w:tr>
        <w:trPr/>
        <w:tc>
          <w:tcPr>
            <w:tcW w:w="874" w:type="dxa"/>
            <w:tcBorders/>
            <w:vAlign w:val="center"/>
          </w:tcPr>
          <w:p>
            <w:pPr>
              <w:pStyle w:val="TableContents"/>
              <w:bidi w:val="0"/>
              <w:spacing w:before="0" w:after="283"/>
              <w:jc w:val="center"/>
              <w:rPr/>
            </w:pPr>
            <w:hyperlink r:id="rId70">
              <w:r>
                <w:rPr>
                  <w:rStyle w:val="InternetLink"/>
                  <w:sz w:val="20"/>
                </w:rPr>
                <w:t>10.24</w:t>
              </w:r>
            </w:hyperlink>
          </w:p>
        </w:tc>
        <w:tc>
          <w:tcPr>
            <w:tcW w:w="6272" w:type="dxa"/>
            <w:tcBorders/>
            <w:vAlign w:val="center"/>
          </w:tcPr>
          <w:p>
            <w:pPr>
              <w:pStyle w:val="TableContents"/>
              <w:bidi w:val="0"/>
              <w:spacing w:before="0" w:after="283"/>
              <w:jc w:val="left"/>
              <w:rPr/>
            </w:pPr>
            <w:hyperlink r:id="rId71">
              <w:r>
                <w:rPr>
                  <w:rStyle w:val="InternetLink"/>
                  <w:sz w:val="20"/>
                </w:rPr>
                <w:t>Executive Chair Letter, by and between Rent the Runway, Inc. and Dhiren Fonseca</w:t>
              </w:r>
            </w:hyperlink>
          </w:p>
        </w:tc>
        <w:tc>
          <w:tcPr>
            <w:tcW w:w="665" w:type="dxa"/>
            <w:tcBorders/>
            <w:vAlign w:val="center"/>
          </w:tcPr>
          <w:p>
            <w:pPr>
              <w:pStyle w:val="TableContents"/>
              <w:bidi w:val="0"/>
              <w:spacing w:before="0" w:after="283"/>
              <w:jc w:val="center"/>
              <w:rPr>
                <w:sz w:val="20"/>
              </w:rPr>
            </w:pPr>
            <w:r>
              <w:rPr>
                <w:sz w:val="20"/>
              </w:rPr>
              <w:t>10-Q</w:t>
            </w:r>
          </w:p>
        </w:tc>
        <w:tc>
          <w:tcPr>
            <w:tcW w:w="859" w:type="dxa"/>
            <w:tcBorders/>
            <w:vAlign w:val="center"/>
          </w:tcPr>
          <w:p>
            <w:pPr>
              <w:pStyle w:val="TableContents"/>
              <w:bidi w:val="0"/>
              <w:spacing w:before="0" w:after="283"/>
              <w:jc w:val="center"/>
              <w:rPr>
                <w:sz w:val="20"/>
              </w:rPr>
            </w:pPr>
            <w:r>
              <w:rPr>
                <w:sz w:val="20"/>
              </w:rPr>
              <w:t>001-40958</w:t>
            </w:r>
          </w:p>
        </w:tc>
        <w:tc>
          <w:tcPr>
            <w:tcW w:w="815" w:type="dxa"/>
            <w:tcBorders/>
            <w:vAlign w:val="center"/>
          </w:tcPr>
          <w:p>
            <w:pPr>
              <w:pStyle w:val="TableContents"/>
              <w:bidi w:val="0"/>
              <w:spacing w:before="0" w:after="283"/>
              <w:jc w:val="center"/>
              <w:rPr>
                <w:sz w:val="20"/>
              </w:rPr>
            </w:pPr>
            <w:r>
              <w:rPr>
                <w:sz w:val="20"/>
              </w:rPr>
              <w:t>10.7</w:t>
            </w:r>
          </w:p>
        </w:tc>
        <w:tc>
          <w:tcPr>
            <w:tcW w:w="720" w:type="dxa"/>
            <w:tcBorders/>
            <w:vAlign w:val="center"/>
          </w:tcPr>
          <w:p>
            <w:pPr>
              <w:pStyle w:val="TableContents"/>
              <w:bidi w:val="0"/>
              <w:spacing w:before="0" w:after="283"/>
              <w:ind w:left="0" w:right="0" w:hanging="0"/>
              <w:jc w:val="center"/>
              <w:rPr>
                <w:sz w:val="20"/>
              </w:rPr>
            </w:pPr>
            <w:r>
              <w:rPr>
                <w:sz w:val="20"/>
              </w:rPr>
              <w:t>12/12/2025</w:t>
            </w:r>
          </w:p>
        </w:tc>
      </w:tr>
      <w:tr>
        <w:trPr/>
        <w:tc>
          <w:tcPr>
            <w:tcW w:w="874" w:type="dxa"/>
            <w:tcBorders/>
            <w:vAlign w:val="center"/>
          </w:tcPr>
          <w:p>
            <w:pPr>
              <w:pStyle w:val="TableContents"/>
              <w:bidi w:val="0"/>
              <w:spacing w:before="0" w:after="283"/>
              <w:jc w:val="center"/>
              <w:rPr/>
            </w:pPr>
            <w:hyperlink r:id="rId72">
              <w:r>
                <w:rPr>
                  <w:rStyle w:val="InternetLink"/>
                  <w:sz w:val="20"/>
                </w:rPr>
                <w:t>10.25</w:t>
              </w:r>
            </w:hyperlink>
          </w:p>
        </w:tc>
        <w:tc>
          <w:tcPr>
            <w:tcW w:w="6272" w:type="dxa"/>
            <w:tcBorders/>
            <w:vAlign w:val="center"/>
          </w:tcPr>
          <w:p>
            <w:pPr>
              <w:pStyle w:val="TableContents"/>
              <w:bidi w:val="0"/>
              <w:spacing w:before="0" w:after="283"/>
              <w:jc w:val="left"/>
              <w:rPr/>
            </w:pPr>
            <w:hyperlink r:id="rId73">
              <w:r>
                <w:rPr>
                  <w:rStyle w:val="InternetLink"/>
                  <w:sz w:val="20"/>
                </w:rPr>
                <w:t>Amended and Restated Credit Agreement, dated October 28, 2025, by and among Rent the Runway, Inc., as borrower, CHS (US) Management LLC, as administrative agent, and CHS US Investments LLC, Gateway Runway, LLC and S3 RR Aggregator, LLC, as lenders</w:t>
              </w:r>
            </w:hyperlink>
          </w:p>
        </w:tc>
        <w:tc>
          <w:tcPr>
            <w:tcW w:w="665" w:type="dxa"/>
            <w:tcBorders/>
            <w:vAlign w:val="center"/>
          </w:tcPr>
          <w:p>
            <w:pPr>
              <w:pStyle w:val="TableContents"/>
              <w:bidi w:val="0"/>
              <w:spacing w:before="0" w:after="283"/>
              <w:jc w:val="center"/>
              <w:rPr>
                <w:sz w:val="20"/>
              </w:rPr>
            </w:pPr>
            <w:r>
              <w:rPr>
                <w:sz w:val="20"/>
              </w:rPr>
              <w:t>8-K</w:t>
            </w:r>
          </w:p>
        </w:tc>
        <w:tc>
          <w:tcPr>
            <w:tcW w:w="859" w:type="dxa"/>
            <w:tcBorders/>
            <w:vAlign w:val="center"/>
          </w:tcPr>
          <w:p>
            <w:pPr>
              <w:pStyle w:val="TableContents"/>
              <w:bidi w:val="0"/>
              <w:spacing w:before="0" w:after="283"/>
              <w:jc w:val="center"/>
              <w:rPr>
                <w:sz w:val="20"/>
              </w:rPr>
            </w:pPr>
            <w:r>
              <w:rPr>
                <w:sz w:val="20"/>
              </w:rPr>
              <w:t>001-40958</w:t>
            </w:r>
          </w:p>
        </w:tc>
        <w:tc>
          <w:tcPr>
            <w:tcW w:w="815" w:type="dxa"/>
            <w:tcBorders/>
            <w:vAlign w:val="center"/>
          </w:tcPr>
          <w:p>
            <w:pPr>
              <w:pStyle w:val="TableContents"/>
              <w:bidi w:val="0"/>
              <w:spacing w:before="0" w:after="283"/>
              <w:jc w:val="center"/>
              <w:rPr>
                <w:sz w:val="20"/>
              </w:rPr>
            </w:pPr>
            <w:r>
              <w:rPr>
                <w:sz w:val="20"/>
              </w:rPr>
              <w:t>10.1</w:t>
            </w:r>
          </w:p>
        </w:tc>
        <w:tc>
          <w:tcPr>
            <w:tcW w:w="720" w:type="dxa"/>
            <w:tcBorders/>
            <w:vAlign w:val="center"/>
          </w:tcPr>
          <w:p>
            <w:pPr>
              <w:pStyle w:val="TableContents"/>
              <w:bidi w:val="0"/>
              <w:spacing w:before="0" w:after="283"/>
              <w:ind w:left="0" w:right="0" w:hanging="0"/>
              <w:jc w:val="center"/>
              <w:rPr>
                <w:sz w:val="20"/>
              </w:rPr>
            </w:pPr>
            <w:r>
              <w:rPr>
                <w:sz w:val="20"/>
              </w:rPr>
              <w:t>10/28/2025</w:t>
            </w:r>
          </w:p>
        </w:tc>
      </w:tr>
      <w:tr>
        <w:trPr/>
        <w:tc>
          <w:tcPr>
            <w:tcW w:w="874" w:type="dxa"/>
            <w:tcBorders/>
            <w:vAlign w:val="center"/>
          </w:tcPr>
          <w:p>
            <w:pPr>
              <w:pStyle w:val="TableContents"/>
              <w:bidi w:val="0"/>
              <w:spacing w:before="0" w:after="283"/>
              <w:jc w:val="center"/>
              <w:rPr/>
            </w:pPr>
            <w:hyperlink r:id="rId74">
              <w:r>
                <w:rPr>
                  <w:rStyle w:val="InternetLink"/>
                  <w:sz w:val="20"/>
                </w:rPr>
                <w:t>10.26</w:t>
              </w:r>
            </w:hyperlink>
          </w:p>
        </w:tc>
        <w:tc>
          <w:tcPr>
            <w:tcW w:w="6272" w:type="dxa"/>
            <w:tcBorders/>
            <w:vAlign w:val="center"/>
          </w:tcPr>
          <w:p>
            <w:pPr>
              <w:pStyle w:val="TableContents"/>
              <w:bidi w:val="0"/>
              <w:spacing w:before="0" w:after="283"/>
              <w:jc w:val="left"/>
              <w:rPr/>
            </w:pPr>
            <w:hyperlink r:id="rId75">
              <w:r>
                <w:rPr>
                  <w:rStyle w:val="InternetLink"/>
                  <w:sz w:val="20"/>
                </w:rPr>
                <w:t>First Amendment to Amended and Restated Credit Agreement, dated January 28, 2026, by and among the Company, CHS (US) Management LLC, as the administrative agent, and the lenders party thereto</w:t>
              </w:r>
            </w:hyperlink>
          </w:p>
        </w:tc>
        <w:tc>
          <w:tcPr>
            <w:tcW w:w="665" w:type="dxa"/>
            <w:tcBorders/>
            <w:vAlign w:val="center"/>
          </w:tcPr>
          <w:p>
            <w:pPr>
              <w:pStyle w:val="TableContents"/>
              <w:bidi w:val="0"/>
              <w:spacing w:before="0" w:after="283"/>
              <w:jc w:val="center"/>
              <w:rPr>
                <w:sz w:val="20"/>
              </w:rPr>
            </w:pPr>
            <w:r>
              <w:rPr>
                <w:sz w:val="20"/>
              </w:rPr>
              <w:t>8-K</w:t>
            </w:r>
          </w:p>
        </w:tc>
        <w:tc>
          <w:tcPr>
            <w:tcW w:w="859" w:type="dxa"/>
            <w:tcBorders/>
            <w:vAlign w:val="center"/>
          </w:tcPr>
          <w:p>
            <w:pPr>
              <w:pStyle w:val="TableContents"/>
              <w:bidi w:val="0"/>
              <w:spacing w:before="0" w:after="283"/>
              <w:jc w:val="center"/>
              <w:rPr>
                <w:sz w:val="20"/>
              </w:rPr>
            </w:pPr>
            <w:r>
              <w:rPr>
                <w:sz w:val="20"/>
              </w:rPr>
              <w:t>001-40958</w:t>
            </w:r>
          </w:p>
        </w:tc>
        <w:tc>
          <w:tcPr>
            <w:tcW w:w="815" w:type="dxa"/>
            <w:tcBorders/>
            <w:vAlign w:val="center"/>
          </w:tcPr>
          <w:p>
            <w:pPr>
              <w:pStyle w:val="TableContents"/>
              <w:bidi w:val="0"/>
              <w:spacing w:before="0" w:after="283"/>
              <w:jc w:val="center"/>
              <w:rPr>
                <w:sz w:val="20"/>
              </w:rPr>
            </w:pPr>
            <w:r>
              <w:rPr>
                <w:sz w:val="20"/>
              </w:rPr>
              <w:t>10.1</w:t>
            </w:r>
          </w:p>
        </w:tc>
        <w:tc>
          <w:tcPr>
            <w:tcW w:w="720" w:type="dxa"/>
            <w:tcBorders/>
            <w:vAlign w:val="center"/>
          </w:tcPr>
          <w:p>
            <w:pPr>
              <w:pStyle w:val="TableContents"/>
              <w:bidi w:val="0"/>
              <w:spacing w:before="0" w:after="283"/>
              <w:jc w:val="center"/>
              <w:rPr>
                <w:sz w:val="20"/>
              </w:rPr>
            </w:pPr>
            <w:r>
              <w:rPr>
                <w:sz w:val="20"/>
              </w:rPr>
              <w:t>02/3/2026</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60" w:type="dxa"/>
          <w:left w:w="60" w:type="dxa"/>
          <w:bottom w:w="60" w:type="dxa"/>
          <w:right w:w="60" w:type="dxa"/>
        </w:tblCellMar>
      </w:tblPr>
      <w:tblGrid>
        <w:gridCol w:w="725"/>
        <w:gridCol w:w="6804"/>
        <w:gridCol w:w="440"/>
        <w:gridCol w:w="860"/>
        <w:gridCol w:w="605"/>
        <w:gridCol w:w="771"/>
      </w:tblGrid>
      <w:tr>
        <w:trPr/>
        <w:tc>
          <w:tcPr>
            <w:tcW w:w="725" w:type="dxa"/>
            <w:tcBorders/>
            <w:vAlign w:val="center"/>
          </w:tcPr>
          <w:p>
            <w:pPr>
              <w:pStyle w:val="TableContents"/>
              <w:bidi w:val="0"/>
              <w:spacing w:before="0" w:after="283"/>
              <w:ind w:left="0" w:right="0" w:hanging="0"/>
              <w:jc w:val="center"/>
              <w:rPr/>
            </w:pPr>
            <w:hyperlink r:id="rId76">
              <w:r>
                <w:rPr>
                  <w:rStyle w:val="InternetLink"/>
                  <w:sz w:val="20"/>
                </w:rPr>
                <w:t>10.27+</w:t>
              </w:r>
            </w:hyperlink>
          </w:p>
        </w:tc>
        <w:tc>
          <w:tcPr>
            <w:tcW w:w="6804" w:type="dxa"/>
            <w:tcBorders/>
            <w:vAlign w:val="center"/>
          </w:tcPr>
          <w:p>
            <w:pPr>
              <w:pStyle w:val="TableContents"/>
              <w:bidi w:val="0"/>
              <w:spacing w:before="0" w:after="283"/>
              <w:jc w:val="left"/>
              <w:rPr/>
            </w:pPr>
            <w:hyperlink r:id="rId77">
              <w:r>
                <w:rPr>
                  <w:rStyle w:val="InternetLink"/>
                  <w:sz w:val="20"/>
                </w:rPr>
                <w:t>Consulting Services Agreement, between the Company and Teri Bariquit, dated November 1, 2025</w:t>
              </w:r>
            </w:hyperlink>
          </w:p>
        </w:tc>
        <w:tc>
          <w:tcPr>
            <w:tcW w:w="440" w:type="dxa"/>
            <w:tcBorders/>
            <w:vAlign w:val="center"/>
          </w:tcPr>
          <w:p>
            <w:pPr>
              <w:pStyle w:val="TableContents"/>
              <w:bidi w:val="0"/>
              <w:spacing w:before="0" w:after="283"/>
              <w:jc w:val="center"/>
              <w:rPr>
                <w:sz w:val="20"/>
              </w:rPr>
            </w:pPr>
            <w:r>
              <w:rPr>
                <w:sz w:val="20"/>
              </w:rPr>
              <w:t>10-K</w:t>
            </w:r>
          </w:p>
        </w:tc>
        <w:tc>
          <w:tcPr>
            <w:tcW w:w="860" w:type="dxa"/>
            <w:tcBorders/>
            <w:vAlign w:val="center"/>
          </w:tcPr>
          <w:p>
            <w:pPr>
              <w:pStyle w:val="TableContents"/>
              <w:bidi w:val="0"/>
              <w:spacing w:before="0" w:after="283"/>
              <w:jc w:val="center"/>
              <w:rPr>
                <w:sz w:val="20"/>
              </w:rPr>
            </w:pPr>
            <w:r>
              <w:rPr>
                <w:sz w:val="20"/>
              </w:rPr>
              <w:t>001-40958</w:t>
            </w:r>
          </w:p>
        </w:tc>
        <w:tc>
          <w:tcPr>
            <w:tcW w:w="605" w:type="dxa"/>
            <w:tcBorders/>
            <w:vAlign w:val="center"/>
          </w:tcPr>
          <w:p>
            <w:pPr>
              <w:pStyle w:val="TableContents"/>
              <w:bidi w:val="0"/>
              <w:spacing w:before="0" w:after="283"/>
              <w:jc w:val="center"/>
              <w:rPr>
                <w:sz w:val="20"/>
              </w:rPr>
            </w:pPr>
            <w:r>
              <w:rPr>
                <w:sz w:val="20"/>
              </w:rPr>
              <w:t>10.32</w:t>
            </w:r>
          </w:p>
        </w:tc>
        <w:tc>
          <w:tcPr>
            <w:tcW w:w="771" w:type="dxa"/>
            <w:tcBorders/>
            <w:vAlign w:val="center"/>
          </w:tcPr>
          <w:p>
            <w:pPr>
              <w:pStyle w:val="TableContents"/>
              <w:bidi w:val="0"/>
              <w:spacing w:before="0" w:after="283"/>
              <w:ind w:left="0" w:right="0" w:hanging="0"/>
              <w:jc w:val="center"/>
              <w:rPr>
                <w:sz w:val="20"/>
              </w:rPr>
            </w:pPr>
            <w:r>
              <w:rPr>
                <w:sz w:val="20"/>
              </w:rPr>
              <w:t>04/14/2026</w:t>
            </w:r>
          </w:p>
        </w:tc>
      </w:tr>
      <w:tr>
        <w:trPr/>
        <w:tc>
          <w:tcPr>
            <w:tcW w:w="725" w:type="dxa"/>
            <w:tcBorders/>
            <w:vAlign w:val="center"/>
          </w:tcPr>
          <w:p>
            <w:pPr>
              <w:pStyle w:val="TableContents"/>
              <w:bidi w:val="0"/>
              <w:spacing w:before="0" w:after="283"/>
              <w:jc w:val="center"/>
              <w:rPr/>
            </w:pPr>
            <w:hyperlink r:id="rId78">
              <w:r>
                <w:rPr>
                  <w:rStyle w:val="InternetLink"/>
                  <w:sz w:val="20"/>
                </w:rPr>
                <w:t>10.28+</w:t>
              </w:r>
            </w:hyperlink>
          </w:p>
        </w:tc>
        <w:tc>
          <w:tcPr>
            <w:tcW w:w="6804" w:type="dxa"/>
            <w:tcBorders/>
            <w:vAlign w:val="center"/>
          </w:tcPr>
          <w:p>
            <w:pPr>
              <w:pStyle w:val="TableContents"/>
              <w:bidi w:val="0"/>
              <w:spacing w:before="0" w:after="283"/>
              <w:jc w:val="left"/>
              <w:rPr/>
            </w:pPr>
            <w:hyperlink r:id="rId79">
              <w:r>
                <w:rPr>
                  <w:rStyle w:val="InternetLink"/>
                  <w:sz w:val="20"/>
                </w:rPr>
                <w:t>Form of Performance Stock Unit Award (Second Amended and Restated 2021 Incentive Award Plan) (Executive)</w:t>
              </w:r>
            </w:hyperlink>
          </w:p>
        </w:tc>
        <w:tc>
          <w:tcPr>
            <w:tcW w:w="440" w:type="dxa"/>
            <w:tcBorders/>
            <w:vAlign w:val="center"/>
          </w:tcPr>
          <w:p>
            <w:pPr>
              <w:pStyle w:val="TableContents"/>
              <w:bidi w:val="0"/>
              <w:spacing w:before="0" w:after="283"/>
              <w:jc w:val="center"/>
              <w:rPr>
                <w:sz w:val="20"/>
              </w:rPr>
            </w:pPr>
            <w:r>
              <w:rPr>
                <w:sz w:val="20"/>
              </w:rPr>
              <w:t>10-K</w:t>
            </w:r>
          </w:p>
        </w:tc>
        <w:tc>
          <w:tcPr>
            <w:tcW w:w="860" w:type="dxa"/>
            <w:tcBorders/>
            <w:vAlign w:val="center"/>
          </w:tcPr>
          <w:p>
            <w:pPr>
              <w:pStyle w:val="TableContents"/>
              <w:bidi w:val="0"/>
              <w:spacing w:before="0" w:after="283"/>
              <w:jc w:val="center"/>
              <w:rPr>
                <w:sz w:val="20"/>
              </w:rPr>
            </w:pPr>
            <w:r>
              <w:rPr>
                <w:sz w:val="20"/>
              </w:rPr>
              <w:t>001-40958</w:t>
            </w:r>
          </w:p>
        </w:tc>
        <w:tc>
          <w:tcPr>
            <w:tcW w:w="605" w:type="dxa"/>
            <w:tcBorders/>
            <w:vAlign w:val="center"/>
          </w:tcPr>
          <w:p>
            <w:pPr>
              <w:pStyle w:val="TableContents"/>
              <w:bidi w:val="0"/>
              <w:spacing w:before="0" w:after="283"/>
              <w:jc w:val="center"/>
              <w:rPr>
                <w:sz w:val="20"/>
              </w:rPr>
            </w:pPr>
            <w:r>
              <w:rPr>
                <w:sz w:val="20"/>
              </w:rPr>
              <w:t>10.35</w:t>
            </w:r>
          </w:p>
        </w:tc>
        <w:tc>
          <w:tcPr>
            <w:tcW w:w="771" w:type="dxa"/>
            <w:tcBorders/>
            <w:vAlign w:val="center"/>
          </w:tcPr>
          <w:p>
            <w:pPr>
              <w:pStyle w:val="TableContents"/>
              <w:bidi w:val="0"/>
              <w:spacing w:before="0" w:after="283"/>
              <w:ind w:left="0" w:right="0" w:hanging="0"/>
              <w:jc w:val="center"/>
              <w:rPr>
                <w:sz w:val="20"/>
              </w:rPr>
            </w:pPr>
            <w:r>
              <w:rPr>
                <w:sz w:val="20"/>
              </w:rPr>
              <w:t>04/14/2026</w:t>
            </w:r>
          </w:p>
        </w:tc>
      </w:tr>
      <w:tr>
        <w:trPr/>
        <w:tc>
          <w:tcPr>
            <w:tcW w:w="725" w:type="dxa"/>
            <w:tcBorders/>
            <w:vAlign w:val="center"/>
          </w:tcPr>
          <w:p>
            <w:pPr>
              <w:pStyle w:val="TableContents"/>
              <w:bidi w:val="0"/>
              <w:spacing w:before="0" w:after="283"/>
              <w:jc w:val="center"/>
              <w:rPr/>
            </w:pPr>
            <w:hyperlink r:id="rId80">
              <w:r>
                <w:rPr>
                  <w:rStyle w:val="InternetLink"/>
                  <w:sz w:val="20"/>
                </w:rPr>
                <w:t>10.29+</w:t>
              </w:r>
            </w:hyperlink>
          </w:p>
        </w:tc>
        <w:tc>
          <w:tcPr>
            <w:tcW w:w="6804" w:type="dxa"/>
            <w:tcBorders/>
            <w:vAlign w:val="center"/>
          </w:tcPr>
          <w:p>
            <w:pPr>
              <w:pStyle w:val="TableContents"/>
              <w:bidi w:val="0"/>
              <w:spacing w:before="0" w:after="283"/>
              <w:jc w:val="left"/>
              <w:rPr/>
            </w:pPr>
            <w:hyperlink r:id="rId81">
              <w:r>
                <w:rPr>
                  <w:rStyle w:val="InternetLink"/>
                  <w:sz w:val="20"/>
                </w:rPr>
                <w:t>Form of Restricted Stock Unit Award (Second Amended and Restated 2021 Incentive Award Plan) (Executive)</w:t>
              </w:r>
            </w:hyperlink>
          </w:p>
        </w:tc>
        <w:tc>
          <w:tcPr>
            <w:tcW w:w="440" w:type="dxa"/>
            <w:tcBorders/>
            <w:vAlign w:val="center"/>
          </w:tcPr>
          <w:p>
            <w:pPr>
              <w:pStyle w:val="TableContents"/>
              <w:bidi w:val="0"/>
              <w:spacing w:before="0" w:after="283"/>
              <w:jc w:val="center"/>
              <w:rPr>
                <w:sz w:val="20"/>
              </w:rPr>
            </w:pPr>
            <w:r>
              <w:rPr>
                <w:sz w:val="20"/>
              </w:rPr>
              <w:t>10-K</w:t>
            </w:r>
          </w:p>
        </w:tc>
        <w:tc>
          <w:tcPr>
            <w:tcW w:w="860" w:type="dxa"/>
            <w:tcBorders/>
            <w:vAlign w:val="center"/>
          </w:tcPr>
          <w:p>
            <w:pPr>
              <w:pStyle w:val="TableContents"/>
              <w:bidi w:val="0"/>
              <w:spacing w:before="0" w:after="283"/>
              <w:jc w:val="center"/>
              <w:rPr>
                <w:sz w:val="20"/>
              </w:rPr>
            </w:pPr>
            <w:r>
              <w:rPr>
                <w:sz w:val="20"/>
              </w:rPr>
              <w:t>001-40958</w:t>
            </w:r>
          </w:p>
        </w:tc>
        <w:tc>
          <w:tcPr>
            <w:tcW w:w="605" w:type="dxa"/>
            <w:tcBorders/>
            <w:vAlign w:val="center"/>
          </w:tcPr>
          <w:p>
            <w:pPr>
              <w:pStyle w:val="TableContents"/>
              <w:bidi w:val="0"/>
              <w:spacing w:before="0" w:after="283"/>
              <w:jc w:val="center"/>
              <w:rPr>
                <w:sz w:val="20"/>
              </w:rPr>
            </w:pPr>
            <w:r>
              <w:rPr>
                <w:sz w:val="20"/>
              </w:rPr>
              <w:t>10.36</w:t>
            </w:r>
          </w:p>
        </w:tc>
        <w:tc>
          <w:tcPr>
            <w:tcW w:w="771" w:type="dxa"/>
            <w:tcBorders/>
            <w:vAlign w:val="center"/>
          </w:tcPr>
          <w:p>
            <w:pPr>
              <w:pStyle w:val="TableContents"/>
              <w:bidi w:val="0"/>
              <w:spacing w:before="0" w:after="283"/>
              <w:ind w:left="0" w:right="0" w:hanging="0"/>
              <w:jc w:val="center"/>
              <w:rPr>
                <w:sz w:val="20"/>
              </w:rPr>
            </w:pPr>
            <w:r>
              <w:rPr>
                <w:sz w:val="20"/>
              </w:rPr>
              <w:t>04/14/2026</w:t>
            </w:r>
          </w:p>
        </w:tc>
      </w:tr>
      <w:tr>
        <w:trPr/>
        <w:tc>
          <w:tcPr>
            <w:tcW w:w="725" w:type="dxa"/>
            <w:tcBorders/>
            <w:vAlign w:val="center"/>
          </w:tcPr>
          <w:p>
            <w:pPr>
              <w:pStyle w:val="TableContents"/>
              <w:bidi w:val="0"/>
              <w:spacing w:before="0" w:after="283"/>
              <w:jc w:val="center"/>
              <w:rPr/>
            </w:pPr>
            <w:hyperlink r:id="rId82">
              <w:r>
                <w:rPr>
                  <w:rStyle w:val="InternetLink"/>
                  <w:sz w:val="20"/>
                </w:rPr>
                <w:t>10.30+</w:t>
              </w:r>
            </w:hyperlink>
          </w:p>
        </w:tc>
        <w:tc>
          <w:tcPr>
            <w:tcW w:w="6804" w:type="dxa"/>
            <w:tcBorders/>
            <w:vAlign w:val="center"/>
          </w:tcPr>
          <w:p>
            <w:pPr>
              <w:pStyle w:val="TableContents"/>
              <w:bidi w:val="0"/>
              <w:spacing w:before="0" w:after="283"/>
              <w:jc w:val="left"/>
              <w:rPr/>
            </w:pPr>
            <w:hyperlink r:id="rId83">
              <w:r>
                <w:rPr>
                  <w:rStyle w:val="InternetLink"/>
                  <w:sz w:val="20"/>
                </w:rPr>
                <w:t>Form of Restricted Stock Unit Award (Second Amended and Restated 2021 Incentive Award Plan) (Non-Employee Director)</w:t>
              </w:r>
            </w:hyperlink>
          </w:p>
        </w:tc>
        <w:tc>
          <w:tcPr>
            <w:tcW w:w="440" w:type="dxa"/>
            <w:tcBorders/>
            <w:vAlign w:val="center"/>
          </w:tcPr>
          <w:p>
            <w:pPr>
              <w:pStyle w:val="TableContents"/>
              <w:bidi w:val="0"/>
              <w:spacing w:before="0" w:after="283"/>
              <w:jc w:val="center"/>
              <w:rPr>
                <w:sz w:val="20"/>
              </w:rPr>
            </w:pPr>
            <w:r>
              <w:rPr>
                <w:sz w:val="20"/>
              </w:rPr>
              <w:t>10-K</w:t>
            </w:r>
          </w:p>
        </w:tc>
        <w:tc>
          <w:tcPr>
            <w:tcW w:w="860" w:type="dxa"/>
            <w:tcBorders/>
            <w:vAlign w:val="center"/>
          </w:tcPr>
          <w:p>
            <w:pPr>
              <w:pStyle w:val="TableContents"/>
              <w:bidi w:val="0"/>
              <w:spacing w:before="0" w:after="283"/>
              <w:jc w:val="center"/>
              <w:rPr>
                <w:sz w:val="20"/>
              </w:rPr>
            </w:pPr>
            <w:r>
              <w:rPr>
                <w:sz w:val="20"/>
              </w:rPr>
              <w:t>001-40958</w:t>
            </w:r>
          </w:p>
        </w:tc>
        <w:tc>
          <w:tcPr>
            <w:tcW w:w="605" w:type="dxa"/>
            <w:tcBorders/>
            <w:vAlign w:val="center"/>
          </w:tcPr>
          <w:p>
            <w:pPr>
              <w:pStyle w:val="TableContents"/>
              <w:bidi w:val="0"/>
              <w:spacing w:before="0" w:after="283"/>
              <w:jc w:val="center"/>
              <w:rPr>
                <w:sz w:val="20"/>
              </w:rPr>
            </w:pPr>
            <w:r>
              <w:rPr>
                <w:sz w:val="20"/>
              </w:rPr>
              <w:t>10.37</w:t>
            </w:r>
          </w:p>
        </w:tc>
        <w:tc>
          <w:tcPr>
            <w:tcW w:w="771" w:type="dxa"/>
            <w:tcBorders/>
            <w:vAlign w:val="center"/>
          </w:tcPr>
          <w:p>
            <w:pPr>
              <w:pStyle w:val="TableContents"/>
              <w:bidi w:val="0"/>
              <w:spacing w:before="0" w:after="283"/>
              <w:ind w:left="0" w:right="0" w:hanging="0"/>
              <w:jc w:val="center"/>
              <w:rPr>
                <w:sz w:val="20"/>
              </w:rPr>
            </w:pPr>
            <w:r>
              <w:rPr>
                <w:sz w:val="20"/>
              </w:rPr>
              <w:t>04/14/2026</w:t>
            </w:r>
          </w:p>
        </w:tc>
      </w:tr>
      <w:tr>
        <w:trPr/>
        <w:tc>
          <w:tcPr>
            <w:tcW w:w="725" w:type="dxa"/>
            <w:tcBorders/>
            <w:vAlign w:val="center"/>
          </w:tcPr>
          <w:p>
            <w:pPr>
              <w:pStyle w:val="TableContents"/>
              <w:bidi w:val="0"/>
              <w:spacing w:before="0" w:after="283"/>
              <w:jc w:val="center"/>
              <w:rPr/>
            </w:pPr>
            <w:hyperlink r:id="rId84">
              <w:r>
                <w:rPr>
                  <w:rStyle w:val="InternetLink"/>
                  <w:sz w:val="20"/>
                </w:rPr>
                <w:t>10.31+</w:t>
              </w:r>
            </w:hyperlink>
          </w:p>
        </w:tc>
        <w:tc>
          <w:tcPr>
            <w:tcW w:w="6804" w:type="dxa"/>
            <w:tcBorders/>
            <w:vAlign w:val="center"/>
          </w:tcPr>
          <w:p>
            <w:pPr>
              <w:pStyle w:val="TableContents"/>
              <w:bidi w:val="0"/>
              <w:spacing w:before="0" w:after="283"/>
              <w:jc w:val="left"/>
              <w:rPr/>
            </w:pPr>
            <w:hyperlink r:id="rId85">
              <w:r>
                <w:rPr>
                  <w:rStyle w:val="InternetLink"/>
                  <w:sz w:val="20"/>
                </w:rPr>
                <w:t>Employment Agreement between Rent the Runway, Inc. and Dhiren Fonseca, dated February 24, 2026</w:t>
              </w:r>
            </w:hyperlink>
          </w:p>
        </w:tc>
        <w:tc>
          <w:tcPr>
            <w:tcW w:w="440" w:type="dxa"/>
            <w:tcBorders/>
            <w:vAlign w:val="center"/>
          </w:tcPr>
          <w:p>
            <w:pPr>
              <w:pStyle w:val="TableContents"/>
              <w:bidi w:val="0"/>
              <w:spacing w:before="0" w:after="283"/>
              <w:jc w:val="center"/>
              <w:rPr>
                <w:sz w:val="20"/>
              </w:rPr>
            </w:pPr>
            <w:r>
              <w:rPr>
                <w:sz w:val="20"/>
              </w:rPr>
              <w:t>10-K</w:t>
            </w:r>
          </w:p>
        </w:tc>
        <w:tc>
          <w:tcPr>
            <w:tcW w:w="860" w:type="dxa"/>
            <w:tcBorders/>
            <w:vAlign w:val="center"/>
          </w:tcPr>
          <w:p>
            <w:pPr>
              <w:pStyle w:val="TableContents"/>
              <w:bidi w:val="0"/>
              <w:spacing w:before="0" w:after="283"/>
              <w:jc w:val="center"/>
              <w:rPr>
                <w:sz w:val="20"/>
              </w:rPr>
            </w:pPr>
            <w:r>
              <w:rPr>
                <w:sz w:val="20"/>
              </w:rPr>
              <w:t>001-40958</w:t>
            </w:r>
          </w:p>
        </w:tc>
        <w:tc>
          <w:tcPr>
            <w:tcW w:w="605" w:type="dxa"/>
            <w:tcBorders/>
            <w:vAlign w:val="center"/>
          </w:tcPr>
          <w:p>
            <w:pPr>
              <w:pStyle w:val="TableContents"/>
              <w:bidi w:val="0"/>
              <w:spacing w:before="0" w:after="283"/>
              <w:jc w:val="center"/>
              <w:rPr>
                <w:sz w:val="20"/>
              </w:rPr>
            </w:pPr>
            <w:r>
              <w:rPr>
                <w:sz w:val="20"/>
              </w:rPr>
              <w:t>10.38</w:t>
            </w:r>
          </w:p>
        </w:tc>
        <w:tc>
          <w:tcPr>
            <w:tcW w:w="771" w:type="dxa"/>
            <w:tcBorders/>
            <w:vAlign w:val="center"/>
          </w:tcPr>
          <w:p>
            <w:pPr>
              <w:pStyle w:val="TableContents"/>
              <w:bidi w:val="0"/>
              <w:spacing w:before="0" w:after="283"/>
              <w:ind w:left="0" w:right="0" w:hanging="0"/>
              <w:jc w:val="center"/>
              <w:rPr>
                <w:sz w:val="20"/>
              </w:rPr>
            </w:pPr>
            <w:r>
              <w:rPr>
                <w:sz w:val="20"/>
              </w:rPr>
              <w:t>04/14/2026</w:t>
            </w:r>
          </w:p>
        </w:tc>
      </w:tr>
      <w:tr>
        <w:trPr/>
        <w:tc>
          <w:tcPr>
            <w:tcW w:w="725" w:type="dxa"/>
            <w:tcBorders/>
            <w:vAlign w:val="center"/>
          </w:tcPr>
          <w:p>
            <w:pPr>
              <w:pStyle w:val="TableContents"/>
              <w:bidi w:val="0"/>
              <w:spacing w:before="0" w:after="283"/>
              <w:jc w:val="center"/>
              <w:rPr/>
            </w:pPr>
            <w:hyperlink r:id="rId86">
              <w:r>
                <w:rPr>
                  <w:rStyle w:val="InternetLink"/>
                  <w:sz w:val="20"/>
                </w:rPr>
                <w:t>10.32+</w:t>
              </w:r>
            </w:hyperlink>
          </w:p>
        </w:tc>
        <w:tc>
          <w:tcPr>
            <w:tcW w:w="6804" w:type="dxa"/>
            <w:tcBorders/>
            <w:vAlign w:val="center"/>
          </w:tcPr>
          <w:p>
            <w:pPr>
              <w:pStyle w:val="TableContents"/>
              <w:bidi w:val="0"/>
              <w:spacing w:before="0" w:after="283"/>
              <w:jc w:val="left"/>
              <w:rPr/>
            </w:pPr>
            <w:hyperlink r:id="rId87">
              <w:r>
                <w:rPr>
                  <w:rStyle w:val="InternetLink"/>
                  <w:sz w:val="20"/>
                </w:rPr>
                <w:t>Form of Performance Stock Unit Award (Second Amended and Restated 2021 Incentive Award Plan) (Fonseca)</w:t>
              </w:r>
            </w:hyperlink>
          </w:p>
        </w:tc>
        <w:tc>
          <w:tcPr>
            <w:tcW w:w="440" w:type="dxa"/>
            <w:tcBorders/>
            <w:vAlign w:val="center"/>
          </w:tcPr>
          <w:p>
            <w:pPr>
              <w:pStyle w:val="TableContents"/>
              <w:bidi w:val="0"/>
              <w:spacing w:before="0" w:after="283"/>
              <w:jc w:val="center"/>
              <w:rPr>
                <w:sz w:val="20"/>
              </w:rPr>
            </w:pPr>
            <w:r>
              <w:rPr>
                <w:sz w:val="20"/>
              </w:rPr>
              <w:t>10-K</w:t>
            </w:r>
          </w:p>
        </w:tc>
        <w:tc>
          <w:tcPr>
            <w:tcW w:w="860" w:type="dxa"/>
            <w:tcBorders/>
            <w:vAlign w:val="center"/>
          </w:tcPr>
          <w:p>
            <w:pPr>
              <w:pStyle w:val="TableContents"/>
              <w:bidi w:val="0"/>
              <w:spacing w:before="0" w:after="283"/>
              <w:jc w:val="center"/>
              <w:rPr>
                <w:sz w:val="20"/>
              </w:rPr>
            </w:pPr>
            <w:r>
              <w:rPr>
                <w:sz w:val="20"/>
              </w:rPr>
              <w:t>001-40958</w:t>
            </w:r>
          </w:p>
        </w:tc>
        <w:tc>
          <w:tcPr>
            <w:tcW w:w="605" w:type="dxa"/>
            <w:tcBorders/>
            <w:vAlign w:val="center"/>
          </w:tcPr>
          <w:p>
            <w:pPr>
              <w:pStyle w:val="TableContents"/>
              <w:bidi w:val="0"/>
              <w:spacing w:before="0" w:after="283"/>
              <w:jc w:val="center"/>
              <w:rPr>
                <w:sz w:val="20"/>
              </w:rPr>
            </w:pPr>
            <w:r>
              <w:rPr>
                <w:sz w:val="20"/>
              </w:rPr>
              <w:t>10.39</w:t>
            </w:r>
          </w:p>
        </w:tc>
        <w:tc>
          <w:tcPr>
            <w:tcW w:w="771" w:type="dxa"/>
            <w:tcBorders/>
            <w:vAlign w:val="center"/>
          </w:tcPr>
          <w:p>
            <w:pPr>
              <w:pStyle w:val="TableContents"/>
              <w:bidi w:val="0"/>
              <w:spacing w:before="0" w:after="283"/>
              <w:ind w:left="0" w:right="0" w:hanging="0"/>
              <w:jc w:val="center"/>
              <w:rPr>
                <w:sz w:val="20"/>
              </w:rPr>
            </w:pPr>
            <w:r>
              <w:rPr>
                <w:sz w:val="20"/>
              </w:rPr>
              <w:t>04/14/2026</w:t>
            </w:r>
          </w:p>
        </w:tc>
      </w:tr>
      <w:tr>
        <w:trPr/>
        <w:tc>
          <w:tcPr>
            <w:tcW w:w="725" w:type="dxa"/>
            <w:tcBorders/>
            <w:vAlign w:val="center"/>
          </w:tcPr>
          <w:p>
            <w:pPr>
              <w:pStyle w:val="TableContents"/>
              <w:bidi w:val="0"/>
              <w:spacing w:before="0" w:after="283"/>
              <w:jc w:val="center"/>
              <w:rPr/>
            </w:pPr>
            <w:hyperlink r:id="rId88">
              <w:r>
                <w:rPr>
                  <w:rStyle w:val="InternetLink"/>
                  <w:sz w:val="20"/>
                </w:rPr>
                <w:t>10.33+</w:t>
              </w:r>
            </w:hyperlink>
          </w:p>
        </w:tc>
        <w:tc>
          <w:tcPr>
            <w:tcW w:w="6804" w:type="dxa"/>
            <w:tcBorders/>
            <w:vAlign w:val="center"/>
          </w:tcPr>
          <w:p>
            <w:pPr>
              <w:pStyle w:val="TableContents"/>
              <w:bidi w:val="0"/>
              <w:spacing w:before="0" w:after="283"/>
              <w:jc w:val="left"/>
              <w:rPr/>
            </w:pPr>
            <w:hyperlink r:id="rId89">
              <w:r>
                <w:rPr>
                  <w:rStyle w:val="InternetLink"/>
                  <w:sz w:val="20"/>
                </w:rPr>
                <w:t>Form of Restricted Stock Inducement Award (Fonseca)</w:t>
              </w:r>
            </w:hyperlink>
          </w:p>
        </w:tc>
        <w:tc>
          <w:tcPr>
            <w:tcW w:w="440" w:type="dxa"/>
            <w:tcBorders/>
            <w:vAlign w:val="center"/>
          </w:tcPr>
          <w:p>
            <w:pPr>
              <w:pStyle w:val="TableContents"/>
              <w:bidi w:val="0"/>
              <w:spacing w:before="0" w:after="283"/>
              <w:jc w:val="center"/>
              <w:rPr>
                <w:sz w:val="20"/>
              </w:rPr>
            </w:pPr>
            <w:r>
              <w:rPr>
                <w:sz w:val="20"/>
              </w:rPr>
              <w:t>S-8</w:t>
            </w:r>
          </w:p>
        </w:tc>
        <w:tc>
          <w:tcPr>
            <w:tcW w:w="860" w:type="dxa"/>
            <w:tcBorders/>
            <w:vAlign w:val="center"/>
          </w:tcPr>
          <w:p>
            <w:pPr>
              <w:pStyle w:val="TableContents"/>
              <w:bidi w:val="0"/>
              <w:spacing w:before="0" w:after="283"/>
              <w:jc w:val="center"/>
              <w:rPr>
                <w:sz w:val="20"/>
              </w:rPr>
            </w:pPr>
            <w:r>
              <w:rPr>
                <w:sz w:val="20"/>
              </w:rPr>
              <w:t>333-291155</w:t>
            </w:r>
          </w:p>
        </w:tc>
        <w:tc>
          <w:tcPr>
            <w:tcW w:w="605" w:type="dxa"/>
            <w:tcBorders/>
            <w:vAlign w:val="center"/>
          </w:tcPr>
          <w:p>
            <w:pPr>
              <w:pStyle w:val="TableContents"/>
              <w:bidi w:val="0"/>
              <w:spacing w:before="0" w:after="283"/>
              <w:jc w:val="center"/>
              <w:rPr>
                <w:sz w:val="20"/>
              </w:rPr>
            </w:pPr>
            <w:r>
              <w:rPr>
                <w:sz w:val="20"/>
              </w:rPr>
              <w:t>99.1</w:t>
            </w:r>
          </w:p>
        </w:tc>
        <w:tc>
          <w:tcPr>
            <w:tcW w:w="771" w:type="dxa"/>
            <w:tcBorders/>
            <w:vAlign w:val="center"/>
          </w:tcPr>
          <w:p>
            <w:pPr>
              <w:pStyle w:val="TableContents"/>
              <w:bidi w:val="0"/>
              <w:spacing w:before="0" w:after="283"/>
              <w:ind w:left="0" w:right="0" w:hanging="0"/>
              <w:jc w:val="center"/>
              <w:rPr>
                <w:sz w:val="20"/>
              </w:rPr>
            </w:pPr>
            <w:r>
              <w:rPr>
                <w:sz w:val="20"/>
              </w:rPr>
              <w:t>02/27/2026</w:t>
            </w:r>
          </w:p>
        </w:tc>
      </w:tr>
      <w:tr>
        <w:trPr/>
        <w:tc>
          <w:tcPr>
            <w:tcW w:w="725" w:type="dxa"/>
            <w:tcBorders/>
            <w:vAlign w:val="center"/>
          </w:tcPr>
          <w:p>
            <w:pPr>
              <w:pStyle w:val="TableContents"/>
              <w:bidi w:val="0"/>
              <w:spacing w:before="0" w:after="283"/>
              <w:jc w:val="center"/>
              <w:rPr/>
            </w:pPr>
            <w:hyperlink r:id="rId90">
              <w:r>
                <w:rPr>
                  <w:rStyle w:val="InternetLink"/>
                  <w:sz w:val="20"/>
                </w:rPr>
                <w:t>10.34+</w:t>
              </w:r>
            </w:hyperlink>
          </w:p>
        </w:tc>
        <w:tc>
          <w:tcPr>
            <w:tcW w:w="6804" w:type="dxa"/>
            <w:tcBorders/>
            <w:vAlign w:val="center"/>
          </w:tcPr>
          <w:p>
            <w:pPr>
              <w:pStyle w:val="TableContents"/>
              <w:bidi w:val="0"/>
              <w:spacing w:before="0" w:after="283"/>
              <w:jc w:val="left"/>
              <w:rPr/>
            </w:pPr>
            <w:hyperlink r:id="rId91">
              <w:r>
                <w:rPr>
                  <w:rStyle w:val="InternetLink"/>
                  <w:sz w:val="20"/>
                </w:rPr>
                <w:t>Form of Performance Stock Unit Award Amendment (Second Amended and Restated 2021 Incentive Award Plan (Executive)</w:t>
              </w:r>
            </w:hyperlink>
          </w:p>
        </w:tc>
        <w:tc>
          <w:tcPr>
            <w:tcW w:w="440" w:type="dxa"/>
            <w:tcBorders/>
            <w:vAlign w:val="center"/>
          </w:tcPr>
          <w:p>
            <w:pPr>
              <w:pStyle w:val="TableContents"/>
              <w:bidi w:val="0"/>
              <w:spacing w:before="0" w:after="283"/>
              <w:jc w:val="center"/>
              <w:rPr>
                <w:sz w:val="20"/>
              </w:rPr>
            </w:pPr>
            <w:r>
              <w:rPr>
                <w:sz w:val="20"/>
              </w:rPr>
              <w:t>10-K</w:t>
            </w:r>
          </w:p>
        </w:tc>
        <w:tc>
          <w:tcPr>
            <w:tcW w:w="860" w:type="dxa"/>
            <w:tcBorders/>
            <w:vAlign w:val="center"/>
          </w:tcPr>
          <w:p>
            <w:pPr>
              <w:pStyle w:val="TableContents"/>
              <w:bidi w:val="0"/>
              <w:spacing w:before="0" w:after="283"/>
              <w:jc w:val="center"/>
              <w:rPr>
                <w:sz w:val="20"/>
              </w:rPr>
            </w:pPr>
            <w:r>
              <w:rPr>
                <w:sz w:val="20"/>
              </w:rPr>
              <w:t>001-40958</w:t>
            </w:r>
          </w:p>
        </w:tc>
        <w:tc>
          <w:tcPr>
            <w:tcW w:w="605" w:type="dxa"/>
            <w:tcBorders/>
            <w:vAlign w:val="center"/>
          </w:tcPr>
          <w:p>
            <w:pPr>
              <w:pStyle w:val="TableContents"/>
              <w:bidi w:val="0"/>
              <w:spacing w:before="0" w:after="283"/>
              <w:jc w:val="center"/>
              <w:rPr>
                <w:sz w:val="20"/>
              </w:rPr>
            </w:pPr>
            <w:r>
              <w:rPr>
                <w:sz w:val="20"/>
              </w:rPr>
              <w:t>10.41</w:t>
            </w:r>
          </w:p>
        </w:tc>
        <w:tc>
          <w:tcPr>
            <w:tcW w:w="771" w:type="dxa"/>
            <w:tcBorders/>
            <w:vAlign w:val="center"/>
          </w:tcPr>
          <w:p>
            <w:pPr>
              <w:pStyle w:val="TableContents"/>
              <w:bidi w:val="0"/>
              <w:spacing w:before="0" w:after="283"/>
              <w:ind w:left="0" w:right="0" w:hanging="0"/>
              <w:jc w:val="center"/>
              <w:rPr>
                <w:sz w:val="20"/>
              </w:rPr>
            </w:pPr>
            <w:r>
              <w:rPr>
                <w:sz w:val="20"/>
              </w:rPr>
              <w:t>04/14/2026</w:t>
            </w:r>
          </w:p>
        </w:tc>
      </w:tr>
      <w:tr>
        <w:trPr/>
        <w:tc>
          <w:tcPr>
            <w:tcW w:w="725" w:type="dxa"/>
            <w:tcBorders/>
            <w:vAlign w:val="center"/>
          </w:tcPr>
          <w:p>
            <w:pPr>
              <w:pStyle w:val="TableContents"/>
              <w:bidi w:val="0"/>
              <w:spacing w:before="0" w:after="283"/>
              <w:jc w:val="center"/>
              <w:rPr/>
            </w:pPr>
            <w:hyperlink r:id="rId92">
              <w:r>
                <w:rPr>
                  <w:rStyle w:val="InternetLink"/>
                  <w:sz w:val="20"/>
                </w:rPr>
                <w:t>10.35+</w:t>
              </w:r>
            </w:hyperlink>
          </w:p>
        </w:tc>
        <w:tc>
          <w:tcPr>
            <w:tcW w:w="6804" w:type="dxa"/>
            <w:tcBorders/>
            <w:vAlign w:val="center"/>
          </w:tcPr>
          <w:p>
            <w:pPr>
              <w:pStyle w:val="TableContents"/>
              <w:bidi w:val="0"/>
              <w:spacing w:before="0" w:after="283"/>
              <w:jc w:val="left"/>
              <w:rPr/>
            </w:pPr>
            <w:hyperlink r:id="rId93">
              <w:r>
                <w:rPr>
                  <w:rStyle w:val="InternetLink"/>
                  <w:sz w:val="20"/>
                </w:rPr>
                <w:t>Tam One-Time Bonus Letter, dated March 23, 2026</w:t>
              </w:r>
            </w:hyperlink>
          </w:p>
        </w:tc>
        <w:tc>
          <w:tcPr>
            <w:tcW w:w="440" w:type="dxa"/>
            <w:tcBorders/>
            <w:vAlign w:val="center"/>
          </w:tcPr>
          <w:p>
            <w:pPr>
              <w:pStyle w:val="TableContents"/>
              <w:bidi w:val="0"/>
              <w:spacing w:before="0" w:after="283"/>
              <w:jc w:val="center"/>
              <w:rPr>
                <w:sz w:val="20"/>
              </w:rPr>
            </w:pPr>
            <w:r>
              <w:rPr>
                <w:sz w:val="20"/>
              </w:rPr>
              <w:t>10-K</w:t>
            </w:r>
          </w:p>
        </w:tc>
        <w:tc>
          <w:tcPr>
            <w:tcW w:w="860" w:type="dxa"/>
            <w:tcBorders/>
            <w:vAlign w:val="center"/>
          </w:tcPr>
          <w:p>
            <w:pPr>
              <w:pStyle w:val="TableContents"/>
              <w:bidi w:val="0"/>
              <w:spacing w:before="0" w:after="283"/>
              <w:jc w:val="center"/>
              <w:rPr>
                <w:sz w:val="20"/>
              </w:rPr>
            </w:pPr>
            <w:r>
              <w:rPr>
                <w:sz w:val="20"/>
              </w:rPr>
              <w:t>001-40958</w:t>
            </w:r>
          </w:p>
        </w:tc>
        <w:tc>
          <w:tcPr>
            <w:tcW w:w="605" w:type="dxa"/>
            <w:tcBorders/>
            <w:vAlign w:val="center"/>
          </w:tcPr>
          <w:p>
            <w:pPr>
              <w:pStyle w:val="TableContents"/>
              <w:bidi w:val="0"/>
              <w:spacing w:before="0" w:after="283"/>
              <w:jc w:val="center"/>
              <w:rPr>
                <w:sz w:val="20"/>
              </w:rPr>
            </w:pPr>
            <w:r>
              <w:rPr>
                <w:sz w:val="20"/>
              </w:rPr>
              <w:t>10.43</w:t>
            </w:r>
          </w:p>
        </w:tc>
        <w:tc>
          <w:tcPr>
            <w:tcW w:w="771" w:type="dxa"/>
            <w:tcBorders/>
            <w:vAlign w:val="center"/>
          </w:tcPr>
          <w:p>
            <w:pPr>
              <w:pStyle w:val="TableContents"/>
              <w:bidi w:val="0"/>
              <w:spacing w:before="0" w:after="283"/>
              <w:ind w:left="0" w:right="0" w:hanging="0"/>
              <w:jc w:val="center"/>
              <w:rPr>
                <w:sz w:val="20"/>
              </w:rPr>
            </w:pPr>
            <w:r>
              <w:rPr>
                <w:sz w:val="20"/>
              </w:rPr>
              <w:t>04/14/2026</w:t>
            </w:r>
          </w:p>
        </w:tc>
      </w:tr>
      <w:tr>
        <w:trPr/>
        <w:tc>
          <w:tcPr>
            <w:tcW w:w="725" w:type="dxa"/>
            <w:tcBorders/>
            <w:vAlign w:val="center"/>
          </w:tcPr>
          <w:p>
            <w:pPr>
              <w:pStyle w:val="TableContents"/>
              <w:bidi w:val="0"/>
              <w:spacing w:before="0" w:after="283"/>
              <w:jc w:val="center"/>
              <w:rPr/>
            </w:pPr>
            <w:hyperlink r:id="rId94">
              <w:r>
                <w:rPr>
                  <w:rStyle w:val="InternetLink"/>
                  <w:sz w:val="20"/>
                </w:rPr>
                <w:t>10.36</w:t>
              </w:r>
            </w:hyperlink>
          </w:p>
        </w:tc>
        <w:tc>
          <w:tcPr>
            <w:tcW w:w="6804" w:type="dxa"/>
            <w:tcBorders/>
            <w:vAlign w:val="center"/>
          </w:tcPr>
          <w:p>
            <w:pPr>
              <w:pStyle w:val="TableContents"/>
              <w:bidi w:val="0"/>
              <w:spacing w:before="0" w:after="283"/>
              <w:jc w:val="left"/>
              <w:rPr/>
            </w:pPr>
            <w:hyperlink r:id="rId95">
              <w:r>
                <w:rPr>
                  <w:rStyle w:val="InternetLink"/>
                  <w:sz w:val="20"/>
                </w:rPr>
                <w:t>Second Amendment to Amended and Restated Credit Agreement, dated April 1, 2026, by and among the Company, CHS (US) Management LLC, as the administrative agent, and the lenders party thereto</w:t>
              </w:r>
            </w:hyperlink>
          </w:p>
        </w:tc>
        <w:tc>
          <w:tcPr>
            <w:tcW w:w="440" w:type="dxa"/>
            <w:tcBorders/>
            <w:vAlign w:val="center"/>
          </w:tcPr>
          <w:p>
            <w:pPr>
              <w:pStyle w:val="TableContents"/>
              <w:bidi w:val="0"/>
              <w:spacing w:before="0" w:after="283"/>
              <w:jc w:val="center"/>
              <w:rPr>
                <w:sz w:val="20"/>
              </w:rPr>
            </w:pPr>
            <w:r>
              <w:rPr>
                <w:sz w:val="20"/>
              </w:rPr>
              <w:t>8-K</w:t>
            </w:r>
          </w:p>
        </w:tc>
        <w:tc>
          <w:tcPr>
            <w:tcW w:w="860" w:type="dxa"/>
            <w:tcBorders/>
            <w:vAlign w:val="center"/>
          </w:tcPr>
          <w:p>
            <w:pPr>
              <w:pStyle w:val="TableContents"/>
              <w:bidi w:val="0"/>
              <w:spacing w:before="0" w:after="283"/>
              <w:jc w:val="center"/>
              <w:rPr>
                <w:sz w:val="20"/>
              </w:rPr>
            </w:pPr>
            <w:r>
              <w:rPr>
                <w:sz w:val="20"/>
              </w:rPr>
              <w:t>001-40958</w:t>
            </w:r>
          </w:p>
        </w:tc>
        <w:tc>
          <w:tcPr>
            <w:tcW w:w="605" w:type="dxa"/>
            <w:tcBorders/>
            <w:vAlign w:val="center"/>
          </w:tcPr>
          <w:p>
            <w:pPr>
              <w:pStyle w:val="TableContents"/>
              <w:bidi w:val="0"/>
              <w:spacing w:before="0" w:after="283"/>
              <w:jc w:val="center"/>
              <w:rPr>
                <w:sz w:val="20"/>
              </w:rPr>
            </w:pPr>
            <w:r>
              <w:rPr>
                <w:sz w:val="20"/>
              </w:rPr>
              <w:t>10.1</w:t>
            </w:r>
          </w:p>
        </w:tc>
        <w:tc>
          <w:tcPr>
            <w:tcW w:w="771" w:type="dxa"/>
            <w:tcBorders/>
            <w:vAlign w:val="center"/>
          </w:tcPr>
          <w:p>
            <w:pPr>
              <w:pStyle w:val="TableContents"/>
              <w:bidi w:val="0"/>
              <w:spacing w:before="0" w:after="283"/>
              <w:ind w:left="0" w:right="0" w:hanging="0"/>
              <w:jc w:val="center"/>
              <w:rPr>
                <w:sz w:val="20"/>
              </w:rPr>
            </w:pPr>
            <w:r>
              <w:rPr>
                <w:sz w:val="20"/>
              </w:rPr>
              <w:t>04/06/2026</w:t>
            </w:r>
          </w:p>
        </w:tc>
      </w:tr>
      <w:tr>
        <w:trPr/>
        <w:tc>
          <w:tcPr>
            <w:tcW w:w="725" w:type="dxa"/>
            <w:tcBorders/>
            <w:vAlign w:val="center"/>
          </w:tcPr>
          <w:p>
            <w:pPr>
              <w:pStyle w:val="TableContents"/>
              <w:bidi w:val="0"/>
              <w:spacing w:before="0" w:after="283"/>
              <w:jc w:val="center"/>
              <w:rPr/>
            </w:pPr>
            <w:hyperlink r:id="rId96">
              <w:r>
                <w:rPr>
                  <w:rStyle w:val="InternetLink"/>
                  <w:sz w:val="20"/>
                </w:rPr>
                <w:t>10.37</w:t>
              </w:r>
            </w:hyperlink>
          </w:p>
        </w:tc>
        <w:tc>
          <w:tcPr>
            <w:tcW w:w="6804" w:type="dxa"/>
            <w:tcBorders/>
            <w:vAlign w:val="center"/>
          </w:tcPr>
          <w:p>
            <w:pPr>
              <w:pStyle w:val="TableContents"/>
              <w:bidi w:val="0"/>
              <w:spacing w:before="0" w:after="283"/>
              <w:jc w:val="left"/>
              <w:rPr/>
            </w:pPr>
            <w:hyperlink r:id="rId97">
              <w:r>
                <w:rPr>
                  <w:rStyle w:val="InternetLink"/>
                  <w:sz w:val="20"/>
                </w:rPr>
                <w:t>Third Amendment to Amended and Restated Credit Agreement, dated September 1, 2026, by and among the Company, CHS (US) Management LLC, as the administrative agent, and the lenders party thereto</w:t>
              </w:r>
            </w:hyperlink>
          </w:p>
        </w:tc>
        <w:tc>
          <w:tcPr>
            <w:tcW w:w="440" w:type="dxa"/>
            <w:tcBorders/>
            <w:vAlign w:val="center"/>
          </w:tcPr>
          <w:p>
            <w:pPr>
              <w:pStyle w:val="TableContents"/>
              <w:bidi w:val="0"/>
              <w:spacing w:before="0" w:after="283"/>
              <w:jc w:val="center"/>
              <w:rPr>
                <w:sz w:val="20"/>
              </w:rPr>
            </w:pPr>
            <w:r>
              <w:rPr>
                <w:sz w:val="20"/>
              </w:rPr>
              <w:t>8-K</w:t>
            </w:r>
          </w:p>
        </w:tc>
        <w:tc>
          <w:tcPr>
            <w:tcW w:w="860" w:type="dxa"/>
            <w:tcBorders/>
            <w:vAlign w:val="center"/>
          </w:tcPr>
          <w:p>
            <w:pPr>
              <w:pStyle w:val="TableContents"/>
              <w:bidi w:val="0"/>
              <w:spacing w:before="0" w:after="283"/>
              <w:jc w:val="center"/>
              <w:rPr>
                <w:sz w:val="20"/>
              </w:rPr>
            </w:pPr>
            <w:r>
              <w:rPr>
                <w:sz w:val="20"/>
              </w:rPr>
              <w:t>001-40958</w:t>
            </w:r>
          </w:p>
        </w:tc>
        <w:tc>
          <w:tcPr>
            <w:tcW w:w="605" w:type="dxa"/>
            <w:tcBorders/>
            <w:vAlign w:val="center"/>
          </w:tcPr>
          <w:p>
            <w:pPr>
              <w:pStyle w:val="TableContents"/>
              <w:bidi w:val="0"/>
              <w:spacing w:before="0" w:after="283"/>
              <w:jc w:val="center"/>
              <w:rPr>
                <w:sz w:val="20"/>
              </w:rPr>
            </w:pPr>
            <w:r>
              <w:rPr>
                <w:sz w:val="20"/>
              </w:rPr>
              <w:t>10.1</w:t>
            </w:r>
          </w:p>
        </w:tc>
        <w:tc>
          <w:tcPr>
            <w:tcW w:w="771" w:type="dxa"/>
            <w:tcBorders/>
            <w:vAlign w:val="center"/>
          </w:tcPr>
          <w:p>
            <w:pPr>
              <w:pStyle w:val="TableContents"/>
              <w:bidi w:val="0"/>
              <w:spacing w:before="0" w:after="283"/>
              <w:ind w:left="0" w:right="0" w:hanging="0"/>
              <w:jc w:val="center"/>
              <w:rPr>
                <w:sz w:val="20"/>
              </w:rPr>
            </w:pPr>
            <w:r>
              <w:rPr>
                <w:sz w:val="20"/>
              </w:rPr>
              <w:t>09/01/2026</w:t>
            </w:r>
          </w:p>
        </w:tc>
      </w:tr>
      <w:tr>
        <w:trPr/>
        <w:tc>
          <w:tcPr>
            <w:tcW w:w="725" w:type="dxa"/>
            <w:tcBorders/>
            <w:vAlign w:val="center"/>
          </w:tcPr>
          <w:p>
            <w:pPr>
              <w:pStyle w:val="TableContents"/>
              <w:bidi w:val="0"/>
              <w:spacing w:before="0" w:after="283"/>
              <w:jc w:val="center"/>
              <w:rPr/>
            </w:pPr>
            <w:hyperlink r:id="rId98">
              <w:r>
                <w:rPr>
                  <w:rStyle w:val="InternetLink"/>
                  <w:sz w:val="20"/>
                </w:rPr>
                <w:t>10.38</w:t>
              </w:r>
            </w:hyperlink>
          </w:p>
        </w:tc>
        <w:tc>
          <w:tcPr>
            <w:tcW w:w="6804" w:type="dxa"/>
            <w:tcBorders/>
            <w:vAlign w:val="center"/>
          </w:tcPr>
          <w:p>
            <w:pPr>
              <w:pStyle w:val="TableContents"/>
              <w:bidi w:val="0"/>
              <w:spacing w:before="0" w:after="283"/>
              <w:jc w:val="left"/>
              <w:rPr/>
            </w:pPr>
            <w:hyperlink r:id="rId99">
              <w:r>
                <w:rPr>
                  <w:rStyle w:val="InternetLink"/>
                  <w:sz w:val="20"/>
                </w:rPr>
                <w:t>At-the-Market Sales Agreement, dated as of April 15, 2026, by and between Rent the Runway, Inc. and BTIG, LLC</w:t>
              </w:r>
            </w:hyperlink>
            <w:r>
              <w:rPr>
                <w:sz w:val="20"/>
              </w:rPr>
              <w:t xml:space="preserve"> </w:t>
            </w:r>
          </w:p>
        </w:tc>
        <w:tc>
          <w:tcPr>
            <w:tcW w:w="440" w:type="dxa"/>
            <w:tcBorders/>
            <w:vAlign w:val="center"/>
          </w:tcPr>
          <w:p>
            <w:pPr>
              <w:pStyle w:val="TableContents"/>
              <w:bidi w:val="0"/>
              <w:spacing w:before="0" w:after="283"/>
              <w:jc w:val="center"/>
              <w:rPr>
                <w:sz w:val="20"/>
              </w:rPr>
            </w:pPr>
            <w:r>
              <w:rPr>
                <w:sz w:val="20"/>
              </w:rPr>
              <w:t>8-K</w:t>
            </w:r>
          </w:p>
        </w:tc>
        <w:tc>
          <w:tcPr>
            <w:tcW w:w="860" w:type="dxa"/>
            <w:tcBorders/>
            <w:vAlign w:val="center"/>
          </w:tcPr>
          <w:p>
            <w:pPr>
              <w:pStyle w:val="TableContents"/>
              <w:bidi w:val="0"/>
              <w:spacing w:before="0" w:after="283"/>
              <w:jc w:val="center"/>
              <w:rPr>
                <w:sz w:val="20"/>
              </w:rPr>
            </w:pPr>
            <w:r>
              <w:rPr>
                <w:sz w:val="20"/>
              </w:rPr>
              <w:t>001-40958</w:t>
            </w:r>
          </w:p>
        </w:tc>
        <w:tc>
          <w:tcPr>
            <w:tcW w:w="605" w:type="dxa"/>
            <w:tcBorders/>
            <w:vAlign w:val="center"/>
          </w:tcPr>
          <w:p>
            <w:pPr>
              <w:pStyle w:val="TableContents"/>
              <w:bidi w:val="0"/>
              <w:spacing w:before="0" w:after="283"/>
              <w:jc w:val="center"/>
              <w:rPr>
                <w:sz w:val="20"/>
              </w:rPr>
            </w:pPr>
            <w:r>
              <w:rPr>
                <w:sz w:val="20"/>
              </w:rPr>
              <w:t>1.1</w:t>
            </w:r>
          </w:p>
        </w:tc>
        <w:tc>
          <w:tcPr>
            <w:tcW w:w="771" w:type="dxa"/>
            <w:tcBorders/>
            <w:vAlign w:val="center"/>
          </w:tcPr>
          <w:p>
            <w:pPr>
              <w:pStyle w:val="TableContents"/>
              <w:bidi w:val="0"/>
              <w:spacing w:before="0" w:after="283"/>
              <w:ind w:left="0" w:right="0" w:hanging="0"/>
              <w:jc w:val="center"/>
              <w:rPr>
                <w:sz w:val="20"/>
              </w:rPr>
            </w:pPr>
            <w:r>
              <w:rPr>
                <w:sz w:val="20"/>
              </w:rPr>
              <w:t>04/15/2026</w:t>
            </w:r>
          </w:p>
        </w:tc>
      </w:tr>
      <w:tr>
        <w:trPr/>
        <w:tc>
          <w:tcPr>
            <w:tcW w:w="725" w:type="dxa"/>
            <w:tcBorders/>
            <w:vAlign w:val="center"/>
          </w:tcPr>
          <w:p>
            <w:pPr>
              <w:pStyle w:val="TableContents"/>
              <w:bidi w:val="0"/>
              <w:spacing w:before="0" w:after="283"/>
              <w:jc w:val="center"/>
              <w:rPr/>
            </w:pPr>
            <w:hyperlink r:id="rId100">
              <w:r>
                <w:rPr>
                  <w:rStyle w:val="InternetLink"/>
                  <w:sz w:val="20"/>
                </w:rPr>
                <w:t>10.39+</w:t>
              </w:r>
            </w:hyperlink>
          </w:p>
        </w:tc>
        <w:tc>
          <w:tcPr>
            <w:tcW w:w="6804" w:type="dxa"/>
            <w:tcBorders/>
            <w:vAlign w:val="center"/>
          </w:tcPr>
          <w:p>
            <w:pPr>
              <w:pStyle w:val="TableContents"/>
              <w:bidi w:val="0"/>
              <w:spacing w:before="0" w:after="283"/>
              <w:jc w:val="left"/>
              <w:rPr/>
            </w:pPr>
            <w:hyperlink r:id="rId101">
              <w:r>
                <w:rPr>
                  <w:rStyle w:val="InternetLink"/>
                  <w:sz w:val="20"/>
                </w:rPr>
                <w:t>Separation, Advisor and Release Agreement, by and between the Company and Ms. Hyman, dated as of May 12, 2026</w:t>
              </w:r>
            </w:hyperlink>
          </w:p>
        </w:tc>
        <w:tc>
          <w:tcPr>
            <w:tcW w:w="440" w:type="dxa"/>
            <w:tcBorders/>
            <w:vAlign w:val="center"/>
          </w:tcPr>
          <w:p>
            <w:pPr>
              <w:pStyle w:val="TableContents"/>
              <w:bidi w:val="0"/>
              <w:spacing w:before="0" w:after="283"/>
              <w:jc w:val="center"/>
              <w:rPr>
                <w:sz w:val="20"/>
              </w:rPr>
            </w:pPr>
            <w:r>
              <w:rPr>
                <w:sz w:val="20"/>
              </w:rPr>
              <w:t>8-K</w:t>
            </w:r>
          </w:p>
        </w:tc>
        <w:tc>
          <w:tcPr>
            <w:tcW w:w="860" w:type="dxa"/>
            <w:tcBorders/>
            <w:vAlign w:val="center"/>
          </w:tcPr>
          <w:p>
            <w:pPr>
              <w:pStyle w:val="TableContents"/>
              <w:bidi w:val="0"/>
              <w:spacing w:before="0" w:after="283"/>
              <w:jc w:val="center"/>
              <w:rPr>
                <w:sz w:val="20"/>
              </w:rPr>
            </w:pPr>
            <w:r>
              <w:rPr>
                <w:sz w:val="20"/>
              </w:rPr>
              <w:t>001-40958</w:t>
            </w:r>
          </w:p>
        </w:tc>
        <w:tc>
          <w:tcPr>
            <w:tcW w:w="605" w:type="dxa"/>
            <w:tcBorders/>
            <w:vAlign w:val="center"/>
          </w:tcPr>
          <w:p>
            <w:pPr>
              <w:pStyle w:val="TableContents"/>
              <w:bidi w:val="0"/>
              <w:spacing w:before="0" w:after="283"/>
              <w:jc w:val="center"/>
              <w:rPr>
                <w:sz w:val="20"/>
              </w:rPr>
            </w:pPr>
            <w:r>
              <w:rPr>
                <w:sz w:val="20"/>
              </w:rPr>
              <w:t>10.1</w:t>
            </w:r>
          </w:p>
        </w:tc>
        <w:tc>
          <w:tcPr>
            <w:tcW w:w="771" w:type="dxa"/>
            <w:tcBorders/>
            <w:vAlign w:val="center"/>
          </w:tcPr>
          <w:p>
            <w:pPr>
              <w:pStyle w:val="TableContents"/>
              <w:bidi w:val="0"/>
              <w:spacing w:before="0" w:after="283"/>
              <w:ind w:left="0" w:right="0" w:hanging="0"/>
              <w:jc w:val="center"/>
              <w:rPr>
                <w:sz w:val="20"/>
              </w:rPr>
            </w:pPr>
            <w:r>
              <w:rPr>
                <w:sz w:val="20"/>
              </w:rPr>
              <w:t>05/13/2026</w:t>
            </w:r>
          </w:p>
        </w:tc>
      </w:tr>
      <w:tr>
        <w:trPr/>
        <w:tc>
          <w:tcPr>
            <w:tcW w:w="725" w:type="dxa"/>
            <w:tcBorders/>
            <w:vAlign w:val="center"/>
          </w:tcPr>
          <w:p>
            <w:pPr>
              <w:pStyle w:val="TableContents"/>
              <w:bidi w:val="0"/>
              <w:spacing w:before="0" w:after="283"/>
              <w:jc w:val="center"/>
              <w:rPr/>
            </w:pPr>
            <w:hyperlink r:id="rId102">
              <w:r>
                <w:rPr>
                  <w:rStyle w:val="InternetLink"/>
                  <w:sz w:val="20"/>
                </w:rPr>
                <w:t>10.40+</w:t>
              </w:r>
            </w:hyperlink>
          </w:p>
        </w:tc>
        <w:tc>
          <w:tcPr>
            <w:tcW w:w="6804" w:type="dxa"/>
            <w:tcBorders/>
            <w:vAlign w:val="center"/>
          </w:tcPr>
          <w:p>
            <w:pPr>
              <w:pStyle w:val="TableContents"/>
              <w:bidi w:val="0"/>
              <w:spacing w:before="0" w:after="283"/>
              <w:jc w:val="left"/>
              <w:rPr/>
            </w:pPr>
            <w:hyperlink r:id="rId103">
              <w:r>
                <w:rPr>
                  <w:rStyle w:val="InternetLink"/>
                  <w:sz w:val="20"/>
                </w:rPr>
                <w:t>Side Letter, by and between the Company, Ms. Hyman and her affiliates, dated as of May 12, 2026</w:t>
              </w:r>
            </w:hyperlink>
          </w:p>
        </w:tc>
        <w:tc>
          <w:tcPr>
            <w:tcW w:w="440" w:type="dxa"/>
            <w:tcBorders/>
            <w:vAlign w:val="center"/>
          </w:tcPr>
          <w:p>
            <w:pPr>
              <w:pStyle w:val="TableContents"/>
              <w:bidi w:val="0"/>
              <w:spacing w:before="0" w:after="283"/>
              <w:jc w:val="center"/>
              <w:rPr>
                <w:sz w:val="20"/>
              </w:rPr>
            </w:pPr>
            <w:r>
              <w:rPr>
                <w:sz w:val="20"/>
              </w:rPr>
              <w:t>8-K</w:t>
            </w:r>
          </w:p>
        </w:tc>
        <w:tc>
          <w:tcPr>
            <w:tcW w:w="860" w:type="dxa"/>
            <w:tcBorders/>
            <w:vAlign w:val="center"/>
          </w:tcPr>
          <w:p>
            <w:pPr>
              <w:pStyle w:val="TableContents"/>
              <w:bidi w:val="0"/>
              <w:spacing w:before="0" w:after="283"/>
              <w:jc w:val="center"/>
              <w:rPr>
                <w:sz w:val="20"/>
              </w:rPr>
            </w:pPr>
            <w:r>
              <w:rPr>
                <w:sz w:val="20"/>
              </w:rPr>
              <w:t>001-40958</w:t>
            </w:r>
          </w:p>
        </w:tc>
        <w:tc>
          <w:tcPr>
            <w:tcW w:w="605" w:type="dxa"/>
            <w:tcBorders/>
            <w:vAlign w:val="center"/>
          </w:tcPr>
          <w:p>
            <w:pPr>
              <w:pStyle w:val="TableContents"/>
              <w:bidi w:val="0"/>
              <w:spacing w:before="0" w:after="283"/>
              <w:jc w:val="center"/>
              <w:rPr>
                <w:sz w:val="20"/>
              </w:rPr>
            </w:pPr>
            <w:r>
              <w:rPr>
                <w:sz w:val="20"/>
              </w:rPr>
              <w:t>10.2</w:t>
            </w:r>
          </w:p>
        </w:tc>
        <w:tc>
          <w:tcPr>
            <w:tcW w:w="771" w:type="dxa"/>
            <w:tcBorders/>
            <w:vAlign w:val="center"/>
          </w:tcPr>
          <w:p>
            <w:pPr>
              <w:pStyle w:val="TableContents"/>
              <w:bidi w:val="0"/>
              <w:spacing w:before="0" w:after="283"/>
              <w:ind w:left="0" w:right="0" w:hanging="0"/>
              <w:jc w:val="center"/>
              <w:rPr>
                <w:sz w:val="20"/>
              </w:rPr>
            </w:pPr>
            <w:r>
              <w:rPr>
                <w:sz w:val="20"/>
              </w:rPr>
              <w:t>05/13/2026</w:t>
            </w:r>
          </w:p>
        </w:tc>
      </w:tr>
      <w:tr>
        <w:trPr/>
        <w:tc>
          <w:tcPr>
            <w:tcW w:w="725" w:type="dxa"/>
            <w:tcBorders/>
            <w:vAlign w:val="center"/>
          </w:tcPr>
          <w:p>
            <w:pPr>
              <w:pStyle w:val="TableContents"/>
              <w:bidi w:val="0"/>
              <w:spacing w:before="0" w:after="283"/>
              <w:jc w:val="center"/>
              <w:rPr/>
            </w:pPr>
            <w:hyperlink r:id="rId104">
              <w:r>
                <w:rPr>
                  <w:rStyle w:val="InternetLink"/>
                  <w:sz w:val="20"/>
                </w:rPr>
                <w:t>10.41+</w:t>
              </w:r>
            </w:hyperlink>
          </w:p>
        </w:tc>
        <w:tc>
          <w:tcPr>
            <w:tcW w:w="6804" w:type="dxa"/>
            <w:tcBorders/>
            <w:vAlign w:val="center"/>
          </w:tcPr>
          <w:p>
            <w:pPr>
              <w:pStyle w:val="TableContents"/>
              <w:bidi w:val="0"/>
              <w:spacing w:before="0" w:after="283"/>
              <w:jc w:val="left"/>
              <w:rPr/>
            </w:pPr>
            <w:hyperlink r:id="rId105">
              <w:r>
                <w:rPr>
                  <w:rStyle w:val="InternetLink"/>
                  <w:sz w:val="20"/>
                </w:rPr>
                <w:t>Statement of Work No. 2 under the Consulting Services Agreement, by and between the Company and Ms. Bariquit, dated as of May 12, 2026</w:t>
              </w:r>
            </w:hyperlink>
          </w:p>
        </w:tc>
        <w:tc>
          <w:tcPr>
            <w:tcW w:w="440" w:type="dxa"/>
            <w:tcBorders/>
            <w:vAlign w:val="center"/>
          </w:tcPr>
          <w:p>
            <w:pPr>
              <w:pStyle w:val="TableContents"/>
              <w:bidi w:val="0"/>
              <w:spacing w:before="0" w:after="283"/>
              <w:jc w:val="center"/>
              <w:rPr>
                <w:sz w:val="20"/>
              </w:rPr>
            </w:pPr>
            <w:r>
              <w:rPr>
                <w:sz w:val="20"/>
              </w:rPr>
              <w:t>8-K</w:t>
            </w:r>
          </w:p>
        </w:tc>
        <w:tc>
          <w:tcPr>
            <w:tcW w:w="860" w:type="dxa"/>
            <w:tcBorders/>
            <w:vAlign w:val="center"/>
          </w:tcPr>
          <w:p>
            <w:pPr>
              <w:pStyle w:val="TableContents"/>
              <w:bidi w:val="0"/>
              <w:spacing w:before="0" w:after="283"/>
              <w:jc w:val="center"/>
              <w:rPr>
                <w:sz w:val="20"/>
              </w:rPr>
            </w:pPr>
            <w:r>
              <w:rPr>
                <w:sz w:val="20"/>
              </w:rPr>
              <w:t>001-40958</w:t>
            </w:r>
          </w:p>
        </w:tc>
        <w:tc>
          <w:tcPr>
            <w:tcW w:w="605" w:type="dxa"/>
            <w:tcBorders/>
            <w:vAlign w:val="center"/>
          </w:tcPr>
          <w:p>
            <w:pPr>
              <w:pStyle w:val="TableContents"/>
              <w:bidi w:val="0"/>
              <w:spacing w:before="0" w:after="283"/>
              <w:jc w:val="center"/>
              <w:rPr>
                <w:sz w:val="20"/>
              </w:rPr>
            </w:pPr>
            <w:r>
              <w:rPr>
                <w:sz w:val="20"/>
              </w:rPr>
              <w:t>10.3</w:t>
            </w:r>
          </w:p>
        </w:tc>
        <w:tc>
          <w:tcPr>
            <w:tcW w:w="771" w:type="dxa"/>
            <w:tcBorders/>
            <w:vAlign w:val="center"/>
          </w:tcPr>
          <w:p>
            <w:pPr>
              <w:pStyle w:val="TableContents"/>
              <w:bidi w:val="0"/>
              <w:spacing w:before="0" w:after="283"/>
              <w:ind w:left="0" w:right="0" w:hanging="0"/>
              <w:jc w:val="center"/>
              <w:rPr>
                <w:sz w:val="20"/>
              </w:rPr>
            </w:pPr>
            <w:r>
              <w:rPr>
                <w:sz w:val="20"/>
              </w:rPr>
              <w:t>05/13/2026</w:t>
            </w:r>
          </w:p>
        </w:tc>
      </w:tr>
      <w:tr>
        <w:trPr/>
        <w:tc>
          <w:tcPr>
            <w:tcW w:w="725" w:type="dxa"/>
            <w:tcBorders/>
            <w:vAlign w:val="center"/>
          </w:tcPr>
          <w:p>
            <w:pPr>
              <w:pStyle w:val="TableContents"/>
              <w:bidi w:val="0"/>
              <w:spacing w:before="0" w:after="283"/>
              <w:jc w:val="center"/>
              <w:rPr/>
            </w:pPr>
            <w:hyperlink r:id="rId106">
              <w:r>
                <w:rPr>
                  <w:rStyle w:val="InternetLink"/>
                  <w:sz w:val="20"/>
                </w:rPr>
                <w:t>10.42+</w:t>
              </w:r>
            </w:hyperlink>
          </w:p>
        </w:tc>
        <w:tc>
          <w:tcPr>
            <w:tcW w:w="6804" w:type="dxa"/>
            <w:tcBorders/>
            <w:vAlign w:val="center"/>
          </w:tcPr>
          <w:p>
            <w:pPr>
              <w:pStyle w:val="TableContents"/>
              <w:bidi w:val="0"/>
              <w:spacing w:before="0" w:after="283"/>
              <w:jc w:val="left"/>
              <w:rPr/>
            </w:pPr>
            <w:hyperlink r:id="rId107">
              <w:r>
                <w:rPr>
                  <w:rStyle w:val="InternetLink"/>
                  <w:sz w:val="20"/>
                </w:rPr>
                <w:t>Statement of Work No. 3 under the Consulting Services Agreement, by and between the Company and Ms. Bariquit, dated as of May 12, 2026</w:t>
              </w:r>
            </w:hyperlink>
          </w:p>
        </w:tc>
        <w:tc>
          <w:tcPr>
            <w:tcW w:w="440" w:type="dxa"/>
            <w:tcBorders/>
            <w:vAlign w:val="center"/>
          </w:tcPr>
          <w:p>
            <w:pPr>
              <w:pStyle w:val="TableContents"/>
              <w:bidi w:val="0"/>
              <w:spacing w:before="0" w:after="283"/>
              <w:jc w:val="center"/>
              <w:rPr>
                <w:sz w:val="20"/>
              </w:rPr>
            </w:pPr>
            <w:r>
              <w:rPr>
                <w:sz w:val="20"/>
              </w:rPr>
              <w:t>8-K</w:t>
            </w:r>
          </w:p>
        </w:tc>
        <w:tc>
          <w:tcPr>
            <w:tcW w:w="860" w:type="dxa"/>
            <w:tcBorders/>
            <w:vAlign w:val="center"/>
          </w:tcPr>
          <w:p>
            <w:pPr>
              <w:pStyle w:val="TableContents"/>
              <w:bidi w:val="0"/>
              <w:spacing w:before="0" w:after="283"/>
              <w:jc w:val="center"/>
              <w:rPr>
                <w:sz w:val="20"/>
              </w:rPr>
            </w:pPr>
            <w:r>
              <w:rPr>
                <w:sz w:val="20"/>
              </w:rPr>
              <w:t>001-40958</w:t>
            </w:r>
          </w:p>
        </w:tc>
        <w:tc>
          <w:tcPr>
            <w:tcW w:w="605" w:type="dxa"/>
            <w:tcBorders/>
            <w:vAlign w:val="center"/>
          </w:tcPr>
          <w:p>
            <w:pPr>
              <w:pStyle w:val="TableContents"/>
              <w:bidi w:val="0"/>
              <w:spacing w:before="0" w:after="283"/>
              <w:jc w:val="center"/>
              <w:rPr>
                <w:sz w:val="20"/>
              </w:rPr>
            </w:pPr>
            <w:r>
              <w:rPr>
                <w:sz w:val="20"/>
              </w:rPr>
              <w:t>10.4</w:t>
            </w:r>
          </w:p>
        </w:tc>
        <w:tc>
          <w:tcPr>
            <w:tcW w:w="771" w:type="dxa"/>
            <w:tcBorders/>
            <w:vAlign w:val="center"/>
          </w:tcPr>
          <w:p>
            <w:pPr>
              <w:pStyle w:val="TableContents"/>
              <w:bidi w:val="0"/>
              <w:spacing w:before="0" w:after="283"/>
              <w:ind w:left="0" w:right="0" w:hanging="0"/>
              <w:jc w:val="center"/>
              <w:rPr>
                <w:sz w:val="20"/>
              </w:rPr>
            </w:pPr>
            <w:r>
              <w:rPr>
                <w:sz w:val="20"/>
              </w:rPr>
              <w:t>05/13/2026</w:t>
            </w:r>
          </w:p>
        </w:tc>
      </w:tr>
      <w:tr>
        <w:trPr/>
        <w:tc>
          <w:tcPr>
            <w:tcW w:w="725" w:type="dxa"/>
            <w:tcBorders/>
            <w:vAlign w:val="center"/>
          </w:tcPr>
          <w:p>
            <w:pPr>
              <w:pStyle w:val="TableContents"/>
              <w:bidi w:val="0"/>
              <w:spacing w:before="0" w:after="283"/>
              <w:jc w:val="center"/>
              <w:rPr/>
            </w:pPr>
            <w:hyperlink r:id="rId108">
              <w:r>
                <w:rPr>
                  <w:rStyle w:val="InternetLink"/>
                  <w:sz w:val="20"/>
                </w:rPr>
                <w:t>10.43+</w:t>
              </w:r>
            </w:hyperlink>
          </w:p>
        </w:tc>
        <w:tc>
          <w:tcPr>
            <w:tcW w:w="6804" w:type="dxa"/>
            <w:tcBorders/>
            <w:vAlign w:val="center"/>
          </w:tcPr>
          <w:p>
            <w:pPr>
              <w:pStyle w:val="TableContents"/>
              <w:bidi w:val="0"/>
              <w:spacing w:before="0" w:after="283"/>
              <w:jc w:val="left"/>
              <w:rPr/>
            </w:pPr>
            <w:hyperlink r:id="rId109">
              <w:r>
                <w:rPr>
                  <w:rStyle w:val="InternetLink"/>
                  <w:sz w:val="20"/>
                </w:rPr>
                <w:t>Form of Performance Stock Unit Award Agreement (Second Amended and Restated 2021 Incentive Award Plan) (Special Executive)</w:t>
              </w:r>
            </w:hyperlink>
          </w:p>
        </w:tc>
        <w:tc>
          <w:tcPr>
            <w:tcW w:w="440" w:type="dxa"/>
            <w:tcBorders/>
            <w:vAlign w:val="center"/>
          </w:tcPr>
          <w:p>
            <w:pPr>
              <w:pStyle w:val="TableContents"/>
              <w:bidi w:val="0"/>
              <w:spacing w:before="0" w:after="283"/>
              <w:jc w:val="center"/>
              <w:rPr>
                <w:sz w:val="20"/>
              </w:rPr>
            </w:pPr>
            <w:r>
              <w:rPr>
                <w:sz w:val="20"/>
              </w:rPr>
              <w:t>10-Q</w:t>
            </w:r>
          </w:p>
        </w:tc>
        <w:tc>
          <w:tcPr>
            <w:tcW w:w="860" w:type="dxa"/>
            <w:tcBorders/>
            <w:vAlign w:val="center"/>
          </w:tcPr>
          <w:p>
            <w:pPr>
              <w:pStyle w:val="TableContents"/>
              <w:bidi w:val="0"/>
              <w:spacing w:before="0" w:after="283"/>
              <w:jc w:val="center"/>
              <w:rPr>
                <w:sz w:val="20"/>
              </w:rPr>
            </w:pPr>
            <w:r>
              <w:rPr>
                <w:sz w:val="20"/>
              </w:rPr>
              <w:t>001-40958</w:t>
            </w:r>
          </w:p>
        </w:tc>
        <w:tc>
          <w:tcPr>
            <w:tcW w:w="605" w:type="dxa"/>
            <w:tcBorders/>
            <w:vAlign w:val="center"/>
          </w:tcPr>
          <w:p>
            <w:pPr>
              <w:pStyle w:val="TableContents"/>
              <w:bidi w:val="0"/>
              <w:spacing w:before="0" w:after="283"/>
              <w:jc w:val="center"/>
              <w:rPr>
                <w:sz w:val="20"/>
              </w:rPr>
            </w:pPr>
            <w:r>
              <w:rPr>
                <w:sz w:val="20"/>
              </w:rPr>
              <w:t>10.6</w:t>
            </w:r>
          </w:p>
        </w:tc>
        <w:tc>
          <w:tcPr>
            <w:tcW w:w="771" w:type="dxa"/>
            <w:tcBorders/>
            <w:vAlign w:val="center"/>
          </w:tcPr>
          <w:p>
            <w:pPr>
              <w:pStyle w:val="TableContents"/>
              <w:bidi w:val="0"/>
              <w:spacing w:before="0" w:after="283"/>
              <w:ind w:left="0" w:right="0" w:hanging="0"/>
              <w:jc w:val="center"/>
              <w:rPr>
                <w:sz w:val="20"/>
              </w:rPr>
            </w:pPr>
            <w:r>
              <w:rPr>
                <w:sz w:val="20"/>
              </w:rPr>
              <w:t>06/03/2026</w:t>
            </w:r>
          </w:p>
        </w:tc>
      </w:tr>
      <w:tr>
        <w:trPr/>
        <w:tc>
          <w:tcPr>
            <w:tcW w:w="725" w:type="dxa"/>
            <w:tcBorders/>
            <w:vAlign w:val="center"/>
          </w:tcPr>
          <w:p>
            <w:pPr>
              <w:pStyle w:val="TableContents"/>
              <w:bidi w:val="0"/>
              <w:spacing w:before="0" w:after="283"/>
              <w:jc w:val="center"/>
              <w:rPr/>
            </w:pPr>
            <w:hyperlink r:id="rId110">
              <w:r>
                <w:rPr>
                  <w:rStyle w:val="InternetLink"/>
                  <w:color w:val="0000FF"/>
                </w:rPr>
                <w:t>10.44+</w:t>
              </w:r>
            </w:hyperlink>
          </w:p>
        </w:tc>
        <w:tc>
          <w:tcPr>
            <w:tcW w:w="6804" w:type="dxa"/>
            <w:tcBorders/>
            <w:vAlign w:val="center"/>
          </w:tcPr>
          <w:p>
            <w:pPr>
              <w:pStyle w:val="TableContents"/>
              <w:bidi w:val="0"/>
              <w:spacing w:before="0" w:after="283"/>
              <w:jc w:val="left"/>
              <w:rPr/>
            </w:pPr>
            <w:hyperlink r:id="rId111">
              <w:r>
                <w:rPr>
                  <w:rStyle w:val="InternetLink"/>
                  <w:color w:val="0000FF"/>
                </w:rPr>
                <w:t>Transition and Board Service Agreement between Rent the Runway, Inc. and Dhiren Fonseca, effective July 1, 202610.44+ Transition and Board Service Agreement between Rent the Runway, Inc. and Dhiren Fonseca, effective July 1, 2026</w:t>
              </w:r>
            </w:hyperlink>
          </w:p>
        </w:tc>
        <w:tc>
          <w:tcPr>
            <w:tcW w:w="440" w:type="dxa"/>
            <w:tcBorders/>
            <w:vAlign w:val="center"/>
          </w:tcPr>
          <w:p>
            <w:pPr>
              <w:pStyle w:val="TableContents"/>
              <w:bidi w:val="0"/>
              <w:spacing w:before="0" w:after="283"/>
              <w:jc w:val="center"/>
              <w:rPr>
                <w:sz w:val="20"/>
              </w:rPr>
            </w:pPr>
            <w:r>
              <w:rPr>
                <w:sz w:val="20"/>
              </w:rPr>
              <w:t>10-Q</w:t>
            </w:r>
          </w:p>
        </w:tc>
        <w:tc>
          <w:tcPr>
            <w:tcW w:w="860" w:type="dxa"/>
            <w:tcBorders/>
            <w:vAlign w:val="center"/>
          </w:tcPr>
          <w:p>
            <w:pPr>
              <w:pStyle w:val="TableContents"/>
              <w:bidi w:val="0"/>
              <w:spacing w:before="0" w:after="283"/>
              <w:jc w:val="center"/>
              <w:rPr>
                <w:sz w:val="20"/>
              </w:rPr>
            </w:pPr>
            <w:r>
              <w:rPr>
                <w:sz w:val="20"/>
              </w:rPr>
              <w:t>001-40958</w:t>
            </w:r>
          </w:p>
        </w:tc>
        <w:tc>
          <w:tcPr>
            <w:tcW w:w="605" w:type="dxa"/>
            <w:tcBorders/>
            <w:vAlign w:val="center"/>
          </w:tcPr>
          <w:p>
            <w:pPr>
              <w:pStyle w:val="TableContents"/>
              <w:bidi w:val="0"/>
              <w:spacing w:before="0" w:after="283"/>
              <w:jc w:val="center"/>
              <w:rPr>
                <w:sz w:val="20"/>
              </w:rPr>
            </w:pPr>
            <w:r>
              <w:rPr>
                <w:sz w:val="20"/>
              </w:rPr>
              <w:t>10.1</w:t>
            </w:r>
          </w:p>
        </w:tc>
        <w:tc>
          <w:tcPr>
            <w:tcW w:w="771" w:type="dxa"/>
            <w:tcBorders/>
            <w:vAlign w:val="center"/>
          </w:tcPr>
          <w:p>
            <w:pPr>
              <w:pStyle w:val="TableContents"/>
              <w:bidi w:val="0"/>
              <w:spacing w:before="0" w:after="283"/>
              <w:ind w:left="0" w:right="0" w:hanging="0"/>
              <w:jc w:val="center"/>
              <w:rPr>
                <w:sz w:val="20"/>
              </w:rPr>
            </w:pPr>
            <w:r>
              <w:rPr>
                <w:sz w:val="20"/>
              </w:rPr>
              <w:t>09/11/2026</w:t>
            </w:r>
          </w:p>
        </w:tc>
      </w:tr>
      <w:tr>
        <w:trPr/>
        <w:tc>
          <w:tcPr>
            <w:tcW w:w="725" w:type="dxa"/>
            <w:tcBorders/>
            <w:vAlign w:val="center"/>
          </w:tcPr>
          <w:p>
            <w:pPr>
              <w:pStyle w:val="TableContents"/>
              <w:bidi w:val="0"/>
              <w:spacing w:before="0" w:after="283"/>
              <w:jc w:val="center"/>
              <w:rPr/>
            </w:pPr>
            <w:hyperlink r:id="rId112">
              <w:r>
                <w:rPr>
                  <w:rStyle w:val="InternetLink"/>
                  <w:sz w:val="20"/>
                </w:rPr>
                <w:t>10.45</w:t>
              </w:r>
            </w:hyperlink>
          </w:p>
        </w:tc>
        <w:tc>
          <w:tcPr>
            <w:tcW w:w="6804" w:type="dxa"/>
            <w:tcBorders/>
            <w:vAlign w:val="center"/>
          </w:tcPr>
          <w:p>
            <w:pPr>
              <w:pStyle w:val="TableContents"/>
              <w:bidi w:val="0"/>
              <w:spacing w:before="0" w:after="283"/>
              <w:jc w:val="left"/>
              <w:rPr/>
            </w:pPr>
            <w:hyperlink r:id="rId113">
              <w:r>
                <w:rPr>
                  <w:rStyle w:val="InternetLink"/>
                  <w:sz w:val="20"/>
                </w:rPr>
                <w:t>Stipulation and Agreement of Settlement, dated September 3, 2026</w:t>
              </w:r>
            </w:hyperlink>
          </w:p>
        </w:tc>
        <w:tc>
          <w:tcPr>
            <w:tcW w:w="440" w:type="dxa"/>
            <w:tcBorders/>
            <w:vAlign w:val="center"/>
          </w:tcPr>
          <w:p>
            <w:pPr>
              <w:pStyle w:val="TableContents"/>
              <w:bidi w:val="0"/>
              <w:spacing w:before="0" w:after="283"/>
              <w:jc w:val="center"/>
              <w:rPr>
                <w:sz w:val="20"/>
              </w:rPr>
            </w:pPr>
            <w:r>
              <w:rPr>
                <w:sz w:val="20"/>
              </w:rPr>
              <w:t>8-K</w:t>
            </w:r>
          </w:p>
        </w:tc>
        <w:tc>
          <w:tcPr>
            <w:tcW w:w="860" w:type="dxa"/>
            <w:tcBorders/>
            <w:vAlign w:val="center"/>
          </w:tcPr>
          <w:p>
            <w:pPr>
              <w:pStyle w:val="TableContents"/>
              <w:bidi w:val="0"/>
              <w:spacing w:before="0" w:after="283"/>
              <w:jc w:val="center"/>
              <w:rPr>
                <w:sz w:val="20"/>
              </w:rPr>
            </w:pPr>
            <w:r>
              <w:rPr>
                <w:sz w:val="20"/>
              </w:rPr>
              <w:t>001-40958</w:t>
            </w:r>
          </w:p>
        </w:tc>
        <w:tc>
          <w:tcPr>
            <w:tcW w:w="605" w:type="dxa"/>
            <w:tcBorders/>
            <w:vAlign w:val="center"/>
          </w:tcPr>
          <w:p>
            <w:pPr>
              <w:pStyle w:val="TableContents"/>
              <w:bidi w:val="0"/>
              <w:spacing w:before="0" w:after="283"/>
              <w:jc w:val="center"/>
              <w:rPr>
                <w:sz w:val="20"/>
              </w:rPr>
            </w:pPr>
            <w:r>
              <w:rPr>
                <w:sz w:val="20"/>
              </w:rPr>
              <w:t>10.1</w:t>
            </w:r>
          </w:p>
        </w:tc>
        <w:tc>
          <w:tcPr>
            <w:tcW w:w="771" w:type="dxa"/>
            <w:tcBorders/>
            <w:vAlign w:val="center"/>
          </w:tcPr>
          <w:p>
            <w:pPr>
              <w:pStyle w:val="TableContents"/>
              <w:bidi w:val="0"/>
              <w:spacing w:before="0" w:after="283"/>
              <w:ind w:left="0" w:right="0" w:hanging="0"/>
              <w:jc w:val="center"/>
              <w:rPr>
                <w:sz w:val="20"/>
              </w:rPr>
            </w:pPr>
            <w:r>
              <w:rPr>
                <w:sz w:val="20"/>
              </w:rPr>
              <w:t>09/04/2026</w:t>
            </w:r>
          </w:p>
        </w:tc>
      </w:tr>
      <w:tr>
        <w:trPr/>
        <w:tc>
          <w:tcPr>
            <w:tcW w:w="725" w:type="dxa"/>
            <w:tcBorders/>
            <w:vAlign w:val="center"/>
          </w:tcPr>
          <w:p>
            <w:pPr>
              <w:pStyle w:val="TableContents"/>
              <w:bidi w:val="0"/>
              <w:spacing w:before="0" w:after="283"/>
              <w:jc w:val="center"/>
              <w:rPr/>
            </w:pPr>
            <w:hyperlink r:id="rId114">
              <w:r>
                <w:rPr>
                  <w:rStyle w:val="InternetLink"/>
                  <w:color w:val="0000FF"/>
                  <w:sz w:val="20"/>
                </w:rPr>
                <w:t>10.46+</w:t>
              </w:r>
            </w:hyperlink>
          </w:p>
        </w:tc>
        <w:tc>
          <w:tcPr>
            <w:tcW w:w="6804" w:type="dxa"/>
            <w:tcBorders/>
            <w:vAlign w:val="center"/>
          </w:tcPr>
          <w:p>
            <w:pPr>
              <w:pStyle w:val="TableContents"/>
              <w:bidi w:val="0"/>
              <w:spacing w:before="0" w:after="283"/>
              <w:jc w:val="left"/>
              <w:rPr/>
            </w:pPr>
            <w:hyperlink r:id="rId115">
              <w:r>
                <w:rPr>
                  <w:rStyle w:val="InternetLink"/>
                  <w:color w:val="0000FF"/>
                  <w:sz w:val="20"/>
                </w:rPr>
                <w:t>Employment Agreement between the Company and Paige Thomas, dated September 11, 2026</w:t>
              </w:r>
            </w:hyperlink>
          </w:p>
        </w:tc>
        <w:tc>
          <w:tcPr>
            <w:tcW w:w="440" w:type="dxa"/>
            <w:tcBorders/>
            <w:vAlign w:val="center"/>
          </w:tcPr>
          <w:p>
            <w:pPr>
              <w:pStyle w:val="TableContents"/>
              <w:bidi w:val="0"/>
              <w:spacing w:before="0" w:after="283"/>
              <w:jc w:val="center"/>
              <w:rPr>
                <w:sz w:val="20"/>
              </w:rPr>
            </w:pPr>
            <w:r>
              <w:rPr>
                <w:sz w:val="20"/>
              </w:rPr>
              <w:t>10-Q</w:t>
            </w:r>
          </w:p>
        </w:tc>
        <w:tc>
          <w:tcPr>
            <w:tcW w:w="860" w:type="dxa"/>
            <w:tcBorders/>
            <w:vAlign w:val="center"/>
          </w:tcPr>
          <w:p>
            <w:pPr>
              <w:pStyle w:val="TableContents"/>
              <w:bidi w:val="0"/>
              <w:spacing w:before="0" w:after="283"/>
              <w:jc w:val="center"/>
              <w:rPr>
                <w:sz w:val="20"/>
              </w:rPr>
            </w:pPr>
            <w:r>
              <w:rPr>
                <w:sz w:val="20"/>
              </w:rPr>
              <w:t>001-40958</w:t>
            </w:r>
          </w:p>
        </w:tc>
        <w:tc>
          <w:tcPr>
            <w:tcW w:w="605" w:type="dxa"/>
            <w:tcBorders/>
            <w:vAlign w:val="center"/>
          </w:tcPr>
          <w:p>
            <w:pPr>
              <w:pStyle w:val="TableContents"/>
              <w:bidi w:val="0"/>
              <w:spacing w:before="0" w:after="283"/>
              <w:jc w:val="center"/>
              <w:rPr>
                <w:sz w:val="20"/>
              </w:rPr>
            </w:pPr>
            <w:r>
              <w:rPr>
                <w:sz w:val="20"/>
              </w:rPr>
              <w:t>10.4</w:t>
            </w:r>
          </w:p>
        </w:tc>
        <w:tc>
          <w:tcPr>
            <w:tcW w:w="771" w:type="dxa"/>
            <w:tcBorders/>
            <w:vAlign w:val="center"/>
          </w:tcPr>
          <w:p>
            <w:pPr>
              <w:pStyle w:val="TableContents"/>
              <w:bidi w:val="0"/>
              <w:spacing w:before="0" w:after="283"/>
              <w:ind w:left="0" w:right="0" w:hanging="0"/>
              <w:jc w:val="center"/>
              <w:rPr>
                <w:sz w:val="20"/>
              </w:rPr>
            </w:pPr>
            <w:r>
              <w:rPr>
                <w:sz w:val="20"/>
              </w:rPr>
              <w:t>09/11/2026</w:t>
            </w:r>
          </w:p>
        </w:tc>
      </w:tr>
      <w:tr>
        <w:trPr/>
        <w:tc>
          <w:tcPr>
            <w:tcW w:w="725" w:type="dxa"/>
            <w:tcBorders/>
            <w:vAlign w:val="center"/>
          </w:tcPr>
          <w:p>
            <w:pPr>
              <w:pStyle w:val="TableContents"/>
              <w:bidi w:val="0"/>
              <w:spacing w:before="0" w:after="283"/>
              <w:jc w:val="center"/>
              <w:rPr/>
            </w:pPr>
            <w:hyperlink r:id="rId116">
              <w:r>
                <w:rPr>
                  <w:rStyle w:val="InternetLink"/>
                  <w:color w:val="0000FF"/>
                  <w:sz w:val="20"/>
                </w:rPr>
                <w:t>10.47+</w:t>
              </w:r>
            </w:hyperlink>
          </w:p>
        </w:tc>
        <w:tc>
          <w:tcPr>
            <w:tcW w:w="6804" w:type="dxa"/>
            <w:tcBorders/>
            <w:vAlign w:val="center"/>
          </w:tcPr>
          <w:p>
            <w:pPr>
              <w:pStyle w:val="TableContents"/>
              <w:bidi w:val="0"/>
              <w:spacing w:before="0" w:after="283"/>
              <w:jc w:val="left"/>
              <w:rPr/>
            </w:pPr>
            <w:hyperlink r:id="rId117">
              <w:r>
                <w:rPr>
                  <w:rStyle w:val="InternetLink"/>
                  <w:color w:val="0000FF"/>
                  <w:sz w:val="20"/>
                </w:rPr>
                <w:t>Letter Agreement between the Company and Teri Bariquit, dated September 11, 2026</w:t>
              </w:r>
            </w:hyperlink>
          </w:p>
        </w:tc>
        <w:tc>
          <w:tcPr>
            <w:tcW w:w="440" w:type="dxa"/>
            <w:tcBorders/>
            <w:vAlign w:val="center"/>
          </w:tcPr>
          <w:p>
            <w:pPr>
              <w:pStyle w:val="TableContents"/>
              <w:bidi w:val="0"/>
              <w:spacing w:before="0" w:after="283"/>
              <w:jc w:val="center"/>
              <w:rPr>
                <w:sz w:val="20"/>
              </w:rPr>
            </w:pPr>
            <w:r>
              <w:rPr>
                <w:sz w:val="20"/>
              </w:rPr>
              <w:t>10-Q</w:t>
            </w:r>
          </w:p>
        </w:tc>
        <w:tc>
          <w:tcPr>
            <w:tcW w:w="860" w:type="dxa"/>
            <w:tcBorders/>
            <w:vAlign w:val="center"/>
          </w:tcPr>
          <w:p>
            <w:pPr>
              <w:pStyle w:val="TableContents"/>
              <w:bidi w:val="0"/>
              <w:spacing w:before="0" w:after="283"/>
              <w:jc w:val="center"/>
              <w:rPr>
                <w:sz w:val="20"/>
              </w:rPr>
            </w:pPr>
            <w:r>
              <w:rPr>
                <w:sz w:val="20"/>
              </w:rPr>
              <w:t>001-40958</w:t>
            </w:r>
          </w:p>
        </w:tc>
        <w:tc>
          <w:tcPr>
            <w:tcW w:w="605" w:type="dxa"/>
            <w:tcBorders/>
            <w:vAlign w:val="center"/>
          </w:tcPr>
          <w:p>
            <w:pPr>
              <w:pStyle w:val="TableContents"/>
              <w:bidi w:val="0"/>
              <w:spacing w:before="0" w:after="283"/>
              <w:jc w:val="center"/>
              <w:rPr>
                <w:sz w:val="20"/>
              </w:rPr>
            </w:pPr>
            <w:r>
              <w:rPr>
                <w:sz w:val="20"/>
              </w:rPr>
              <w:t>10.5</w:t>
            </w:r>
          </w:p>
        </w:tc>
        <w:tc>
          <w:tcPr>
            <w:tcW w:w="771" w:type="dxa"/>
            <w:tcBorders/>
            <w:vAlign w:val="center"/>
          </w:tcPr>
          <w:p>
            <w:pPr>
              <w:pStyle w:val="TableContents"/>
              <w:bidi w:val="0"/>
              <w:spacing w:before="0" w:after="283"/>
              <w:ind w:left="0" w:right="0" w:hanging="0"/>
              <w:jc w:val="center"/>
              <w:rPr>
                <w:sz w:val="20"/>
              </w:rPr>
            </w:pPr>
            <w:r>
              <w:rPr>
                <w:sz w:val="20"/>
              </w:rPr>
              <w:t>09/11/2026</w:t>
            </w:r>
          </w:p>
        </w:tc>
      </w:tr>
      <w:tr>
        <w:trPr/>
        <w:tc>
          <w:tcPr>
            <w:tcW w:w="725" w:type="dxa"/>
            <w:tcBorders/>
            <w:vAlign w:val="center"/>
          </w:tcPr>
          <w:p>
            <w:pPr>
              <w:pStyle w:val="TableContents"/>
              <w:bidi w:val="0"/>
              <w:spacing w:before="0" w:after="283"/>
              <w:jc w:val="center"/>
              <w:rPr/>
            </w:pPr>
            <w:hyperlink r:id="rId118">
              <w:r>
                <w:rPr>
                  <w:rStyle w:val="InternetLink"/>
                  <w:color w:val="0000FF"/>
                </w:rPr>
                <w:t>10.48</w:t>
              </w:r>
            </w:hyperlink>
          </w:p>
        </w:tc>
        <w:tc>
          <w:tcPr>
            <w:tcW w:w="6804" w:type="dxa"/>
            <w:tcBorders/>
            <w:vAlign w:val="center"/>
          </w:tcPr>
          <w:p>
            <w:pPr>
              <w:pStyle w:val="TableContents"/>
              <w:bidi w:val="0"/>
              <w:spacing w:before="0" w:after="0"/>
              <w:ind w:left="0" w:right="0" w:hanging="0"/>
              <w:jc w:val="left"/>
              <w:rPr/>
            </w:pPr>
            <w:hyperlink r:id="rId119">
              <w:r>
                <w:rPr>
                  <w:rStyle w:val="InternetLink"/>
                  <w:rFonts w:ascii="Times New Roman;Times;Serif" w:hAnsi="Times New Roman;Times;Serif"/>
                  <w:b w:val="false"/>
                  <w:i w:val="false"/>
                  <w:caps w:val="false"/>
                  <w:smallCaps w:val="false"/>
                  <w:color w:val="0000FF"/>
                  <w:sz w:val="20"/>
                </w:rPr>
                <w:t>Rights Offering Backstop Agreement, dated September 11, 2026, by and among Rent the Runway, Inc. and CHS US Investments LLC, Gateway Runway, LLC and S3 RR Aggregator, LLC</w:t>
              </w:r>
            </w:hyperlink>
          </w:p>
        </w:tc>
        <w:tc>
          <w:tcPr>
            <w:tcW w:w="440" w:type="dxa"/>
            <w:tcBorders/>
            <w:vAlign w:val="center"/>
          </w:tcPr>
          <w:p>
            <w:pPr>
              <w:pStyle w:val="TableContents"/>
              <w:bidi w:val="0"/>
              <w:spacing w:before="0" w:after="283"/>
              <w:jc w:val="center"/>
              <w:rPr/>
            </w:pPr>
            <w:r>
              <w:rPr/>
              <w:t>8-K</w:t>
            </w:r>
          </w:p>
        </w:tc>
        <w:tc>
          <w:tcPr>
            <w:tcW w:w="860" w:type="dxa"/>
            <w:tcBorders/>
            <w:vAlign w:val="center"/>
          </w:tcPr>
          <w:p>
            <w:pPr>
              <w:pStyle w:val="TableContents"/>
              <w:bidi w:val="0"/>
              <w:spacing w:before="0" w:after="283"/>
              <w:jc w:val="center"/>
              <w:rPr/>
            </w:pPr>
            <w:r>
              <w:rPr/>
              <w:t>001-40958</w:t>
            </w:r>
          </w:p>
        </w:tc>
        <w:tc>
          <w:tcPr>
            <w:tcW w:w="605" w:type="dxa"/>
            <w:tcBorders/>
            <w:vAlign w:val="center"/>
          </w:tcPr>
          <w:p>
            <w:pPr>
              <w:pStyle w:val="TableContents"/>
              <w:bidi w:val="0"/>
              <w:spacing w:before="0" w:after="283"/>
              <w:jc w:val="center"/>
              <w:rPr/>
            </w:pPr>
            <w:r>
              <w:rPr/>
              <w:t>10.1</w:t>
            </w:r>
          </w:p>
        </w:tc>
        <w:tc>
          <w:tcPr>
            <w:tcW w:w="771" w:type="dxa"/>
            <w:tcBorders/>
            <w:vAlign w:val="center"/>
          </w:tcPr>
          <w:p>
            <w:pPr>
              <w:pStyle w:val="TableContents"/>
              <w:bidi w:val="0"/>
              <w:spacing w:before="0" w:after="283"/>
              <w:ind w:left="0" w:right="0" w:hanging="0"/>
              <w:jc w:val="center"/>
              <w:rPr/>
            </w:pPr>
            <w:r>
              <w:rPr/>
              <w:t>09/11/2026</w:t>
            </w:r>
          </w:p>
        </w:tc>
      </w:tr>
      <w:tr>
        <w:trPr/>
        <w:tc>
          <w:tcPr>
            <w:tcW w:w="725" w:type="dxa"/>
            <w:tcBorders/>
            <w:vAlign w:val="center"/>
          </w:tcPr>
          <w:p>
            <w:pPr>
              <w:pStyle w:val="TableContents"/>
              <w:bidi w:val="0"/>
              <w:spacing w:before="0" w:after="283"/>
              <w:jc w:val="center"/>
              <w:rPr/>
            </w:pPr>
            <w:hyperlink r:id="rId120">
              <w:r>
                <w:rPr>
                  <w:rStyle w:val="InternetLink"/>
                  <w:sz w:val="20"/>
                </w:rPr>
                <w:t>21.1</w:t>
              </w:r>
            </w:hyperlink>
          </w:p>
        </w:tc>
        <w:tc>
          <w:tcPr>
            <w:tcW w:w="6804" w:type="dxa"/>
            <w:tcBorders/>
            <w:vAlign w:val="center"/>
          </w:tcPr>
          <w:p>
            <w:pPr>
              <w:pStyle w:val="TableContents"/>
              <w:bidi w:val="0"/>
              <w:spacing w:before="0" w:after="283"/>
              <w:jc w:val="left"/>
              <w:rPr/>
            </w:pPr>
            <w:hyperlink r:id="rId121">
              <w:r>
                <w:rPr>
                  <w:rStyle w:val="InternetLink"/>
                  <w:sz w:val="20"/>
                </w:rPr>
                <w:t>Subsidiaries of the registrant</w:t>
              </w:r>
            </w:hyperlink>
          </w:p>
        </w:tc>
        <w:tc>
          <w:tcPr>
            <w:tcW w:w="440" w:type="dxa"/>
            <w:tcBorders/>
            <w:vAlign w:val="center"/>
          </w:tcPr>
          <w:p>
            <w:pPr>
              <w:pStyle w:val="TableContents"/>
              <w:bidi w:val="0"/>
              <w:spacing w:before="0" w:after="283"/>
              <w:jc w:val="center"/>
              <w:rPr>
                <w:sz w:val="20"/>
              </w:rPr>
            </w:pPr>
            <w:r>
              <w:rPr>
                <w:sz w:val="20"/>
              </w:rPr>
              <w:t>10-K</w:t>
            </w:r>
          </w:p>
        </w:tc>
        <w:tc>
          <w:tcPr>
            <w:tcW w:w="860" w:type="dxa"/>
            <w:tcBorders/>
            <w:vAlign w:val="center"/>
          </w:tcPr>
          <w:p>
            <w:pPr>
              <w:pStyle w:val="TableContents"/>
              <w:bidi w:val="0"/>
              <w:spacing w:before="0" w:after="283"/>
              <w:jc w:val="center"/>
              <w:rPr>
                <w:sz w:val="20"/>
              </w:rPr>
            </w:pPr>
            <w:r>
              <w:rPr>
                <w:sz w:val="20"/>
              </w:rPr>
              <w:t>001-40958</w:t>
            </w:r>
          </w:p>
        </w:tc>
        <w:tc>
          <w:tcPr>
            <w:tcW w:w="605" w:type="dxa"/>
            <w:tcBorders/>
            <w:vAlign w:val="center"/>
          </w:tcPr>
          <w:p>
            <w:pPr>
              <w:pStyle w:val="TableContents"/>
              <w:bidi w:val="0"/>
              <w:spacing w:before="0" w:after="283"/>
              <w:jc w:val="center"/>
              <w:rPr>
                <w:sz w:val="20"/>
              </w:rPr>
            </w:pPr>
            <w:r>
              <w:rPr>
                <w:sz w:val="20"/>
              </w:rPr>
              <w:t>21.1</w:t>
            </w:r>
          </w:p>
        </w:tc>
        <w:tc>
          <w:tcPr>
            <w:tcW w:w="771" w:type="dxa"/>
            <w:tcBorders/>
            <w:vAlign w:val="center"/>
          </w:tcPr>
          <w:p>
            <w:pPr>
              <w:pStyle w:val="TableContents"/>
              <w:bidi w:val="0"/>
              <w:spacing w:before="0" w:after="283"/>
              <w:ind w:left="0" w:right="0" w:hanging="0"/>
              <w:jc w:val="center"/>
              <w:rPr>
                <w:sz w:val="20"/>
              </w:rPr>
            </w:pPr>
            <w:r>
              <w:rPr>
                <w:sz w:val="20"/>
              </w:rPr>
              <w:t>04/14/2026</w:t>
            </w:r>
          </w:p>
        </w:tc>
      </w:tr>
      <w:tr>
        <w:trPr/>
        <w:tc>
          <w:tcPr>
            <w:tcW w:w="725" w:type="dxa"/>
            <w:tcBorders/>
            <w:vAlign w:val="center"/>
          </w:tcPr>
          <w:p>
            <w:pPr>
              <w:pStyle w:val="TableContents"/>
              <w:bidi w:val="0"/>
              <w:spacing w:before="0" w:after="283"/>
              <w:jc w:val="center"/>
              <w:rPr/>
            </w:pPr>
            <w:hyperlink w:anchor="dp253177_ex2301.htm">
              <w:r>
                <w:rPr>
                  <w:rStyle w:val="InternetLink"/>
                  <w:sz w:val="20"/>
                </w:rPr>
                <w:t>23.1</w:t>
              </w:r>
            </w:hyperlink>
          </w:p>
        </w:tc>
        <w:tc>
          <w:tcPr>
            <w:tcW w:w="6804" w:type="dxa"/>
            <w:tcBorders/>
            <w:vAlign w:val="center"/>
          </w:tcPr>
          <w:p>
            <w:pPr>
              <w:pStyle w:val="TableContents"/>
              <w:bidi w:val="0"/>
              <w:spacing w:before="0" w:after="283"/>
              <w:jc w:val="left"/>
              <w:rPr/>
            </w:pPr>
            <w:hyperlink w:anchor="dp253177_ex2301.htm">
              <w:r>
                <w:rPr>
                  <w:rStyle w:val="InternetLink"/>
                  <w:sz w:val="20"/>
                </w:rPr>
                <w:t>Consent of PricewaterhouseCoopers LLP</w:t>
              </w:r>
            </w:hyperlink>
          </w:p>
        </w:tc>
        <w:tc>
          <w:tcPr>
            <w:tcW w:w="440" w:type="dxa"/>
            <w:tcBorders/>
            <w:vAlign w:val="center"/>
          </w:tcPr>
          <w:p>
            <w:pPr>
              <w:pStyle w:val="TableContents"/>
              <w:bidi w:val="0"/>
              <w:spacing w:before="0" w:after="283"/>
              <w:jc w:val="center"/>
              <w:rPr/>
            </w:pPr>
            <w:r>
              <w:rPr/>
              <w:t> </w:t>
            </w:r>
          </w:p>
        </w:tc>
        <w:tc>
          <w:tcPr>
            <w:tcW w:w="860" w:type="dxa"/>
            <w:tcBorders/>
            <w:vAlign w:val="center"/>
          </w:tcPr>
          <w:p>
            <w:pPr>
              <w:pStyle w:val="TableContents"/>
              <w:bidi w:val="0"/>
              <w:spacing w:before="0" w:after="283"/>
              <w:jc w:val="center"/>
              <w:rPr/>
            </w:pPr>
            <w:r>
              <w:rPr/>
              <w:t> </w:t>
            </w:r>
          </w:p>
        </w:tc>
        <w:tc>
          <w:tcPr>
            <w:tcW w:w="605" w:type="dxa"/>
            <w:tcBorders/>
            <w:vAlign w:val="center"/>
          </w:tcPr>
          <w:p>
            <w:pPr>
              <w:pStyle w:val="TableContents"/>
              <w:bidi w:val="0"/>
              <w:spacing w:before="0" w:after="283"/>
              <w:jc w:val="center"/>
              <w:rPr/>
            </w:pPr>
            <w:r>
              <w:rPr/>
              <w:t> </w:t>
            </w:r>
          </w:p>
        </w:tc>
        <w:tc>
          <w:tcPr>
            <w:tcW w:w="771" w:type="dxa"/>
            <w:tcBorders/>
            <w:vAlign w:val="center"/>
          </w:tcPr>
          <w:p>
            <w:pPr>
              <w:pStyle w:val="TableContents"/>
              <w:bidi w:val="0"/>
              <w:spacing w:before="0" w:after="283"/>
              <w:ind w:left="0" w:right="0" w:hanging="0"/>
              <w:jc w:val="center"/>
              <w:rPr/>
            </w:pPr>
            <w:r>
              <w:rPr/>
              <w:t> </w:t>
            </w:r>
          </w:p>
        </w:tc>
      </w:tr>
      <w:tr>
        <w:trPr/>
        <w:tc>
          <w:tcPr>
            <w:tcW w:w="725" w:type="dxa"/>
            <w:tcBorders/>
            <w:vAlign w:val="center"/>
          </w:tcPr>
          <w:p>
            <w:pPr>
              <w:pStyle w:val="TableContents"/>
              <w:bidi w:val="0"/>
              <w:spacing w:before="0" w:after="283"/>
              <w:jc w:val="center"/>
              <w:rPr/>
            </w:pPr>
            <w:hyperlink w:anchor="dp253177_ex0501.htm">
              <w:r>
                <w:rPr>
                  <w:rStyle w:val="InternetLink"/>
                  <w:sz w:val="20"/>
                </w:rPr>
                <w:t>23.2</w:t>
              </w:r>
            </w:hyperlink>
          </w:p>
        </w:tc>
        <w:tc>
          <w:tcPr>
            <w:tcW w:w="6804" w:type="dxa"/>
            <w:tcBorders/>
            <w:vAlign w:val="center"/>
          </w:tcPr>
          <w:p>
            <w:pPr>
              <w:pStyle w:val="TableContents"/>
              <w:bidi w:val="0"/>
              <w:spacing w:before="0" w:after="283"/>
              <w:jc w:val="left"/>
              <w:rPr/>
            </w:pPr>
            <w:hyperlink w:anchor="dp253177_ex0501.htm">
              <w:r>
                <w:rPr>
                  <w:rStyle w:val="InternetLink"/>
                  <w:sz w:val="20"/>
                </w:rPr>
                <w:t>Consent of Davis Polk &amp; Wardwell LLP (included in Exhibit 5.1)</w:t>
              </w:r>
            </w:hyperlink>
          </w:p>
        </w:tc>
        <w:tc>
          <w:tcPr>
            <w:tcW w:w="440" w:type="dxa"/>
            <w:tcBorders/>
            <w:vAlign w:val="center"/>
          </w:tcPr>
          <w:p>
            <w:pPr>
              <w:pStyle w:val="TableContents"/>
              <w:bidi w:val="0"/>
              <w:spacing w:before="0" w:after="283"/>
              <w:jc w:val="center"/>
              <w:rPr/>
            </w:pPr>
            <w:r>
              <w:rPr/>
              <w:t> </w:t>
            </w:r>
          </w:p>
        </w:tc>
        <w:tc>
          <w:tcPr>
            <w:tcW w:w="860" w:type="dxa"/>
            <w:tcBorders/>
            <w:vAlign w:val="center"/>
          </w:tcPr>
          <w:p>
            <w:pPr>
              <w:pStyle w:val="TableContents"/>
              <w:bidi w:val="0"/>
              <w:spacing w:before="0" w:after="283"/>
              <w:jc w:val="center"/>
              <w:rPr/>
            </w:pPr>
            <w:r>
              <w:rPr/>
              <w:t> </w:t>
            </w:r>
          </w:p>
        </w:tc>
        <w:tc>
          <w:tcPr>
            <w:tcW w:w="605" w:type="dxa"/>
            <w:tcBorders/>
            <w:vAlign w:val="center"/>
          </w:tcPr>
          <w:p>
            <w:pPr>
              <w:pStyle w:val="TableContents"/>
              <w:bidi w:val="0"/>
              <w:spacing w:before="0" w:after="283"/>
              <w:jc w:val="center"/>
              <w:rPr/>
            </w:pPr>
            <w:r>
              <w:rPr/>
              <w:t> </w:t>
            </w:r>
          </w:p>
        </w:tc>
        <w:tc>
          <w:tcPr>
            <w:tcW w:w="771" w:type="dxa"/>
            <w:tcBorders/>
            <w:vAlign w:val="center"/>
          </w:tcPr>
          <w:p>
            <w:pPr>
              <w:pStyle w:val="TableContents"/>
              <w:bidi w:val="0"/>
              <w:spacing w:before="0" w:after="283"/>
              <w:ind w:left="0" w:right="0" w:hanging="0"/>
              <w:jc w:val="center"/>
              <w:rPr/>
            </w:pPr>
            <w:r>
              <w:rPr/>
              <w:t> </w:t>
            </w:r>
          </w:p>
        </w:tc>
      </w:tr>
      <w:tr>
        <w:trPr/>
        <w:tc>
          <w:tcPr>
            <w:tcW w:w="725" w:type="dxa"/>
            <w:tcBorders/>
            <w:vAlign w:val="center"/>
          </w:tcPr>
          <w:p>
            <w:pPr>
              <w:pStyle w:val="TableContents"/>
              <w:bidi w:val="0"/>
              <w:spacing w:before="0" w:after="283"/>
              <w:jc w:val="center"/>
              <w:rPr/>
            </w:pPr>
            <w:hyperlink w:anchor="a_013">
              <w:r>
                <w:rPr>
                  <w:rStyle w:val="InternetLink"/>
                  <w:sz w:val="20"/>
                </w:rPr>
                <w:t>24.1</w:t>
              </w:r>
            </w:hyperlink>
          </w:p>
        </w:tc>
        <w:tc>
          <w:tcPr>
            <w:tcW w:w="6804" w:type="dxa"/>
            <w:tcBorders/>
            <w:vAlign w:val="center"/>
          </w:tcPr>
          <w:p>
            <w:pPr>
              <w:pStyle w:val="TableContents"/>
              <w:bidi w:val="0"/>
              <w:spacing w:before="0" w:after="283"/>
              <w:jc w:val="left"/>
              <w:rPr/>
            </w:pPr>
            <w:hyperlink w:anchor="a_013">
              <w:r>
                <w:rPr>
                  <w:rStyle w:val="InternetLink"/>
                  <w:sz w:val="20"/>
                </w:rPr>
                <w:t>Power of Attorney (included on signature page)</w:t>
              </w:r>
            </w:hyperlink>
          </w:p>
        </w:tc>
        <w:tc>
          <w:tcPr>
            <w:tcW w:w="440" w:type="dxa"/>
            <w:tcBorders/>
            <w:vAlign w:val="center"/>
          </w:tcPr>
          <w:p>
            <w:pPr>
              <w:pStyle w:val="TableContents"/>
              <w:bidi w:val="0"/>
              <w:spacing w:before="0" w:after="283"/>
              <w:jc w:val="center"/>
              <w:rPr/>
            </w:pPr>
            <w:r>
              <w:rPr/>
              <w:t> </w:t>
            </w:r>
          </w:p>
        </w:tc>
        <w:tc>
          <w:tcPr>
            <w:tcW w:w="860" w:type="dxa"/>
            <w:tcBorders/>
            <w:vAlign w:val="center"/>
          </w:tcPr>
          <w:p>
            <w:pPr>
              <w:pStyle w:val="TableContents"/>
              <w:bidi w:val="0"/>
              <w:spacing w:before="0" w:after="283"/>
              <w:jc w:val="center"/>
              <w:rPr/>
            </w:pPr>
            <w:r>
              <w:rPr/>
              <w:t> </w:t>
            </w:r>
          </w:p>
        </w:tc>
        <w:tc>
          <w:tcPr>
            <w:tcW w:w="605" w:type="dxa"/>
            <w:tcBorders/>
            <w:vAlign w:val="center"/>
          </w:tcPr>
          <w:p>
            <w:pPr>
              <w:pStyle w:val="TableContents"/>
              <w:bidi w:val="0"/>
              <w:spacing w:before="0" w:after="283"/>
              <w:jc w:val="center"/>
              <w:rPr/>
            </w:pPr>
            <w:r>
              <w:rPr/>
              <w:t> </w:t>
            </w:r>
          </w:p>
        </w:tc>
        <w:tc>
          <w:tcPr>
            <w:tcW w:w="771" w:type="dxa"/>
            <w:tcBorders/>
            <w:vAlign w:val="center"/>
          </w:tcPr>
          <w:p>
            <w:pPr>
              <w:pStyle w:val="TableContents"/>
              <w:bidi w:val="0"/>
              <w:spacing w:before="0" w:after="283"/>
              <w:ind w:left="0" w:right="0" w:hanging="0"/>
              <w:jc w:val="center"/>
              <w:rPr/>
            </w:pPr>
            <w:r>
              <w:rPr/>
              <w:t> </w:t>
            </w:r>
          </w:p>
        </w:tc>
      </w:tr>
      <w:tr>
        <w:trPr/>
        <w:tc>
          <w:tcPr>
            <w:tcW w:w="725" w:type="dxa"/>
            <w:tcBorders/>
            <w:vAlign w:val="center"/>
          </w:tcPr>
          <w:p>
            <w:pPr>
              <w:pStyle w:val="TableContents"/>
              <w:bidi w:val="0"/>
              <w:spacing w:before="0" w:after="283"/>
              <w:jc w:val="center"/>
              <w:rPr>
                <w:sz w:val="20"/>
              </w:rPr>
            </w:pPr>
            <w:r>
              <w:rPr>
                <w:sz w:val="20"/>
              </w:rPr>
              <w:t>99.1*</w:t>
            </w:r>
          </w:p>
        </w:tc>
        <w:tc>
          <w:tcPr>
            <w:tcW w:w="6804" w:type="dxa"/>
            <w:tcBorders/>
            <w:vAlign w:val="center"/>
          </w:tcPr>
          <w:p>
            <w:pPr>
              <w:pStyle w:val="TableContents"/>
              <w:bidi w:val="0"/>
              <w:spacing w:before="0" w:after="283"/>
              <w:jc w:val="left"/>
              <w:rPr>
                <w:sz w:val="20"/>
              </w:rPr>
            </w:pPr>
            <w:r>
              <w:rPr>
                <w:sz w:val="20"/>
              </w:rPr>
              <w:t>Form of Instructions for Use of Rent the Runway, Inc.’s Rights Certificate</w:t>
            </w:r>
          </w:p>
        </w:tc>
        <w:tc>
          <w:tcPr>
            <w:tcW w:w="440" w:type="dxa"/>
            <w:tcBorders/>
            <w:vAlign w:val="center"/>
          </w:tcPr>
          <w:p>
            <w:pPr>
              <w:pStyle w:val="TableContents"/>
              <w:bidi w:val="0"/>
              <w:spacing w:before="0" w:after="283"/>
              <w:jc w:val="center"/>
              <w:rPr/>
            </w:pPr>
            <w:r>
              <w:rPr/>
              <w:t> </w:t>
            </w:r>
          </w:p>
        </w:tc>
        <w:tc>
          <w:tcPr>
            <w:tcW w:w="860" w:type="dxa"/>
            <w:tcBorders/>
            <w:vAlign w:val="center"/>
          </w:tcPr>
          <w:p>
            <w:pPr>
              <w:pStyle w:val="TableContents"/>
              <w:bidi w:val="0"/>
              <w:spacing w:before="0" w:after="283"/>
              <w:jc w:val="center"/>
              <w:rPr/>
            </w:pPr>
            <w:r>
              <w:rPr/>
              <w:t> </w:t>
            </w:r>
          </w:p>
        </w:tc>
        <w:tc>
          <w:tcPr>
            <w:tcW w:w="605" w:type="dxa"/>
            <w:tcBorders/>
            <w:vAlign w:val="center"/>
          </w:tcPr>
          <w:p>
            <w:pPr>
              <w:pStyle w:val="TableContents"/>
              <w:bidi w:val="0"/>
              <w:spacing w:before="0" w:after="283"/>
              <w:jc w:val="center"/>
              <w:rPr/>
            </w:pPr>
            <w:r>
              <w:rPr/>
              <w:t> </w:t>
            </w:r>
          </w:p>
        </w:tc>
        <w:tc>
          <w:tcPr>
            <w:tcW w:w="771" w:type="dxa"/>
            <w:tcBorders/>
            <w:vAlign w:val="center"/>
          </w:tcPr>
          <w:p>
            <w:pPr>
              <w:pStyle w:val="TableContents"/>
              <w:bidi w:val="0"/>
              <w:spacing w:before="0" w:after="283"/>
              <w:ind w:left="0" w:right="0" w:hanging="0"/>
              <w:jc w:val="center"/>
              <w:rPr/>
            </w:pPr>
            <w:r>
              <w:rPr/>
              <w:t> </w:t>
            </w:r>
          </w:p>
        </w:tc>
      </w:tr>
      <w:tr>
        <w:trPr/>
        <w:tc>
          <w:tcPr>
            <w:tcW w:w="725" w:type="dxa"/>
            <w:tcBorders/>
            <w:vAlign w:val="center"/>
          </w:tcPr>
          <w:p>
            <w:pPr>
              <w:pStyle w:val="TableContents"/>
              <w:bidi w:val="0"/>
              <w:spacing w:before="0" w:after="283"/>
              <w:jc w:val="center"/>
              <w:rPr>
                <w:sz w:val="20"/>
              </w:rPr>
            </w:pPr>
            <w:r>
              <w:rPr>
                <w:sz w:val="20"/>
              </w:rPr>
              <w:t>99.2*</w:t>
            </w:r>
          </w:p>
        </w:tc>
        <w:tc>
          <w:tcPr>
            <w:tcW w:w="6804" w:type="dxa"/>
            <w:tcBorders/>
            <w:vAlign w:val="center"/>
          </w:tcPr>
          <w:p>
            <w:pPr>
              <w:pStyle w:val="TableContents"/>
              <w:bidi w:val="0"/>
              <w:spacing w:before="0" w:after="283"/>
              <w:jc w:val="left"/>
              <w:rPr>
                <w:sz w:val="20"/>
              </w:rPr>
            </w:pPr>
            <w:r>
              <w:rPr>
                <w:sz w:val="20"/>
              </w:rPr>
              <w:t>Form of Letter to Stockholders Who Are Record Holders</w:t>
            </w:r>
          </w:p>
        </w:tc>
        <w:tc>
          <w:tcPr>
            <w:tcW w:w="440" w:type="dxa"/>
            <w:tcBorders/>
            <w:vAlign w:val="center"/>
          </w:tcPr>
          <w:p>
            <w:pPr>
              <w:pStyle w:val="TableContents"/>
              <w:bidi w:val="0"/>
              <w:spacing w:before="0" w:after="283"/>
              <w:jc w:val="center"/>
              <w:rPr/>
            </w:pPr>
            <w:r>
              <w:rPr/>
              <w:t> </w:t>
            </w:r>
          </w:p>
        </w:tc>
        <w:tc>
          <w:tcPr>
            <w:tcW w:w="860" w:type="dxa"/>
            <w:tcBorders/>
            <w:vAlign w:val="center"/>
          </w:tcPr>
          <w:p>
            <w:pPr>
              <w:pStyle w:val="TableContents"/>
              <w:bidi w:val="0"/>
              <w:spacing w:before="0" w:after="283"/>
              <w:jc w:val="center"/>
              <w:rPr/>
            </w:pPr>
            <w:r>
              <w:rPr/>
              <w:t> </w:t>
            </w:r>
          </w:p>
        </w:tc>
        <w:tc>
          <w:tcPr>
            <w:tcW w:w="605" w:type="dxa"/>
            <w:tcBorders/>
            <w:vAlign w:val="center"/>
          </w:tcPr>
          <w:p>
            <w:pPr>
              <w:pStyle w:val="TableContents"/>
              <w:bidi w:val="0"/>
              <w:spacing w:before="0" w:after="283"/>
              <w:jc w:val="center"/>
              <w:rPr/>
            </w:pPr>
            <w:r>
              <w:rPr/>
              <w:t> </w:t>
            </w:r>
          </w:p>
        </w:tc>
        <w:tc>
          <w:tcPr>
            <w:tcW w:w="771" w:type="dxa"/>
            <w:tcBorders/>
            <w:vAlign w:val="center"/>
          </w:tcPr>
          <w:p>
            <w:pPr>
              <w:pStyle w:val="TableContents"/>
              <w:bidi w:val="0"/>
              <w:spacing w:before="0" w:after="283"/>
              <w:ind w:left="0" w:right="0" w:hanging="0"/>
              <w:jc w:val="center"/>
              <w:rPr/>
            </w:pPr>
            <w:r>
              <w:rPr/>
              <w:t> </w:t>
            </w:r>
          </w:p>
        </w:tc>
      </w:tr>
      <w:tr>
        <w:trPr/>
        <w:tc>
          <w:tcPr>
            <w:tcW w:w="725" w:type="dxa"/>
            <w:tcBorders/>
            <w:vAlign w:val="center"/>
          </w:tcPr>
          <w:p>
            <w:pPr>
              <w:pStyle w:val="TableContents"/>
              <w:bidi w:val="0"/>
              <w:spacing w:before="0" w:after="283"/>
              <w:jc w:val="center"/>
              <w:rPr>
                <w:sz w:val="20"/>
              </w:rPr>
            </w:pPr>
            <w:r>
              <w:rPr>
                <w:sz w:val="20"/>
              </w:rPr>
              <w:t>99.3*</w:t>
            </w:r>
          </w:p>
        </w:tc>
        <w:tc>
          <w:tcPr>
            <w:tcW w:w="6804" w:type="dxa"/>
            <w:tcBorders/>
            <w:vAlign w:val="center"/>
          </w:tcPr>
          <w:p>
            <w:pPr>
              <w:pStyle w:val="TableContents"/>
              <w:bidi w:val="0"/>
              <w:spacing w:before="0" w:after="283"/>
              <w:jc w:val="left"/>
              <w:rPr>
                <w:sz w:val="20"/>
              </w:rPr>
            </w:pPr>
            <w:r>
              <w:rPr>
                <w:sz w:val="20"/>
              </w:rPr>
              <w:t>Form of Letter to Brokers and Other Nominee Holders</w:t>
            </w:r>
          </w:p>
        </w:tc>
        <w:tc>
          <w:tcPr>
            <w:tcW w:w="440" w:type="dxa"/>
            <w:tcBorders/>
            <w:vAlign w:val="center"/>
          </w:tcPr>
          <w:p>
            <w:pPr>
              <w:pStyle w:val="TableContents"/>
              <w:bidi w:val="0"/>
              <w:spacing w:before="0" w:after="283"/>
              <w:jc w:val="center"/>
              <w:rPr/>
            </w:pPr>
            <w:r>
              <w:rPr/>
              <w:t> </w:t>
            </w:r>
          </w:p>
        </w:tc>
        <w:tc>
          <w:tcPr>
            <w:tcW w:w="860" w:type="dxa"/>
            <w:tcBorders/>
            <w:vAlign w:val="center"/>
          </w:tcPr>
          <w:p>
            <w:pPr>
              <w:pStyle w:val="TableContents"/>
              <w:bidi w:val="0"/>
              <w:spacing w:before="0" w:after="283"/>
              <w:jc w:val="center"/>
              <w:rPr/>
            </w:pPr>
            <w:r>
              <w:rPr/>
              <w:t> </w:t>
            </w:r>
          </w:p>
        </w:tc>
        <w:tc>
          <w:tcPr>
            <w:tcW w:w="605" w:type="dxa"/>
            <w:tcBorders/>
            <w:vAlign w:val="center"/>
          </w:tcPr>
          <w:p>
            <w:pPr>
              <w:pStyle w:val="TableContents"/>
              <w:bidi w:val="0"/>
              <w:spacing w:before="0" w:after="283"/>
              <w:jc w:val="center"/>
              <w:rPr/>
            </w:pPr>
            <w:r>
              <w:rPr/>
              <w:t> </w:t>
            </w:r>
          </w:p>
        </w:tc>
        <w:tc>
          <w:tcPr>
            <w:tcW w:w="771" w:type="dxa"/>
            <w:tcBorders/>
            <w:vAlign w:val="center"/>
          </w:tcPr>
          <w:p>
            <w:pPr>
              <w:pStyle w:val="TableContents"/>
              <w:bidi w:val="0"/>
              <w:spacing w:before="0" w:after="283"/>
              <w:ind w:left="0" w:right="0" w:hanging="0"/>
              <w:jc w:val="center"/>
              <w:rPr/>
            </w:pPr>
            <w:r>
              <w:rPr/>
              <w:t> </w:t>
            </w:r>
          </w:p>
        </w:tc>
      </w:tr>
      <w:tr>
        <w:trPr/>
        <w:tc>
          <w:tcPr>
            <w:tcW w:w="725" w:type="dxa"/>
            <w:tcBorders/>
            <w:vAlign w:val="center"/>
          </w:tcPr>
          <w:p>
            <w:pPr>
              <w:pStyle w:val="TableContents"/>
              <w:bidi w:val="0"/>
              <w:spacing w:before="0" w:after="283"/>
              <w:jc w:val="center"/>
              <w:rPr>
                <w:sz w:val="20"/>
              </w:rPr>
            </w:pPr>
            <w:r>
              <w:rPr>
                <w:sz w:val="20"/>
              </w:rPr>
              <w:t>99.4*</w:t>
            </w:r>
          </w:p>
        </w:tc>
        <w:tc>
          <w:tcPr>
            <w:tcW w:w="6804" w:type="dxa"/>
            <w:tcBorders/>
            <w:vAlign w:val="center"/>
          </w:tcPr>
          <w:p>
            <w:pPr>
              <w:pStyle w:val="TableContents"/>
              <w:bidi w:val="0"/>
              <w:spacing w:before="0" w:after="283"/>
              <w:jc w:val="left"/>
              <w:rPr>
                <w:sz w:val="20"/>
              </w:rPr>
            </w:pPr>
            <w:r>
              <w:rPr>
                <w:sz w:val="20"/>
              </w:rPr>
              <w:t>Form of Letter to Clients of Brokers and Other Nominee Holders</w:t>
            </w:r>
          </w:p>
        </w:tc>
        <w:tc>
          <w:tcPr>
            <w:tcW w:w="440" w:type="dxa"/>
            <w:tcBorders/>
            <w:vAlign w:val="center"/>
          </w:tcPr>
          <w:p>
            <w:pPr>
              <w:pStyle w:val="TableContents"/>
              <w:bidi w:val="0"/>
              <w:spacing w:before="0" w:after="283"/>
              <w:jc w:val="center"/>
              <w:rPr/>
            </w:pPr>
            <w:r>
              <w:rPr/>
              <w:t> </w:t>
            </w:r>
          </w:p>
        </w:tc>
        <w:tc>
          <w:tcPr>
            <w:tcW w:w="860" w:type="dxa"/>
            <w:tcBorders/>
            <w:vAlign w:val="center"/>
          </w:tcPr>
          <w:p>
            <w:pPr>
              <w:pStyle w:val="TableContents"/>
              <w:bidi w:val="0"/>
              <w:spacing w:before="0" w:after="283"/>
              <w:jc w:val="center"/>
              <w:rPr/>
            </w:pPr>
            <w:r>
              <w:rPr/>
              <w:t> </w:t>
            </w:r>
          </w:p>
        </w:tc>
        <w:tc>
          <w:tcPr>
            <w:tcW w:w="605" w:type="dxa"/>
            <w:tcBorders/>
            <w:vAlign w:val="center"/>
          </w:tcPr>
          <w:p>
            <w:pPr>
              <w:pStyle w:val="TableContents"/>
              <w:bidi w:val="0"/>
              <w:spacing w:before="0" w:after="283"/>
              <w:jc w:val="center"/>
              <w:rPr/>
            </w:pPr>
            <w:r>
              <w:rPr/>
              <w:t> </w:t>
            </w:r>
          </w:p>
        </w:tc>
        <w:tc>
          <w:tcPr>
            <w:tcW w:w="771" w:type="dxa"/>
            <w:tcBorders/>
            <w:vAlign w:val="center"/>
          </w:tcPr>
          <w:p>
            <w:pPr>
              <w:pStyle w:val="TableContents"/>
              <w:bidi w:val="0"/>
              <w:spacing w:before="0" w:after="283"/>
              <w:ind w:left="0" w:right="0" w:hanging="0"/>
              <w:jc w:val="center"/>
              <w:rPr/>
            </w:pPr>
            <w:r>
              <w:rPr/>
              <w:t> </w:t>
            </w:r>
          </w:p>
        </w:tc>
      </w:tr>
      <w:tr>
        <w:trPr/>
        <w:tc>
          <w:tcPr>
            <w:tcW w:w="725" w:type="dxa"/>
            <w:tcBorders/>
            <w:vAlign w:val="center"/>
          </w:tcPr>
          <w:p>
            <w:pPr>
              <w:pStyle w:val="TableContents"/>
              <w:bidi w:val="0"/>
              <w:spacing w:before="0" w:after="283"/>
              <w:jc w:val="center"/>
              <w:rPr>
                <w:sz w:val="20"/>
              </w:rPr>
            </w:pPr>
            <w:r>
              <w:rPr>
                <w:sz w:val="20"/>
              </w:rPr>
              <w:t>99.5*</w:t>
            </w:r>
          </w:p>
        </w:tc>
        <w:tc>
          <w:tcPr>
            <w:tcW w:w="6804" w:type="dxa"/>
            <w:tcBorders/>
            <w:vAlign w:val="center"/>
          </w:tcPr>
          <w:p>
            <w:pPr>
              <w:pStyle w:val="TableContents"/>
              <w:bidi w:val="0"/>
              <w:spacing w:before="0" w:after="283"/>
              <w:jc w:val="left"/>
              <w:rPr>
                <w:sz w:val="20"/>
              </w:rPr>
            </w:pPr>
            <w:r>
              <w:rPr>
                <w:sz w:val="20"/>
              </w:rPr>
              <w:t>Form of Beneficial Owner Election Form</w:t>
            </w:r>
          </w:p>
        </w:tc>
        <w:tc>
          <w:tcPr>
            <w:tcW w:w="440" w:type="dxa"/>
            <w:tcBorders/>
            <w:vAlign w:val="center"/>
          </w:tcPr>
          <w:p>
            <w:pPr>
              <w:pStyle w:val="TableContents"/>
              <w:bidi w:val="0"/>
              <w:spacing w:before="0" w:after="283"/>
              <w:jc w:val="center"/>
              <w:rPr/>
            </w:pPr>
            <w:r>
              <w:rPr/>
              <w:t> </w:t>
            </w:r>
          </w:p>
        </w:tc>
        <w:tc>
          <w:tcPr>
            <w:tcW w:w="860" w:type="dxa"/>
            <w:tcBorders/>
            <w:vAlign w:val="center"/>
          </w:tcPr>
          <w:p>
            <w:pPr>
              <w:pStyle w:val="TableContents"/>
              <w:bidi w:val="0"/>
              <w:spacing w:before="0" w:after="283"/>
              <w:jc w:val="center"/>
              <w:rPr/>
            </w:pPr>
            <w:r>
              <w:rPr/>
              <w:t> </w:t>
            </w:r>
          </w:p>
        </w:tc>
        <w:tc>
          <w:tcPr>
            <w:tcW w:w="605" w:type="dxa"/>
            <w:tcBorders/>
            <w:vAlign w:val="center"/>
          </w:tcPr>
          <w:p>
            <w:pPr>
              <w:pStyle w:val="TableContents"/>
              <w:bidi w:val="0"/>
              <w:spacing w:before="0" w:after="283"/>
              <w:jc w:val="center"/>
              <w:rPr/>
            </w:pPr>
            <w:r>
              <w:rPr/>
              <w:t> </w:t>
            </w:r>
          </w:p>
        </w:tc>
        <w:tc>
          <w:tcPr>
            <w:tcW w:w="771" w:type="dxa"/>
            <w:tcBorders/>
            <w:vAlign w:val="center"/>
          </w:tcPr>
          <w:p>
            <w:pPr>
              <w:pStyle w:val="TableContents"/>
              <w:bidi w:val="0"/>
              <w:spacing w:before="0" w:after="283"/>
              <w:ind w:left="0" w:right="0" w:hanging="0"/>
              <w:jc w:val="center"/>
              <w:rPr/>
            </w:pPr>
            <w:r>
              <w:rPr/>
              <w:t> </w:t>
            </w:r>
          </w:p>
        </w:tc>
      </w:tr>
      <w:tr>
        <w:trPr/>
        <w:tc>
          <w:tcPr>
            <w:tcW w:w="725" w:type="dxa"/>
            <w:tcBorders/>
            <w:vAlign w:val="center"/>
          </w:tcPr>
          <w:p>
            <w:pPr>
              <w:pStyle w:val="TableContents"/>
              <w:bidi w:val="0"/>
              <w:spacing w:before="0" w:after="283"/>
              <w:jc w:val="center"/>
              <w:rPr>
                <w:sz w:val="20"/>
              </w:rPr>
            </w:pPr>
            <w:r>
              <w:rPr>
                <w:sz w:val="20"/>
              </w:rPr>
              <w:t>99.6*</w:t>
            </w:r>
          </w:p>
        </w:tc>
        <w:tc>
          <w:tcPr>
            <w:tcW w:w="6804" w:type="dxa"/>
            <w:tcBorders/>
            <w:vAlign w:val="center"/>
          </w:tcPr>
          <w:p>
            <w:pPr>
              <w:pStyle w:val="TableContents"/>
              <w:bidi w:val="0"/>
              <w:spacing w:before="0" w:after="283"/>
              <w:jc w:val="left"/>
              <w:rPr>
                <w:sz w:val="20"/>
              </w:rPr>
            </w:pPr>
            <w:r>
              <w:rPr>
                <w:sz w:val="20"/>
              </w:rPr>
              <w:t>Form of Nominee Holder Certification</w:t>
            </w:r>
          </w:p>
        </w:tc>
        <w:tc>
          <w:tcPr>
            <w:tcW w:w="440" w:type="dxa"/>
            <w:tcBorders/>
            <w:vAlign w:val="center"/>
          </w:tcPr>
          <w:p>
            <w:pPr>
              <w:pStyle w:val="TableContents"/>
              <w:bidi w:val="0"/>
              <w:spacing w:before="0" w:after="283"/>
              <w:jc w:val="center"/>
              <w:rPr/>
            </w:pPr>
            <w:r>
              <w:rPr/>
              <w:t> </w:t>
            </w:r>
          </w:p>
        </w:tc>
        <w:tc>
          <w:tcPr>
            <w:tcW w:w="860" w:type="dxa"/>
            <w:tcBorders/>
            <w:vAlign w:val="center"/>
          </w:tcPr>
          <w:p>
            <w:pPr>
              <w:pStyle w:val="TableContents"/>
              <w:bidi w:val="0"/>
              <w:spacing w:before="0" w:after="283"/>
              <w:jc w:val="center"/>
              <w:rPr/>
            </w:pPr>
            <w:r>
              <w:rPr/>
              <w:t> </w:t>
            </w:r>
          </w:p>
        </w:tc>
        <w:tc>
          <w:tcPr>
            <w:tcW w:w="605" w:type="dxa"/>
            <w:tcBorders/>
            <w:vAlign w:val="center"/>
          </w:tcPr>
          <w:p>
            <w:pPr>
              <w:pStyle w:val="TableContents"/>
              <w:bidi w:val="0"/>
              <w:spacing w:before="0" w:after="283"/>
              <w:jc w:val="center"/>
              <w:rPr/>
            </w:pPr>
            <w:r>
              <w:rPr/>
              <w:t> </w:t>
            </w:r>
          </w:p>
        </w:tc>
        <w:tc>
          <w:tcPr>
            <w:tcW w:w="771" w:type="dxa"/>
            <w:tcBorders/>
            <w:vAlign w:val="center"/>
          </w:tcPr>
          <w:p>
            <w:pPr>
              <w:pStyle w:val="TableContents"/>
              <w:bidi w:val="0"/>
              <w:spacing w:before="0" w:after="283"/>
              <w:ind w:left="0" w:right="0" w:hanging="0"/>
              <w:jc w:val="center"/>
              <w:rPr/>
            </w:pPr>
            <w:r>
              <w:rPr/>
              <w:t> </w:t>
            </w:r>
          </w:p>
        </w:tc>
      </w:tr>
      <w:tr>
        <w:trPr/>
        <w:tc>
          <w:tcPr>
            <w:tcW w:w="725" w:type="dxa"/>
            <w:tcBorders/>
            <w:vAlign w:val="center"/>
          </w:tcPr>
          <w:p>
            <w:pPr>
              <w:pStyle w:val="TableContents"/>
              <w:bidi w:val="0"/>
              <w:spacing w:before="0" w:after="283"/>
              <w:jc w:val="center"/>
              <w:rPr>
                <w:sz w:val="20"/>
              </w:rPr>
            </w:pPr>
            <w:r>
              <w:rPr>
                <w:sz w:val="20"/>
              </w:rPr>
              <w:t>99.7*</w:t>
            </w:r>
          </w:p>
        </w:tc>
        <w:tc>
          <w:tcPr>
            <w:tcW w:w="6804" w:type="dxa"/>
            <w:tcBorders/>
            <w:vAlign w:val="center"/>
          </w:tcPr>
          <w:p>
            <w:pPr>
              <w:pStyle w:val="TableContents"/>
              <w:bidi w:val="0"/>
              <w:spacing w:before="0" w:after="283"/>
              <w:jc w:val="left"/>
              <w:rPr>
                <w:sz w:val="20"/>
              </w:rPr>
            </w:pPr>
            <w:r>
              <w:rPr>
                <w:sz w:val="20"/>
              </w:rPr>
              <w:t>Form of Notice of Guaranteed Delivery</w:t>
            </w:r>
          </w:p>
        </w:tc>
        <w:tc>
          <w:tcPr>
            <w:tcW w:w="440" w:type="dxa"/>
            <w:tcBorders/>
            <w:vAlign w:val="center"/>
          </w:tcPr>
          <w:p>
            <w:pPr>
              <w:pStyle w:val="TableContents"/>
              <w:bidi w:val="0"/>
              <w:spacing w:before="0" w:after="283"/>
              <w:jc w:val="center"/>
              <w:rPr/>
            </w:pPr>
            <w:r>
              <w:rPr/>
              <w:t> </w:t>
            </w:r>
          </w:p>
        </w:tc>
        <w:tc>
          <w:tcPr>
            <w:tcW w:w="860" w:type="dxa"/>
            <w:tcBorders/>
            <w:vAlign w:val="center"/>
          </w:tcPr>
          <w:p>
            <w:pPr>
              <w:pStyle w:val="TableContents"/>
              <w:bidi w:val="0"/>
              <w:spacing w:before="0" w:after="283"/>
              <w:jc w:val="center"/>
              <w:rPr/>
            </w:pPr>
            <w:r>
              <w:rPr/>
              <w:t> </w:t>
            </w:r>
          </w:p>
        </w:tc>
        <w:tc>
          <w:tcPr>
            <w:tcW w:w="605" w:type="dxa"/>
            <w:tcBorders/>
            <w:vAlign w:val="center"/>
          </w:tcPr>
          <w:p>
            <w:pPr>
              <w:pStyle w:val="TableContents"/>
              <w:bidi w:val="0"/>
              <w:spacing w:before="0" w:after="283"/>
              <w:jc w:val="center"/>
              <w:rPr/>
            </w:pPr>
            <w:r>
              <w:rPr/>
              <w:t> </w:t>
            </w:r>
          </w:p>
        </w:tc>
        <w:tc>
          <w:tcPr>
            <w:tcW w:w="771" w:type="dxa"/>
            <w:tcBorders/>
            <w:vAlign w:val="center"/>
          </w:tcPr>
          <w:p>
            <w:pPr>
              <w:pStyle w:val="TableContents"/>
              <w:bidi w:val="0"/>
              <w:spacing w:before="0" w:after="283"/>
              <w:ind w:left="0" w:right="0" w:hanging="0"/>
              <w:jc w:val="center"/>
              <w:rPr/>
            </w:pPr>
            <w:r>
              <w:rPr/>
              <w:t> </w:t>
            </w:r>
          </w:p>
        </w:tc>
      </w:tr>
      <w:tr>
        <w:trPr/>
        <w:tc>
          <w:tcPr>
            <w:tcW w:w="725" w:type="dxa"/>
            <w:tcBorders/>
            <w:vAlign w:val="center"/>
          </w:tcPr>
          <w:p>
            <w:pPr>
              <w:pStyle w:val="TableContents"/>
              <w:bidi w:val="0"/>
              <w:spacing w:before="0" w:after="283"/>
              <w:jc w:val="center"/>
              <w:rPr/>
            </w:pPr>
            <w:hyperlink w:anchor="dp253177_exfilingfees.htm">
              <w:r>
                <w:rPr>
                  <w:rStyle w:val="InternetLink"/>
                  <w:sz w:val="20"/>
                </w:rPr>
                <w:t>107</w:t>
              </w:r>
            </w:hyperlink>
          </w:p>
        </w:tc>
        <w:tc>
          <w:tcPr>
            <w:tcW w:w="6804" w:type="dxa"/>
            <w:tcBorders/>
            <w:vAlign w:val="center"/>
          </w:tcPr>
          <w:p>
            <w:pPr>
              <w:pStyle w:val="TableContents"/>
              <w:bidi w:val="0"/>
              <w:spacing w:before="0" w:after="283"/>
              <w:jc w:val="left"/>
              <w:rPr/>
            </w:pPr>
            <w:hyperlink w:anchor="dp253177_exfilingfees.htm">
              <w:r>
                <w:rPr>
                  <w:rStyle w:val="InternetLink"/>
                  <w:sz w:val="20"/>
                </w:rPr>
                <w:t>Filing Fee Table</w:t>
              </w:r>
            </w:hyperlink>
          </w:p>
        </w:tc>
        <w:tc>
          <w:tcPr>
            <w:tcW w:w="440" w:type="dxa"/>
            <w:tcBorders/>
            <w:vAlign w:val="center"/>
          </w:tcPr>
          <w:p>
            <w:pPr>
              <w:pStyle w:val="TableContents"/>
              <w:bidi w:val="0"/>
              <w:spacing w:before="0" w:after="283"/>
              <w:jc w:val="center"/>
              <w:rPr/>
            </w:pPr>
            <w:r>
              <w:rPr/>
              <w:t> </w:t>
            </w:r>
          </w:p>
        </w:tc>
        <w:tc>
          <w:tcPr>
            <w:tcW w:w="860" w:type="dxa"/>
            <w:tcBorders/>
            <w:vAlign w:val="center"/>
          </w:tcPr>
          <w:p>
            <w:pPr>
              <w:pStyle w:val="TableContents"/>
              <w:bidi w:val="0"/>
              <w:spacing w:before="0" w:after="283"/>
              <w:jc w:val="center"/>
              <w:rPr/>
            </w:pPr>
            <w:r>
              <w:rPr/>
              <w:t> </w:t>
            </w:r>
          </w:p>
        </w:tc>
        <w:tc>
          <w:tcPr>
            <w:tcW w:w="605" w:type="dxa"/>
            <w:tcBorders/>
            <w:vAlign w:val="center"/>
          </w:tcPr>
          <w:p>
            <w:pPr>
              <w:pStyle w:val="TableContents"/>
              <w:bidi w:val="0"/>
              <w:spacing w:before="0" w:after="283"/>
              <w:jc w:val="center"/>
              <w:rPr/>
            </w:pPr>
            <w:r>
              <w:rPr/>
              <w:t> </w:t>
            </w:r>
          </w:p>
        </w:tc>
        <w:tc>
          <w:tcPr>
            <w:tcW w:w="771"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To be filed by amendment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Indicates management contract or compensatory plan</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Certain portions of this exhibit (indicated by “[***]”) have been omitted pursuant to Regulation S-K, Item (601)(b)(10) because the omitted information (i) is not material and (ii) is treated as confidential by the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Certain schedules (or similar attachments) to this exhibit have been omitted pursuant to Regulation S-K, Item 601(a)(5). The registrant agrees to furnish a copy of any omitted schedule (or similar attachment) to the Securities and Exchange Commission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II-7</w:t>
      </w:r>
    </w:p>
    <w:p>
      <w:pPr>
        <w:pStyle w:val="TextBody"/>
        <w:bidi w:val="0"/>
        <w:spacing w:before="0" w:after="0"/>
        <w:ind w:left="0" w:right="0" w:firstLine="720"/>
        <w:jc w:val="left"/>
        <w:rPr>
          <w:caps w:val="false"/>
          <w:smallCaps w:val="false"/>
        </w:rPr>
      </w:pPr>
      <w:r>
        <w:rPr>
          <w:caps w:val="false"/>
          <w:smallCaps w:val="false"/>
        </w:rPr>
        <w:t> </w:t>
      </w:r>
    </w:p>
    <w:p>
      <w:pPr>
        <w:pStyle w:val="TextBody"/>
        <w:bidi w:val="0"/>
        <w:jc w:val="left"/>
        <w:rPr/>
      </w:pPr>
      <w:bookmarkStart w:id="15" w:name="dp253177_ex0501.htm"/>
      <w:bookmarkStart w:id="16" w:name="ksdp253177_ex0501"/>
      <w:bookmarkEnd w:id="15"/>
      <w:bookmarkEnd w:id="16"/>
      <w:r>
        <w:rPr/>
        <w:t> </w:t>
      </w:r>
      <w:r>
        <w:br w:type="page"/>
      </w:r>
    </w:p>
    <w:p>
      <w:pPr>
        <w:pStyle w:val="TextBody"/>
        <w:bidi w:val="0"/>
        <w:jc w:val="right"/>
        <w:rPr>
          <w:rFonts w:ascii="Times New Roman;Times;Serif" w:hAnsi="Times New Roman;Times;Serif"/>
          <w:b/>
          <w:i/>
          <w:sz w:val="20"/>
        </w:rPr>
      </w:pPr>
      <w:r>
        <w:rPr>
          <w:rFonts w:ascii="Times New Roman;Times;Serif" w:hAnsi="Times New Roman;Times;Serif"/>
          <w:b/>
          <w:i/>
          <w:sz w:val="20"/>
        </w:rPr>
        <w:t>Exhibit 5.1</w:t>
      </w:r>
    </w:p>
    <w:p>
      <w:pPr>
        <w:pStyle w:val="TextBody"/>
        <w:bidi w:val="0"/>
        <w:jc w:val="right"/>
        <w:rPr/>
      </w:pPr>
      <w:r>
        <w:rPr/>
        <w:t> </w:t>
      </w:r>
    </w:p>
    <w:tbl>
      <w:tblPr>
        <w:tblW w:w="3770" w:type="dxa"/>
        <w:jc w:val="left"/>
        <w:tblInd w:w="0" w:type="dxa"/>
        <w:tblLayout w:type="fixed"/>
        <w:tblCellMar>
          <w:top w:w="0" w:type="dxa"/>
          <w:left w:w="0" w:type="dxa"/>
          <w:bottom w:w="0" w:type="dxa"/>
          <w:right w:w="0" w:type="dxa"/>
        </w:tblCellMar>
      </w:tblPr>
      <w:tblGrid>
        <w:gridCol w:w="1650"/>
        <w:gridCol w:w="1985"/>
        <w:gridCol w:w="60"/>
        <w:gridCol w:w="75"/>
      </w:tblGrid>
      <w:tr>
        <w:trPr/>
        <w:tc>
          <w:tcPr>
            <w:tcW w:w="1650" w:type="dxa"/>
            <w:tcBorders/>
            <w:vAlign w:val="center"/>
          </w:tcPr>
          <w:p>
            <w:pPr>
              <w:pStyle w:val="TableContents"/>
              <w:bidi w:val="0"/>
              <w:spacing w:before="0" w:after="283"/>
              <w:jc w:val="left"/>
              <w:rPr>
                <w:color w:val="140B7F"/>
              </w:rPr>
            </w:pPr>
            <w:r>
              <w:rPr>
                <w:color w:val="140B7F"/>
              </w:rPr>
              <w:t> </w:t>
            </w:r>
          </w:p>
        </w:tc>
        <w:tc>
          <w:tcPr>
            <w:tcW w:w="1985" w:type="dxa"/>
            <w:tcBorders/>
            <w:vAlign w:val="center"/>
          </w:tcPr>
          <w:p>
            <w:pPr>
              <w:pStyle w:val="TableContents"/>
              <w:bidi w:val="0"/>
              <w:spacing w:before="0" w:after="283"/>
              <w:jc w:val="left"/>
              <w:rPr>
                <w:color w:val="140BE3"/>
              </w:rPr>
            </w:pPr>
            <w:r>
              <w:rPr>
                <w:color w:val="140BE3"/>
              </w:rPr>
              <w:t> </w:t>
            </w:r>
          </w:p>
        </w:tc>
        <w:tc>
          <w:tcPr>
            <w:tcW w:w="60" w:type="dxa"/>
            <w:tcBorders/>
            <w:vAlign w:val="center"/>
          </w:tcPr>
          <w:p>
            <w:pPr>
              <w:pStyle w:val="TableContents"/>
              <w:bidi w:val="0"/>
              <w:spacing w:before="0" w:after="283"/>
              <w:jc w:val="left"/>
              <w:rPr>
                <w:color w:val="140BE3"/>
              </w:rPr>
            </w:pPr>
            <w:r>
              <w:rPr>
                <w:color w:val="140BE3"/>
              </w:rPr>
              <w:t> </w:t>
            </w:r>
          </w:p>
        </w:tc>
        <w:tc>
          <w:tcPr>
            <w:tcW w:w="75" w:type="dxa"/>
            <w:tcBorders/>
            <w:vAlign w:val="center"/>
          </w:tcPr>
          <w:p>
            <w:pPr>
              <w:pStyle w:val="TableContents"/>
              <w:bidi w:val="0"/>
              <w:spacing w:before="0" w:after="283"/>
              <w:jc w:val="right"/>
              <w:rPr>
                <w:caps/>
                <w:color w:val="FFFFFF"/>
              </w:rPr>
            </w:pPr>
            <w:r>
              <w:rPr>
                <w:caps/>
                <w:color w:val="FFFFFF"/>
              </w:rPr>
              <w:t> </w:t>
            </w:r>
          </w:p>
        </w:tc>
      </w:tr>
      <w:tr>
        <w:trPr/>
        <w:tc>
          <w:tcPr>
            <w:tcW w:w="1650" w:type="dxa"/>
            <w:tcBorders/>
            <w:vAlign w:val="center"/>
          </w:tcPr>
          <w:p>
            <w:pPr>
              <w:pStyle w:val="TableContents"/>
              <w:bidi w:val="0"/>
              <w:spacing w:before="0" w:after="283"/>
              <w:jc w:val="left"/>
              <w:rPr>
                <w:color w:val="140B7F"/>
              </w:rPr>
            </w:pPr>
            <w:r>
              <w:rPr>
                <w:color w:val="140B7F"/>
              </w:rPr>
              <w:t> </w:t>
            </w:r>
            <w:r>
              <w:rPr>
                <w:color w:val="140B7F"/>
              </w:rPr>
              <w:drawing>
                <wp:inline distT="0" distB="0" distL="0" distR="0">
                  <wp:extent cx="1000125" cy="1905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22"/>
                          <a:stretch>
                            <a:fillRect/>
                          </a:stretch>
                        </pic:blipFill>
                        <pic:spPr bwMode="auto">
                          <a:xfrm>
                            <a:off x="0" y="0"/>
                            <a:ext cx="1000125" cy="190500"/>
                          </a:xfrm>
                          <a:prstGeom prst="rect">
                            <a:avLst/>
                          </a:prstGeom>
                        </pic:spPr>
                      </pic:pic>
                    </a:graphicData>
                  </a:graphic>
                </wp:inline>
              </w:drawing>
            </w:r>
          </w:p>
        </w:tc>
        <w:tc>
          <w:tcPr>
            <w:tcW w:w="1985" w:type="dxa"/>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color w:val="140BE3"/>
                <w:sz w:val="16"/>
              </w:rPr>
            </w:pPr>
            <w:r>
              <w:rPr>
                <w:rFonts w:ascii="Arial;Helvetica;Sans-Serif" w:hAnsi="Arial;Helvetica;Sans-Serif"/>
                <w:b w:val="false"/>
                <w:i w:val="false"/>
                <w:caps w:val="false"/>
                <w:smallCaps w:val="false"/>
                <w:color w:val="140BE3"/>
                <w:sz w:val="16"/>
              </w:rPr>
              <w:t xml:space="preserve">Davis Polk &amp; Wardwell </w:t>
            </w:r>
            <w:r>
              <w:rPr>
                <w:rFonts w:ascii="Arial;Helvetica;Sans-Serif" w:hAnsi="Arial;Helvetica;Sans-Serif"/>
                <w:b w:val="false"/>
                <w:i w:val="false"/>
                <w:smallCaps/>
                <w:color w:val="140BE3"/>
                <w:sz w:val="16"/>
              </w:rPr>
              <w:t>llp </w:t>
            </w:r>
          </w:p>
          <w:p>
            <w:pPr>
              <w:pStyle w:val="TableContents"/>
              <w:bidi w:val="0"/>
              <w:spacing w:before="0" w:after="0"/>
              <w:ind w:left="0" w:right="0" w:hanging="0"/>
              <w:jc w:val="left"/>
              <w:rPr>
                <w:rFonts w:ascii="Arial;Helvetica;Sans-Serif" w:hAnsi="Arial;Helvetica;Sans-Serif"/>
                <w:b w:val="false"/>
                <w:i w:val="false"/>
                <w:caps w:val="false"/>
                <w:smallCaps w:val="false"/>
                <w:color w:val="140BE3"/>
                <w:sz w:val="16"/>
              </w:rPr>
            </w:pPr>
            <w:r>
              <w:rPr>
                <w:rFonts w:ascii="Arial;Helvetica;Sans-Serif" w:hAnsi="Arial;Helvetica;Sans-Serif"/>
                <w:b w:val="false"/>
                <w:i w:val="false"/>
                <w:caps w:val="false"/>
                <w:smallCaps w:val="false"/>
                <w:color w:val="140BE3"/>
                <w:sz w:val="16"/>
              </w:rPr>
              <w:t>450 Lexington Avenue</w:t>
              <w:br/>
              <w:t>New York, NY 10017 </w:t>
            </w:r>
          </w:p>
          <w:p>
            <w:pPr>
              <w:pStyle w:val="TableContents"/>
              <w:bidi w:val="0"/>
              <w:spacing w:before="0" w:after="0"/>
              <w:ind w:left="0" w:right="0" w:hanging="0"/>
              <w:jc w:val="left"/>
              <w:rPr>
                <w:rFonts w:ascii="Arial;Helvetica;Sans-Serif" w:hAnsi="Arial;Helvetica;Sans-Serif"/>
                <w:b w:val="false"/>
                <w:i w:val="false"/>
                <w:caps w:val="false"/>
                <w:smallCaps w:val="false"/>
                <w:color w:val="140BE3"/>
                <w:sz w:val="16"/>
              </w:rPr>
            </w:pPr>
            <w:r>
              <w:rPr>
                <w:rFonts w:ascii="Arial;Helvetica;Sans-Serif" w:hAnsi="Arial;Helvetica;Sans-Serif"/>
                <w:b w:val="false"/>
                <w:i w:val="false"/>
                <w:caps w:val="false"/>
                <w:smallCaps w:val="false"/>
                <w:color w:val="140BE3"/>
                <w:sz w:val="16"/>
              </w:rPr>
              <w:t>davispolk.com </w:t>
            </w:r>
          </w:p>
        </w:tc>
        <w:tc>
          <w:tcPr>
            <w:tcW w:w="60" w:type="dxa"/>
            <w:tcBorders/>
            <w:vAlign w:val="center"/>
          </w:tcPr>
          <w:p>
            <w:pPr>
              <w:pStyle w:val="TableContents"/>
              <w:bidi w:val="0"/>
              <w:spacing w:before="0" w:after="283"/>
              <w:jc w:val="left"/>
              <w:rPr>
                <w:color w:val="140BE3"/>
              </w:rPr>
            </w:pPr>
            <w:r>
              <w:rPr>
                <w:color w:val="140BE3"/>
              </w:rPr>
              <w:t> </w:t>
            </w:r>
          </w:p>
        </w:tc>
        <w:tc>
          <w:tcPr>
            <w:tcW w:w="75" w:type="dxa"/>
            <w:tcBorders/>
            <w:vAlign w:val="center"/>
          </w:tcPr>
          <w:p>
            <w:pPr>
              <w:pStyle w:val="TableContents"/>
              <w:bidi w:val="0"/>
              <w:spacing w:before="0" w:after="283"/>
              <w:jc w:val="right"/>
              <w:rPr>
                <w:caps/>
                <w:color w:val="140BE3"/>
              </w:rPr>
            </w:pPr>
            <w:r>
              <w:rPr>
                <w:caps/>
                <w:color w:val="140BE3"/>
              </w:rPr>
              <w:t> </w:t>
            </w:r>
          </w:p>
        </w:tc>
      </w:tr>
      <w:tr>
        <w:trPr/>
        <w:tc>
          <w:tcPr>
            <w:tcW w:w="1650" w:type="dxa"/>
            <w:tcBorders/>
            <w:vAlign w:val="center"/>
          </w:tcPr>
          <w:p>
            <w:pPr>
              <w:pStyle w:val="TableContents"/>
              <w:bidi w:val="0"/>
              <w:spacing w:before="0" w:after="283"/>
              <w:jc w:val="left"/>
              <w:rPr>
                <w:color w:val="140B7F"/>
              </w:rPr>
            </w:pPr>
            <w:r>
              <w:rPr>
                <w:color w:val="140B7F"/>
              </w:rPr>
              <w:t> </w:t>
            </w:r>
          </w:p>
        </w:tc>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40BE3"/>
              </w:rPr>
            </w:pPr>
            <w:r>
              <w:rPr>
                <w:color w:val="140BE3"/>
              </w:rPr>
              <w:t> </w:t>
            </w:r>
          </w:p>
        </w:tc>
        <w:tc>
          <w:tcPr>
            <w:tcW w:w="75" w:type="dxa"/>
            <w:tcBorders/>
            <w:vAlign w:val="center"/>
          </w:tcPr>
          <w:p>
            <w:pPr>
              <w:pStyle w:val="TableContents"/>
              <w:bidi w:val="0"/>
              <w:spacing w:before="0" w:after="283"/>
              <w:jc w:val="right"/>
              <w:rPr>
                <w:caps/>
                <w:color w:val="140BE3"/>
              </w:rPr>
            </w:pPr>
            <w:r>
              <w:rPr>
                <w:caps/>
                <w:color w:val="140BE3"/>
              </w:rPr>
              <w:t> </w:t>
            </w:r>
          </w:p>
        </w:tc>
      </w:tr>
      <w:tr>
        <w:trPr/>
        <w:tc>
          <w:tcPr>
            <w:tcW w:w="1650" w:type="dxa"/>
            <w:tcBorders/>
            <w:vAlign w:val="center"/>
          </w:tcPr>
          <w:p>
            <w:pPr>
              <w:pStyle w:val="TableContents"/>
              <w:bidi w:val="0"/>
              <w:spacing w:before="0" w:after="283"/>
              <w:jc w:val="left"/>
              <w:rPr>
                <w:color w:val="140B7F"/>
              </w:rPr>
            </w:pPr>
            <w:r>
              <w:rPr>
                <w:color w:val="140B7F"/>
              </w:rPr>
              <w:t> </w:t>
            </w:r>
          </w:p>
        </w:tc>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40BE3"/>
              </w:rPr>
            </w:pPr>
            <w:r>
              <w:rPr>
                <w:color w:val="140BE3"/>
              </w:rPr>
              <w:t> </w:t>
            </w:r>
          </w:p>
        </w:tc>
        <w:tc>
          <w:tcPr>
            <w:tcW w:w="75" w:type="dxa"/>
            <w:tcBorders/>
            <w:vAlign w:val="center"/>
          </w:tcPr>
          <w:p>
            <w:pPr>
              <w:pStyle w:val="TableContents"/>
              <w:bidi w:val="0"/>
              <w:spacing w:before="0" w:after="283"/>
              <w:jc w:val="right"/>
              <w:rPr>
                <w:caps/>
                <w:color w:val="140BE3"/>
              </w:rPr>
            </w:pPr>
            <w:r>
              <w:rPr>
                <w:caps/>
                <w:color w:val="140BE3"/>
              </w:rPr>
              <w:t> </w:t>
            </w:r>
          </w:p>
        </w:tc>
      </w:tr>
      <w:tr>
        <w:trPr/>
        <w:tc>
          <w:tcPr>
            <w:tcW w:w="1650" w:type="dxa"/>
            <w:tcBorders/>
            <w:vAlign w:val="center"/>
          </w:tcPr>
          <w:p>
            <w:pPr>
              <w:pStyle w:val="TableContents"/>
              <w:bidi w:val="0"/>
              <w:spacing w:before="0" w:after="283"/>
              <w:jc w:val="left"/>
              <w:rPr>
                <w:color w:val="140B7F"/>
              </w:rPr>
            </w:pPr>
            <w:r>
              <w:rPr>
                <w:color w:val="140B7F"/>
              </w:rPr>
              <w:t> </w:t>
            </w:r>
          </w:p>
        </w:tc>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40BE3"/>
              </w:rPr>
            </w:pPr>
            <w:r>
              <w:rPr>
                <w:color w:val="140BE3"/>
              </w:rPr>
              <w:t> </w:t>
            </w:r>
          </w:p>
        </w:tc>
        <w:tc>
          <w:tcPr>
            <w:tcW w:w="75" w:type="dxa"/>
            <w:tcBorders/>
            <w:vAlign w:val="center"/>
          </w:tcPr>
          <w:p>
            <w:pPr>
              <w:pStyle w:val="TableContents"/>
              <w:bidi w:val="0"/>
              <w:spacing w:before="0" w:after="283"/>
              <w:jc w:val="right"/>
              <w:rPr>
                <w:caps/>
                <w:color w:val="140BE3"/>
              </w:rPr>
            </w:pPr>
            <w:r>
              <w:rPr>
                <w:caps/>
                <w:color w:val="140BE3"/>
              </w:rPr>
              <w:t> </w:t>
            </w:r>
          </w:p>
        </w:tc>
      </w:tr>
      <w:tr>
        <w:trPr/>
        <w:tc>
          <w:tcPr>
            <w:tcW w:w="1650" w:type="dxa"/>
            <w:tcBorders/>
            <w:vAlign w:val="center"/>
          </w:tcPr>
          <w:p>
            <w:pPr>
              <w:pStyle w:val="TableContents"/>
              <w:bidi w:val="0"/>
              <w:spacing w:before="0" w:after="283"/>
              <w:jc w:val="left"/>
              <w:rPr>
                <w:color w:val="140B7F"/>
              </w:rPr>
            </w:pPr>
            <w:r>
              <w:rPr>
                <w:color w:val="140B7F"/>
              </w:rPr>
              <w:t> </w:t>
            </w:r>
          </w:p>
        </w:tc>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40BE3"/>
              </w:rPr>
            </w:pPr>
            <w:r>
              <w:rPr>
                <w:color w:val="140BE3"/>
              </w:rPr>
              <w:t> </w:t>
            </w:r>
          </w:p>
        </w:tc>
        <w:tc>
          <w:tcPr>
            <w:tcW w:w="75" w:type="dxa"/>
            <w:tcBorders/>
            <w:vAlign w:val="center"/>
          </w:tcPr>
          <w:p>
            <w:pPr>
              <w:pStyle w:val="TableContents"/>
              <w:bidi w:val="0"/>
              <w:spacing w:before="0" w:after="283"/>
              <w:jc w:val="right"/>
              <w:rPr>
                <w:caps/>
                <w:color w:val="140BE3"/>
              </w:rPr>
            </w:pPr>
            <w:r>
              <w:rPr>
                <w:caps/>
                <w:color w:val="140BE3"/>
              </w:rPr>
              <w:t> </w:t>
            </w:r>
          </w:p>
        </w:tc>
      </w:tr>
      <w:tr>
        <w:trPr/>
        <w:tc>
          <w:tcPr>
            <w:tcW w:w="1650" w:type="dxa"/>
            <w:tcBorders/>
            <w:vAlign w:val="center"/>
          </w:tcPr>
          <w:p>
            <w:pPr>
              <w:pStyle w:val="TableContents"/>
              <w:bidi w:val="0"/>
              <w:spacing w:before="0" w:after="283"/>
              <w:jc w:val="left"/>
              <w:rPr>
                <w:color w:val="140B7F"/>
              </w:rPr>
            </w:pPr>
            <w:r>
              <w:rPr>
                <w:color w:val="140B7F"/>
              </w:rPr>
              <w:t> </w:t>
            </w:r>
          </w:p>
        </w:tc>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40BE3"/>
              </w:rPr>
            </w:pPr>
            <w:r>
              <w:rPr>
                <w:color w:val="140BE3"/>
              </w:rPr>
              <w:t> </w:t>
            </w:r>
          </w:p>
        </w:tc>
        <w:tc>
          <w:tcPr>
            <w:tcW w:w="75" w:type="dxa"/>
            <w:tcBorders/>
            <w:vAlign w:val="center"/>
          </w:tcPr>
          <w:p>
            <w:pPr>
              <w:pStyle w:val="TableContents"/>
              <w:bidi w:val="0"/>
              <w:spacing w:before="0" w:after="283"/>
              <w:jc w:val="right"/>
              <w:rPr>
                <w:caps/>
                <w:color w:val="140BE3"/>
              </w:rPr>
            </w:pPr>
            <w:r>
              <w:rPr>
                <w:caps/>
                <w:color w:val="140BE3"/>
              </w:rPr>
              <w:t> </w:t>
            </w:r>
          </w:p>
        </w:tc>
      </w:tr>
    </w:tbl>
    <w:p>
      <w:pPr>
        <w:pStyle w:val="TextBody"/>
        <w:bidi w:val="0"/>
        <w:jc w:val="right"/>
        <w:rPr/>
      </w:pPr>
      <w:r>
        <w:rPr/>
        <w:t> </w:t>
      </w:r>
    </w:p>
    <w:tbl>
      <w:tblPr>
        <w:tblW w:w="1670" w:type="dxa"/>
        <w:jc w:val="left"/>
        <w:tblInd w:w="0" w:type="dxa"/>
        <w:tblLayout w:type="fixed"/>
        <w:tblCellMar>
          <w:top w:w="0" w:type="dxa"/>
          <w:left w:w="0" w:type="dxa"/>
          <w:bottom w:w="0" w:type="dxa"/>
          <w:right w:w="0" w:type="dxa"/>
        </w:tblCellMar>
      </w:tblPr>
      <w:tblGrid>
        <w:gridCol w:w="1670"/>
      </w:tblGrid>
      <w:tr>
        <w:trPr/>
        <w:tc>
          <w:tcPr>
            <w:tcW w:w="1670" w:type="dxa"/>
            <w:tcBorders/>
            <w:vAlign w:val="center"/>
          </w:tcPr>
          <w:p>
            <w:pPr>
              <w:pStyle w:val="TableContents"/>
              <w:bidi w:val="0"/>
              <w:spacing w:before="0" w:after="283"/>
              <w:jc w:val="left"/>
              <w:rPr>
                <w:sz w:val="20"/>
              </w:rPr>
            </w:pPr>
            <w:r>
              <w:rPr>
                <w:sz w:val="20"/>
              </w:rPr>
              <w:t>September 11, 2026</w:t>
            </w:r>
          </w:p>
        </w:tc>
      </w:tr>
    </w:tbl>
    <w:p>
      <w:pPr>
        <w:pStyle w:val="TextBody"/>
        <w:bidi w:val="0"/>
        <w:spacing w:before="0" w:after="283"/>
        <w:jc w:val="left"/>
        <w:rPr/>
      </w:pPr>
      <w:r>
        <w:rPr/>
        <w:t> </w:t>
      </w:r>
    </w:p>
    <w:tbl>
      <w:tblPr>
        <w:tblW w:w="3080" w:type="dxa"/>
        <w:jc w:val="left"/>
        <w:tblInd w:w="0" w:type="dxa"/>
        <w:tblLayout w:type="fixed"/>
        <w:tblCellMar>
          <w:top w:w="0" w:type="dxa"/>
          <w:left w:w="0" w:type="dxa"/>
          <w:bottom w:w="0" w:type="dxa"/>
          <w:right w:w="0" w:type="dxa"/>
        </w:tblCellMar>
      </w:tblPr>
      <w:tblGrid>
        <w:gridCol w:w="3080"/>
      </w:tblGrid>
      <w:tr>
        <w:trPr/>
        <w:tc>
          <w:tcPr>
            <w:tcW w:w="3080" w:type="dxa"/>
            <w:tcBorders/>
            <w:vAlign w:val="center"/>
          </w:tcPr>
          <w:p>
            <w:pPr>
              <w:pStyle w:val="TableContents"/>
              <w:bidi w:val="0"/>
              <w:spacing w:before="0" w:after="283"/>
              <w:jc w:val="left"/>
              <w:rPr>
                <w:sz w:val="20"/>
              </w:rPr>
            </w:pPr>
            <w:r>
              <w:rPr>
                <w:sz w:val="20"/>
              </w:rPr>
              <w:t>Rent the Runway, Inc.</w:t>
            </w:r>
          </w:p>
        </w:tc>
      </w:tr>
      <w:tr>
        <w:trPr/>
        <w:tc>
          <w:tcPr>
            <w:tcW w:w="3080" w:type="dxa"/>
            <w:tcBorders/>
            <w:vAlign w:val="center"/>
          </w:tcPr>
          <w:p>
            <w:pPr>
              <w:pStyle w:val="TableContents"/>
              <w:bidi w:val="0"/>
              <w:spacing w:before="0" w:after="283"/>
              <w:jc w:val="left"/>
              <w:rPr/>
            </w:pPr>
            <w:r>
              <w:rPr/>
              <w:t>             </w:t>
            </w:r>
            <w:r>
              <w:rPr>
                <w:sz w:val="20"/>
              </w:rPr>
              <w:t>10 Jay Street</w:t>
            </w:r>
          </w:p>
        </w:tc>
      </w:tr>
      <w:tr>
        <w:trPr/>
        <w:tc>
          <w:tcPr>
            <w:tcW w:w="3080" w:type="dxa"/>
            <w:tcBorders/>
            <w:vAlign w:val="center"/>
          </w:tcPr>
          <w:p>
            <w:pPr>
              <w:pStyle w:val="TableContents"/>
              <w:bidi w:val="0"/>
              <w:spacing w:before="0" w:after="283"/>
              <w:jc w:val="left"/>
              <w:rPr/>
            </w:pPr>
            <w:r>
              <w:rPr/>
              <w:t>             </w:t>
            </w:r>
            <w:r>
              <w:rPr>
                <w:sz w:val="20"/>
              </w:rPr>
              <w:t>Brooklyn, New York 11201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acted as counsel to Rent the Runway, Inc., a Delaware corporation (the “</w:t>
      </w:r>
      <w:r>
        <w:rPr>
          <w:rFonts w:ascii="Arial;Helvetica;Sans-Serif" w:hAnsi="Arial;Helvetica;Sans-Serif"/>
          <w:b/>
          <w:i w:val="false"/>
          <w:caps w:val="false"/>
          <w:smallCaps w:val="false"/>
          <w:sz w:val="20"/>
        </w:rPr>
        <w:t>Company</w:t>
      </w:r>
      <w:r>
        <w:rPr>
          <w:rFonts w:ascii="Arial;Helvetica;Sans-Serif" w:hAnsi="Arial;Helvetica;Sans-Serif"/>
          <w:b w:val="false"/>
          <w:i w:val="false"/>
          <w:caps w:val="false"/>
          <w:smallCaps w:val="false"/>
          <w:sz w:val="20"/>
        </w:rPr>
        <w:t>”), in connection with the preparation and filing with the Securities and Exchange Commission (the “</w:t>
      </w:r>
      <w:r>
        <w:rPr>
          <w:rFonts w:ascii="Arial;Helvetica;Sans-Serif" w:hAnsi="Arial;Helvetica;Sans-Serif"/>
          <w:b/>
          <w:i w:val="false"/>
          <w:caps w:val="false"/>
          <w:smallCaps w:val="false"/>
          <w:sz w:val="20"/>
        </w:rPr>
        <w:t>Commission</w:t>
      </w:r>
      <w:r>
        <w:rPr>
          <w:rFonts w:ascii="Arial;Helvetica;Sans-Serif" w:hAnsi="Arial;Helvetica;Sans-Serif"/>
          <w:b w:val="false"/>
          <w:i w:val="false"/>
          <w:caps w:val="false"/>
          <w:smallCaps w:val="false"/>
          <w:sz w:val="20"/>
        </w:rPr>
        <w:t>”), pursuant to the Securities Act of 1933, as amended (the “</w:t>
      </w:r>
      <w:r>
        <w:rPr>
          <w:rFonts w:ascii="Arial;Helvetica;Sans-Serif" w:hAnsi="Arial;Helvetica;Sans-Serif"/>
          <w:b/>
          <w:i w:val="false"/>
          <w:caps w:val="false"/>
          <w:smallCaps w:val="false"/>
          <w:sz w:val="20"/>
        </w:rPr>
        <w:t>Securities Act</w:t>
      </w:r>
      <w:r>
        <w:rPr>
          <w:rFonts w:ascii="Arial;Helvetica;Sans-Serif" w:hAnsi="Arial;Helvetica;Sans-Serif"/>
          <w:b w:val="false"/>
          <w:i w:val="false"/>
          <w:caps w:val="false"/>
          <w:smallCaps w:val="false"/>
          <w:sz w:val="20"/>
        </w:rPr>
        <w:t>”), a Registration Statement on Form S-1 (as amended, the “</w:t>
      </w:r>
      <w:r>
        <w:rPr>
          <w:rFonts w:ascii="Arial;Helvetica;Sans-Serif" w:hAnsi="Arial;Helvetica;Sans-Serif"/>
          <w:b/>
          <w:i w:val="false"/>
          <w:caps w:val="false"/>
          <w:smallCaps w:val="false"/>
          <w:sz w:val="20"/>
        </w:rPr>
        <w:t>Registration Statement</w:t>
      </w:r>
      <w:r>
        <w:rPr>
          <w:rFonts w:ascii="Arial;Helvetica;Sans-Serif" w:hAnsi="Arial;Helvetica;Sans-Serif"/>
          <w:b w:val="false"/>
          <w:i w:val="false"/>
          <w:caps w:val="false"/>
          <w:smallCaps w:val="false"/>
          <w:sz w:val="20"/>
        </w:rPr>
        <w:t>”) and the related prospectus (the “</w:t>
      </w:r>
      <w:r>
        <w:rPr>
          <w:rFonts w:ascii="Arial;Helvetica;Sans-Serif" w:hAnsi="Arial;Helvetica;Sans-Serif"/>
          <w:b/>
          <w:i w:val="false"/>
          <w:caps w:val="false"/>
          <w:smallCaps w:val="false"/>
          <w:sz w:val="20"/>
        </w:rPr>
        <w:t>Prospectus”</w:t>
      </w:r>
      <w:r>
        <w:rPr>
          <w:rFonts w:ascii="Arial;Helvetica;Sans-Serif" w:hAnsi="Arial;Helvetica;Sans-Serif"/>
          <w:b w:val="false"/>
          <w:i w:val="false"/>
          <w:caps w:val="false"/>
          <w:smallCaps w:val="false"/>
          <w:sz w:val="20"/>
        </w:rPr>
        <w:t>) relating to the Company’s pro rata distribution to its stockholders of transferable rights (the “</w:t>
      </w:r>
      <w:r>
        <w:rPr>
          <w:rFonts w:ascii="Arial;Helvetica;Sans-Serif" w:hAnsi="Arial;Helvetica;Sans-Serif"/>
          <w:b/>
          <w:i w:val="false"/>
          <w:caps w:val="false"/>
          <w:smallCaps w:val="false"/>
          <w:sz w:val="20"/>
        </w:rPr>
        <w:t>Rights</w:t>
      </w:r>
      <w:r>
        <w:rPr>
          <w:rFonts w:ascii="Arial;Helvetica;Sans-Serif" w:hAnsi="Arial;Helvetica;Sans-Serif"/>
          <w:b w:val="false"/>
          <w:i w:val="false"/>
          <w:caps w:val="false"/>
          <w:smallCaps w:val="false"/>
          <w:sz w:val="20"/>
        </w:rPr>
        <w:t>”) to purchase up to 4,225,352 shares (the “</w:t>
      </w:r>
      <w:r>
        <w:rPr>
          <w:rFonts w:ascii="Arial;Helvetica;Sans-Serif" w:hAnsi="Arial;Helvetica;Sans-Serif"/>
          <w:b/>
          <w:i w:val="false"/>
          <w:caps w:val="false"/>
          <w:smallCaps w:val="false"/>
          <w:sz w:val="20"/>
        </w:rPr>
        <w:t>Shares</w:t>
      </w:r>
      <w:r>
        <w:rPr>
          <w:rFonts w:ascii="Arial;Helvetica;Sans-Serif" w:hAnsi="Arial;Helvetica;Sans-Serif"/>
          <w:b w:val="false"/>
          <w:i w:val="false"/>
          <w:caps w:val="false"/>
          <w:smallCaps w:val="false"/>
          <w:sz w:val="20"/>
        </w:rPr>
        <w:t>”) of the Company’s Class A common stock, par value $0.001 per share (the “</w:t>
      </w:r>
      <w:r>
        <w:rPr>
          <w:rFonts w:ascii="Arial;Helvetica;Sans-Serif" w:hAnsi="Arial;Helvetica;Sans-Serif"/>
          <w:b/>
          <w:i w:val="false"/>
          <w:caps w:val="false"/>
          <w:smallCaps w:val="false"/>
          <w:sz w:val="20"/>
        </w:rPr>
        <w:t>Class A common stock</w:t>
      </w:r>
      <w:r>
        <w:rPr>
          <w:rFonts w:ascii="Arial;Helvetica;Sans-Serif" w:hAnsi="Arial;Helvetica;Sans-Serif"/>
          <w:b w:val="false"/>
          <w:i w:val="false"/>
          <w:caps w:val="false"/>
          <w:smallCaps w:val="false"/>
          <w:sz w:val="20"/>
        </w:rPr>
        <w:t>”) at a subscription price per share equal to the greater of (i) $3.55, which represents the volume weighted average price of the Company’s Class A Common Stock for the 15-day trading period ending on September 9, 2026 and (ii) the volume weighted average price of the Company’s Class A Common Stock for the 15-day trading period through and including the Record Date (as defined in the Registration Statement) and an aggregate maximum public offering price of up to $15,000,000.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as your counsel, have examined originals or copies of such documents, corporate records, certificates of public officials and other instruments as we have deemed necessary or advisable for the purpose of rendering this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rendering the opinions expressed herein, we have, without independent inquiry or investigation, assumed that (i) all documents submitted to us as originals are authentic and complete, (ii) all documents submitted to us as copies conform to authentic, complete originals, (iii)  all documents filed with or submitted to the Commission through its Electronic Data Gathering, Analysis and Retrieval (“</w:t>
      </w:r>
      <w:r>
        <w:rPr>
          <w:rFonts w:ascii="Arial;Helvetica;Sans-Serif" w:hAnsi="Arial;Helvetica;Sans-Serif"/>
          <w:b/>
          <w:i w:val="false"/>
          <w:caps w:val="false"/>
          <w:smallCaps w:val="false"/>
          <w:sz w:val="20"/>
        </w:rPr>
        <w:t>EDGAR</w:t>
      </w:r>
      <w:r>
        <w:rPr>
          <w:rFonts w:ascii="Arial;Helvetica;Sans-Serif" w:hAnsi="Arial;Helvetica;Sans-Serif"/>
          <w:b w:val="false"/>
          <w:i w:val="false"/>
          <w:caps w:val="false"/>
          <w:smallCaps w:val="false"/>
          <w:sz w:val="20"/>
        </w:rPr>
        <w:t>”) system (except for required EDGAR formatting changes) conform to the versions of such documents reviewed by us prior to such formatting, (iv) all documents filed as exhibits to the Registration Statement that have not been executed will conform to the forms thereof, (v) all signatures on all documents that we reviewed are genuine, (vi) all natural persons executing documents had and have the legal capacity to do so, (vii) all statements in certificates of public officials and officers of the Company that we reviewed were and are accurate and (viii) all representations made by the Company as to matters of fact in the documents that we reviewed were and are accurate.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Based upon the foregoing, we advise you that, in our opinion: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0"/>
        <w:gridCol w:w="10018"/>
      </w:tblGrid>
      <w:tr>
        <w:trPr/>
        <w:tc>
          <w:tcPr>
            <w:tcW w:w="3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pPr>
            <w:r>
              <w:rPr/>
              <w:t>1.</w:t>
            </w:r>
          </w:p>
        </w:tc>
        <w:tc>
          <w:tcPr>
            <w:tcW w:w="10018" w:type="dxa"/>
            <w:tcBorders/>
            <w:vAlign w:val="center"/>
          </w:tcPr>
          <w:p>
            <w:pPr>
              <w:pStyle w:val="TableContents"/>
              <w:bidi w:val="0"/>
              <w:spacing w:before="0" w:after="283"/>
              <w:jc w:val="left"/>
              <w:rPr/>
            </w:pPr>
            <w:r>
              <w:rPr/>
              <w:t>When the Rights have been issued in accordance with the terms of the offering described in the Prospectus, the Rights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 and may be subject to possible judicial or regulatory actions giving effect to governmental actions or foreign laws affecting creditors' rights.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3425" w:type="dxa"/>
        <w:jc w:val="left"/>
        <w:tblInd w:w="0" w:type="dxa"/>
        <w:tblLayout w:type="fixed"/>
        <w:tblCellMar>
          <w:top w:w="0" w:type="dxa"/>
          <w:left w:w="0" w:type="dxa"/>
          <w:bottom w:w="0" w:type="dxa"/>
          <w:right w:w="0" w:type="dxa"/>
        </w:tblCellMar>
      </w:tblPr>
      <w:tblGrid>
        <w:gridCol w:w="1650"/>
        <w:gridCol w:w="1640"/>
        <w:gridCol w:w="60"/>
        <w:gridCol w:w="75"/>
      </w:tblGrid>
      <w:tr>
        <w:trPr/>
        <w:tc>
          <w:tcPr>
            <w:tcW w:w="1650" w:type="dxa"/>
            <w:tcBorders/>
            <w:vAlign w:val="center"/>
          </w:tcPr>
          <w:p>
            <w:pPr>
              <w:pStyle w:val="TableContents"/>
              <w:bidi w:val="0"/>
              <w:spacing w:before="0" w:after="283"/>
              <w:jc w:val="left"/>
              <w:rPr>
                <w:color w:val="140B7F"/>
              </w:rPr>
            </w:pPr>
            <w:r>
              <w:rPr>
                <w:color w:val="140B7F"/>
              </w:rPr>
              <w:t> </w:t>
            </w:r>
          </w:p>
        </w:tc>
        <w:tc>
          <w:tcPr>
            <w:tcW w:w="1640" w:type="dxa"/>
            <w:tcBorders/>
            <w:vAlign w:val="center"/>
          </w:tcPr>
          <w:p>
            <w:pPr>
              <w:pStyle w:val="TableContents"/>
              <w:bidi w:val="0"/>
              <w:spacing w:before="0" w:after="283"/>
              <w:jc w:val="left"/>
              <w:rPr>
                <w:color w:val="140BE3"/>
              </w:rPr>
            </w:pPr>
            <w:r>
              <w:rPr>
                <w:color w:val="140BE3"/>
              </w:rPr>
              <w:t> </w:t>
            </w:r>
          </w:p>
        </w:tc>
        <w:tc>
          <w:tcPr>
            <w:tcW w:w="60" w:type="dxa"/>
            <w:tcBorders/>
            <w:vAlign w:val="center"/>
          </w:tcPr>
          <w:p>
            <w:pPr>
              <w:pStyle w:val="TableContents"/>
              <w:bidi w:val="0"/>
              <w:spacing w:before="0" w:after="283"/>
              <w:jc w:val="left"/>
              <w:rPr>
                <w:color w:val="140BE3"/>
              </w:rPr>
            </w:pPr>
            <w:r>
              <w:rPr>
                <w:color w:val="140BE3"/>
              </w:rPr>
              <w:t> </w:t>
            </w:r>
          </w:p>
        </w:tc>
        <w:tc>
          <w:tcPr>
            <w:tcW w:w="75" w:type="dxa"/>
            <w:tcBorders/>
            <w:vAlign w:val="center"/>
          </w:tcPr>
          <w:p>
            <w:pPr>
              <w:pStyle w:val="TableContents"/>
              <w:bidi w:val="0"/>
              <w:spacing w:before="0" w:after="283"/>
              <w:jc w:val="right"/>
              <w:rPr>
                <w:caps/>
                <w:color w:val="FFFFFF"/>
              </w:rPr>
            </w:pPr>
            <w:r>
              <w:rPr>
                <w:caps/>
                <w:color w:val="FFFFFF"/>
              </w:rPr>
              <w:t> </w:t>
            </w:r>
          </w:p>
        </w:tc>
      </w:tr>
      <w:tr>
        <w:trPr/>
        <w:tc>
          <w:tcPr>
            <w:tcW w:w="1650" w:type="dxa"/>
            <w:tcBorders/>
            <w:vAlign w:val="center"/>
          </w:tcPr>
          <w:p>
            <w:pPr>
              <w:pStyle w:val="TableContents"/>
              <w:bidi w:val="0"/>
              <w:spacing w:before="0" w:after="283"/>
              <w:jc w:val="left"/>
              <w:rPr>
                <w:color w:val="140B7F"/>
              </w:rPr>
            </w:pPr>
            <w:r>
              <w:rPr>
                <w:color w:val="140B7F"/>
              </w:rPr>
              <w:t> </w:t>
            </w:r>
            <w:r>
              <w:rPr>
                <w:color w:val="140B7F"/>
              </w:rPr>
              <w:drawing>
                <wp:inline distT="0" distB="0" distL="0" distR="0">
                  <wp:extent cx="1000125" cy="1905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23"/>
                          <a:stretch>
                            <a:fillRect/>
                          </a:stretch>
                        </pic:blipFill>
                        <pic:spPr bwMode="auto">
                          <a:xfrm>
                            <a:off x="0" y="0"/>
                            <a:ext cx="1000125" cy="190500"/>
                          </a:xfrm>
                          <a:prstGeom prst="rect">
                            <a:avLst/>
                          </a:prstGeom>
                        </pic:spPr>
                      </pic:pic>
                    </a:graphicData>
                  </a:graphic>
                </wp:inline>
              </w:drawing>
            </w:r>
          </w:p>
        </w:tc>
        <w:tc>
          <w:tcPr>
            <w:tcW w:w="1640" w:type="dxa"/>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color w:val="140BE3"/>
                <w:sz w:val="16"/>
              </w:rPr>
            </w:pPr>
            <w:r>
              <w:rPr>
                <w:rFonts w:ascii="Arial;Helvetica;Sans-Serif" w:hAnsi="Arial;Helvetica;Sans-Serif"/>
                <w:b w:val="false"/>
                <w:i w:val="false"/>
                <w:caps w:val="false"/>
                <w:smallCaps w:val="false"/>
                <w:color w:val="140BE3"/>
                <w:sz w:val="16"/>
              </w:rPr>
              <w:t>Rent the Runway, Inc.</w:t>
            </w:r>
          </w:p>
        </w:tc>
        <w:tc>
          <w:tcPr>
            <w:tcW w:w="60" w:type="dxa"/>
            <w:tcBorders/>
            <w:vAlign w:val="center"/>
          </w:tcPr>
          <w:p>
            <w:pPr>
              <w:pStyle w:val="TableContents"/>
              <w:bidi w:val="0"/>
              <w:spacing w:before="0" w:after="283"/>
              <w:jc w:val="left"/>
              <w:rPr>
                <w:color w:val="140BE3"/>
              </w:rPr>
            </w:pPr>
            <w:r>
              <w:rPr>
                <w:color w:val="140BE3"/>
              </w:rPr>
              <w:t> </w:t>
            </w:r>
          </w:p>
        </w:tc>
        <w:tc>
          <w:tcPr>
            <w:tcW w:w="75" w:type="dxa"/>
            <w:tcBorders/>
            <w:vAlign w:val="center"/>
          </w:tcPr>
          <w:p>
            <w:pPr>
              <w:pStyle w:val="TableContents"/>
              <w:bidi w:val="0"/>
              <w:spacing w:before="0" w:after="283"/>
              <w:jc w:val="right"/>
              <w:rPr>
                <w:caps/>
                <w:color w:val="140BE3"/>
              </w:rPr>
            </w:pPr>
            <w:r>
              <w:rPr>
                <w:caps/>
                <w:color w:val="140BE3"/>
              </w:rPr>
              <w:t> </w:t>
            </w:r>
          </w:p>
        </w:tc>
      </w:tr>
      <w:tr>
        <w:trPr/>
        <w:tc>
          <w:tcPr>
            <w:tcW w:w="1650" w:type="dxa"/>
            <w:tcBorders/>
            <w:vAlign w:val="center"/>
          </w:tcPr>
          <w:p>
            <w:pPr>
              <w:pStyle w:val="TableContents"/>
              <w:bidi w:val="0"/>
              <w:spacing w:before="0" w:after="283"/>
              <w:jc w:val="left"/>
              <w:rPr>
                <w:color w:val="140B7F"/>
              </w:rPr>
            </w:pPr>
            <w:r>
              <w:rPr>
                <w:color w:val="140B7F"/>
              </w:rPr>
              <w:t> </w:t>
            </w:r>
          </w:p>
        </w:tc>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40BE3"/>
              </w:rPr>
            </w:pPr>
            <w:r>
              <w:rPr>
                <w:color w:val="140BE3"/>
              </w:rPr>
              <w:t> </w:t>
            </w:r>
          </w:p>
        </w:tc>
        <w:tc>
          <w:tcPr>
            <w:tcW w:w="75" w:type="dxa"/>
            <w:tcBorders/>
            <w:vAlign w:val="center"/>
          </w:tcPr>
          <w:p>
            <w:pPr>
              <w:pStyle w:val="TableContents"/>
              <w:bidi w:val="0"/>
              <w:spacing w:before="0" w:after="283"/>
              <w:jc w:val="right"/>
              <w:rPr>
                <w:caps/>
                <w:color w:val="140BE3"/>
              </w:rPr>
            </w:pPr>
            <w:r>
              <w:rPr>
                <w:caps/>
                <w:color w:val="140BE3"/>
              </w:rPr>
              <w:t> </w:t>
            </w:r>
          </w:p>
        </w:tc>
      </w:tr>
      <w:tr>
        <w:trPr/>
        <w:tc>
          <w:tcPr>
            <w:tcW w:w="1650" w:type="dxa"/>
            <w:tcBorders/>
            <w:vAlign w:val="center"/>
          </w:tcPr>
          <w:p>
            <w:pPr>
              <w:pStyle w:val="TableContents"/>
              <w:bidi w:val="0"/>
              <w:spacing w:before="0" w:after="283"/>
              <w:jc w:val="left"/>
              <w:rPr>
                <w:color w:val="140B7F"/>
              </w:rPr>
            </w:pPr>
            <w:r>
              <w:rPr>
                <w:color w:val="140B7F"/>
              </w:rPr>
              <w:t> </w:t>
            </w:r>
          </w:p>
        </w:tc>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40BE3"/>
              </w:rPr>
            </w:pPr>
            <w:r>
              <w:rPr>
                <w:color w:val="140BE3"/>
              </w:rPr>
              <w:t> </w:t>
            </w:r>
          </w:p>
        </w:tc>
        <w:tc>
          <w:tcPr>
            <w:tcW w:w="75" w:type="dxa"/>
            <w:tcBorders/>
            <w:vAlign w:val="center"/>
          </w:tcPr>
          <w:p>
            <w:pPr>
              <w:pStyle w:val="TableContents"/>
              <w:bidi w:val="0"/>
              <w:spacing w:before="0" w:after="283"/>
              <w:jc w:val="right"/>
              <w:rPr>
                <w:caps/>
                <w:color w:val="140BE3"/>
              </w:rPr>
            </w:pPr>
            <w:r>
              <w:rPr>
                <w:caps/>
                <w:color w:val="140BE3"/>
              </w:rPr>
              <w:t>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67"/>
        <w:gridCol w:w="10001"/>
      </w:tblGrid>
      <w:tr>
        <w:trPr/>
        <w:tc>
          <w:tcPr>
            <w:tcW w:w="3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pPr>
            <w:r>
              <w:rPr/>
              <w:t>2.</w:t>
            </w:r>
          </w:p>
        </w:tc>
        <w:tc>
          <w:tcPr>
            <w:tcW w:w="10001" w:type="dxa"/>
            <w:tcBorders/>
            <w:vAlign w:val="center"/>
          </w:tcPr>
          <w:p>
            <w:pPr>
              <w:pStyle w:val="TableContents"/>
              <w:bidi w:val="0"/>
              <w:spacing w:before="0" w:after="283"/>
              <w:jc w:val="left"/>
              <w:rPr/>
            </w:pPr>
            <w:r>
              <w:rPr/>
              <w:t>Each Share, when such Share has been issued and delivered against payment therefor in accordance with the terms of the offering described in the Prospectus, will be validly issued, fully paid and non-assessable.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connection with the opinions expressed above, we have assumed that at or prior to the time of the delivery of any Units, (i) the authorization of the Board of Directors of the Company of the issuance of the Rights and Shares shall not have been modified or rescinded; (ii) the Company shall remain, validly existing as a corporation in good standing under the laws of Delaware; (iii) the Registration Statement shall have become effective and such effectivness shall not have been terminated or rescinded; (iv) each rights certificate to be entered into in connection with the exercise of the Rights has been duly authorized, executed and delivered, and is a valid, binding and enforceable agreement of each party thereto; and (v) there shall not have occurred any change in law affecting the validity or enforceability of the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are members of the Bar of the State of New York and the foregoing opinion is limited to the laws of the State of New York and the General Corporation Law of the State of Delaware, except that we express no opinion as to (i) any law, rule or regulation that is applicable to the Company or the Rights solely because such law, rule or regulation is part of a regulatory regime applicable to the Company or any of its affiliates due to the specific assets or business of the Company or such affiliate or (ii) any law, rule or regulation relating to national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hereby consent to the filing of this opinion as an exhibit to the Registration Statement and further consent to the reference to our name under the caption “Legal Matters” in the Prospectus. In giving this consent, we do not admit that we are in the category of persons whose consent is required under Section 7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Very truly yours,</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 Davis Polk &amp; Wardwell LLP</w:t>
      </w:r>
    </w:p>
    <w:p>
      <w:pPr>
        <w:pStyle w:val="TextBody"/>
        <w:bidi w:val="0"/>
        <w:spacing w:before="0" w:after="0"/>
        <w:ind w:left="0" w:right="0" w:hanging="0"/>
        <w:jc w:val="left"/>
        <w:rPr>
          <w:caps w:val="false"/>
          <w:smallCaps w:val="false"/>
        </w:rPr>
      </w:pPr>
      <w:r>
        <w:rPr>
          <w:caps w:val="false"/>
          <w:smallCaps w:val="false"/>
        </w:rPr>
        <w:t> </w:t>
      </w:r>
    </w:p>
    <w:tbl>
      <w:tblPr>
        <w:tblW w:w="1570" w:type="dxa"/>
        <w:jc w:val="left"/>
        <w:tblInd w:w="0" w:type="dxa"/>
        <w:tblLayout w:type="fixed"/>
        <w:tblCellMar>
          <w:top w:w="28" w:type="dxa"/>
          <w:left w:w="0" w:type="dxa"/>
          <w:bottom w:w="0" w:type="dxa"/>
          <w:right w:w="0" w:type="dxa"/>
        </w:tblCellMar>
      </w:tblPr>
      <w:tblGrid>
        <w:gridCol w:w="1445"/>
        <w:gridCol w:w="125"/>
      </w:tblGrid>
      <w:tr>
        <w:trPr/>
        <w:tc>
          <w:tcPr>
            <w:tcW w:w="1445" w:type="dxa"/>
            <w:tcBorders>
              <w:top w:val="single" w:sz="8" w:space="0" w:color="140BE3"/>
            </w:tcBorders>
            <w:vAlign w:val="center"/>
          </w:tcPr>
          <w:p>
            <w:pPr>
              <w:pStyle w:val="TableContents"/>
              <w:bidi w:val="0"/>
              <w:spacing w:before="0" w:after="283"/>
              <w:jc w:val="left"/>
              <w:rPr>
                <w:sz w:val="16"/>
              </w:rPr>
            </w:pPr>
            <w:r>
              <w:rPr>
                <w:sz w:val="16"/>
              </w:rPr>
              <w:t>September 11, 2026</w:t>
            </w:r>
          </w:p>
        </w:tc>
        <w:tc>
          <w:tcPr>
            <w:tcW w:w="125" w:type="dxa"/>
            <w:tcBorders>
              <w:top w:val="single" w:sz="8" w:space="0" w:color="140BE3"/>
            </w:tcBorders>
            <w:vAlign w:val="center"/>
          </w:tcPr>
          <w:p>
            <w:pPr>
              <w:pStyle w:val="TableContents"/>
              <w:bidi w:val="0"/>
              <w:spacing w:before="0" w:after="283"/>
              <w:jc w:val="right"/>
              <w:rPr>
                <w:sz w:val="16"/>
              </w:rPr>
            </w:pPr>
            <w:r>
              <w:rPr>
                <w:sz w:val="16"/>
              </w:rPr>
              <w:t>2</w:t>
            </w:r>
          </w:p>
        </w:tc>
      </w:tr>
    </w:tbl>
    <w:p>
      <w:pPr>
        <w:pStyle w:val="TextBody"/>
        <w:bidi w:val="0"/>
        <w:ind w:left="0" w:right="0" w:hanging="0"/>
        <w:jc w:val="righ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7" w:name="dp253177_ex2301.htm"/>
      <w:bookmarkStart w:id="18" w:name="ksdp253177_ex2301"/>
      <w:bookmarkEnd w:id="17"/>
      <w:bookmarkEnd w:id="18"/>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on Form S-1 of Rent the Runway, Inc. of our report dated April 14, 2026 relating to the financial statements, which appears in Rent the Runway, Inc.'s Annual Report on Form 10-K for the year ended January 31, 2026. We also consent to the reference to us under the heading “Experts”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PricewaterhouseCoopers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br/>
        <w:t>September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240"/>
        <w:jc w:val="right"/>
        <w:rPr>
          <w:rFonts w:ascii="Times New Roman;Times;Serif" w:hAnsi="Times New Roman;Times;Serif"/>
          <w:b/>
          <w:i w:val="false"/>
          <w:caps w:val="false"/>
          <w:smallCaps w:val="false"/>
          <w:sz w:val="24"/>
        </w:rPr>
      </w:pPr>
      <w:bookmarkStart w:id="19" w:name="dp253177_exfilingfees.htm"/>
      <w:bookmarkStart w:id="20" w:name="ksdp253177_exfilingfees"/>
      <w:bookmarkEnd w:id="19"/>
      <w:bookmarkEnd w:id="20"/>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S-1</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Rent the Runway, Inc.</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and Carry Forward Securities</w:t>
      </w:r>
    </w:p>
    <w:tbl>
      <w:tblPr>
        <w:tblW w:w="10525" w:type="dxa"/>
        <w:jc w:val="left"/>
        <w:tblInd w:w="0" w:type="dxa"/>
        <w:tblLayout w:type="fixed"/>
        <w:tblCellMar>
          <w:top w:w="0" w:type="dxa"/>
          <w:left w:w="0" w:type="dxa"/>
          <w:bottom w:w="0" w:type="dxa"/>
          <w:right w:w="0" w:type="dxa"/>
        </w:tblCellMar>
      </w:tblPr>
      <w:tblGrid>
        <w:gridCol w:w="530"/>
        <w:gridCol w:w="60"/>
        <w:gridCol w:w="800"/>
        <w:gridCol w:w="60"/>
        <w:gridCol w:w="1205"/>
        <w:gridCol w:w="60"/>
        <w:gridCol w:w="575"/>
        <w:gridCol w:w="60"/>
        <w:gridCol w:w="1100"/>
        <w:gridCol w:w="60"/>
        <w:gridCol w:w="1025"/>
        <w:gridCol w:w="60"/>
        <w:gridCol w:w="696"/>
        <w:gridCol w:w="299"/>
        <w:gridCol w:w="60"/>
        <w:gridCol w:w="140"/>
        <w:gridCol w:w="1400"/>
        <w:gridCol w:w="60"/>
        <w:gridCol w:w="1040"/>
        <w:gridCol w:w="60"/>
        <w:gridCol w:w="162"/>
        <w:gridCol w:w="1013"/>
      </w:tblGrid>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left"/>
              <w:rPr/>
            </w:pPr>
            <w:r>
              <w:rPr/>
              <w:t> </w:t>
            </w:r>
          </w:p>
        </w:tc>
      </w:tr>
      <w:tr>
        <w:trPr/>
        <w:tc>
          <w:tcPr>
            <w:tcW w:w="530" w:type="dxa"/>
            <w:tcBorders>
              <w:bottom w:val="single" w:sz="8" w:space="0" w:color="000000"/>
            </w:tcBorders>
            <w:tcMar>
              <w:bottom w:w="28" w:type="dxa"/>
            </w:tcMar>
            <w:vAlign w:val="center"/>
          </w:tcPr>
          <w:p>
            <w:pPr>
              <w:pStyle w:val="TableContents"/>
              <w:bidi w:val="0"/>
              <w:spacing w:before="0" w:after="283"/>
              <w:jc w:val="left"/>
              <w:rPr/>
            </w:pPr>
            <w:r>
              <w:rPr/>
              <w:t>Line Item Type</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540"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left"/>
              <w:rPr/>
            </w:pPr>
            <w:r>
              <w:rPr/>
              <w:t> </w:t>
            </w:r>
          </w:p>
        </w:tc>
      </w:tr>
      <w:tr>
        <w:trPr/>
        <w:tc>
          <w:tcPr>
            <w:tcW w:w="10525" w:type="dxa"/>
            <w:gridSpan w:val="22"/>
            <w:tcBorders/>
            <w:vAlign w:val="center"/>
          </w:tcPr>
          <w:p>
            <w:pPr>
              <w:pStyle w:val="TableContents"/>
              <w:bidi w:val="0"/>
              <w:spacing w:before="0" w:after="283"/>
              <w:jc w:val="center"/>
              <w:rPr>
                <w:i/>
              </w:rPr>
            </w:pPr>
            <w:r>
              <w:rPr>
                <w:i/>
              </w:rPr>
              <w:t>Newly Registered Securities</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Class A Common Stock, par value $0.001 per share, issuable upon exercise of Subscription Rights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right"/>
              <w:rPr/>
            </w:pPr>
            <w:r>
              <w:rPr/>
              <w:t>15,000,000.00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w:t>
            </w:r>
          </w:p>
        </w:tc>
        <w:tc>
          <w:tcPr>
            <w:tcW w:w="1013" w:type="dxa"/>
            <w:tcBorders/>
            <w:vAlign w:val="center"/>
          </w:tcPr>
          <w:p>
            <w:pPr>
              <w:pStyle w:val="TableContents"/>
              <w:bidi w:val="0"/>
              <w:spacing w:before="0" w:after="283"/>
              <w:jc w:val="right"/>
              <w:rPr/>
            </w:pPr>
            <w:r>
              <w:rPr/>
              <w:t>2,071.50</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bottom w:val="single" w:sz="8" w:space="0" w:color="000000"/>
            </w:tcBorders>
            <w:tcMar>
              <w:bottom w:w="28" w:type="dxa"/>
            </w:tcMar>
            <w:vAlign w:val="center"/>
          </w:tcPr>
          <w:p>
            <w:pPr>
              <w:pStyle w:val="TableContents"/>
              <w:bidi w:val="0"/>
              <w:spacing w:before="0" w:after="283"/>
              <w:jc w:val="left"/>
              <w:rPr/>
            </w:pPr>
            <w:r>
              <w:rPr/>
              <w:t> </w:t>
            </w:r>
          </w:p>
        </w:tc>
        <w:tc>
          <w:tcPr>
            <w:tcW w:w="101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590" w:type="dxa"/>
            <w:gridSpan w:val="14"/>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right"/>
              <w:rPr/>
            </w:pPr>
            <w:r>
              <w:rPr/>
              <w:t>15,000,000.00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2,071.50</w:t>
            </w:r>
          </w:p>
        </w:tc>
      </w:tr>
      <w:tr>
        <w:trPr/>
        <w:tc>
          <w:tcPr>
            <w:tcW w:w="6590" w:type="dxa"/>
            <w:gridSpan w:val="14"/>
            <w:tcBorders/>
            <w:vAlign w:val="center"/>
          </w:tcPr>
          <w:p>
            <w:pPr>
              <w:pStyle w:val="TableContents"/>
              <w:bidi w:val="0"/>
              <w:spacing w:before="0" w:after="283"/>
              <w:jc w:val="right"/>
              <w:rPr/>
            </w:pPr>
            <w:r>
              <w:rPr/>
              <w:t>Total Fees Previously Paid: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 </w:t>
            </w:r>
          </w:p>
        </w:tc>
      </w:tr>
      <w:tr>
        <w:trPr/>
        <w:tc>
          <w:tcPr>
            <w:tcW w:w="6590" w:type="dxa"/>
            <w:gridSpan w:val="14"/>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bottom w:val="single" w:sz="8" w:space="0" w:color="000000"/>
            </w:tcBorders>
            <w:tcMar>
              <w:bottom w:w="28" w:type="dxa"/>
            </w:tcMar>
            <w:vAlign w:val="center"/>
          </w:tcPr>
          <w:p>
            <w:pPr>
              <w:pStyle w:val="TableContents"/>
              <w:bidi w:val="0"/>
              <w:spacing w:before="0" w:after="283"/>
              <w:jc w:val="left"/>
              <w:rPr/>
            </w:pPr>
            <w:r>
              <w:rPr/>
              <w:t> </w:t>
            </w:r>
          </w:p>
        </w:tc>
        <w:tc>
          <w:tcPr>
            <w:tcW w:w="1013"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6590" w:type="dxa"/>
            <w:gridSpan w:val="14"/>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bottom w:val="double" w:sz="8" w:space="0" w:color="000000"/>
            </w:tcBorders>
            <w:tcMar>
              <w:bottom w:w="28" w:type="dxa"/>
            </w:tcMar>
            <w:vAlign w:val="center"/>
          </w:tcPr>
          <w:p>
            <w:pPr>
              <w:pStyle w:val="TableContents"/>
              <w:bidi w:val="0"/>
              <w:spacing w:before="0" w:after="283"/>
              <w:jc w:val="left"/>
              <w:rPr/>
            </w:pPr>
            <w:r>
              <w:rPr/>
              <w:t>$</w:t>
            </w:r>
          </w:p>
        </w:tc>
        <w:tc>
          <w:tcPr>
            <w:tcW w:w="1013" w:type="dxa"/>
            <w:tcBorders>
              <w:bottom w:val="double" w:sz="8" w:space="0" w:color="000000"/>
            </w:tcBorders>
            <w:tcMar>
              <w:bottom w:w="28" w:type="dxa"/>
            </w:tcMar>
            <w:vAlign w:val="center"/>
          </w:tcPr>
          <w:p>
            <w:pPr>
              <w:pStyle w:val="TableContents"/>
              <w:bidi w:val="0"/>
              <w:spacing w:before="0" w:after="283"/>
              <w:jc w:val="right"/>
              <w:rPr/>
            </w:pPr>
            <w:r>
              <w:rPr/>
              <w:t>2,071.50</w:t>
            </w:r>
          </w:p>
        </w:tc>
      </w:tr>
    </w:tbl>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77"/>
        <w:gridCol w:w="23"/>
        <w:gridCol w:w="9905"/>
      </w:tblGrid>
      <w:tr>
        <w:trPr/>
        <w:tc>
          <w:tcPr>
            <w:tcW w:w="277"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05" w:type="dxa"/>
            <w:tcBorders/>
            <w:vAlign w:val="center"/>
          </w:tcPr>
          <w:p>
            <w:pPr>
              <w:pStyle w:val="TableContents"/>
              <w:bidi w:val="0"/>
              <w:spacing w:before="0" w:after="283"/>
              <w:jc w:val="both"/>
              <w:rPr/>
            </w:pPr>
            <w:r>
              <w:rPr/>
              <w:t>Estimated solely for the purpose of calculating the registration fee pursuant to Rule 457(o) under the Securities Act of 1933, as amended (the “Securities Act”).</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468327/000146832726000020/wdq-20260131.htm" TargetMode="External"/><Relationship Id="rId4" Type="http://schemas.openxmlformats.org/officeDocument/2006/relationships/hyperlink" Target="https://www.sec.gov/ix?doc=/Archives/edgar/data/1468327/000146832726000031/rent-20260430.htm" TargetMode="External"/><Relationship Id="rId5" Type="http://schemas.openxmlformats.org/officeDocument/2006/relationships/hyperlink" Target="https://www.sec.gov/ix?doc=/Archives/edgar/data/0001468327/000146832726000088/rent-20260731.htm" TargetMode="External"/><Relationship Id="rId6" Type="http://schemas.openxmlformats.org/officeDocument/2006/relationships/hyperlink" Target="https://www.sec.gov/ix?doc=/Archives/edgar/data/1468327/000114036126023446/ny20064283x2_def14a.htm" TargetMode="External"/><Relationship Id="rId7" Type="http://schemas.openxmlformats.org/officeDocument/2006/relationships/hyperlink" Target="https://www.sec.gov/ix?doc=/Archives/edgar/data/0001468327/000095010326005727/dp245184_8k.htm" TargetMode="External"/><Relationship Id="rId8" Type="http://schemas.openxmlformats.org/officeDocument/2006/relationships/hyperlink" Target="https://www.sec.gov/ix?doc=/Archives/edgar/data/0001468327/000095010326007131/dp246596_8k.htm" TargetMode="External"/><Relationship Id="rId9" Type="http://schemas.openxmlformats.org/officeDocument/2006/relationships/hyperlink" Target="https://www.sec.gov/Archives/edgar/data/1468327/000146832726000025/form8-kmay212026.htm" TargetMode="External"/><Relationship Id="rId10" Type="http://schemas.openxmlformats.org/officeDocument/2006/relationships/hyperlink" Target="https://www.sec.gov/Archives/edgar/data/1468327/000146832726000044/formannualmeetingresultsdi.htm" TargetMode="External"/><Relationship Id="rId11" Type="http://schemas.openxmlformats.org/officeDocument/2006/relationships/hyperlink" Target="https://www.sec.gov/Archives/edgar/data/1468327/000146832726000064/form8-k3rdarbylaws.htm" TargetMode="External"/><Relationship Id="rId12" Type="http://schemas.openxmlformats.org/officeDocument/2006/relationships/hyperlink" Target="https://www.sec.gov/ix?doc=/Archives/edgar/data/1468327/000095010326013373/dp252774_8k.htm" TargetMode="External"/><Relationship Id="rId13" Type="http://schemas.openxmlformats.org/officeDocument/2006/relationships/hyperlink" Target="https://www.sec.gov/ix?doc=/Archives/edgar/data/1468327/000146832726000069/wdq-20260903.htm" TargetMode="External"/><Relationship Id="rId14" Type="http://schemas.openxmlformats.org/officeDocument/2006/relationships/hyperlink" Target="https://www.sec.gov/ix?doc=/Archives/edgar/data/1468327/000095010326013810/dp253178_8k.htm" TargetMode="External"/><Relationship Id="rId15" Type="http://schemas.openxmlformats.org/officeDocument/2006/relationships/image" Target="media/image2.jpeg"/><Relationship Id="rId16" Type="http://schemas.openxmlformats.org/officeDocument/2006/relationships/hyperlink" Target="https://www.sec.gov/Archives/edgar/data/1468327/000146832726000044/rtr-13tharcertificateofinc.htm" TargetMode="External"/><Relationship Id="rId17" Type="http://schemas.openxmlformats.org/officeDocument/2006/relationships/hyperlink" Target="https://www.sec.gov/Archives/edgar/data/1468327/000146832726000044/rtr-13tharcertificateofinc.htm" TargetMode="External"/><Relationship Id="rId18" Type="http://schemas.openxmlformats.org/officeDocument/2006/relationships/hyperlink" Target="https://www.sec.gov/Archives/edgar/data/1468327/000146832726000064/thirdarbylaws1.htm" TargetMode="External"/><Relationship Id="rId19" Type="http://schemas.openxmlformats.org/officeDocument/2006/relationships/hyperlink" Target="https://www.sec.gov/Archives/edgar/data/1468327/000146832726000064/thirdarbylaws1.htm" TargetMode="External"/><Relationship Id="rId20" Type="http://schemas.openxmlformats.org/officeDocument/2006/relationships/hyperlink" Target="https://www.sec.gov/Archives/edgar/data/1468327/000119312521291103/d194411dex41.htm" TargetMode="External"/><Relationship Id="rId21" Type="http://schemas.openxmlformats.org/officeDocument/2006/relationships/hyperlink" Target="https://www.sec.gov/Archives/edgar/data/1468327/000119312521291103/d194411dex41.htm" TargetMode="External"/><Relationship Id="rId22" Type="http://schemas.openxmlformats.org/officeDocument/2006/relationships/hyperlink" Target="https://www.sec.gov/Archives/edgar/data/1468327/000119312521291103/d194411dex42.htm" TargetMode="External"/><Relationship Id="rId23" Type="http://schemas.openxmlformats.org/officeDocument/2006/relationships/hyperlink" Target="https://www.sec.gov/Archives/edgar/data/1468327/000119312521291103/d194411dex42.htm" TargetMode="External"/><Relationship Id="rId24" Type="http://schemas.openxmlformats.org/officeDocument/2006/relationships/hyperlink" Target="https://www.sec.gov/Archives/edgar/data/1468327/000119312521301156/d194411dex102.htm" TargetMode="External"/><Relationship Id="rId25" Type="http://schemas.openxmlformats.org/officeDocument/2006/relationships/hyperlink" Target="https://www.sec.gov/Archives/edgar/data/1468327/000119312521301156/d194411dex102.htm" TargetMode="External"/><Relationship Id="rId26" Type="http://schemas.openxmlformats.org/officeDocument/2006/relationships/hyperlink" Target="https://www.sec.gov/Archives/edgar/data/1468327/000119312521301156/d194411dex105.htm" TargetMode="External"/><Relationship Id="rId27" Type="http://schemas.openxmlformats.org/officeDocument/2006/relationships/hyperlink" Target="https://www.sec.gov/Archives/edgar/data/1468327/000119312521301156/d194411dex105.htm" TargetMode="External"/><Relationship Id="rId28" Type="http://schemas.openxmlformats.org/officeDocument/2006/relationships/hyperlink" Target="https://www.sec.gov/Archives/edgar/data/1468327/000119312521304928/d194411dex109.htm" TargetMode="External"/><Relationship Id="rId29" Type="http://schemas.openxmlformats.org/officeDocument/2006/relationships/hyperlink" Target="https://www.sec.gov/Archives/edgar/data/1468327/000119312521304928/d194411dex109.htm" TargetMode="External"/><Relationship Id="rId30" Type="http://schemas.openxmlformats.org/officeDocument/2006/relationships/hyperlink" Target="https://www.sec.gov/Archives/edgar/data/1468327/000146832725000213/rtr-secondamendedandrestat.htm" TargetMode="External"/><Relationship Id="rId31" Type="http://schemas.openxmlformats.org/officeDocument/2006/relationships/hyperlink" Target="https://www.sec.gov/Archives/edgar/data/1468327/000146832725000213/rtr-secondamendedandrestat.htm" TargetMode="External"/><Relationship Id="rId32" Type="http://schemas.openxmlformats.org/officeDocument/2006/relationships/hyperlink" Target="https://www.sec.gov/Archives/edgar/data/1468327/000095010326001566/dp240987_ex1001.htm" TargetMode="External"/><Relationship Id="rId33" Type="http://schemas.openxmlformats.org/officeDocument/2006/relationships/hyperlink" Target="https://www.sec.gov/Archives/edgar/data/1468327/000095010326001566/dp240987_ex1001.htm" TargetMode="External"/><Relationship Id="rId34" Type="http://schemas.openxmlformats.org/officeDocument/2006/relationships/hyperlink" Target="https://www.sec.gov/Archives/edgar/data/1468327/000119312521301156/d194411dex101.htm" TargetMode="External"/><Relationship Id="rId35" Type="http://schemas.openxmlformats.org/officeDocument/2006/relationships/hyperlink" Target="https://www.sec.gov/Archives/edgar/data/1468327/000119312521301156/d194411dex101.htm" TargetMode="External"/><Relationship Id="rId36" Type="http://schemas.openxmlformats.org/officeDocument/2006/relationships/hyperlink" Target="https://www.sec.gov/Archives/edgar/data/1468327/000146832726000020/non-employeedirectorprog.htm" TargetMode="External"/><Relationship Id="rId37" Type="http://schemas.openxmlformats.org/officeDocument/2006/relationships/hyperlink" Target="https://www.sec.gov/Archives/edgar/data/1468327/000146832726000020/non-employeedirectorprog.htm" TargetMode="External"/><Relationship Id="rId38" Type="http://schemas.openxmlformats.org/officeDocument/2006/relationships/hyperlink" Target="https://www.sec.gov/Archives/edgar/data/1468327/000119312521304928/d194411dex1014.htm" TargetMode="External"/><Relationship Id="rId39" Type="http://schemas.openxmlformats.org/officeDocument/2006/relationships/hyperlink" Target="https://www.sec.gov/Archives/edgar/data/1468327/000119312521304928/d194411dex1014.htm" TargetMode="External"/><Relationship Id="rId40" Type="http://schemas.openxmlformats.org/officeDocument/2006/relationships/hyperlink" Target="https://www.sec.gov/Archives/edgar/data/1468327/000146832725000097/a20150112sarahtamofferle.htm" TargetMode="External"/><Relationship Id="rId41" Type="http://schemas.openxmlformats.org/officeDocument/2006/relationships/hyperlink" Target="https://www.sec.gov/Archives/edgar/data/1468327/000146832725000097/a20150112sarahtamofferle.htm" TargetMode="External"/><Relationship Id="rId42" Type="http://schemas.openxmlformats.org/officeDocument/2006/relationships/hyperlink" Target="https://www.sec.gov/Archives/edgar/data/1468327/000119312521313321/d211519dex101.htm" TargetMode="External"/><Relationship Id="rId43" Type="http://schemas.openxmlformats.org/officeDocument/2006/relationships/hyperlink" Target="https://www.sec.gov/Archives/edgar/data/1468327/000119312521313321/d211519dex101.htm" TargetMode="External"/><Relationship Id="rId44" Type="http://schemas.openxmlformats.org/officeDocument/2006/relationships/hyperlink" Target="https://www.sec.gov/Archives/edgar/data/1468327/000119312521291103/d194411dex1021.htm" TargetMode="External"/><Relationship Id="rId45" Type="http://schemas.openxmlformats.org/officeDocument/2006/relationships/hyperlink" Target="https://www.sec.gov/Archives/edgar/data/1468327/000119312521291103/d194411dex1021.htm" TargetMode="External"/><Relationship Id="rId46" Type="http://schemas.openxmlformats.org/officeDocument/2006/relationships/hyperlink" Target="https://www.sec.gov/Archives/edgar/data/1468327/000119312521291103/d194411dex1023.htm" TargetMode="External"/><Relationship Id="rId47" Type="http://schemas.openxmlformats.org/officeDocument/2006/relationships/hyperlink" Target="https://www.sec.gov/Archives/edgar/data/1468327/000119312521291103/d194411dex1023.htm" TargetMode="External"/><Relationship Id="rId48" Type="http://schemas.openxmlformats.org/officeDocument/2006/relationships/hyperlink" Target="https://www.sec.gov/Archives/edgar/data/1468327/000119312521291103/d194411dex1024.htm" TargetMode="External"/><Relationship Id="rId49" Type="http://schemas.openxmlformats.org/officeDocument/2006/relationships/hyperlink" Target="https://www.sec.gov/Archives/edgar/data/1468327/000119312521291103/d194411dex1024.htm" TargetMode="External"/><Relationship Id="rId50" Type="http://schemas.openxmlformats.org/officeDocument/2006/relationships/hyperlink" Target="https://www.sec.gov/Archives/edgar/data/1468327/000146832722000047/exhibit102710jaylease2ndam.htm" TargetMode="External"/><Relationship Id="rId51" Type="http://schemas.openxmlformats.org/officeDocument/2006/relationships/hyperlink" Target="https://www.sec.gov/Archives/edgar/data/1468327/000146832722000047/exhibit102710jaylease2ndam.htm" TargetMode="External"/><Relationship Id="rId52" Type="http://schemas.openxmlformats.org/officeDocument/2006/relationships/hyperlink" Target="https://www.sec.gov/Archives/edgar/data/1468327/000146832723000341/formofexecretentionbonus.htm" TargetMode="External"/><Relationship Id="rId53" Type="http://schemas.openxmlformats.org/officeDocument/2006/relationships/hyperlink" Target="https://www.sec.gov/Archives/edgar/data/1468327/000146832723000341/formofexecretentionbonus.htm" TargetMode="External"/><Relationship Id="rId54" Type="http://schemas.openxmlformats.org/officeDocument/2006/relationships/hyperlink" Target="https://www.sec.gov/Archives/edgar/data/1468327/000146832724000114/thirdleasemodewr1.htm" TargetMode="External"/><Relationship Id="rId55" Type="http://schemas.openxmlformats.org/officeDocument/2006/relationships/hyperlink" Target="https://www.sec.gov/Archives/edgar/data/1468327/000146832724000114/thirdleasemodewr1.htm" TargetMode="External"/><Relationship Id="rId56" Type="http://schemas.openxmlformats.org/officeDocument/2006/relationships/hyperlink" Target="https://www.sec.gov/Archives/edgar/data/1468327/000146832724000114/severanceplanjan2024.htm" TargetMode="External"/><Relationship Id="rId57" Type="http://schemas.openxmlformats.org/officeDocument/2006/relationships/hyperlink" Target="https://www.sec.gov/Archives/edgar/data/1468327/000146832724000114/severanceplanjan2024.htm" TargetMode="External"/><Relationship Id="rId58" Type="http://schemas.openxmlformats.org/officeDocument/2006/relationships/hyperlink" Target="https://www.sec.gov/Archives/edgar/data/1468327/000146832724000160/rtr-transactionbonusplan.htm" TargetMode="External"/><Relationship Id="rId59" Type="http://schemas.openxmlformats.org/officeDocument/2006/relationships/hyperlink" Target="https://www.sec.gov/Archives/edgar/data/1468327/000146832724000160/rtr-transactionbonusplan.htm" TargetMode="External"/><Relationship Id="rId60" Type="http://schemas.openxmlformats.org/officeDocument/2006/relationships/hyperlink" Target="https://www.sec.gov/Archives/edgar/data/1468327/000146832725000176/exhibit101.htm" TargetMode="External"/><Relationship Id="rId61" Type="http://schemas.openxmlformats.org/officeDocument/2006/relationships/hyperlink" Target="https://www.sec.gov/Archives/edgar/data/1468327/000146832725000176/exhibit101.htm" TargetMode="External"/><Relationship Id="rId62" Type="http://schemas.openxmlformats.org/officeDocument/2006/relationships/hyperlink" Target="https://www.sec.gov/Archives/edgar/data/1468327/000095010325010546/dp233293_ex1005.htm" TargetMode="External"/><Relationship Id="rId63" Type="http://schemas.openxmlformats.org/officeDocument/2006/relationships/hyperlink" Target="https://www.sec.gov/Archives/edgar/data/1468327/000095010325010546/dp233293_ex1005.htm" TargetMode="External"/><Relationship Id="rId64" Type="http://schemas.openxmlformats.org/officeDocument/2006/relationships/hyperlink" Target="https://www.sec.gov/Archives/edgar/data/1468327/000095010325010546/dp233293_ex1001.htm" TargetMode="External"/><Relationship Id="rId65" Type="http://schemas.openxmlformats.org/officeDocument/2006/relationships/hyperlink" Target="https://www.sec.gov/Archives/edgar/data/1468327/000095010325010546/dp233293_ex1001.htm" TargetMode="External"/><Relationship Id="rId66" Type="http://schemas.openxmlformats.org/officeDocument/2006/relationships/hyperlink" Target="https://www.sec.gov/Archives/edgar/data/1468327/000095010325010546/dp233293_ex1002.htm" TargetMode="External"/><Relationship Id="rId67" Type="http://schemas.openxmlformats.org/officeDocument/2006/relationships/hyperlink" Target="https://www.sec.gov/Archives/edgar/data/1468327/000095010325010546/dp233293_ex1002.htm" TargetMode="External"/><Relationship Id="rId68" Type="http://schemas.openxmlformats.org/officeDocument/2006/relationships/hyperlink" Target="https://www.sec.gov/Archives/edgar/data/1468327/000095010325010546/dp233293_ex1003.htm" TargetMode="External"/><Relationship Id="rId69" Type="http://schemas.openxmlformats.org/officeDocument/2006/relationships/hyperlink" Target="https://www.sec.gov/Archives/edgar/data/1468327/000095010325010546/dp233293_ex1003.htm" TargetMode="External"/><Relationship Id="rId70" Type="http://schemas.openxmlformats.org/officeDocument/2006/relationships/hyperlink" Target="https://www.sec.gov/Archives/edgar/data/1468327/000146832725000237/a16-rtrxexecutivechairle.htm" TargetMode="External"/><Relationship Id="rId71" Type="http://schemas.openxmlformats.org/officeDocument/2006/relationships/hyperlink" Target="https://www.sec.gov/Archives/edgar/data/1468327/000146832725000237/a16-rtrxexecutivechairle.htm" TargetMode="External"/><Relationship Id="rId72" Type="http://schemas.openxmlformats.org/officeDocument/2006/relationships/hyperlink" Target="https://www.sec.gov/Archives/edgar/data/1468327/000095010325013776/dp236389_ex1001.htm" TargetMode="External"/><Relationship Id="rId73" Type="http://schemas.openxmlformats.org/officeDocument/2006/relationships/hyperlink" Target="https://www.sec.gov/Archives/edgar/data/1468327/000095010325013776/dp236389_ex1001.htm" TargetMode="External"/><Relationship Id="rId74" Type="http://schemas.openxmlformats.org/officeDocument/2006/relationships/hyperlink" Target="https://www.sec.gov/Archives/edgar/data/1468327/000095010326001566/dp240987_ex1001.htm" TargetMode="External"/><Relationship Id="rId75" Type="http://schemas.openxmlformats.org/officeDocument/2006/relationships/hyperlink" Target="https://www.sec.gov/Archives/edgar/data/1468327/000095010326001566/dp240987_ex1001.htm" TargetMode="External"/><Relationship Id="rId76" Type="http://schemas.openxmlformats.org/officeDocument/2006/relationships/hyperlink" Target="https://www.sec.gov/Archives/edgar/data/1468327/000095010325010546/dp233293_ex1002.htm" TargetMode="External"/><Relationship Id="rId77" Type="http://schemas.openxmlformats.org/officeDocument/2006/relationships/hyperlink" Target="https://www.sec.gov/Archives/edgar/data/1468327/000095010325010546/dp233293_ex1002.htm" TargetMode="External"/><Relationship Id="rId78" Type="http://schemas.openxmlformats.org/officeDocument/2006/relationships/hyperlink" Target="https://www.sec.gov/Archives/edgar/data/1468327/000146832726000020/a12162025rtr-psuawardagr.htm" TargetMode="External"/><Relationship Id="rId79" Type="http://schemas.openxmlformats.org/officeDocument/2006/relationships/hyperlink" Target="https://www.sec.gov/Archives/edgar/data/1468327/000146832726000020/a12162025rtr-psuawardagr.htm" TargetMode="External"/><Relationship Id="rId80" Type="http://schemas.openxmlformats.org/officeDocument/2006/relationships/hyperlink" Target="https://www.sec.gov/Archives/edgar/data/1468327/000146832726000020/rtr-rsuawardagreementxex.htm" TargetMode="External"/><Relationship Id="rId81" Type="http://schemas.openxmlformats.org/officeDocument/2006/relationships/hyperlink" Target="https://www.sec.gov/Archives/edgar/data/1468327/000146832726000020/rtr-rsuawardagreementxex.htm" TargetMode="External"/><Relationship Id="rId82" Type="http://schemas.openxmlformats.org/officeDocument/2006/relationships/hyperlink" Target="https://www.sec.gov/Archives/edgar/data/1468327/000146832726000020/rtr-formofnonxemployeedi.htm" TargetMode="External"/><Relationship Id="rId83" Type="http://schemas.openxmlformats.org/officeDocument/2006/relationships/hyperlink" Target="https://www.sec.gov/Archives/edgar/data/1468327/000146832726000020/rtr-formofnonxemployeedi.htm" TargetMode="External"/><Relationship Id="rId84" Type="http://schemas.openxmlformats.org/officeDocument/2006/relationships/hyperlink" Target="https://www.sec.gov/Archives/edgar/data/1468327/000146832726000020/rtrexecutivechairemploym.htm" TargetMode="External"/><Relationship Id="rId85" Type="http://schemas.openxmlformats.org/officeDocument/2006/relationships/hyperlink" Target="https://www.sec.gov/Archives/edgar/data/1468327/000146832726000020/rtrexecutivechairemploym.htm" TargetMode="External"/><Relationship Id="rId86" Type="http://schemas.openxmlformats.org/officeDocument/2006/relationships/hyperlink" Target="https://www.sec.gov/Archives/edgar/data/1468327/000146832726000020/rtr-psuawardagreementmip.htm" TargetMode="External"/><Relationship Id="rId87" Type="http://schemas.openxmlformats.org/officeDocument/2006/relationships/hyperlink" Target="https://www.sec.gov/Archives/edgar/data/1468327/000146832726000020/rtr-psuawardagreementmip.htm" TargetMode="External"/><Relationship Id="rId88" Type="http://schemas.openxmlformats.org/officeDocument/2006/relationships/hyperlink" Target="https://www.sec.gov/Archives/edgar/data/1468327/000146832726000005/exhibit991restrictedstocku.htm" TargetMode="External"/><Relationship Id="rId89" Type="http://schemas.openxmlformats.org/officeDocument/2006/relationships/hyperlink" Target="https://www.sec.gov/Archives/edgar/data/1468327/000146832726000005/exhibit991restrictedstocku.htm" TargetMode="External"/><Relationship Id="rId90" Type="http://schemas.openxmlformats.org/officeDocument/2006/relationships/hyperlink" Target="https://www.sec.gov/Archives/edgar/data/1468327/000146832726000020/amendmenttopsuawardagree.htm" TargetMode="External"/><Relationship Id="rId91" Type="http://schemas.openxmlformats.org/officeDocument/2006/relationships/hyperlink" Target="https://www.sec.gov/Archives/edgar/data/1468327/000146832726000020/amendmenttopsuawardagree.htm" TargetMode="External"/><Relationship Id="rId92" Type="http://schemas.openxmlformats.org/officeDocument/2006/relationships/hyperlink" Target="https://www.sec.gov/Archives/edgar/data/1468327/000146832726000020/tamnewbonusstatement-mar.htm" TargetMode="External"/><Relationship Id="rId93" Type="http://schemas.openxmlformats.org/officeDocument/2006/relationships/hyperlink" Target="https://www.sec.gov/Archives/edgar/data/1468327/000146832726000020/tamnewbonusstatement-mar.htm" TargetMode="External"/><Relationship Id="rId94" Type="http://schemas.openxmlformats.org/officeDocument/2006/relationships/hyperlink" Target="https://www.sec.gov/Archives/edgar/data/1468327/000146832726000014/exhibit101secondamendmen.htm" TargetMode="External"/><Relationship Id="rId95" Type="http://schemas.openxmlformats.org/officeDocument/2006/relationships/hyperlink" Target="https://www.sec.gov/Archives/edgar/data/1468327/000146832726000014/exhibit101secondamendmen.htm" TargetMode="External"/><Relationship Id="rId96" Type="http://schemas.openxmlformats.org/officeDocument/2006/relationships/hyperlink" Target="https://www.sec.gov/Archives/edgar/data/1468327/000095010326013373/dp252774_ex1001.htm" TargetMode="External"/><Relationship Id="rId97" Type="http://schemas.openxmlformats.org/officeDocument/2006/relationships/hyperlink" Target="https://www.sec.gov/Archives/edgar/data/1468327/000095010326013373/dp252774_ex1001.htm" TargetMode="External"/><Relationship Id="rId98" Type="http://schemas.openxmlformats.org/officeDocument/2006/relationships/hyperlink" Target="https://www.sec.gov/Archives/edgar/data/1468327/000095010326005727/dp245184_ex0101.htm" TargetMode="External"/><Relationship Id="rId99" Type="http://schemas.openxmlformats.org/officeDocument/2006/relationships/hyperlink" Target="https://www.sec.gov/Archives/edgar/data/1468327/000095010326005727/dp245184_ex0101.htm" TargetMode="External"/><Relationship Id="rId100" Type="http://schemas.openxmlformats.org/officeDocument/2006/relationships/hyperlink" Target="https://www.sec.gov/Archives/edgar/data/1468327/000095010326007131/dp246596_ex1001.htm" TargetMode="External"/><Relationship Id="rId101" Type="http://schemas.openxmlformats.org/officeDocument/2006/relationships/hyperlink" Target="https://www.sec.gov/Archives/edgar/data/1468327/000095010326007131/dp246596_ex1001.htm" TargetMode="External"/><Relationship Id="rId102" Type="http://schemas.openxmlformats.org/officeDocument/2006/relationships/hyperlink" Target="https://www.sec.gov/Archives/edgar/data/1468327/000095010326007131/dp246596_ex1002.htm" TargetMode="External"/><Relationship Id="rId103" Type="http://schemas.openxmlformats.org/officeDocument/2006/relationships/hyperlink" Target="https://www.sec.gov/Archives/edgar/data/1468327/000095010326007131/dp246596_ex1002.htm" TargetMode="External"/><Relationship Id="rId104" Type="http://schemas.openxmlformats.org/officeDocument/2006/relationships/hyperlink" Target="https://www.sec.gov/Archives/edgar/data/1468327/000095010326007131/dp246596_ex1003.htm" TargetMode="External"/><Relationship Id="rId105" Type="http://schemas.openxmlformats.org/officeDocument/2006/relationships/hyperlink" Target="https://www.sec.gov/Archives/edgar/data/1468327/000095010326007131/dp246596_ex1003.htm" TargetMode="External"/><Relationship Id="rId106" Type="http://schemas.openxmlformats.org/officeDocument/2006/relationships/hyperlink" Target="https://www.sec.gov/Archives/edgar/data/1468327/000095010326007131/dp246596_ex1004.htm" TargetMode="External"/><Relationship Id="rId107" Type="http://schemas.openxmlformats.org/officeDocument/2006/relationships/hyperlink" Target="https://www.sec.gov/Archives/edgar/data/1468327/000095010326007131/dp246596_ex1004.htm" TargetMode="External"/><Relationship Id="rId108" Type="http://schemas.openxmlformats.org/officeDocument/2006/relationships/hyperlink" Target="https://www.sec.gov/Archives/edgar/data/1468327/000146832726000031/formrtr-psuawardagreemen.htm" TargetMode="External"/><Relationship Id="rId109" Type="http://schemas.openxmlformats.org/officeDocument/2006/relationships/hyperlink" Target="https://www.sec.gov/Archives/edgar/data/1468327/000146832726000031/formrtr-psuawardagreemen.htm" TargetMode="External"/><Relationship Id="rId110" Type="http://schemas.openxmlformats.org/officeDocument/2006/relationships/hyperlink" Target="https://www.sec.gov/Archives/edgar/data/1468327/000146832726000088/transitionagreementdf.htm" TargetMode="External"/><Relationship Id="rId111" Type="http://schemas.openxmlformats.org/officeDocument/2006/relationships/hyperlink" Target="https://www.sec.gov/Archives/edgar/data/1468327/000146832726000088/transitionagreementdf.htm" TargetMode="External"/><Relationship Id="rId112" Type="http://schemas.openxmlformats.org/officeDocument/2006/relationships/hyperlink" Target="https://www.sec.gov/Archives/edgar/data/1468327/000146832726000069/rtr-stipulationofsettlem.htm" TargetMode="External"/><Relationship Id="rId113" Type="http://schemas.openxmlformats.org/officeDocument/2006/relationships/hyperlink" Target="https://www.sec.gov/Archives/edgar/data/1468327/000146832726000069/rtr-stipulationofsettlem.htm" TargetMode="External"/><Relationship Id="rId114" Type="http://schemas.openxmlformats.org/officeDocument/2006/relationships/hyperlink" Target="https://www.sec.gov/Archives/edgar/data/1468327/000146832726000088/ptemploymentagreement.htm" TargetMode="External"/><Relationship Id="rId115" Type="http://schemas.openxmlformats.org/officeDocument/2006/relationships/hyperlink" Target="https://www.sec.gov/Archives/edgar/data/1468327/000146832726000088/ptemploymentagreement.htm" TargetMode="External"/><Relationship Id="rId116" Type="http://schemas.openxmlformats.org/officeDocument/2006/relationships/hyperlink" Target="https://www.sec.gov/Archives/edgar/data/1468327/000146832726000088/rtr-letteragreementtb.htm" TargetMode="External"/><Relationship Id="rId117" Type="http://schemas.openxmlformats.org/officeDocument/2006/relationships/hyperlink" Target="https://www.sec.gov/Archives/edgar/data/1468327/000146832726000088/rtr-letteragreementtb.htm" TargetMode="External"/><Relationship Id="rId118" Type="http://schemas.openxmlformats.org/officeDocument/2006/relationships/hyperlink" Target="https://www.sec.gov/Archives/edgar/data/1468327/000095010326013810/dp253178_ex1001.htm" TargetMode="External"/><Relationship Id="rId119" Type="http://schemas.openxmlformats.org/officeDocument/2006/relationships/hyperlink" Target="https://www.sec.gov/Archives/edgar/data/1468327/000095010326013810/dp253178_ex1001.htm" TargetMode="External"/><Relationship Id="rId120" Type="http://schemas.openxmlformats.org/officeDocument/2006/relationships/hyperlink" Target="https://www.sec.gov/Archives/edgar/data/1468327/000146832726000020/exhibit211fy2025listofsubs.htm" TargetMode="External"/><Relationship Id="rId121" Type="http://schemas.openxmlformats.org/officeDocument/2006/relationships/hyperlink" Target="https://www.sec.gov/Archives/edgar/data/1468327/000146832726000020/exhibit211fy2025listofsubs.htm" TargetMode="External"/><Relationship Id="rId122" Type="http://schemas.openxmlformats.org/officeDocument/2006/relationships/image" Target="media/image3.jpeg"/><Relationship Id="rId123" Type="http://schemas.openxmlformats.org/officeDocument/2006/relationships/image" Target="media/image3.jpeg"/><Relationship Id="rId124" Type="http://schemas.openxmlformats.org/officeDocument/2006/relationships/fontTable" Target="fontTable.xml"/><Relationship Id="rId1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26159</Words>
  <Characters>135892</Characters>
  <CharactersWithSpaces>162939</CharactersWithSpaces>
  <Paragraphs>3079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