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0" w:lineRule="exact"/>
        <w:rPr>
          <w:sz w:val="24"/>
          <w:szCs w:val="24"/>
          <w:color w:val="auto"/>
        </w:rPr>
      </w:pPr>
    </w:p>
    <w:p>
      <w:pPr>
        <w:ind w:left="3720" w:right="1480" w:hanging="3688"/>
        <w:spacing w:after="0" w:line="423" w:lineRule="auto"/>
        <w:tabs>
          <w:tab w:leader="none" w:pos="551"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30, 2024</w:t>
      </w:r>
    </w:p>
    <w:p>
      <w:pPr>
        <w:jc w:val="center"/>
        <w:spacing w:after="0"/>
        <w:rPr>
          <w:sz w:val="20"/>
          <w:szCs w:val="20"/>
          <w:color w:val="auto"/>
        </w:rPr>
      </w:pPr>
      <w:r>
        <w:rPr>
          <w:rFonts w:ascii="Arial" w:cs="Arial" w:eastAsia="Arial" w:hAnsi="Arial"/>
          <w:sz w:val="14"/>
          <w:szCs w:val="14"/>
          <w:b w:val="1"/>
          <w:bCs w:val="1"/>
          <w:color w:val="auto"/>
        </w:rPr>
        <w:t>OR</w:t>
      </w:r>
    </w:p>
    <w:p>
      <w:pPr>
        <w:spacing w:after="0" w:line="329" w:lineRule="exact"/>
        <w:rPr>
          <w:sz w:val="24"/>
          <w:szCs w:val="24"/>
          <w:color w:val="auto"/>
        </w:rPr>
      </w:pPr>
    </w:p>
    <w:p>
      <w:pPr>
        <w:ind w:left="3440" w:right="1500" w:hanging="3408"/>
        <w:spacing w:after="0" w:line="417" w:lineRule="auto"/>
        <w:tabs>
          <w:tab w:leader="none" w:pos="536"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________</w:t>
      </w:r>
    </w:p>
    <w:p>
      <w:pPr>
        <w:spacing w:after="0" w:line="1" w:lineRule="exact"/>
        <w:rPr>
          <w:rFonts w:ascii="MS PGothic" w:cs="MS PGothic" w:eastAsia="MS PGothic" w:hAnsi="MS PGothic"/>
          <w:sz w:val="22"/>
          <w:szCs w:val="22"/>
          <w:color w:val="auto"/>
        </w:rPr>
      </w:pPr>
    </w:p>
    <w:p>
      <w:pPr>
        <w:ind w:left="41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001-40958</w:t>
      </w:r>
    </w:p>
    <w:p>
      <w:pPr>
        <w:spacing w:after="0" w:line="198"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____________________________</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RENT THE RUNWAY, INC.</w:t>
      </w:r>
    </w:p>
    <w:p>
      <w:pPr>
        <w:spacing w:after="0" w:line="5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60"/>
          </w:cols>
          <w:pgMar w:left="320" w:top="1243" w:right="319" w:bottom="1440" w:gutter="0" w:footer="0" w:header="0"/>
        </w:sectPr>
      </w:pPr>
    </w:p>
    <w:p>
      <w:pPr>
        <w:spacing w:after="0" w:line="270"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531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4"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(State or other jurisdiction of</w:t>
      </w:r>
    </w:p>
    <w:p>
      <w:pPr>
        <w:spacing w:after="0" w:line="36"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incorporation or organization)</w:t>
      </w:r>
    </w:p>
    <w:p>
      <w:pPr>
        <w:spacing w:after="0" w:line="11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10 Jay Street</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Brooklyn,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3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9" w:lineRule="exact"/>
        <w:rPr>
          <w:sz w:val="24"/>
          <w:szCs w:val="24"/>
          <w:color w:val="auto"/>
        </w:rPr>
      </w:pPr>
    </w:p>
    <w:p>
      <w:pPr>
        <w:ind w:left="12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-1330325</wp:posOffset>
            </wp:positionH>
            <wp:positionV relativeFrom="paragraph">
              <wp:posOffset>86360</wp:posOffset>
            </wp:positionV>
            <wp:extent cx="354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78" w:lineRule="exact"/>
        <w:rPr>
          <w:sz w:val="24"/>
          <w:szCs w:val="24"/>
          <w:color w:val="auto"/>
        </w:rPr>
      </w:pPr>
    </w:p>
    <w:p>
      <w:pPr>
        <w:ind w:left="40"/>
        <w:spacing w:after="0"/>
        <w:rPr>
          <w:sz w:val="20"/>
          <w:szCs w:val="20"/>
          <w:color w:val="auto"/>
        </w:rPr>
      </w:pPr>
      <w:r>
        <w:rPr>
          <w:rFonts w:ascii="Arial" w:cs="Arial" w:eastAsia="Arial" w:hAnsi="Arial"/>
          <w:sz w:val="18"/>
          <w:szCs w:val="18"/>
          <w:color w:val="auto"/>
        </w:rPr>
        <w:t>(I.R.S. Employer</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37"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-1330325</wp:posOffset>
            </wp:positionH>
            <wp:positionV relativeFrom="paragraph">
              <wp:posOffset>103505</wp:posOffset>
            </wp:positionV>
            <wp:extent cx="354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040" w:space="720"/>
            <w:col w:w="3500"/>
          </w:cols>
          <w:pgMar w:left="320" w:top="1243" w:right="319" w:bottom="1440" w:gutter="0" w:footer="0" w:header="0"/>
          <w:type w:val="continuous"/>
        </w:sectPr>
      </w:pP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524-6860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$0.001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The Nasdaq Global Market</w:t>
            </w:r>
          </w:p>
        </w:tc>
      </w:tr>
    </w:tbl>
    <w:p>
      <w:pPr>
        <w:spacing w:after="0" w:line="251" w:lineRule="exact"/>
        <w:rPr>
          <w:sz w:val="24"/>
          <w:szCs w:val="24"/>
          <w:color w:val="auto"/>
        </w:rPr>
      </w:pPr>
    </w:p>
    <w:p>
      <w:pPr>
        <w:ind w:right="80"/>
        <w:spacing w:after="0" w:line="27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242" w:lineRule="exact"/>
        <w:tabs>
          <w:tab w:leader="none" w:pos="4580" w:val="left"/>
          <w:tab w:leader="none" w:pos="5360" w:val="left"/>
        </w:tabs>
        <w:rPr>
          <w:sz w:val="20"/>
          <w:szCs w:val="20"/>
          <w:color w:val="auto"/>
        </w:rPr>
      </w:pPr>
      <w:r>
        <w:rPr>
          <w:rFonts w:ascii="Arial" w:cs="Arial" w:eastAsia="Arial" w:hAnsi="Arial"/>
          <w:sz w:val="18"/>
          <w:szCs w:val="18"/>
          <w:color w:val="auto"/>
        </w:rPr>
        <w:t>subject to such filing requirements for the past 90 days.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ectPr>
          <w:pgSz w:w="11900" w:h="16838" w:orient="portrait"/>
          <w:cols w:equalWidth="0" w:num="1">
            <w:col w:w="11260"/>
          </w:cols>
          <w:pgMar w:left="320" w:top="1243" w:right="31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3" w:right="319" w:bottom="1440" w:gutter="0" w:footer="0" w:header="0"/>
          <w:type w:val="continuous"/>
        </w:sectPr>
      </w:pPr>
    </w:p>
    <w:bookmarkStart w:id="1" w:name="page2"/>
    <w:bookmarkEnd w:id="1"/>
    <w:p>
      <w:pPr>
        <w:ind w:right="26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0"/>
          <w:szCs w:val="20"/>
          <w:color w:val="auto"/>
        </w:rPr>
      </w:pPr>
    </w:p>
    <w:p>
      <w:pPr>
        <w:spacing w:after="0" w:line="242" w:lineRule="exact"/>
        <w:tabs>
          <w:tab w:leader="none" w:pos="2580" w:val="left"/>
          <w:tab w:leader="none" w:pos="3320" w:val="left"/>
        </w:tabs>
        <w:rPr>
          <w:sz w:val="20"/>
          <w:szCs w:val="20"/>
          <w:color w:val="auto"/>
        </w:rPr>
      </w:pPr>
      <w:r>
        <w:rPr>
          <w:rFonts w:ascii="Arial" w:cs="Arial" w:eastAsia="Arial" w:hAnsi="Arial"/>
          <w:sz w:val="18"/>
          <w:szCs w:val="18"/>
          <w:color w:val="auto"/>
        </w:rPr>
        <w:t>required to submit such files).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06"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43" w:lineRule="exact"/>
        <w:rPr>
          <w:sz w:val="20"/>
          <w:szCs w:val="20"/>
          <w:color w:val="auto"/>
        </w:rPr>
      </w:pPr>
    </w:p>
    <w:p>
      <w:pPr>
        <w:sectPr>
          <w:pgSz w:w="11900" w:h="16838" w:orient="portrait"/>
          <w:cols w:equalWidth="0" w:num="2">
            <w:col w:w="7060" w:space="720"/>
            <w:col w:w="3460"/>
          </w:cols>
          <w:pgMar w:left="320" w:top="1106"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93" w:lineRule="exact"/>
        <w:rPr>
          <w:sz w:val="20"/>
          <w:szCs w:val="20"/>
          <w:color w:val="auto"/>
        </w:rPr>
      </w:pPr>
    </w:p>
    <w:p>
      <w:pPr>
        <w:sectPr>
          <w:pgSz w:w="11900" w:h="16838" w:orient="portrait"/>
          <w:cols w:equalWidth="0" w:num="2">
            <w:col w:w="10120" w:space="720"/>
            <w:col w:w="400"/>
          </w:cols>
          <w:pgMar w:left="320" w:top="1106"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line="21" w:lineRule="exact"/>
        <w:rPr>
          <w:sz w:val="20"/>
          <w:szCs w:val="20"/>
          <w:color w:val="auto"/>
        </w:rPr>
      </w:pPr>
    </w:p>
    <w:p>
      <w:pPr>
        <w:sectPr>
          <w:pgSz w:w="11900" w:h="16838" w:orient="portrait"/>
          <w:cols w:equalWidth="0" w:num="2">
            <w:col w:w="7060" w:space="720"/>
            <w:col w:w="3460"/>
          </w:cols>
          <w:pgMar w:left="320" w:top="1106"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87" w:lineRule="exact"/>
        <w:rPr>
          <w:sz w:val="20"/>
          <w:szCs w:val="20"/>
          <w:color w:val="auto"/>
        </w:rPr>
      </w:pPr>
    </w:p>
    <w:p>
      <w:pPr>
        <w:sectPr>
          <w:pgSz w:w="11900" w:h="16838" w:orient="portrait"/>
          <w:cols w:equalWidth="0" w:num="2">
            <w:col w:w="10120" w:space="720"/>
            <w:col w:w="400"/>
          </w:cols>
          <w:pgMar w:left="320" w:top="1106" w:right="339" w:bottom="1440" w:gutter="0" w:footer="0" w:header="0"/>
          <w:type w:val="continuous"/>
        </w:sectPr>
      </w:pPr>
    </w:p>
    <w:p>
      <w:pPr>
        <w:ind w:left="7780"/>
        <w:spacing w:after="0"/>
        <w:rPr>
          <w:sz w:val="20"/>
          <w:szCs w:val="20"/>
          <w:color w:val="auto"/>
        </w:rPr>
      </w:pPr>
      <w:r>
        <w:rPr>
          <w:rFonts w:ascii="Arial" w:cs="Arial" w:eastAsia="Arial" w:hAnsi="Arial"/>
          <w:sz w:val="18"/>
          <w:szCs w:val="18"/>
          <w:color w:val="auto"/>
        </w:rPr>
        <w:t>Emerging growth company</w:t>
      </w:r>
    </w:p>
    <w:p>
      <w:pPr>
        <w:ind w:left="10840"/>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1">
            <w:col w:w="11240"/>
          </w:cols>
          <w:pgMar w:left="320" w:top="1106" w:right="339" w:bottom="1440" w:gutter="0" w:footer="0" w:header="0"/>
          <w:type w:val="continuous"/>
        </w:sectPr>
      </w:pPr>
    </w:p>
    <w:p>
      <w:pPr>
        <w:spacing w:after="0" w:line="343" w:lineRule="exact"/>
        <w:rPr>
          <w:sz w:val="20"/>
          <w:szCs w:val="20"/>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7" w:lineRule="exact"/>
        <w:rPr>
          <w:sz w:val="20"/>
          <w:szCs w:val="20"/>
          <w:color w:val="auto"/>
        </w:rPr>
      </w:pPr>
    </w:p>
    <w:p>
      <w:pPr>
        <w:spacing w:after="0" w:line="226" w:lineRule="exact"/>
        <w:tabs>
          <w:tab w:leader="none" w:pos="9220" w:val="left"/>
          <w:tab w:leader="none" w:pos="9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No</w:t>
      </w:r>
      <w:r>
        <w:rPr>
          <w:rFonts w:ascii="MS PGothic" w:cs="MS PGothic" w:eastAsia="MS PGothic" w:hAnsi="MS PGothic"/>
          <w:sz w:val="22"/>
          <w:szCs w:val="22"/>
          <w:color w:val="auto"/>
        </w:rPr>
        <w:t xml:space="preserve"> ☒</w:t>
      </w:r>
    </w:p>
    <w:p>
      <w:pPr>
        <w:spacing w:after="0" w:line="2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registrant had outstanding 3,566,441 shares of Class A common stock and 155,333 shares of Class B common stock as of May 31, 2024. The foregoing reflects the reverse stock split of the registrant’s Class A common stock and Class B common stock that became effective on April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720" w:type="dxa"/>
            <w:vAlign w:val="bottom"/>
            <w:gridSpan w:val="4"/>
          </w:tcPr>
          <w:p>
            <w:pPr>
              <w:ind w:left="11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(Unaudited)</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460" w:type="dxa"/>
            <w:vAlign w:val="bottom"/>
            <w:gridSpan w:val="2"/>
          </w:tcPr>
          <w:p>
            <w:pPr>
              <w:spacing w:after="0"/>
              <w:rPr>
                <w:sz w:val="16"/>
                <w:szCs w:val="16"/>
                <w:color w:val="auto"/>
              </w:rPr>
            </w:pPr>
          </w:p>
        </w:tc>
        <w:tc>
          <w:tcPr>
            <w:tcW w:w="9380" w:type="dxa"/>
            <w:vAlign w:val="bottom"/>
            <w:gridSpan w:val="13"/>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460" w:type="dxa"/>
            <w:vAlign w:val="bottom"/>
            <w:tcBorders>
              <w:top w:val="single" w:sz="8" w:color="CCEEFF"/>
            </w:tcBorders>
            <w:gridSpan w:val="2"/>
          </w:tcPr>
          <w:p>
            <w:pPr>
              <w:spacing w:after="0"/>
              <w:rPr>
                <w:sz w:val="16"/>
                <w:szCs w:val="16"/>
                <w:color w:val="auto"/>
              </w:rPr>
            </w:pPr>
          </w:p>
        </w:tc>
        <w:tc>
          <w:tcPr>
            <w:tcW w:w="470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Controls and Procedures</w:t>
            </w:r>
          </w:p>
        </w:tc>
        <w:tc>
          <w:tcPr>
            <w:tcW w:w="4680" w:type="dxa"/>
            <w:vAlign w:val="bottom"/>
            <w:tcBorders>
              <w:top w:val="single" w:sz="8" w:color="CCEEFF"/>
            </w:tcBorders>
            <w:gridSpan w:val="3"/>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380" w:type="dxa"/>
            <w:vAlign w:val="bottom"/>
            <w:gridSpan w:val="13"/>
          </w:tcPr>
          <w:p>
            <w:pPr>
              <w:spacing w:after="0" w:line="189" w:lineRule="exact"/>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3.</w:t>
            </w:r>
          </w:p>
        </w:tc>
        <w:tc>
          <w:tcPr>
            <w:tcW w:w="460" w:type="dxa"/>
            <w:vAlign w:val="bottom"/>
            <w:tcBorders>
              <w:top w:val="single" w:sz="8" w:color="CCEEFF"/>
            </w:tcBorders>
            <w:gridSpan w:val="2"/>
          </w:tcPr>
          <w:p>
            <w:pPr>
              <w:spacing w:after="0"/>
              <w:rPr>
                <w:sz w:val="16"/>
                <w:szCs w:val="16"/>
                <w:color w:val="auto"/>
              </w:rPr>
            </w:pPr>
          </w:p>
        </w:tc>
        <w:tc>
          <w:tcPr>
            <w:tcW w:w="4840" w:type="dxa"/>
            <w:vAlign w:val="bottom"/>
            <w:tcBorders>
              <w:top w:val="single" w:sz="8" w:color="0000FF"/>
            </w:tcBorders>
            <w:gridSpan w:val="11"/>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454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5.</w:t>
            </w:r>
          </w:p>
        </w:tc>
        <w:tc>
          <w:tcPr>
            <w:tcW w:w="460" w:type="dxa"/>
            <w:vAlign w:val="bottom"/>
            <w:tcBorders>
              <w:top w:val="single" w:sz="8" w:color="CCEEFF"/>
            </w:tcBorders>
            <w:gridSpan w:val="2"/>
          </w:tcPr>
          <w:p>
            <w:pPr>
              <w:spacing w:after="0"/>
              <w:rPr>
                <w:sz w:val="16"/>
                <w:szCs w:val="16"/>
                <w:color w:val="auto"/>
              </w:rPr>
            </w:pPr>
          </w:p>
        </w:tc>
        <w:tc>
          <w:tcPr>
            <w:tcW w:w="192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Other Information</w:t>
            </w:r>
          </w:p>
        </w:tc>
        <w:tc>
          <w:tcPr>
            <w:tcW w:w="7460" w:type="dxa"/>
            <w:vAlign w:val="bottom"/>
            <w:tcBorders>
              <w:top w:val="single" w:sz="8" w:color="CCEEFF"/>
            </w:tcBorders>
            <w:gridSpan w:val="7"/>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6.</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Exhibits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7"/>
              </w:rPr>
              <w:t>Signatures</w:t>
            </w:r>
          </w:p>
        </w:tc>
        <w:tc>
          <w:tcPr>
            <w:tcW w:w="8520" w:type="dxa"/>
            <w:vAlign w:val="bottom"/>
            <w:gridSpan w:val="11"/>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3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22" w:lineRule="exact"/>
        <w:rPr>
          <w:sz w:val="20"/>
          <w:szCs w:val="20"/>
          <w:color w:val="auto"/>
        </w:rPr>
      </w:pPr>
    </w:p>
    <w:p>
      <w:pPr>
        <w:jc w:val="both"/>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experience at our current scale of operations and our historical growth rates are not necessarily indicative of our future performance. If we are unable to drive future growth or manage our growth effectively, our brand, company culture, and financial performance may suffer.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global fashion industry is highly competitive and rapidly changing, and we may not be able to compete effectively.</w:t>
      </w:r>
    </w:p>
    <w:p>
      <w:pPr>
        <w:spacing w:after="0" w:line="76"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consumer discretionary spending and have been, and may in the future be, adversely affected by economic downturns and other macroeconomic conditions or trends.</w:t>
      </w:r>
    </w:p>
    <w:p>
      <w:pPr>
        <w:spacing w:after="0" w:line="4" w:lineRule="exact"/>
        <w:rPr>
          <w:rFonts w:ascii="Arial" w:cs="Arial" w:eastAsia="Arial" w:hAnsi="Arial"/>
          <w:sz w:val="18"/>
          <w:szCs w:val="18"/>
          <w:color w:val="auto"/>
        </w:rPr>
      </w:pPr>
    </w:p>
    <w:p>
      <w:pPr>
        <w:jc w:val="both"/>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retain customers, our business, financial condition, and results of operations would be harmed.</w:t>
      </w:r>
    </w:p>
    <w:p>
      <w:pPr>
        <w:spacing w:after="0" w:line="76"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acquire and manage our products effectively and plan for future expenses, our operating results could be adversely affected.</w:t>
      </w:r>
    </w:p>
    <w:p>
      <w:pPr>
        <w:spacing w:after="0" w:line="4" w:lineRule="exact"/>
        <w:rPr>
          <w:rFonts w:ascii="Arial" w:cs="Arial" w:eastAsia="Arial" w:hAnsi="Arial"/>
          <w:sz w:val="18"/>
          <w:szCs w:val="18"/>
          <w:color w:val="auto"/>
        </w:rPr>
      </w:pPr>
    </w:p>
    <w:p>
      <w:pPr>
        <w:ind w:left="660" w:right="8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restructuring of our operations, which could adversely affect our financial condition, results of operations, cash flows, or business reputation.</w:t>
      </w:r>
    </w:p>
    <w:p>
      <w:pPr>
        <w:spacing w:after="0" w:line="17"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4"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large number of U.S. and non-U.S. laws and regulations, many of which are evolving.</w:t>
      </w:r>
    </w:p>
    <w:p>
      <w:pPr>
        <w:spacing w:after="0" w:line="76" w:lineRule="exact"/>
        <w:rPr>
          <w:rFonts w:ascii="Arial" w:cs="Arial" w:eastAsia="Arial" w:hAnsi="Arial"/>
          <w:sz w:val="18"/>
          <w:szCs w:val="18"/>
          <w:color w:val="auto"/>
        </w:rPr>
      </w:pPr>
    </w:p>
    <w:p>
      <w:pPr>
        <w:ind w:left="660" w:right="2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27"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the experience and expertise of our Co-Founder and Chief Executive Officer, senior management team, key technical and strategic employees and hourly personnel.</w:t>
      </w:r>
    </w:p>
    <w:p>
      <w:pPr>
        <w:spacing w:after="0" w:line="17"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adequately obtain, maintain, protect and enforce our intellectual property and proprietary rights could harm our brand, devalue our proprietary content, and adversely affect our ability to compete effectively.</w:t>
      </w:r>
    </w:p>
    <w:p>
      <w:pPr>
        <w:spacing w:after="0" w:line="4"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negatively impact the results of our operations and subject us to liabilities that adversely affect our business, operations, and financial performance.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brand and manufacturing partners from whom our products are sourced or co-manufactured.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4" w:name="page5"/>
    <w:bookmarkEnd w:id="4"/>
    <w:p>
      <w:pPr>
        <w:ind w:left="660" w:right="1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provide payment processing infrastructure underlying our business. If these third-party providers become unavailable or unavailable on favorable terms, our business could be adversely affected.</w:t>
      </w:r>
    </w:p>
    <w:p>
      <w:pPr>
        <w:spacing w:after="0" w:line="17"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marketing and/or customer acquisition costs may rise.</w:t>
      </w:r>
    </w:p>
    <w:p>
      <w:pPr>
        <w:spacing w:after="0" w:line="22"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8"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spacing w:after="0" w:line="33"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share price may be volatile, and investors may be unable to sell their shares at or above the price they purchased them.</w:t>
      </w:r>
    </w:p>
    <w:p>
      <w:pPr>
        <w:spacing w:after="0" w:line="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had a material adverse impact on our business. Other future pandemics or public health crises may have a similar adverse impact on our business.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share-based compensation, business strategy and initiatives, including rental product depth strategy, sustainability initiatives, business plans, promotional and marketing strategy and onboarding initiatives, impacts from our January 2024 restructuring plan, our 2023 transportation deal with a major national carrier and other cost-savings initiatives, anticipated future expenditures, product acquisition expectations, compliance with our debt covenants, market growth and our objectives for future operations.</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April 30, 2024.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0140" w:type="dxa"/>
            <w:vAlign w:val="bottom"/>
            <w:gridSpan w:val="21"/>
            <w:vMerge w:val="restart"/>
          </w:tcPr>
          <w:p>
            <w:pPr>
              <w:spacing w:after="0"/>
              <w:rPr>
                <w:sz w:val="20"/>
                <w:szCs w:val="20"/>
                <w:color w:val="auto"/>
              </w:rPr>
            </w:pPr>
            <w:r>
              <w:rPr>
                <w:rFonts w:ascii="Arial" w:cs="Arial" w:eastAsia="Arial" w:hAnsi="Arial"/>
                <w:sz w:val="18"/>
                <w:szCs w:val="18"/>
                <w:color w:val="0000FF"/>
              </w:rPr>
              <w:t>Condensed Consolidated Balance Sheets - Unaudited as of April 30, 2024 and Audited as of January 31, 2024</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140" w:type="dxa"/>
            <w:vAlign w:val="bottom"/>
            <w:gridSpan w:val="21"/>
            <w:vMerge w:val="continue"/>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 Unaudited for the three months ended April 30, 2024 and 2023</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Changes in Stockholders’ Equity (Deficit) - Unaudited for the three months ended April</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1010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30, 2024 and 2023</w:t>
            </w:r>
          </w:p>
        </w:tc>
        <w:tc>
          <w:tcPr>
            <w:tcW w:w="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1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 - Unaudited for the three months ended April 30, 2024 and 2023</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5"/>
        </w:trPr>
        <w:tc>
          <w:tcPr>
            <w:tcW w:w="9320" w:type="dxa"/>
            <w:vAlign w:val="bottom"/>
            <w:tcBorders>
              <w:top w:val="single" w:sz="8" w:color="0000FF"/>
            </w:tcBorders>
            <w:gridSpan w:val="19"/>
          </w:tcPr>
          <w:p>
            <w:pPr>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82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80" w:type="dxa"/>
            <w:vAlign w:val="bottom"/>
            <w:gridSpan w:val="2"/>
          </w:tcPr>
          <w:p>
            <w:pPr>
              <w:ind w:left="120"/>
              <w:spacing w:after="0" w:line="195" w:lineRule="exact"/>
              <w:rPr>
                <w:sz w:val="20"/>
                <w:szCs w:val="20"/>
                <w:color w:val="auto"/>
              </w:rPr>
            </w:pPr>
            <w:r>
              <w:rPr>
                <w:rFonts w:ascii="Arial" w:cs="Arial" w:eastAsia="Arial" w:hAnsi="Arial"/>
                <w:sz w:val="18"/>
                <w:szCs w:val="18"/>
                <w:color w:val="0000FF"/>
                <w:w w:val="92"/>
              </w:rPr>
              <w:t>1.</w:t>
            </w:r>
          </w:p>
        </w:tc>
        <w:tc>
          <w:tcPr>
            <w:tcW w:w="9860" w:type="dxa"/>
            <w:vAlign w:val="bottom"/>
            <w:gridSpan w:val="19"/>
          </w:tcPr>
          <w:p>
            <w:pPr>
              <w:ind w:left="40"/>
              <w:spacing w:after="0" w:line="195" w:lineRule="exact"/>
              <w:rPr>
                <w:sz w:val="20"/>
                <w:szCs w:val="20"/>
                <w:color w:val="auto"/>
              </w:rPr>
            </w:pPr>
            <w:r>
              <w:rPr>
                <w:rFonts w:ascii="Arial" w:cs="Arial" w:eastAsia="Arial" w:hAnsi="Arial"/>
                <w:sz w:val="18"/>
                <w:szCs w:val="18"/>
                <w:color w:val="0000FF"/>
              </w:rPr>
              <w:t>Business</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2.</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3.</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Liquidity</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4.</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Restructuring and Related Charges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5.</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Leases - Lessee Accounting</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6.</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Rental Product, Net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7.</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Long-Term Debt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8.</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Income Taxes</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9.</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Accrued Expenses and Other Current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9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10. Fair Value Measurements</w:t>
            </w:r>
          </w:p>
        </w:tc>
        <w:tc>
          <w:tcPr>
            <w:tcW w:w="6040" w:type="dxa"/>
            <w:vAlign w:val="bottom"/>
            <w:gridSpan w:val="6"/>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9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11. Stockholders’ Equity</w:t>
            </w:r>
          </w:p>
        </w:tc>
        <w:tc>
          <w:tcPr>
            <w:tcW w:w="420" w:type="dxa"/>
            <w:vAlign w:val="bottom"/>
            <w:tcBorders>
              <w:top w:val="single" w:sz="8" w:color="0000FF"/>
            </w:tcBorders>
          </w:tcPr>
          <w:p>
            <w:pPr>
              <w:spacing w:after="0"/>
              <w:rPr>
                <w:sz w:val="18"/>
                <w:szCs w:val="18"/>
                <w:color w:val="auto"/>
              </w:rPr>
            </w:pPr>
          </w:p>
        </w:tc>
        <w:tc>
          <w:tcPr>
            <w:tcW w:w="7680" w:type="dxa"/>
            <w:vAlign w:val="bottom"/>
            <w:gridSpan w:val="12"/>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0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12. Share-based Compensation Plans</w:t>
            </w:r>
          </w:p>
        </w:tc>
        <w:tc>
          <w:tcPr>
            <w:tcW w:w="6980" w:type="dxa"/>
            <w:vAlign w:val="bottom"/>
            <w:gridSpan w:val="8"/>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13. Net Loss per Share Attributable to Common Stockholders</w:t>
            </w:r>
          </w:p>
        </w:tc>
        <w:tc>
          <w:tcPr>
            <w:tcW w:w="5140" w:type="dxa"/>
            <w:vAlign w:val="bottom"/>
            <w:gridSpan w:val="5"/>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020" w:type="dxa"/>
            <w:vAlign w:val="bottom"/>
            <w:gridSpan w:val="20"/>
          </w:tcPr>
          <w:p>
            <w:pPr>
              <w:spacing w:after="0"/>
              <w:rPr>
                <w:sz w:val="20"/>
                <w:szCs w:val="20"/>
                <w:color w:val="auto"/>
              </w:rPr>
            </w:pPr>
            <w:r>
              <w:rPr>
                <w:rFonts w:ascii="Arial" w:cs="Arial" w:eastAsia="Arial" w:hAnsi="Arial"/>
                <w:sz w:val="18"/>
                <w:szCs w:val="18"/>
                <w:color w:val="0000FF"/>
              </w:rPr>
              <w:t>14. Commitments and Contingencies</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02"/>
        </w:trPr>
        <w:tc>
          <w:tcPr>
            <w:tcW w:w="83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Restricted cash, current</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19"/>
        </w:trPr>
        <w:tc>
          <w:tcPr>
            <w:tcW w:w="832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9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4"/>
                <w:szCs w:val="14"/>
                <w:color w:val="auto"/>
              </w:rPr>
              <w:t>Rental product, net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assets, net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34"/>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2"/>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 (Deficit)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Customer credit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9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313.1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9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419.7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400.8</w:t>
            </w:r>
          </w:p>
        </w:tc>
        <w:tc>
          <w:tcPr>
            <w:tcW w:w="0" w:type="dxa"/>
            <w:vAlign w:val="bottom"/>
          </w:tcPr>
          <w:p>
            <w:pPr>
              <w:spacing w:after="0"/>
              <w:rPr>
                <w:sz w:val="1"/>
                <w:szCs w:val="1"/>
                <w:color w:val="auto"/>
              </w:rPr>
            </w:pPr>
          </w:p>
        </w:tc>
      </w:tr>
      <w:tr>
        <w:trPr>
          <w:trHeight w:val="188"/>
        </w:trPr>
        <w:tc>
          <w:tcPr>
            <w:tcW w:w="832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9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 (deficit)</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360"/>
              <w:spacing w:after="0" w:line="153" w:lineRule="exact"/>
              <w:rPr>
                <w:sz w:val="20"/>
                <w:szCs w:val="20"/>
                <w:color w:val="auto"/>
              </w:rPr>
            </w:pPr>
            <w:r>
              <w:rPr>
                <w:rFonts w:ascii="Arial" w:cs="Arial" w:eastAsia="Arial" w:hAnsi="Arial"/>
                <w:sz w:val="14"/>
                <w:szCs w:val="14"/>
                <w:color w:val="auto"/>
              </w:rPr>
              <w:t>Class A common stock, $0.001 par value; 300,000,000 shares authorized as of April 30, 2024 and January 31, 2024;</w:t>
            </w:r>
          </w:p>
        </w:tc>
        <w:tc>
          <w:tcPr>
            <w:tcW w:w="980" w:type="dxa"/>
            <w:vAlign w:val="bottom"/>
          </w:tcPr>
          <w:p>
            <w:pPr>
              <w:spacing w:after="0"/>
              <w:rPr>
                <w:sz w:val="13"/>
                <w:szCs w:val="13"/>
                <w:color w:val="auto"/>
              </w:rPr>
            </w:pPr>
          </w:p>
        </w:tc>
        <w:tc>
          <w:tcPr>
            <w:tcW w:w="52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320" w:type="dxa"/>
            <w:vAlign w:val="bottom"/>
          </w:tcPr>
          <w:p>
            <w:pPr>
              <w:ind w:left="520"/>
              <w:spacing w:after="0"/>
              <w:rPr>
                <w:sz w:val="20"/>
                <w:szCs w:val="20"/>
                <w:color w:val="auto"/>
              </w:rPr>
            </w:pPr>
            <w:r>
              <w:rPr>
                <w:rFonts w:ascii="Arial" w:cs="Arial" w:eastAsia="Arial" w:hAnsi="Arial"/>
                <w:sz w:val="14"/>
                <w:szCs w:val="14"/>
                <w:color w:val="auto"/>
              </w:rPr>
              <w:t>3,520,053 and 3,390,587 shares issued and outstanding as of April 30, 2024 and January 31, 2024, respectively</w:t>
            </w: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520" w:right="140" w:hanging="161"/>
        <w:spacing w:after="0" w:line="242" w:lineRule="auto"/>
        <w:rPr>
          <w:sz w:val="20"/>
          <w:szCs w:val="20"/>
          <w:color w:val="auto"/>
        </w:rPr>
      </w:pPr>
      <w:r>
        <w:rPr>
          <w:rFonts w:ascii="Arial" w:cs="Arial" w:eastAsia="Arial" w:hAnsi="Arial"/>
          <w:sz w:val="14"/>
          <w:szCs w:val="14"/>
          <w:color w:val="auto"/>
        </w:rPr>
        <w:t>Class B common stock, $0.001 par value; 50,000,000 shares authorized as of April 30, 2024 and January 31, 2024; 155,269 and 154,928 shares issued and outstanding as of April 30, 2024 and January 31, 2024, respectively</w:t>
      </w:r>
    </w:p>
    <w:p>
      <w:pPr>
        <w:spacing w:after="0" w:line="11" w:lineRule="exact"/>
        <w:rPr>
          <w:sz w:val="20"/>
          <w:szCs w:val="20"/>
          <w:color w:val="auto"/>
        </w:rPr>
      </w:pPr>
    </w:p>
    <w:p>
      <w:pPr>
        <w:ind w:left="520" w:right="140" w:hanging="161"/>
        <w:spacing w:after="0" w:line="244" w:lineRule="auto"/>
        <w:rPr>
          <w:sz w:val="20"/>
          <w:szCs w:val="20"/>
          <w:color w:val="auto"/>
        </w:rPr>
      </w:pPr>
      <w:r>
        <w:rPr>
          <w:rFonts w:ascii="Arial" w:cs="Arial" w:eastAsia="Arial" w:hAnsi="Arial"/>
          <w:sz w:val="14"/>
          <w:szCs w:val="14"/>
          <w:color w:val="auto"/>
        </w:rPr>
        <w:t>Preferred stock, $0.001 par value; 10,000,000 shares authorized as of April 30, 2024 and January 31, 2024; 0 shares issued and outstanding as of April 30, 2024 and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Additional paid-in capital</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Accumulated deficit</w:t>
      </w:r>
    </w:p>
    <w:p>
      <w:pPr>
        <w:spacing w:after="0" w:line="20" w:lineRule="exact"/>
        <w:rPr>
          <w:sz w:val="20"/>
          <w:szCs w:val="20"/>
          <w:color w:val="auto"/>
        </w:rPr>
      </w:pPr>
      <w:r>
        <w:rPr>
          <w:sz w:val="20"/>
          <w:szCs w:val="20"/>
          <w:color w:val="auto"/>
        </w:rPr>
        <w:br w:type="column"/>
      </w:r>
    </w:p>
    <w:p>
      <w:pPr>
        <w:ind w:left="400"/>
        <w:spacing w:after="0"/>
        <w:tabs>
          <w:tab w:leader="none" w:pos="18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66" w:lineRule="exact"/>
        <w:rPr>
          <w:sz w:val="20"/>
          <w:szCs w:val="20"/>
          <w:color w:val="auto"/>
        </w:rPr>
      </w:pPr>
    </w:p>
    <w:p>
      <w:pPr>
        <w:ind w:left="380"/>
        <w:spacing w:after="0"/>
        <w:tabs>
          <w:tab w:leader="none" w:pos="1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64" w:lineRule="exact"/>
        <w:rPr>
          <w:sz w:val="20"/>
          <w:szCs w:val="20"/>
          <w:color w:val="auto"/>
        </w:rPr>
      </w:pPr>
    </w:p>
    <w:p>
      <w:pPr>
        <w:ind w:left="180"/>
        <w:spacing w:after="0"/>
        <w:tabs>
          <w:tab w:leader="none" w:pos="1680" w:val="left"/>
        </w:tabs>
        <w:rPr>
          <w:sz w:val="20"/>
          <w:szCs w:val="20"/>
          <w:color w:val="auto"/>
        </w:rPr>
      </w:pPr>
      <w:r>
        <w:rPr>
          <w:rFonts w:ascii="Arial" w:cs="Arial" w:eastAsia="Arial" w:hAnsi="Arial"/>
          <w:sz w:val="14"/>
          <w:szCs w:val="14"/>
          <w:color w:val="auto"/>
        </w:rPr>
        <w:t>933.8</w:t>
      </w:r>
      <w:r>
        <w:rPr>
          <w:sz w:val="20"/>
          <w:szCs w:val="20"/>
          <w:color w:val="auto"/>
        </w:rPr>
        <w:tab/>
      </w:r>
      <w:r>
        <w:rPr>
          <w:rFonts w:ascii="Arial" w:cs="Arial" w:eastAsia="Arial" w:hAnsi="Arial"/>
          <w:sz w:val="14"/>
          <w:szCs w:val="14"/>
          <w:color w:val="auto"/>
        </w:rPr>
        <w:t>930.8</w:t>
      </w:r>
    </w:p>
    <w:p>
      <w:pPr>
        <w:spacing w:after="0" w:line="69"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color w:val="auto"/>
        </w:rPr>
        <w:t>(1,075.1)</w:t>
      </w:r>
      <w:r>
        <w:rPr>
          <w:sz w:val="20"/>
          <w:szCs w:val="20"/>
          <w:color w:val="auto"/>
        </w:rPr>
        <w:tab/>
      </w:r>
      <w:r>
        <w:rPr>
          <w:rFonts w:ascii="Arial" w:cs="Arial" w:eastAsia="Arial" w:hAnsi="Arial"/>
          <w:sz w:val="14"/>
          <w:szCs w:val="14"/>
          <w:color w:val="auto"/>
        </w:rPr>
        <w:t>(1,053.1)</w:t>
      </w:r>
    </w:p>
    <w:p>
      <w:pPr>
        <w:spacing w:after="0" w:line="42" w:lineRule="exact"/>
        <w:rPr>
          <w:sz w:val="20"/>
          <w:szCs w:val="20"/>
          <w:color w:val="auto"/>
        </w:rPr>
      </w:pPr>
    </w:p>
    <w:p>
      <w:pPr>
        <w:sectPr>
          <w:pgSz w:w="11900" w:h="16838" w:orient="portrait"/>
          <w:cols w:equalWidth="0" w:num="2">
            <w:col w:w="8400" w:space="720"/>
            <w:col w:w="21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 (deficit)</w:t>
            </w: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(122.3)</w:t>
            </w:r>
          </w:p>
        </w:tc>
      </w:tr>
      <w:tr>
        <w:trPr>
          <w:trHeight w:val="223"/>
        </w:trPr>
        <w:tc>
          <w:tcPr>
            <w:tcW w:w="832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 (deficit)</w:t>
            </w: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278.4</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278.5</w:t>
            </w:r>
          </w:p>
        </w:tc>
      </w:tr>
      <w:tr>
        <w:trPr>
          <w:trHeight w:val="20"/>
        </w:trPr>
        <w:tc>
          <w:tcPr>
            <w:tcW w:w="8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61"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Three Months Ended</w:t>
      </w:r>
    </w:p>
    <w:p>
      <w:pPr>
        <w:jc w:val="center"/>
        <w:ind w:left="804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14605</wp:posOffset>
            </wp:positionV>
            <wp:extent cx="18770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180" w:type="dxa"/>
            <w:vAlign w:val="bottom"/>
          </w:tcPr>
          <w:p>
            <w:pPr>
              <w:ind w:left="360"/>
              <w:spacing w:after="0"/>
              <w:rPr>
                <w:sz w:val="20"/>
                <w:szCs w:val="20"/>
                <w:color w:val="auto"/>
              </w:rPr>
            </w:pPr>
            <w:r>
              <w:rPr>
                <w:rFonts w:ascii="Arial" w:cs="Arial" w:eastAsia="Arial" w:hAnsi="Arial"/>
                <w:sz w:val="16"/>
                <w:szCs w:val="16"/>
                <w:color w:val="auto"/>
              </w:rPr>
              <w:t>Subscription and Reserve rental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44"/>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2"/>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180" w:type="dxa"/>
            <w:vAlign w:val="bottom"/>
          </w:tcPr>
          <w:p>
            <w:pPr>
              <w:ind w:left="360"/>
              <w:spacing w:after="0"/>
              <w:rPr>
                <w:sz w:val="20"/>
                <w:szCs w:val="20"/>
                <w:color w:val="auto"/>
              </w:rPr>
            </w:pPr>
            <w:r>
              <w:rPr>
                <w:rFonts w:ascii="Arial" w:cs="Arial" w:eastAsia="Arial" w:hAnsi="Arial"/>
                <w:sz w:val="16"/>
                <w:szCs w:val="16"/>
                <w:color w:val="auto"/>
              </w:rPr>
              <w:t>Fulfillment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Technology</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5"/>
        </w:trPr>
        <w:tc>
          <w:tcPr>
            <w:tcW w:w="8180" w:type="dxa"/>
            <w:vAlign w:val="bottom"/>
          </w:tcPr>
          <w:p>
            <w:pPr>
              <w:ind w:left="360"/>
              <w:spacing w:after="0"/>
              <w:rPr>
                <w:sz w:val="20"/>
                <w:szCs w:val="20"/>
                <w:color w:val="auto"/>
              </w:rPr>
            </w:pPr>
            <w:r>
              <w:rPr>
                <w:rFonts w:ascii="Arial" w:cs="Arial" w:eastAsia="Arial" w:hAnsi="Arial"/>
                <w:sz w:val="16"/>
                <w:szCs w:val="16"/>
                <w:color w:val="auto"/>
              </w:rPr>
              <w:t>Marketing</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5"/>
        </w:trPr>
        <w:tc>
          <w:tcPr>
            <w:tcW w:w="8180" w:type="dxa"/>
            <w:vAlign w:val="bottom"/>
          </w:tcPr>
          <w:p>
            <w:pPr>
              <w:ind w:left="360"/>
              <w:spacing w:after="0"/>
              <w:rPr>
                <w:sz w:val="20"/>
                <w:szCs w:val="20"/>
                <w:color w:val="auto"/>
              </w:rPr>
            </w:pPr>
            <w:r>
              <w:rPr>
                <w:rFonts w:ascii="Arial" w:cs="Arial" w:eastAsia="Arial" w:hAnsi="Arial"/>
                <w:sz w:val="16"/>
                <w:szCs w:val="16"/>
                <w:color w:val="auto"/>
              </w:rPr>
              <w:t>Rental product depreciation and revenue share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depreciation and amortization</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Restructuring charges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22"/>
        </w:trPr>
        <w:tc>
          <w:tcPr>
            <w:tcW w:w="8180" w:type="dxa"/>
            <w:vAlign w:val="bottom"/>
          </w:tcPr>
          <w:p>
            <w:pPr>
              <w:ind w:left="1000"/>
              <w:spacing w:after="0"/>
              <w:rPr>
                <w:sz w:val="20"/>
                <w:szCs w:val="20"/>
                <w:color w:val="auto"/>
              </w:rPr>
            </w:pPr>
            <w:r>
              <w:rPr>
                <w:rFonts w:ascii="Arial" w:cs="Arial" w:eastAsia="Arial" w:hAnsi="Arial"/>
                <w:sz w:val="16"/>
                <w:szCs w:val="16"/>
                <w:color w:val="auto"/>
              </w:rPr>
              <w:t>Operating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44"/>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 (expense), net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income / (expense), net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loss before income tax benefit /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Arial" w:cs="Arial" w:eastAsia="Arial" w:hAnsi="Arial"/>
                <w:sz w:val="16"/>
                <w:szCs w:val="16"/>
                <w:color w:val="auto"/>
              </w:rPr>
              <w:t>Income tax benefit / (expense)</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8180" w:type="dxa"/>
            <w:vAlign w:val="bottom"/>
            <w:tcBorders>
              <w:top w:val="single" w:sz="8" w:color="CCEEFF"/>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Net loss per share attributable to common stockholders, basic and diluted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Weighted-average shares used in computing net loss per share attributable to common stockholders, basic and</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3,646,202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3,293,295</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180"/>
              <w:spacing w:after="0" w:line="217" w:lineRule="exact"/>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80" w:firstLine="8"/>
        <w:spacing w:after="0" w:line="305" w:lineRule="auto"/>
        <w:tabs>
          <w:tab w:leader="none" w:pos="154" w:val="left"/>
        </w:tabs>
        <w:numPr>
          <w:ilvl w:val="0"/>
          <w:numId w:val="5"/>
        </w:numPr>
        <w:rPr>
          <w:rFonts w:ascii="Arial" w:cs="Arial" w:eastAsia="Arial" w:hAnsi="Arial"/>
          <w:sz w:val="9"/>
          <w:szCs w:val="9"/>
          <w:color w:val="auto"/>
        </w:rPr>
      </w:pPr>
      <w:r>
        <w:rPr>
          <w:rFonts w:ascii="Arial" w:cs="Arial" w:eastAsia="Arial" w:hAnsi="Arial"/>
          <w:sz w:val="14"/>
          <w:szCs w:val="14"/>
          <w:color w:val="auto"/>
        </w:rPr>
        <w:t>Amounts have been adjusted to reflect the 1-for-20 reverse stock split that became effective on April 2, 2024. See Note 2, “Summary of Significant Accounting Policies” and Note 11, “Stockholders’ Equity” for additional details.</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79"/>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80"/>
              <w:spacing w:after="0" w:line="108" w:lineRule="exact"/>
              <w:rPr>
                <w:sz w:val="20"/>
                <w:szCs w:val="20"/>
                <w:color w:val="auto"/>
              </w:rPr>
            </w:pPr>
            <w:r>
              <w:rPr>
                <w:rFonts w:ascii="Arial" w:cs="Arial" w:eastAsia="Arial" w:hAnsi="Arial"/>
                <w:sz w:val="11"/>
                <w:szCs w:val="11"/>
                <w:b w:val="1"/>
                <w:bCs w:val="1"/>
                <w:color w:val="auto"/>
                <w:w w:val="98"/>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right="99"/>
              <w:spacing w:after="0" w:line="108"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34"/>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 xml:space="preserve">Shares </w:t>
            </w:r>
            <w:r>
              <w:rPr>
                <w:rFonts w:ascii="Arial" w:cs="Arial" w:eastAsia="Arial" w:hAnsi="Arial"/>
                <w:sz w:val="14"/>
                <w:szCs w:val="14"/>
                <w:b w:val="1"/>
                <w:bCs w:val="1"/>
                <w:color w:val="auto"/>
                <w:vertAlign w:val="superscript"/>
              </w:rPr>
              <w:t>(1)</w:t>
            </w:r>
          </w:p>
        </w:tc>
        <w:tc>
          <w:tcPr>
            <w:tcW w:w="20" w:type="dxa"/>
            <w:vAlign w:val="bottom"/>
          </w:tcPr>
          <w:p>
            <w:pPr>
              <w:spacing w:after="0"/>
              <w:rPr>
                <w:sz w:val="2"/>
                <w:szCs w:val="2"/>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8"/>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9"/>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16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January 31, 2024</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3,545,515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129,807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April 30, 2024</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3,675,322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933.8</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(1,075.1)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2023</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3,251,138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82,907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7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April 30, 2023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3,334,045</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913.4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180" w:firstLine="8"/>
        <w:spacing w:after="0" w:line="273" w:lineRule="auto"/>
        <w:tabs>
          <w:tab w:leader="none" w:pos="154"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Amounts have been adjusted to reflect the 1-for-20 reverse stock split that became effective on April 2, 2024. See Note 2, “Summary of Significant Accounting Policies” and Note 11, “Stockholders’ Equity” for additional details.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62"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Three Months Ended</w:t>
      </w:r>
    </w:p>
    <w:p>
      <w:pPr>
        <w:jc w:val="center"/>
        <w:ind w:left="8240"/>
        <w:spacing w:after="0"/>
        <w:rPr>
          <w:sz w:val="20"/>
          <w:szCs w:val="20"/>
          <w:color w:val="auto"/>
        </w:rPr>
      </w:pPr>
      <w:r>
        <w:rPr>
          <w:rFonts w:ascii="Arial" w:cs="Arial" w:eastAsia="Arial" w:hAnsi="Arial"/>
          <w:sz w:val="16"/>
          <w:szCs w:val="16"/>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10795</wp:posOffset>
            </wp:positionV>
            <wp:extent cx="1894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5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Rental product depreciation and write-offs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Write-off of rental product sold</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Other depreciation and amortization</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write-off of fixed assets</w:t>
            </w:r>
          </w:p>
        </w:tc>
        <w:tc>
          <w:tcPr>
            <w:tcW w:w="9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rental product sold</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 loss from liquidation of rental product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Accrual of paid-in-kind interest</w:t>
            </w:r>
          </w:p>
        </w:tc>
        <w:tc>
          <w:tcPr>
            <w:tcW w:w="9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8260" w:type="dxa"/>
            <w:vAlign w:val="bottom"/>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51"/>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right-of-use assets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5"/>
        </w:trPr>
        <w:tc>
          <w:tcPr>
            <w:tcW w:w="826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1"/>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accrued expenses and other current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5"/>
        </w:trPr>
        <w:tc>
          <w:tcPr>
            <w:tcW w:w="8260" w:type="dxa"/>
            <w:vAlign w:val="bottom"/>
          </w:tcPr>
          <w:p>
            <w:pPr>
              <w:ind w:left="680"/>
              <w:spacing w:after="0"/>
              <w:rPr>
                <w:sz w:val="20"/>
                <w:szCs w:val="20"/>
                <w:color w:val="auto"/>
              </w:rPr>
            </w:pPr>
            <w:r>
              <w:rPr>
                <w:rFonts w:ascii="Arial" w:cs="Arial" w:eastAsia="Arial" w:hAnsi="Arial"/>
                <w:sz w:val="16"/>
                <w:szCs w:val="16"/>
                <w:color w:val="auto"/>
              </w:rPr>
              <w:t>Deferred revenue and customer credit liabilities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6"/>
        </w:trPr>
        <w:tc>
          <w:tcPr>
            <w:tcW w:w="8260" w:type="dxa"/>
            <w:vAlign w:val="bottom"/>
          </w:tcPr>
          <w:p>
            <w:pPr>
              <w:ind w:left="680"/>
              <w:spacing w:after="0"/>
              <w:rPr>
                <w:sz w:val="20"/>
                <w:szCs w:val="20"/>
                <w:color w:val="auto"/>
              </w:rPr>
            </w:pPr>
            <w:r>
              <w:rPr>
                <w:rFonts w:ascii="Arial" w:cs="Arial" w:eastAsia="Arial" w:hAnsi="Arial"/>
                <w:sz w:val="16"/>
                <w:szCs w:val="16"/>
                <w:color w:val="auto"/>
              </w:rPr>
              <w:t>Other liabilities</w:t>
            </w:r>
          </w:p>
        </w:tc>
        <w:tc>
          <w:tcPr>
            <w:tcW w:w="9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30"/>
        </w:trPr>
        <w:tc>
          <w:tcPr>
            <w:tcW w:w="826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operating activities</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rental product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Proceeds from liquidation of rental product</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rental product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Purchases of fixed and intangible assets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30"/>
        </w:trPr>
        <w:tc>
          <w:tcPr>
            <w:tcW w:w="82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196"/>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payments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82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financing activities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82"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Three Months Ended</w:t>
      </w:r>
    </w:p>
    <w:p>
      <w:pPr>
        <w:spacing w:after="0" w:line="21"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April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182"/>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Reconciliation of Cash and Cash Equivalents and Restricted Cash to the Condensed Consolidated</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4"/>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Balance Sheets:</w:t>
            </w:r>
          </w:p>
        </w:tc>
        <w:tc>
          <w:tcPr>
            <w:tcW w:w="9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141.4</w:t>
            </w:r>
          </w:p>
        </w:tc>
      </w:tr>
      <w:tr>
        <w:trPr>
          <w:trHeight w:val="25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current</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noncurrent</w:t>
            </w: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cash equivalents and restricted cash</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Cash payments (receipts) for:</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Fixed operating lease payments, net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5"/>
        </w:trPr>
        <w:tc>
          <w:tcPr>
            <w:tcW w:w="8260" w:type="dxa"/>
            <w:vAlign w:val="bottom"/>
          </w:tcPr>
          <w:p>
            <w:pPr>
              <w:ind w:left="460"/>
              <w:spacing w:after="0"/>
              <w:rPr>
                <w:sz w:val="20"/>
                <w:szCs w:val="20"/>
                <w:color w:val="auto"/>
              </w:rPr>
            </w:pPr>
            <w:r>
              <w:rPr>
                <w:rFonts w:ascii="Arial" w:cs="Arial" w:eastAsia="Arial" w:hAnsi="Arial"/>
                <w:sz w:val="16"/>
                <w:szCs w:val="16"/>
                <w:color w:val="auto"/>
              </w:rPr>
              <w:t>Fixed assets and intangibles received in the prior period</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1"/>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Rental product received in the prior period</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8260" w:type="dxa"/>
            <w:vAlign w:val="bottom"/>
          </w:tcPr>
          <w:p>
            <w:pPr>
              <w:ind w:left="240"/>
              <w:spacing w:after="0"/>
              <w:rPr>
                <w:sz w:val="20"/>
                <w:szCs w:val="20"/>
                <w:color w:val="auto"/>
              </w:rPr>
            </w:pPr>
            <w:r>
              <w:rPr>
                <w:rFonts w:ascii="Arial" w:cs="Arial" w:eastAsia="Arial" w:hAnsi="Arial"/>
                <w:sz w:val="16"/>
                <w:szCs w:val="16"/>
                <w:color w:val="auto"/>
              </w:rPr>
              <w:t>Non-cash financing and investing activities:</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4"/>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Financing lease right-of-use asset amortization</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5"/>
        </w:trPr>
        <w:tc>
          <w:tcPr>
            <w:tcW w:w="8260" w:type="dxa"/>
            <w:vAlign w:val="bottom"/>
          </w:tcPr>
          <w:p>
            <w:pPr>
              <w:ind w:left="460"/>
              <w:spacing w:after="0"/>
              <w:rPr>
                <w:sz w:val="20"/>
                <w:szCs w:val="20"/>
                <w:color w:val="auto"/>
              </w:rPr>
            </w:pPr>
            <w:r>
              <w:rPr>
                <w:rFonts w:ascii="Arial" w:cs="Arial" w:eastAsia="Arial" w:hAnsi="Arial"/>
                <w:sz w:val="16"/>
                <w:szCs w:val="16"/>
                <w:color w:val="auto"/>
              </w:rPr>
              <w:t>Purchases of fixed assets and intangibles not yet settled</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rental product not yet settled</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85"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1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Rent the Runway, Inc.’s (the “Company”) mission is to empower women to feel their best every day. Launched in November 2009, the Company has built the world’s first and largest shared designer closet with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its operational facilities are located in Secaucus, New Jersey, and Arlington, Texas. Its wholly-owned subsidiary, Rent the Runway Limited, is located in Galway, Ireland, and is focused on software development and support activities.</w:t>
      </w:r>
    </w:p>
    <w:p>
      <w:pPr>
        <w:spacing w:after="0" w:line="74" w:lineRule="exact"/>
        <w:rPr>
          <w:rFonts w:ascii="Arial" w:cs="Arial" w:eastAsia="Arial" w:hAnsi="Arial"/>
          <w:sz w:val="18"/>
          <w:szCs w:val="18"/>
          <w:b w:val="1"/>
          <w:bCs w:val="1"/>
          <w:color w:val="auto"/>
        </w:rPr>
      </w:pPr>
    </w:p>
    <w:p>
      <w:pPr>
        <w:ind w:left="500" w:righ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52" w:lineRule="exact"/>
        <w:rPr>
          <w:rFonts w:ascii="Arial" w:cs="Arial" w:eastAsia="Arial" w:hAnsi="Arial"/>
          <w:sz w:val="18"/>
          <w:szCs w:val="18"/>
          <w:b w:val="1"/>
          <w:bCs w:val="1"/>
          <w:color w:val="auto"/>
        </w:rPr>
      </w:pPr>
    </w:p>
    <w:p>
      <w:pPr>
        <w:ind w:left="500" w:right="6980" w:hanging="492"/>
        <w:spacing w:after="0" w:line="375" w:lineRule="auto"/>
        <w:tabs>
          <w:tab w:leader="none" w:pos="48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5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 As further discussed in the Reverse Stock Split section below, all per share amounts and common shares amounts have been adjusted on a retroactive basis to reflect the Reverse Stock Split (as defined below).</w:t>
      </w:r>
    </w:p>
    <w:p>
      <w:pPr>
        <w:spacing w:after="0" w:line="71" w:lineRule="exact"/>
        <w:rPr>
          <w:rFonts w:ascii="Arial" w:cs="Arial" w:eastAsia="Arial" w:hAnsi="Arial"/>
          <w:sz w:val="18"/>
          <w:szCs w:val="18"/>
          <w:b w:val="1"/>
          <w:bCs w:val="1"/>
          <w:color w:val="auto"/>
        </w:rPr>
      </w:pPr>
    </w:p>
    <w:p>
      <w:pPr>
        <w:ind w:left="50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62" w:lineRule="exact"/>
        <w:rPr>
          <w:rFonts w:ascii="Arial" w:cs="Arial" w:eastAsia="Arial" w:hAnsi="Arial"/>
          <w:sz w:val="18"/>
          <w:szCs w:val="18"/>
          <w:b w:val="1"/>
          <w:bCs w:val="1"/>
          <w:color w:val="auto"/>
        </w:rPr>
      </w:pPr>
    </w:p>
    <w:p>
      <w:pPr>
        <w:ind w:left="50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results for the three months ended April 30, 2024 are not necessarily indicative of the operating results expected for the year ending January 31, 2025 or any future period. The condensed consolidated balance sheet as of January 31, 2024 is derived from the audited consolidated financial statements.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2024, which can be found in the Company’s Annual Report on Form 10-K filed with the SEC on April 11,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Reverse Stock Split</w:t>
      </w:r>
    </w:p>
    <w:p>
      <w:pPr>
        <w:spacing w:after="0" w:line="117" w:lineRule="exact"/>
        <w:rPr>
          <w:sz w:val="20"/>
          <w:szCs w:val="20"/>
          <w:color w:val="auto"/>
        </w:rPr>
      </w:pPr>
    </w:p>
    <w:p>
      <w:pPr>
        <w:ind w:left="500" w:right="320"/>
        <w:spacing w:after="0" w:line="268" w:lineRule="auto"/>
        <w:rPr>
          <w:sz w:val="20"/>
          <w:szCs w:val="20"/>
          <w:color w:val="auto"/>
        </w:rPr>
      </w:pPr>
      <w:r>
        <w:rPr>
          <w:rFonts w:ascii="Arial" w:cs="Arial" w:eastAsia="Arial" w:hAnsi="Arial"/>
          <w:sz w:val="18"/>
          <w:szCs w:val="18"/>
          <w:color w:val="auto"/>
        </w:rPr>
        <w:t>The Company’s Amended and Restated Certificate of Incorporation as of October 29, 2021 authorizes the Company to issue 300,000,000 shares of Class A common stock, par value $0.001 per share, 50,000,000 shares of Class B common stock, par value $0.001 and 10,000,000 shares of preferred stock, par value $0.001 per share.</w:t>
      </w:r>
    </w:p>
    <w:p>
      <w:pPr>
        <w:spacing w:after="0" w:line="6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March 2024, the Company’s stockholders approved, and the Company’s Board of Directors selected, a 1-for-20 reverse stock split of outstanding shares of Class A common stock and Class B common stock (the “Reverse Stock Split”). The 1-for-20 Reverse Stock Split became effective on April 2, 2024 and began trading on the Nasdaq Capital Market on a post-split basis on April 3, 2024. Following the Reverse Stock Split, the number of authorized shares of Class A common stock remained at 300,000,000, the number of authorized shares of Class B common stock remained at 50,000,000, and the number of authorized shares of preferred stock remained at 10,000,000. The Reverse Stock Split reduced the total number of issued and outstanding shares of Class A common stock from 67,812,037 to 3,390,587 and Class B common stock from 3,098,580 to 154,928 as of January 31, 2024. The par value per share of Class A common stock and Class B common stock remained at $0.001. The Company filed an Amendment to the Twelfth Amended and Restated Certificate of Incorporation with the Secretary of State of the State of Delaware on April 2, 2024 to implement the 1-for-20 Reverse Stock Split.</w:t>
      </w:r>
    </w:p>
    <w:p>
      <w:pPr>
        <w:spacing w:after="0" w:line="77" w:lineRule="exact"/>
        <w:rPr>
          <w:sz w:val="20"/>
          <w:szCs w:val="20"/>
          <w:color w:val="auto"/>
        </w:rPr>
      </w:pPr>
    </w:p>
    <w:p>
      <w:pPr>
        <w:ind w:left="500" w:right="80"/>
        <w:spacing w:after="0" w:line="255" w:lineRule="auto"/>
        <w:rPr>
          <w:sz w:val="20"/>
          <w:szCs w:val="20"/>
          <w:color w:val="auto"/>
        </w:rPr>
      </w:pPr>
      <w:r>
        <w:rPr>
          <w:rFonts w:ascii="Arial" w:cs="Arial" w:eastAsia="Arial" w:hAnsi="Arial"/>
          <w:sz w:val="18"/>
          <w:szCs w:val="18"/>
          <w:color w:val="auto"/>
        </w:rPr>
        <w:t>The Company’s stockholders’ equity, in the aggregate, remained unchanged following the Reverse Stock Split. Per share net loss increased because there were fewer shares of Class A common stock and Class B common stock outstanding. There were no other accounting consequences, including changes to the amount of stock-based compensation expense to be recognized in any period, that arose as a result of the Reverse Stock Split. No fractional shares were issued in connection with the Reverse Stock Split. Instead, holders of Class A common stock and Class B common stock holding fractional shares were entitled to receive, in lieu of such fractional shares, a cash payment in an amount determined based on the closing price of the Company’s Class A common stock on the effective date of the Reverse Stock Split. The cash payments were immaterial to the Company’s consolidated financial statements. The Reverse Stock Split impacted all stockholders uniformly and did not affect any stockholder’s percentage of ownership or proportionate voting power other than very minor impacts from the treatment of fractional shares.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Fiscal Year</w:t>
      </w:r>
    </w:p>
    <w:p>
      <w:pPr>
        <w:spacing w:after="0" w:line="117" w:lineRule="exact"/>
        <w:rPr>
          <w:sz w:val="20"/>
          <w:szCs w:val="20"/>
          <w:color w:val="auto"/>
        </w:rPr>
      </w:pPr>
    </w:p>
    <w:p>
      <w:pPr>
        <w:ind w:left="500" w:right="380"/>
        <w:spacing w:after="0" w:line="287" w:lineRule="auto"/>
        <w:rPr>
          <w:sz w:val="20"/>
          <w:szCs w:val="20"/>
          <w:color w:val="auto"/>
        </w:rPr>
      </w:pPr>
      <w:r>
        <w:rPr>
          <w:rFonts w:ascii="Arial" w:cs="Arial" w:eastAsia="Arial" w:hAnsi="Arial"/>
          <w:sz w:val="18"/>
          <w:szCs w:val="18"/>
          <w:color w:val="auto"/>
        </w:rPr>
        <w:t>The Company’s fiscal year ends on January 31 of the next calendar year. For example, references to “fiscal year 2024” refer to the fiscal year ending January 31, 2025 and references to “fiscal year 2023” refer to the fiscal year ended January 31, 2024.</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Segment Information</w:t>
      </w:r>
    </w:p>
    <w:p>
      <w:pPr>
        <w:spacing w:after="0" w:line="117" w:lineRule="exact"/>
        <w:rPr>
          <w:sz w:val="20"/>
          <w:szCs w:val="20"/>
          <w:color w:val="auto"/>
        </w:rPr>
      </w:pPr>
    </w:p>
    <w:p>
      <w:pPr>
        <w:ind w:left="500" w:right="100"/>
        <w:spacing w:after="0" w:line="257"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valuation of share-based compensation and warrants, and recoverability of long-lived assets.</w:t>
      </w:r>
    </w:p>
    <w:p>
      <w:pPr>
        <w:spacing w:after="0" w:line="74"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As of April 30, 2024,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Concentrations of Credit Risks</w:t>
      </w:r>
    </w:p>
    <w:p>
      <w:pPr>
        <w:spacing w:after="0" w:line="117" w:lineRule="exact"/>
        <w:rPr>
          <w:sz w:val="20"/>
          <w:szCs w:val="20"/>
          <w:color w:val="auto"/>
        </w:rPr>
      </w:pPr>
    </w:p>
    <w:p>
      <w:pPr>
        <w:ind w:left="500" w:right="72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single customer accounted for more than 5% of the Company’s revenue during the three months ended April 30, 2024 and 2023.</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Measurements and Financial Instruments</w:t>
      </w:r>
    </w:p>
    <w:p>
      <w:pPr>
        <w:spacing w:after="0" w:line="117"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ind w:left="500" w:right="40"/>
        <w:spacing w:after="0" w:line="268" w:lineRule="auto"/>
        <w:rPr>
          <w:sz w:val="20"/>
          <w:szCs w:val="20"/>
          <w:color w:val="auto"/>
        </w:rPr>
      </w:pPr>
      <w:r>
        <w:rPr>
          <w:rFonts w:ascii="Arial" w:cs="Arial" w:eastAsia="Arial" w:hAnsi="Arial"/>
          <w:sz w:val="18"/>
          <w:szCs w:val="18"/>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71"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tab/>
        <w:t>Observable inputs, such as quoted prices in active markets for identical assets and liabilities.</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the quoted prices in active markets that are observable either directly or indirectly.</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in which there is little or no market data which require the Company to develop its own assumptions.</w:t>
      </w:r>
    </w:p>
    <w:p>
      <w:pPr>
        <w:spacing w:after="0" w:line="225"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17" w:lineRule="exact"/>
        <w:rPr>
          <w:sz w:val="20"/>
          <w:szCs w:val="20"/>
          <w:color w:val="auto"/>
        </w:rPr>
      </w:pPr>
    </w:p>
    <w:p>
      <w:pPr>
        <w:ind w:left="500" w:right="600"/>
        <w:spacing w:after="0" w:line="287" w:lineRule="auto"/>
        <w:rPr>
          <w:sz w:val="20"/>
          <w:szCs w:val="20"/>
          <w:color w:val="auto"/>
        </w:rPr>
      </w:pPr>
      <w:r>
        <w:rPr>
          <w:rFonts w:ascii="Arial" w:cs="Arial" w:eastAsia="Arial" w:hAnsi="Arial"/>
          <w:sz w:val="18"/>
          <w:szCs w:val="18"/>
          <w:color w:val="auto"/>
        </w:rPr>
        <w:t>Prepaid expenses and other current assets consist primarily of accounts receivable, net, interest receivable, prepaid insurance, prepaid technology expenses and prepaid taxes.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Rental Product, Net</w:t>
      </w:r>
    </w:p>
    <w:p>
      <w:pPr>
        <w:spacing w:after="0" w:line="117" w:lineRule="exact"/>
        <w:rPr>
          <w:sz w:val="20"/>
          <w:szCs w:val="20"/>
          <w:color w:val="auto"/>
        </w:rPr>
      </w:pPr>
    </w:p>
    <w:p>
      <w:pPr>
        <w:ind w:left="500" w:right="460"/>
        <w:spacing w:after="0" w:line="287" w:lineRule="auto"/>
        <w:rPr>
          <w:sz w:val="20"/>
          <w:szCs w:val="20"/>
          <w:color w:val="auto"/>
        </w:rPr>
      </w:pPr>
      <w:r>
        <w:rPr>
          <w:rFonts w:ascii="Arial" w:cs="Arial" w:eastAsia="Arial" w:hAnsi="Arial"/>
          <w:sz w:val="18"/>
          <w:szCs w:val="18"/>
          <w:color w:val="auto"/>
        </w:rPr>
        <w:t>The Company considers rental product to be a long-term productive asset and, as such, classifies it as a noncurrent asset on the Condensed Consolidated Balance Sheets.</w:t>
      </w:r>
    </w:p>
    <w:p>
      <w:pPr>
        <w:spacing w:after="0" w:line="45"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226"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Useful Life</w:t>
            </w:r>
          </w:p>
        </w:tc>
        <w:tc>
          <w:tcPr>
            <w:tcW w:w="1580" w:type="dxa"/>
            <w:vAlign w:val="bottom"/>
          </w:tcPr>
          <w:p>
            <w:pPr>
              <w:jc w:val="right"/>
              <w:ind w:right="236"/>
              <w:spacing w:after="0"/>
              <w:rPr>
                <w:sz w:val="20"/>
                <w:szCs w:val="20"/>
                <w:color w:val="auto"/>
              </w:rPr>
            </w:pPr>
            <w:r>
              <w:rPr>
                <w:rFonts w:ascii="Arial" w:cs="Arial" w:eastAsia="Arial" w:hAnsi="Arial"/>
                <w:sz w:val="14"/>
                <w:szCs w:val="14"/>
                <w:b w:val="1"/>
                <w:bCs w:val="1"/>
                <w:color w:val="auto"/>
              </w:rPr>
              <w:t>Salvage Value</w:t>
            </w:r>
          </w:p>
        </w:tc>
      </w:tr>
      <w:tr>
        <w:trPr>
          <w:trHeight w:val="220"/>
        </w:trPr>
        <w:tc>
          <w:tcPr>
            <w:tcW w:w="6960" w:type="dxa"/>
            <w:vAlign w:val="bottom"/>
          </w:tcPr>
          <w:p>
            <w:pPr>
              <w:spacing w:after="0"/>
              <w:rPr>
                <w:sz w:val="20"/>
                <w:szCs w:val="20"/>
                <w:color w:val="auto"/>
              </w:rPr>
            </w:pPr>
            <w:r>
              <w:rPr>
                <w:rFonts w:ascii="Arial" w:cs="Arial" w:eastAsia="Arial" w:hAnsi="Arial"/>
                <w:sz w:val="18"/>
                <w:szCs w:val="18"/>
                <w:color w:val="auto"/>
              </w:rPr>
              <w:t>Apparel</w:t>
            </w:r>
          </w:p>
        </w:tc>
        <w:tc>
          <w:tcPr>
            <w:tcW w:w="14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3 years</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39"/>
        </w:trPr>
        <w:tc>
          <w:tcPr>
            <w:tcW w:w="6960" w:type="dxa"/>
            <w:vAlign w:val="bottom"/>
          </w:tcPr>
          <w:p>
            <w:pPr>
              <w:spacing w:after="0"/>
              <w:rPr>
                <w:sz w:val="20"/>
                <w:szCs w:val="20"/>
                <w:color w:val="auto"/>
              </w:rPr>
            </w:pPr>
            <w:r>
              <w:rPr>
                <w:rFonts w:ascii="Arial" w:cs="Arial" w:eastAsia="Arial" w:hAnsi="Arial"/>
                <w:sz w:val="18"/>
                <w:szCs w:val="18"/>
                <w:color w:val="auto"/>
              </w:rPr>
              <w:t>Accessories</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2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30 %</w:t>
            </w:r>
          </w:p>
        </w:tc>
      </w:tr>
    </w:tbl>
    <w:p>
      <w:pPr>
        <w:spacing w:after="0" w:line="180" w:lineRule="exact"/>
        <w:rPr>
          <w:sz w:val="20"/>
          <w:szCs w:val="20"/>
          <w:color w:val="auto"/>
        </w:rPr>
      </w:pPr>
    </w:p>
    <w:p>
      <w:pPr>
        <w:ind w:left="500" w:right="440"/>
        <w:spacing w:after="0" w:line="287" w:lineRule="auto"/>
        <w:rPr>
          <w:sz w:val="20"/>
          <w:szCs w:val="20"/>
          <w:color w:val="auto"/>
        </w:rPr>
      </w:pPr>
      <w:r>
        <w:rPr>
          <w:rFonts w:ascii="Arial" w:cs="Arial" w:eastAsia="Arial" w:hAnsi="Arial"/>
          <w:sz w:val="18"/>
          <w:szCs w:val="18"/>
          <w:color w:val="auto"/>
        </w:rPr>
        <w:t>In accordance with its policy, the Company reviews the estimated useful lives and salvage values of rental product on an ongoing basis.</w:t>
      </w:r>
    </w:p>
    <w:p>
      <w:pPr>
        <w:spacing w:after="0" w:line="45"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71"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Once it is no longer considered rentable, rental product in a sellable condition is classified as held for sale and written down to salvage value. The value of rental product held for sale as of April 30, 2024 and January 31, 2024 was $2.6 million and $3.0 million, respectively. The accelerated depreciation related to rental product held for sale was $1.1 million and $0.9 million for the three months ended April 30, 2024 and 2023, respectively. The accelerated depreciation is presented on the condensed consolidated statements of operations within Rental product depreciation and revenue share.</w:t>
      </w:r>
    </w:p>
    <w:p>
      <w:pPr>
        <w:spacing w:after="0" w:line="71"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loss to net cash used by operating activities in the condensed consolidated statements of cash flows.</w:t>
      </w:r>
    </w:p>
    <w:p>
      <w:pPr>
        <w:spacing w:after="0" w:line="68" w:lineRule="exact"/>
        <w:rPr>
          <w:sz w:val="20"/>
          <w:szCs w:val="20"/>
          <w:color w:val="auto"/>
        </w:rPr>
      </w:pPr>
    </w:p>
    <w:p>
      <w:pPr>
        <w:ind w:left="500" w:right="120"/>
        <w:spacing w:after="0" w:line="257" w:lineRule="auto"/>
        <w:rPr>
          <w:sz w:val="20"/>
          <w:szCs w:val="20"/>
          <w:color w:val="auto"/>
        </w:rPr>
      </w:pPr>
      <w:r>
        <w:rPr>
          <w:rFonts w:ascii="Arial" w:cs="Arial" w:eastAsia="Arial" w:hAnsi="Arial"/>
          <w:sz w:val="18"/>
          <w:szCs w:val="18"/>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$6.8 million and $5.4 million for the three months ended April 30, 2024 and 2023, respectively. Proceeds from the liquidation of rental product were $1.1 million and $1.3 million for the three months ended April 30, 2024 and 2023, respectively.</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Subscription and a-la-carte rental fees (“Subscription and Reserve rental revenue”) are recognized in accordance with Accounting Standard Update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(“ASC 842”). Other revenue, primarily related to the sale of rental product, is recognized under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at the date of delivery of the product to the customer.</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revenue represented 12% and 10% of total revenue for the three months ended April 30, 2024 and 2023, respectively.</w:t>
      </w:r>
    </w:p>
    <w:p>
      <w:pPr>
        <w:spacing w:after="0" w:line="117"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68"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Company recognizes a liability at the time a customer credit or a gift card is issued, and revenue is recognized upon redemption of the credit or gift card. The Company’s customer credit liability is presented on the Condensed Consolidated Balance Sheets. During the three months ended April 30, 2024, $0.5 million of credits included in the customer credit liability as of January 31, 2024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 The Company did not issue any new gift cards during the three months ended April 30, 2024 and 2023.</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Subscription and Reserve Rental Revenue</w:t>
      </w:r>
    </w:p>
    <w:p>
      <w:pPr>
        <w:spacing w:after="0" w:line="115" w:lineRule="exact"/>
        <w:rPr>
          <w:sz w:val="20"/>
          <w:szCs w:val="20"/>
          <w:color w:val="auto"/>
        </w:rPr>
      </w:pPr>
    </w:p>
    <w:p>
      <w:pPr>
        <w:ind w:left="500" w:right="100"/>
        <w:spacing w:after="0" w:line="268" w:lineRule="auto"/>
        <w:rPr>
          <w:sz w:val="20"/>
          <w:szCs w:val="20"/>
          <w:color w:val="auto"/>
        </w:rPr>
      </w:pPr>
      <w:r>
        <w:rPr>
          <w:rFonts w:ascii="Arial" w:cs="Arial" w:eastAsia="Arial" w:hAnsi="Arial"/>
          <w:sz w:val="18"/>
          <w:szCs w:val="18"/>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63" w:lineRule="exact"/>
        <w:rPr>
          <w:sz w:val="20"/>
          <w:szCs w:val="20"/>
          <w:color w:val="auto"/>
        </w:rPr>
      </w:pPr>
    </w:p>
    <w:p>
      <w:pPr>
        <w:jc w:val="both"/>
        <w:ind w:left="500" w:right="460"/>
        <w:spacing w:after="0" w:line="262" w:lineRule="auto"/>
        <w:rPr>
          <w:sz w:val="20"/>
          <w:szCs w:val="20"/>
          <w:color w:val="auto"/>
        </w:rPr>
      </w:pPr>
      <w:r>
        <w:rPr>
          <w:rFonts w:ascii="Arial" w:cs="Arial" w:eastAsia="Arial" w:hAnsi="Arial"/>
          <w:sz w:val="18"/>
          <w:szCs w:val="18"/>
          <w:color w:val="auto"/>
        </w:rPr>
        <w:t>The Company recognizes fees for a-la-carte rentals ratably over the rental period, which starts with the date of delivery of rental product to the customer. A-la-carte rental orders can be placed up to two months 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68" w:lineRule="exact"/>
        <w:rPr>
          <w:sz w:val="20"/>
          <w:szCs w:val="20"/>
          <w:color w:val="auto"/>
        </w:rPr>
      </w:pPr>
    </w:p>
    <w:p>
      <w:pPr>
        <w:ind w:left="500" w:right="220"/>
        <w:spacing w:after="0" w:line="287" w:lineRule="auto"/>
        <w:rPr>
          <w:sz w:val="20"/>
          <w:szCs w:val="20"/>
          <w:color w:val="auto"/>
        </w:rPr>
      </w:pPr>
      <w:r>
        <w:rPr>
          <w:rFonts w:ascii="Arial" w:cs="Arial" w:eastAsia="Arial" w:hAnsi="Arial"/>
          <w:sz w:val="18"/>
          <w:szCs w:val="18"/>
          <w:color w:val="auto"/>
        </w:rPr>
        <w:t>The Company accrues for credits and refunds issued subsequent to the balance sheet date that relate to rentals prior to the balance sheet date. These amounts were not material as of April 30, 2024 and January 31, 2024.</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15" w:lineRule="exact"/>
        <w:rPr>
          <w:sz w:val="20"/>
          <w:szCs w:val="20"/>
          <w:color w:val="auto"/>
        </w:rPr>
      </w:pPr>
    </w:p>
    <w:p>
      <w:pPr>
        <w:ind w:left="500" w:right="160"/>
        <w:spacing w:after="0" w:line="257" w:lineRule="auto"/>
        <w:rPr>
          <w:sz w:val="20"/>
          <w:szCs w:val="20"/>
          <w:color w:val="auto"/>
        </w:rPr>
      </w:pPr>
      <w:r>
        <w:rPr>
          <w:rFonts w:ascii="Arial" w:cs="Arial" w:eastAsia="Arial" w:hAnsi="Arial"/>
          <w:sz w:val="18"/>
          <w:szCs w:val="18"/>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April 30, 2024 and January 31, 2024.</w:t>
      </w:r>
    </w:p>
    <w:p>
      <w:pPr>
        <w:spacing w:after="0" w:line="74" w:lineRule="exact"/>
        <w:rPr>
          <w:sz w:val="20"/>
          <w:szCs w:val="20"/>
          <w:color w:val="auto"/>
        </w:rPr>
      </w:pPr>
    </w:p>
    <w:p>
      <w:pPr>
        <w:ind w:left="500" w:right="300"/>
        <w:spacing w:after="0" w:line="287" w:lineRule="auto"/>
        <w:rPr>
          <w:sz w:val="20"/>
          <w:szCs w:val="20"/>
          <w:color w:val="auto"/>
        </w:rPr>
      </w:pPr>
      <w:r>
        <w:rPr>
          <w:rFonts w:ascii="Arial" w:cs="Arial" w:eastAsia="Arial" w:hAnsi="Arial"/>
          <w:sz w:val="18"/>
          <w:szCs w:val="18"/>
          <w:color w:val="auto"/>
        </w:rPr>
        <w:t>From time to time, other revenue may include revenue generated from pilots and other growth initiatives which may cause quarterly fluctuations in the Other revenue line.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Share-Based Compensation</w:t>
      </w:r>
    </w:p>
    <w:p>
      <w:pPr>
        <w:spacing w:after="0" w:line="117"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Nasdaq. Upon grant of awards, the Company also estimates an amount of forfeitures that will occur prior to vesting. There were no stock options granted during the three months ended April 30, 2024 and 2023.</w:t>
      </w:r>
    </w:p>
    <w:p>
      <w:pPr>
        <w:spacing w:after="0" w:line="18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Company has granted two types of restricted stock units (“RSUs”). Prior to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time-based service conditions. The Company records share-based compensation expense for these RSUs on a straight-line basis over the requisite service period. See Note 12 - Share-based Compensation Plans for a description of the accounting for share-based awards.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Interest Income and Expense</w:t>
      </w:r>
    </w:p>
    <w:p>
      <w:pPr>
        <w:spacing w:after="0" w:line="117" w:lineRule="exact"/>
        <w:rPr>
          <w:sz w:val="20"/>
          <w:szCs w:val="20"/>
          <w:color w:val="auto"/>
        </w:rPr>
      </w:pPr>
    </w:p>
    <w:p>
      <w:pPr>
        <w:jc w:val="both"/>
        <w:ind w:left="500" w:right="140"/>
        <w:spacing w:after="0" w:line="268" w:lineRule="auto"/>
        <w:rPr>
          <w:sz w:val="20"/>
          <w:szCs w:val="20"/>
          <w:color w:val="auto"/>
        </w:rPr>
      </w:pPr>
      <w:r>
        <w:rPr>
          <w:rFonts w:ascii="Arial" w:cs="Arial" w:eastAsia="Arial" w:hAnsi="Arial"/>
          <w:sz w:val="18"/>
          <w:szCs w:val="18"/>
          <w:color w:val="auto"/>
        </w:rPr>
        <w:t>Interest income and expense consist primarily of interest on the Temasek debt facility, debt discount amortization, and financing lease interest expense offset by interest income earned. The Company recognized interest and debt discount amortization expense of $6.5 million and $10.2 million during the three months ended April 30, 2024 and April 30, 2023, respectively.</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Interim Impairment Evaluation</w:t>
      </w:r>
    </w:p>
    <w:p>
      <w:pPr>
        <w:spacing w:after="0" w:line="117"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During the year ended January 31, 2024, the Company concluded a triggering event had occurred during the third quarter of fiscal year 2023 due to a decline in the Company’s stock price. The Company performed a quantitative assessment and concluded the undiscounted cash flows expected to be generated by the use and eventual disposition of the Company’s long-lived assets exceeded their carrying values. Therefore, no impairment was recognized for the year ended January 31, 2024. The Company has concluded there were no triggering events as of April 30, 2024.</w:t>
      </w:r>
    </w:p>
    <w:p>
      <w:pPr>
        <w:spacing w:after="0" w:line="179" w:lineRule="exact"/>
        <w:rPr>
          <w:sz w:val="20"/>
          <w:szCs w:val="20"/>
          <w:color w:val="auto"/>
        </w:rPr>
      </w:pPr>
    </w:p>
    <w:p>
      <w:pPr>
        <w:ind w:left="500" w:right="4620"/>
        <w:spacing w:after="0" w:line="375" w:lineRule="auto"/>
        <w:rPr>
          <w:sz w:val="20"/>
          <w:szCs w:val="20"/>
          <w:color w:val="auto"/>
        </w:rPr>
      </w:pPr>
      <w:r>
        <w:rPr>
          <w:rFonts w:ascii="Arial" w:cs="Arial" w:eastAsia="Arial" w:hAnsi="Arial"/>
          <w:sz w:val="18"/>
          <w:szCs w:val="18"/>
          <w:b w:val="1"/>
          <w:bCs w:val="1"/>
          <w:color w:val="auto"/>
        </w:rPr>
        <w:t xml:space="preserve">Recently Issued and Adopted Accounting Pronouncements </w:t>
      </w:r>
      <w:r>
        <w:rPr>
          <w:rFonts w:ascii="Arial" w:cs="Arial" w:eastAsia="Arial" w:hAnsi="Arial"/>
          <w:sz w:val="18"/>
          <w:szCs w:val="18"/>
          <w:i w:val="1"/>
          <w:iCs w:val="1"/>
          <w:u w:val="single" w:color="auto"/>
          <w:color w:val="auto"/>
        </w:rPr>
        <w:t xml:space="preserve">Recently Adopted Accounting Pronouncements </w:t>
      </w:r>
      <w:r>
        <w:rPr>
          <w:rFonts w:ascii="Arial" w:cs="Arial" w:eastAsia="Arial" w:hAnsi="Arial"/>
          <w:sz w:val="18"/>
          <w:szCs w:val="18"/>
          <w:i w:val="1"/>
          <w:iCs w:val="1"/>
          <w:color w:val="auto"/>
        </w:rPr>
        <w:t>Debt - Debt with Conversion and Other Options and Derivatives and Hedging</w:t>
      </w:r>
    </w:p>
    <w:p>
      <w:pPr>
        <w:spacing w:after="0" w:line="2"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Accounting for Convertible Instruments and Contracts in an Entity’s Own Equity. </w:t>
      </w:r>
      <w:r>
        <w:rPr>
          <w:rFonts w:ascii="Arial" w:cs="Arial" w:eastAsia="Arial" w:hAnsi="Arial"/>
          <w:sz w:val="18"/>
          <w:szCs w:val="18"/>
          <w:color w:val="auto"/>
        </w:rPr>
        <w:t>The new guidance reduces complexity and improves comparability of financial reporting associated with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and contracts in an entity’s own equity. This standard is effective for annual reporting periods beginning after December 15, 2023, and interim periods within those years, and early adoption is permitted. The Company adopted this standard on February 1, 2024, and the adoption of this standard did not have a material impact on the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 (Topic 740): Improvements to Income Tax Disclosures</w:t>
      </w:r>
    </w:p>
    <w:p>
      <w:pPr>
        <w:spacing w:after="0" w:line="115"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The amendments primarily require enhanced disclosures and disaggregation of income tax information by jurisdiction in the annual income tax rate reconciliation and quantitative and qualitative disclosures regarding income taxes paid. These amendments are to be applied prospectively, with the option to apply the standard retrospectively, for annual periods beginning after December 15, 2025. Early adoption is permitted. The Company is currently evaluating the impact that the adoption of this standard will have on the consolidated financial statements.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Segment Reporting (Topic 280): Improvements to Reportable Segment Disclosures</w:t>
      </w:r>
    </w:p>
    <w:p>
      <w:pPr>
        <w:spacing w:after="0" w:line="115" w:lineRule="exact"/>
        <w:rPr>
          <w:sz w:val="20"/>
          <w:szCs w:val="20"/>
          <w:color w:val="auto"/>
        </w:rPr>
      </w:pPr>
    </w:p>
    <w:p>
      <w:pPr>
        <w:ind w:left="500" w:right="40"/>
        <w:spacing w:after="0" w:line="257"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to improve reportable segment disclosure requirements primarily through enhanced disclosures about significant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This standard is effective for fiscal years beginning after December 15, 2023, and interim periods in fiscal years beginning after December 15, 2024. The ASU must be applied retrospectively for all periods presented in the financial statements. Early adoption is permitted. The Company is currently evaluating the impact that the adoption of this standard will have on the consolidated financial statements.</w:t>
      </w:r>
    </w:p>
    <w:p>
      <w:pPr>
        <w:spacing w:after="0" w:line="290"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11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net losses from operations since inception and has historically relied upon debt and equity financing to fund its operations. The Company has experienced year-over-year revenue growth and a reduction in net losses during the three months ended April 30, 2024 and in fiscal year 2023 and is making progress towards achieving a break-even position after consideration of cash flows from operations plus cash flows generated (used) in investing during the year ending January 31, 2025 as a result of the restructuring actions described below and the Company’s plans to reduce rental product spend due to rental product depth adjustments in fiscal year 2023 and other investments to align with the overall growth of the business and to comply with the Company’s recently amended debt covenants. To the extent the Company is impacted by macroeconomic trends, or other factors, including, but not limited to, demand for our business, the Company plans to further reduce fixed and variable costs accordingly and has established plans to preserve existing cash liquidity, which includes additional reductions to labor, operating expenses, and/or capital expenditures.</w:t>
      </w:r>
    </w:p>
    <w:p>
      <w:pPr>
        <w:spacing w:after="0" w:line="7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 history of successfully implementing restructuring plans. The September 2022 restructuring plan generated annual operating expense savings of approximately $27 million (relative to the second quarter of fiscal year 2022 run rate). In January 2024, the Company announced an additional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Actual savings may differ from these estimates. Refer to Note 4, Restructuring and Related Charges, for discussion of the restructuring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58" w:lineRule="exact"/>
        <w:rPr>
          <w:sz w:val="20"/>
          <w:szCs w:val="20"/>
          <w:color w:val="auto"/>
        </w:rPr>
      </w:pPr>
    </w:p>
    <w:p>
      <w:pPr>
        <w:ind w:left="500" w:right="60"/>
        <w:spacing w:after="0" w:line="252" w:lineRule="auto"/>
        <w:rPr>
          <w:sz w:val="20"/>
          <w:szCs w:val="20"/>
          <w:color w:val="auto"/>
        </w:rPr>
      </w:pPr>
      <w:r>
        <w:rPr>
          <w:rFonts w:ascii="Arial" w:cs="Arial" w:eastAsia="Arial" w:hAnsi="Arial"/>
          <w:sz w:val="17"/>
          <w:szCs w:val="17"/>
          <w:color w:val="auto"/>
        </w:rPr>
        <w:t>On December 1, 2023, the Company entered into a Tenth Amendment to Credit Agreement with Double Helix Pte Ltd. as administrative agent for Temasek Holdings (the “Credit Facility Amendment”) to the 2022 Amended Temasek Facility (as amended by the 2023 Amendment, the “2023 Amended Temasek Facility”). The 2023 Amended Temasek Facility, among other things, modifies the Company’s obligations under the 2022 Amended Temasek Facility (as defined herein) to (i) eliminate all interest (both payment-in-kind and cash interest) for a period of six full fiscal quarters beginning with the fourth quarter of fiscal year 2023; (ii) reduce the minimum liquidity maintenance covenant under the 2023 Amended Temasek Facility from $50 million to $30 million; and (iii) provide that the</w:t>
      </w:r>
    </w:p>
    <w:p>
      <w:pPr>
        <w:spacing w:after="0" w:line="2" w:lineRule="exact"/>
        <w:rPr>
          <w:sz w:val="20"/>
          <w:szCs w:val="20"/>
          <w:color w:val="auto"/>
        </w:rPr>
      </w:pPr>
    </w:p>
    <w:p>
      <w:pPr>
        <w:ind w:left="500" w:right="580"/>
        <w:spacing w:after="0"/>
        <w:rPr>
          <w:sz w:val="20"/>
          <w:szCs w:val="20"/>
          <w:color w:val="auto"/>
        </w:rPr>
      </w:pPr>
      <w:r>
        <w:rPr>
          <w:rFonts w:ascii="Arial" w:cs="Arial" w:eastAsia="Arial" w:hAnsi="Arial"/>
          <w:sz w:val="17"/>
          <w:szCs w:val="17"/>
          <w:color w:val="auto"/>
        </w:rPr>
        <w:t>Company may not exceed mutually agreed upon quarterly and annual spend levels for rental product capital expenditures, fixed operating expenditures and marketing expenditures during fiscal year 2024 of $51 million, $100 million (excluding $10 million of</w:t>
      </w:r>
    </w:p>
    <w:p>
      <w:pPr>
        <w:spacing w:after="0" w:line="1" w:lineRule="exact"/>
        <w:rPr>
          <w:sz w:val="20"/>
          <w:szCs w:val="20"/>
          <w:color w:val="auto"/>
        </w:rPr>
      </w:pPr>
    </w:p>
    <w:p>
      <w:pPr>
        <w:ind w:left="500" w:right="160"/>
        <w:spacing w:after="0" w:line="250" w:lineRule="auto"/>
        <w:rPr>
          <w:sz w:val="20"/>
          <w:szCs w:val="20"/>
          <w:color w:val="auto"/>
        </w:rPr>
      </w:pPr>
      <w:r>
        <w:rPr>
          <w:rFonts w:ascii="Arial" w:cs="Arial" w:eastAsia="Arial" w:hAnsi="Arial"/>
          <w:sz w:val="18"/>
          <w:szCs w:val="18"/>
          <w:color w:val="auto"/>
        </w:rPr>
        <w:t>specified permitted expenditures), and $30 million, respectively, on an annual basis and to-be-agreed levels for fiscal years 2025 and 2026, subject to the debt holder’s consent and certain exceptions as defined in the agreement.</w:t>
      </w:r>
    </w:p>
    <w:p>
      <w:pPr>
        <w:spacing w:after="0" w:line="7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As of April 30, 2024 and January 31, 2024, the Company held cash and cash equivalents of $82.0 million and $84.0 million, respectively, and long-term debt of $313.1 million and $306.7 million, respectively, with a maturity date of October 2026. In the event that the Company fails to comply with the covenants specified in the 2023 Amended Temasek Facility, the lender has the right to declare all borrowings outstanding, together with accrued and unpaid interest and fees, to be immediately due and payable. The Company believes that it will have sufficient liquidity from cash on-hand and future operations to sustain its business operations, satisfy the $30 million minimum liquidity maintenance covenant and comply with the maximum expenditure covenants under the 2023 Amended Temasek Facility for at least the next twelve months from the date these financial statements are issued.</w:t>
      </w:r>
    </w:p>
    <w:p>
      <w:pPr>
        <w:spacing w:after="0" w:line="183" w:lineRule="exact"/>
        <w:rPr>
          <w:sz w:val="20"/>
          <w:szCs w:val="20"/>
          <w:color w:val="auto"/>
        </w:rPr>
      </w:pPr>
    </w:p>
    <w:p>
      <w:pPr>
        <w:ind w:left="500" w:right="7720" w:hanging="492"/>
        <w:spacing w:after="0" w:line="389" w:lineRule="auto"/>
        <w:tabs>
          <w:tab w:leader="none" w:pos="488"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Restructuring and Related Charges </w:t>
      </w:r>
      <w:r>
        <w:rPr>
          <w:rFonts w:ascii="Arial" w:cs="Arial" w:eastAsia="Arial" w:hAnsi="Arial"/>
          <w:sz w:val="17"/>
          <w:szCs w:val="17"/>
          <w:b w:val="1"/>
          <w:bCs w:val="1"/>
          <w:i w:val="1"/>
          <w:iCs w:val="1"/>
          <w:color w:val="auto"/>
        </w:rPr>
        <w:t>January 2024 Restructuring Plan</w:t>
      </w:r>
    </w:p>
    <w:p>
      <w:pPr>
        <w:ind w:left="500" w:right="58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On January 9, 2024, the Company announced a restructuring plan to focus its workforce and cost structure on key growth opportunities and support its profitability goals. The plan included a reduction in workforce of approximately 10% of its corporate employees (primarily a reduction in force, with some open role closures/reduced backfills, and excludes potential hiring of new employees or other additions to the Company’s costs and expenses).</w:t>
      </w:r>
    </w:p>
    <w:p>
      <w:pPr>
        <w:spacing w:after="0" w:line="68" w:lineRule="exact"/>
        <w:rPr>
          <w:rFonts w:ascii="Arial" w:cs="Arial" w:eastAsia="Arial" w:hAnsi="Arial"/>
          <w:sz w:val="17"/>
          <w:szCs w:val="17"/>
          <w:b w:val="1"/>
          <w:bCs w:val="1"/>
          <w:color w:val="auto"/>
        </w:rPr>
      </w:pPr>
    </w:p>
    <w:p>
      <w:pPr>
        <w:ind w:left="500" w:right="2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Restructuring charges of $0.2 million for severance and related costs were recognized during the three months ended April 30, 2024 and are reflected in Restructuring charges on the Company’s Condensed Consolidated Statements of Operations. Restructuring charges of $2.0 million for severance and related costs were recognized during the year ended January 31, 2024 and were reflected in Restructuring charges on the Company’s Consolidated Statements of Operations. Accrued restructuring charges were $0.2 million and $0.7 million as of April 30, 2024 and January 31, 2024, respectively. The Company may incur additional restructuring charges in the future. The restructuring plan is expected to be fully completed by the end of the second quarter of fiscal year 2024.</w:t>
      </w:r>
    </w:p>
    <w:p>
      <w:pPr>
        <w:spacing w:after="0" w:line="74" w:lineRule="exact"/>
        <w:rPr>
          <w:rFonts w:ascii="Arial" w:cs="Arial" w:eastAsia="Arial" w:hAnsi="Arial"/>
          <w:sz w:val="17"/>
          <w:szCs w:val="17"/>
          <w:b w:val="1"/>
          <w:bCs w:val="1"/>
          <w:color w:val="auto"/>
        </w:rPr>
      </w:pPr>
    </w:p>
    <w:p>
      <w:pPr>
        <w:ind w:left="500" w:right="10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The Company recorded asset impairment charges of $1.1 million during the quarter and year ended January 31, 2024 related to the discontinuation of a software implementation project in connection with the January 2024 restructuring plan. The charge was reflected in Loss on asset impairment related to restructuring on the Company’s Consolidated Statements of Operations.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 - Lessee Accounting</w:t>
      </w:r>
    </w:p>
    <w:p>
      <w:pPr>
        <w:spacing w:after="0" w:line="252"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During the year ended January 31, 2024, the Company amended the operating lease for its fulfillment center at 100 Metro Way in Secaucus, NJ, the terms of which extended the lease for an additional five years to August 31, 2029. The lease modification resulted in an adjustment of $9.9 million to lease liabilities and right-of-use assets. The Company did not exercise its renewal option with respect to its lease for 55 Metro Way in Secaucus, NJ, which is anticipated to expire in accordance with its terms on August 31, 2024.</w:t>
      </w:r>
    </w:p>
    <w:p>
      <w:pPr>
        <w:spacing w:after="0" w:line="176" w:lineRule="exact"/>
        <w:rPr>
          <w:rFonts w:ascii="Arial" w:cs="Arial" w:eastAsia="Arial" w:hAnsi="Arial"/>
          <w:sz w:val="18"/>
          <w:szCs w:val="18"/>
          <w:b w:val="1"/>
          <w:bCs w:val="1"/>
          <w:color w:val="auto"/>
        </w:rPr>
      </w:pPr>
    </w:p>
    <w:p>
      <w:pPr>
        <w:ind w:left="500" w:right="36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minimum fixed lease obligations under existing agreements as a lessee, excluding variable payments and short-term lease payments, as of April 30, 2024:</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7"/>
                <w:szCs w:val="17"/>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Financing</w:t>
            </w:r>
          </w:p>
        </w:tc>
      </w:tr>
      <w:tr>
        <w:trPr>
          <w:trHeight w:val="210"/>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8"/>
                <w:szCs w:val="18"/>
                <w:color w:val="auto"/>
              </w:rPr>
              <w:t>2024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0.4</w:t>
            </w:r>
          </w:p>
        </w:tc>
      </w:tr>
      <w:tr>
        <w:trPr>
          <w:trHeight w:val="230"/>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5"/>
              </w:rPr>
              <w:t>0.3</w:t>
            </w:r>
          </w:p>
        </w:tc>
      </w:tr>
      <w:tr>
        <w:trPr>
          <w:trHeight w:val="229"/>
        </w:trPr>
        <w:tc>
          <w:tcPr>
            <w:tcW w:w="7520" w:type="dxa"/>
            <w:vAlign w:val="bottom"/>
          </w:tcPr>
          <w:p>
            <w:pPr>
              <w:ind w:left="2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0.1</w:t>
            </w:r>
          </w:p>
        </w:tc>
      </w:tr>
      <w:tr>
        <w:trPr>
          <w:trHeight w:val="230"/>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5"/>
              </w:rPr>
              <w:t>0.1</w:t>
            </w:r>
          </w:p>
        </w:tc>
      </w:tr>
      <w:tr>
        <w:trPr>
          <w:trHeight w:val="229"/>
        </w:trPr>
        <w:tc>
          <w:tcPr>
            <w:tcW w:w="7520" w:type="dxa"/>
            <w:vAlign w:val="bottom"/>
          </w:tcPr>
          <w:p>
            <w:pPr>
              <w:ind w:left="220"/>
              <w:spacing w:after="0"/>
              <w:rPr>
                <w:sz w:val="20"/>
                <w:szCs w:val="20"/>
                <w:color w:val="auto"/>
              </w:rPr>
            </w:pPr>
            <w:r>
              <w:rPr>
                <w:rFonts w:ascii="Arial" w:cs="Arial" w:eastAsia="Arial" w:hAnsi="Arial"/>
                <w:sz w:val="18"/>
                <w:szCs w:val="18"/>
                <w:color w:val="auto"/>
              </w:rPr>
              <w:t>2028</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0.1</w:t>
            </w:r>
          </w:p>
        </w:tc>
      </w:tr>
      <w:tr>
        <w:trPr>
          <w:trHeight w:val="229"/>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95"/>
              </w:rPr>
              <w:t>0.4</w:t>
            </w:r>
          </w:p>
        </w:tc>
      </w:tr>
      <w:tr>
        <w:trPr>
          <w:trHeight w:val="223"/>
        </w:trPr>
        <w:tc>
          <w:tcPr>
            <w:tcW w:w="752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1.4</w:t>
            </w:r>
          </w:p>
        </w:tc>
      </w:tr>
      <w:tr>
        <w:trPr>
          <w:trHeight w:val="230"/>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Imputed interest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32"/>
              <w:spacing w:after="0"/>
              <w:rPr>
                <w:sz w:val="20"/>
                <w:szCs w:val="20"/>
                <w:color w:val="auto"/>
              </w:rPr>
            </w:pPr>
            <w:r>
              <w:rPr>
                <w:rFonts w:ascii="Arial" w:cs="Arial" w:eastAsia="Arial" w:hAnsi="Arial"/>
                <w:sz w:val="18"/>
                <w:szCs w:val="18"/>
                <w:color w:val="auto"/>
              </w:rPr>
              <w:t>(0.4)</w:t>
            </w:r>
          </w:p>
        </w:tc>
      </w:tr>
      <w:tr>
        <w:trPr>
          <w:trHeight w:val="223"/>
        </w:trPr>
        <w:tc>
          <w:tcPr>
            <w:tcW w:w="7520" w:type="dxa"/>
            <w:vAlign w:val="bottom"/>
          </w:tcPr>
          <w:p>
            <w:pPr>
              <w:ind w:left="360"/>
              <w:spacing w:after="0"/>
              <w:rPr>
                <w:sz w:val="20"/>
                <w:szCs w:val="20"/>
                <w:color w:val="auto"/>
              </w:rPr>
            </w:pPr>
            <w:r>
              <w:rPr>
                <w:rFonts w:ascii="Arial" w:cs="Arial" w:eastAsia="Arial" w:hAnsi="Arial"/>
                <w:sz w:val="18"/>
                <w:szCs w:val="18"/>
                <w:color w:val="auto"/>
              </w:rPr>
              <w:t>Lease liabilities as of April 30, 2024</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752"/>
              <w:spacing w:after="0"/>
              <w:rPr>
                <w:sz w:val="20"/>
                <w:szCs w:val="20"/>
                <w:color w:val="auto"/>
              </w:rPr>
            </w:pPr>
            <w:r>
              <w:rPr>
                <w:rFonts w:ascii="Arial" w:cs="Arial" w:eastAsia="Arial" w:hAnsi="Arial"/>
                <w:sz w:val="18"/>
                <w:szCs w:val="18"/>
                <w:color w:val="auto"/>
                <w:w w:val="95"/>
              </w:rPr>
              <w:t>1.0</w:t>
            </w: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Rental Product, Net</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Rental product, net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96"/>
        </w:trPr>
        <w:tc>
          <w:tcPr>
            <w:tcW w:w="7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197"/>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Apparel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Accessories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7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r>
      <w:tr>
        <w:trPr>
          <w:trHeight w:val="248"/>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Rental product,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right="80"/>
        <w:spacing w:after="0" w:line="287" w:lineRule="auto"/>
        <w:rPr>
          <w:sz w:val="20"/>
          <w:szCs w:val="20"/>
          <w:color w:val="auto"/>
        </w:rPr>
      </w:pPr>
      <w:r>
        <w:rPr>
          <w:rFonts w:ascii="Arial" w:cs="Arial" w:eastAsia="Arial" w:hAnsi="Arial"/>
          <w:sz w:val="18"/>
          <w:szCs w:val="18"/>
          <w:color w:val="auto"/>
        </w:rPr>
        <w:t>Depreciation and write-offs related to rental product, including write-offs of rental products sold, was $14.9 million and $12.1 million for the three months ended April 30, 2024 and 2023, respectively.</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right="9360" w:hanging="492"/>
        <w:spacing w:after="0" w:line="375" w:lineRule="auto"/>
        <w:tabs>
          <w:tab w:leader="none" w:pos="48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Summary</w:t>
      </w:r>
    </w:p>
    <w:p>
      <w:pPr>
        <w:spacing w:after="0" w:line="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long-term debt outstanding as of April 30, 2024 and January 31, 2024:</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95"/>
        </w:trPr>
        <w:tc>
          <w:tcPr>
            <w:tcW w:w="71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468"/>
        </w:trPr>
        <w:tc>
          <w:tcPr>
            <w:tcW w:w="7180" w:type="dxa"/>
            <w:vAlign w:val="bottom"/>
          </w:tcPr>
          <w:p>
            <w:pPr>
              <w:ind w:left="20"/>
              <w:spacing w:after="0"/>
              <w:rPr>
                <w:sz w:val="20"/>
                <w:szCs w:val="20"/>
                <w:color w:val="auto"/>
              </w:rPr>
            </w:pPr>
            <w:r>
              <w:rPr>
                <w:rFonts w:ascii="Arial" w:cs="Arial" w:eastAsia="Arial" w:hAnsi="Arial"/>
                <w:sz w:val="18"/>
                <w:szCs w:val="18"/>
                <w:color w:val="auto"/>
              </w:rPr>
              <w:t>Temasek Facility principal outstanding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payment-in-kind interest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70"/>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Add (Less): unamortized debt premium (discount)</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Temasek Facility, net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r>
      <w:tr>
        <w:trPr>
          <w:trHeight w:val="270"/>
        </w:trPr>
        <w:tc>
          <w:tcPr>
            <w:tcW w:w="7180" w:type="dxa"/>
            <w:vAlign w:val="bottom"/>
          </w:tcPr>
          <w:p>
            <w:pPr>
              <w:ind w:left="34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noncurrent long-term debt</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Temasek Facility</w:t>
      </w:r>
    </w:p>
    <w:p>
      <w:pPr>
        <w:spacing w:after="0" w:line="117"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January 2023, the Company entered into an amendment to the 2021 Amended Temasek Facility (the “2022 Temasek Facility Amendment”). The 2021 Amended Temasek Facility as further amended by the 2022 Temasek Facility Amendment is referred to as the “2022 Amended Temasek Facility”. This transaction was accounted for as a debt modification. The terms of the amendment provided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 12% to 13% and annual rate increases of 1% thereafter for the duration of the 2022 Amended Temasek Facility. In connection with the 2022 Temasek Facility Amendment, the Company granted a warrant to purchase up to 100,000 shares of the Company’s Class A common stock at an exercise price of $100.00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pacing w:after="0" w:line="209" w:lineRule="exact"/>
        <w:rPr>
          <w:sz w:val="20"/>
          <w:szCs w:val="20"/>
          <w:color w:val="auto"/>
        </w:rPr>
      </w:pPr>
    </w:p>
    <w:p>
      <w:pPr>
        <w:ind w:left="500"/>
        <w:spacing w:after="0" w:line="268" w:lineRule="auto"/>
        <w:rPr>
          <w:sz w:val="20"/>
          <w:szCs w:val="20"/>
          <w:color w:val="auto"/>
        </w:rPr>
      </w:pPr>
      <w:r>
        <w:rPr>
          <w:rFonts w:ascii="Arial" w:cs="Arial" w:eastAsia="Arial" w:hAnsi="Arial"/>
          <w:sz w:val="18"/>
          <w:szCs w:val="18"/>
          <w:color w:val="auto"/>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58" w:lineRule="exact"/>
        <w:rPr>
          <w:sz w:val="20"/>
          <w:szCs w:val="20"/>
          <w:color w:val="auto"/>
        </w:rPr>
      </w:pPr>
    </w:p>
    <w:p>
      <w:pPr>
        <w:ind w:left="500"/>
        <w:spacing w:after="0" w:line="252" w:lineRule="auto"/>
        <w:rPr>
          <w:sz w:val="20"/>
          <w:szCs w:val="20"/>
          <w:color w:val="auto"/>
        </w:rPr>
      </w:pPr>
      <w:r>
        <w:rPr>
          <w:rFonts w:ascii="Arial" w:cs="Arial" w:eastAsia="Arial" w:hAnsi="Arial"/>
          <w:sz w:val="17"/>
          <w:szCs w:val="17"/>
          <w:color w:val="auto"/>
        </w:rPr>
        <w:t>In December 2023, the Company entered into an amendment to the 2022 Amended Temasek Facility (the “2023 Temasek Facility Amendment”). The 2022 Amended Temasek Facility as further amended by the 2023 Temasek Facility Amendment is referred to as the “2023 Amended Temasek Facility”. This transaction was accounted for as a troubled debt restructuring. The terms of the amendment provide for (i) elimination of all interest (both payment-in-kind and cash interest) for a period of six full fiscal quarters beginning with the fourth quarter of fiscal year 2023; (ii) reduction of the minimum liquidity maintenance covenant under the 2023 Amended Temasek Facility from $50 million to $30 million; and (iii) additional covenants requiring the Company to comply with mutually</w:t>
      </w:r>
    </w:p>
    <w:p>
      <w:pPr>
        <w:spacing w:after="0" w:line="2" w:lineRule="exact"/>
        <w:rPr>
          <w:sz w:val="20"/>
          <w:szCs w:val="20"/>
          <w:color w:val="auto"/>
        </w:rPr>
      </w:pPr>
    </w:p>
    <w:p>
      <w:pPr>
        <w:ind w:left="500" w:right="260"/>
        <w:spacing w:after="0"/>
        <w:rPr>
          <w:sz w:val="20"/>
          <w:szCs w:val="20"/>
          <w:color w:val="auto"/>
        </w:rPr>
      </w:pPr>
      <w:r>
        <w:rPr>
          <w:rFonts w:ascii="Arial" w:cs="Arial" w:eastAsia="Arial" w:hAnsi="Arial"/>
          <w:sz w:val="17"/>
          <w:szCs w:val="17"/>
          <w:color w:val="auto"/>
        </w:rPr>
        <w:t>agreed upon quarterly and annual spend levels for rental product capital expenditures, fixed operating expenditures and marketing expenditures during fiscal year 2024 of $51 million, $100 million (excluding $10 million of specified permitted expenditures), and $30</w:t>
      </w:r>
    </w:p>
    <w:p>
      <w:pPr>
        <w:spacing w:after="0" w:line="1" w:lineRule="exact"/>
        <w:rPr>
          <w:sz w:val="20"/>
          <w:szCs w:val="20"/>
          <w:color w:val="auto"/>
        </w:rPr>
      </w:pPr>
    </w:p>
    <w:p>
      <w:pPr>
        <w:ind w:left="500" w:right="200"/>
        <w:spacing w:after="0" w:line="238" w:lineRule="auto"/>
        <w:rPr>
          <w:sz w:val="20"/>
          <w:szCs w:val="20"/>
          <w:color w:val="auto"/>
        </w:rPr>
      </w:pPr>
      <w:r>
        <w:rPr>
          <w:rFonts w:ascii="Arial" w:cs="Arial" w:eastAsia="Arial" w:hAnsi="Arial"/>
          <w:sz w:val="18"/>
          <w:szCs w:val="18"/>
          <w:color w:val="auto"/>
        </w:rPr>
        <w:t>million, respectively, on an annual basis and to-be-agreed levels for fiscal years 2025 and 2026, subject to the debt holders’ consent and certain exceptions. The Company did not record a gain in connection with the restructuring as the total undiscounted future cash payments specified in the 2023 Temasek Facility Amendment exceeded the carrying value of debt. The effective interest rate for the 2023 Amended Temasek Facility as of January 31, 2024 was 8.44%. The Company amortizes the debt discount using the effective interest method over the remaining term of the facility including the six full fiscal quarters during which payment-in-kind and cash interest were eliminated.</w:t>
      </w:r>
    </w:p>
    <w:p>
      <w:pPr>
        <w:spacing w:after="0" w:line="222"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Other than described above, the 2023 Amended Temasek Facility did not change the covenants under the 2022 Amended Temasek Facility, which require the Company to comply with specified nonfinancial covenants including, but not limited to, restrictions on the incurrence of debt, payment of dividends, investments, sale of assets, mergers and acquisitions, modifications of certain agreements and its fiscal year, and granting of liens. The 2023 Amended Temasek Facility also contains various events of default, including failure to comply with the minimum liquidity maintenance covenant and maximum expenditure thresholds, the occurrence of which could result in the acceleration of outstanding borrowings under the 2023 Amended Temasek Facility for the Company.</w:t>
      </w:r>
    </w:p>
    <w:p>
      <w:pPr>
        <w:spacing w:after="0" w:line="182" w:lineRule="exact"/>
        <w:rPr>
          <w:sz w:val="20"/>
          <w:szCs w:val="20"/>
          <w:color w:val="auto"/>
        </w:rPr>
      </w:pPr>
    </w:p>
    <w:p>
      <w:pPr>
        <w:jc w:val="both"/>
        <w:ind w:left="500" w:right="100"/>
        <w:spacing w:after="0" w:line="291" w:lineRule="auto"/>
        <w:rPr>
          <w:sz w:val="20"/>
          <w:szCs w:val="20"/>
          <w:color w:val="auto"/>
        </w:rPr>
      </w:pPr>
      <w:r>
        <w:rPr>
          <w:rFonts w:ascii="Arial" w:cs="Arial" w:eastAsia="Arial" w:hAnsi="Arial"/>
          <w:sz w:val="17"/>
          <w:szCs w:val="17"/>
          <w:color w:val="auto"/>
        </w:rPr>
        <w:t>The Company determined that all of the embedded features of the Temasek Facility, 2021 Amended Temasek Facility, 2022 Amended Temasek Facility, and 2023 Amended Temasek Facility were clearly and closely related to the debt host and did not require bifurcation as a derivative liability, or the fair value of the feature was immaterial to the Company’s condensed consolidated financial statements.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Covenants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applicable financial covenants as of April 30, 2024 and through the date of this filing.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360" w:lineRule="exact"/>
        <w:rPr>
          <w:rFonts w:ascii="Arial" w:cs="Arial" w:eastAsia="Arial" w:hAnsi="Arial"/>
          <w:sz w:val="18"/>
          <w:szCs w:val="18"/>
          <w:b w:val="1"/>
          <w:bCs w:val="1"/>
          <w:color w:val="auto"/>
        </w:rPr>
      </w:pPr>
    </w:p>
    <w:p>
      <w:pPr>
        <w:ind w:left="5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7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continues to maintain a full valuation allowance on all United States net deferred tax assets for all periods presented.</w:t>
      </w:r>
    </w:p>
    <w:p>
      <w:pPr>
        <w:spacing w:after="0" w:line="117" w:lineRule="exact"/>
        <w:rPr>
          <w:rFonts w:ascii="Arial" w:cs="Arial" w:eastAsia="Arial" w:hAnsi="Arial"/>
          <w:sz w:val="18"/>
          <w:szCs w:val="18"/>
          <w:b w:val="1"/>
          <w:bCs w:val="1"/>
          <w:color w:val="auto"/>
        </w:rPr>
      </w:pPr>
    </w:p>
    <w:p>
      <w:pPr>
        <w:ind w:left="5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amount of unrecognized tax benefits as of April 30, 2024 and January 31, 2024 was $1.2 million and $1.2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21"/>
          <w:szCs w:val="21"/>
          <w:color w:val="auto"/>
        </w:rPr>
        <w:t>.</w:t>
      </w:r>
    </w:p>
    <w:p>
      <w:pPr>
        <w:spacing w:after="0" w:line="277" w:lineRule="exact"/>
        <w:rPr>
          <w:rFonts w:ascii="Arial" w:cs="Arial" w:eastAsia="Arial" w:hAnsi="Arial"/>
          <w:sz w:val="18"/>
          <w:szCs w:val="18"/>
          <w:b w:val="1"/>
          <w:bCs w:val="1"/>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January 31,</w:t>
            </w:r>
          </w:p>
        </w:tc>
      </w:tr>
      <w:tr>
        <w:trPr>
          <w:trHeight w:val="195"/>
        </w:trPr>
        <w:tc>
          <w:tcPr>
            <w:tcW w:w="7160" w:type="dxa"/>
            <w:vAlign w:val="bottom"/>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r>
      <w:tr>
        <w:trPr>
          <w:trHeight w:val="252"/>
        </w:trPr>
        <w:tc>
          <w:tcPr>
            <w:tcW w:w="7160" w:type="dxa"/>
            <w:vAlign w:val="bottom"/>
          </w:tcPr>
          <w:p>
            <w:pPr>
              <w:ind w:left="20"/>
              <w:spacing w:after="0"/>
              <w:rPr>
                <w:sz w:val="20"/>
                <w:szCs w:val="20"/>
                <w:color w:val="auto"/>
              </w:rPr>
            </w:pPr>
            <w:r>
              <w:rPr>
                <w:rFonts w:ascii="Arial" w:cs="Arial" w:eastAsia="Arial" w:hAnsi="Arial"/>
                <w:sz w:val="18"/>
                <w:szCs w:val="18"/>
                <w:color w:val="auto"/>
              </w:rPr>
              <w:t>Accrued operating and general expenses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share payable</w:t>
            </w: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Accrued payroll related expenses</w:t>
            </w:r>
          </w:p>
        </w:tc>
        <w:tc>
          <w:tcPr>
            <w:tcW w:w="10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financing</w:t>
            </w: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Sales and other taxes</w:t>
            </w:r>
          </w:p>
        </w:tc>
        <w:tc>
          <w:tcPr>
            <w:tcW w:w="10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liability</w:t>
            </w:r>
          </w:p>
        </w:tc>
        <w:tc>
          <w:tcPr>
            <w:tcW w:w="10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22.2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7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borrowing rate for the short-term financing obligation was 8.80% as of April 30, 2024.</w:t>
      </w:r>
    </w:p>
    <w:p>
      <w:pPr>
        <w:spacing w:after="0" w:line="225"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rFonts w:ascii="Arial" w:cs="Arial" w:eastAsia="Arial" w:hAnsi="Arial"/>
          <w:sz w:val="18"/>
          <w:szCs w:val="18"/>
          <w:b w:val="1"/>
          <w:bCs w:val="1"/>
          <w:color w:val="auto"/>
        </w:rPr>
      </w:pPr>
    </w:p>
    <w:p>
      <w:pPr>
        <w:ind w:left="50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April 30, 2024 and January 31, 2024,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62" w:lineRule="exact"/>
        <w:rPr>
          <w:rFonts w:ascii="Arial" w:cs="Arial" w:eastAsia="Arial" w:hAnsi="Arial"/>
          <w:sz w:val="18"/>
          <w:szCs w:val="18"/>
          <w:b w:val="1"/>
          <w:bCs w:val="1"/>
          <w:color w:val="auto"/>
        </w:rPr>
      </w:pPr>
    </w:p>
    <w:p>
      <w:pPr>
        <w:ind w:left="5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long-term debt is reported at carrying value on the Company’s Condensed Consolidated Balance Sheets. Refer to Note 7 — Long-Term Debt. The Company estimates the fair value of its long-term debt using a discounted cash flow approach based on the Company’s implied credit spread using the median of option adjusted spreads for similar financial instruments with similar credit ratings, and, as such, long-term debt is classified as Level 3 within the fair value hierarchy. As of April 30, 2024, the estimated fair value of the Company’s long-term debt was $304.7 million.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right="8940" w:hanging="492"/>
        <w:spacing w:after="0" w:line="397" w:lineRule="auto"/>
        <w:tabs>
          <w:tab w:leader="none" w:pos="484"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Reverse Stock Split</w:t>
      </w:r>
    </w:p>
    <w:p>
      <w:pPr>
        <w:spacing w:after="0" w:line="1" w:lineRule="exact"/>
        <w:rPr>
          <w:rFonts w:ascii="Arial" w:cs="Arial" w:eastAsia="Arial" w:hAnsi="Arial"/>
          <w:sz w:val="17"/>
          <w:szCs w:val="17"/>
          <w:b w:val="1"/>
          <w:bCs w:val="1"/>
          <w:color w:val="auto"/>
        </w:rPr>
      </w:pPr>
    </w:p>
    <w:p>
      <w:pPr>
        <w:ind w:left="50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In March 2024, the Company’s stockholders approved, and the Company’s Board of Directors selected, a 1-for-20 reverse stock split (the “Reverse Stock Split”) of outstanding shares of Class A common stock and Class B common stock. The Reverse Stock Split became effective on April 2, 2024 and began trading on the Nasdaq Capital Market on a post-split basis on April 3, 2024. Following the Reverse Stock Split, the number of authorized shares of Class A common stock remained at 300,000,000, the number of authorized shares of Class B common stock remained at 50,000,000, and the number of authorized shares of preferred stock remained at 10,000,000. The Reverse Stock Split reduced the total number of issued and outstanding shares of Class A common stock from 67,812,037 to 3,390,587 and Class B common stock from 3,098,580 to 154,928 as of January 31, 2024. The par value of Class A common stock and Class B common stock remained at $0.001. The Company filed an Amendment to the Twelfth Amended and Restated Certificate of Incorporation with the Secretary of State of the State of Delaware on April 2, 2024 to implement the Reverse Stock Split. All per share amounts and common shares amounts have been adjusted on a retroactive basis to reflect the Reverse Stock Split for all periods. In addition, Class A common stock and Class B common stock decreased by $0.1 million and additional paid-in capital increased by $0.1 million, respectively, in the Condensed Consolidated Statements of Changes in Stockholders’ Equity (Deficit) as of April 30, 2023 and January 31, 2023.</w:t>
      </w:r>
    </w:p>
    <w:p>
      <w:pPr>
        <w:spacing w:after="0" w:line="79" w:lineRule="exact"/>
        <w:rPr>
          <w:rFonts w:ascii="Arial" w:cs="Arial" w:eastAsia="Arial" w:hAnsi="Arial"/>
          <w:sz w:val="17"/>
          <w:szCs w:val="17"/>
          <w:b w:val="1"/>
          <w:bCs w:val="1"/>
          <w:color w:val="auto"/>
        </w:rPr>
      </w:pPr>
    </w:p>
    <w:p>
      <w:pPr>
        <w:ind w:left="500" w:right="4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The Company’s stockholders’ equity, in the aggregate, remained unchanged following the Reverse Stock Split. Per share net loss increased because there were fewer shares of Class A common stock and Class B common stock outstanding. There were no other accounting consequences, including changes to the amount of stock-based compensation expense to be recognized in any period, that arose as a result of the Reverse Stock Split. No fractional shares were issued in connection with the Reverse Stock Split. Instead, holders of Class A common stock and Class B common stock holding fractional shares were entitled to receive, in lieu of such fractional shares, a cash payment in an amount determined based on the closing price of the Company’s Class A common stock on the effective date of the Reverse Stock Split. The cash payments were immaterial to the Company’s consolidated financial statements. The Reverse Stock Split impacted all stockholders uniformly and did not affect any stockholder’s percentage of ownership or proportionate voting power other than very minor impacts from the treatment of fractional shares.</w:t>
      </w:r>
    </w:p>
    <w:p>
      <w:pPr>
        <w:spacing w:after="0" w:line="74"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Common Stock</w:t>
      </w:r>
    </w:p>
    <w:p>
      <w:pPr>
        <w:spacing w:after="0" w:line="115" w:lineRule="exact"/>
        <w:rPr>
          <w:rFonts w:ascii="Arial" w:cs="Arial" w:eastAsia="Arial" w:hAnsi="Arial"/>
          <w:sz w:val="17"/>
          <w:szCs w:val="17"/>
          <w:b w:val="1"/>
          <w:bCs w:val="1"/>
          <w:color w:val="auto"/>
        </w:rPr>
      </w:pPr>
    </w:p>
    <w:p>
      <w:pPr>
        <w:ind w:left="50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7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Preferred Stock</w:t>
      </w:r>
    </w:p>
    <w:p>
      <w:pPr>
        <w:spacing w:after="0" w:line="115" w:lineRule="exact"/>
        <w:rPr>
          <w:rFonts w:ascii="Arial" w:cs="Arial" w:eastAsia="Arial" w:hAnsi="Arial"/>
          <w:sz w:val="17"/>
          <w:szCs w:val="17"/>
          <w:b w:val="1"/>
          <w:bCs w:val="1"/>
          <w:color w:val="auto"/>
        </w:rPr>
      </w:pPr>
    </w:p>
    <w:p>
      <w:pPr>
        <w:ind w:left="500" w:right="24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Upon the IPO, the Company authorized 10,000,000 shares of preferred stock, with a par value of $0.001 per share. No shares were issued or outstanding as of April 30,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ind w:left="500" w:right="240"/>
        <w:spacing w:after="0" w:line="287" w:lineRule="auto"/>
        <w:rPr>
          <w:sz w:val="20"/>
          <w:szCs w:val="20"/>
          <w:color w:val="auto"/>
        </w:rPr>
      </w:pPr>
      <w:r>
        <w:rPr>
          <w:rFonts w:ascii="Arial" w:cs="Arial" w:eastAsia="Arial" w:hAnsi="Arial"/>
          <w:sz w:val="18"/>
          <w:szCs w:val="18"/>
          <w:color w:val="auto"/>
        </w:rPr>
        <w:t>As of April 30, 2024 and January 31, 2024, the Company had the following outstanding warrants, adjusted on a retroactive basis to reflect the Reverse Stock Split as discussed above:</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Date</w:t>
            </w:r>
          </w:p>
        </w:tc>
        <w:tc>
          <w:tcPr>
            <w:tcW w:w="1340" w:type="dxa"/>
            <w:vAlign w:val="bottom"/>
          </w:tcPr>
          <w:p>
            <w:pPr>
              <w:jc w:val="right"/>
              <w:ind w:right="21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Class of</w:t>
            </w: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2800" w:type="dxa"/>
            <w:vAlign w:val="bottom"/>
          </w:tcPr>
          <w:p>
            <w:pPr>
              <w:ind w:left="72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Issued</w:t>
            </w:r>
          </w:p>
        </w:tc>
        <w:tc>
          <w:tcPr>
            <w:tcW w:w="1340" w:type="dxa"/>
            <w:vAlign w:val="bottom"/>
          </w:tcPr>
          <w:p>
            <w:pPr>
              <w:jc w:val="right"/>
              <w:ind w:right="33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(Per Warrant)</w:t>
            </w:r>
          </w:p>
        </w:tc>
        <w:tc>
          <w:tcPr>
            <w:tcW w:w="22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Arial" w:cs="Arial" w:eastAsia="Arial" w:hAnsi="Arial"/>
                <w:sz w:val="14"/>
                <w:szCs w:val="14"/>
                <w:b w:val="1"/>
                <w:bCs w:val="1"/>
                <w:color w:val="auto"/>
              </w:rPr>
              <w:t>at Issuance</w:t>
            </w:r>
          </w:p>
        </w:tc>
      </w:tr>
      <w:tr>
        <w:trPr>
          <w:trHeight w:val="265"/>
        </w:trPr>
        <w:tc>
          <w:tcPr>
            <w:tcW w:w="2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Nov-16</w:t>
            </w:r>
          </w:p>
        </w:tc>
        <w:tc>
          <w:tcPr>
            <w:tcW w:w="1340" w:type="dxa"/>
            <w:vAlign w:val="bottom"/>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Jun-17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Sep-17</w:t>
            </w:r>
          </w:p>
        </w:tc>
        <w:tc>
          <w:tcPr>
            <w:tcW w:w="134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Jan-18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Apr-18</w:t>
            </w:r>
          </w:p>
        </w:tc>
        <w:tc>
          <w:tcPr>
            <w:tcW w:w="134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Nov-15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Jun-16</w:t>
            </w:r>
          </w:p>
        </w:tc>
        <w:tc>
          <w:tcPr>
            <w:tcW w:w="134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340.77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Sep-16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80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Oct-21</w:t>
            </w:r>
          </w:p>
        </w:tc>
        <w:tc>
          <w:tcPr>
            <w:tcW w:w="1340" w:type="dxa"/>
            <w:vAlign w:val="bottom"/>
          </w:tcPr>
          <w:p>
            <w:pPr>
              <w:jc w:val="right"/>
              <w:spacing w:after="0"/>
              <w:rPr>
                <w:sz w:val="20"/>
                <w:szCs w:val="20"/>
                <w:color w:val="auto"/>
              </w:rPr>
            </w:pPr>
            <w:r>
              <w:rPr>
                <w:rFonts w:ascii="Arial" w:cs="Arial" w:eastAsia="Arial" w:hAnsi="Arial"/>
                <w:sz w:val="18"/>
                <w:szCs w:val="18"/>
                <w:color w:val="auto"/>
              </w:rPr>
              <w:t>19,717</w:t>
            </w:r>
          </w:p>
        </w:tc>
        <w:tc>
          <w:tcPr>
            <w:tcW w:w="100" w:type="dxa"/>
            <w:vAlign w:val="bottom"/>
          </w:tcPr>
          <w:p>
            <w:pPr>
              <w:spacing w:after="0"/>
              <w:rPr>
                <w:sz w:val="21"/>
                <w:szCs w:val="21"/>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
        </w:trPr>
        <w:tc>
          <w:tcPr>
            <w:tcW w:w="2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1"/>
        </w:trPr>
        <w:tc>
          <w:tcPr>
            <w:tcW w:w="2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131,574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
        </w:trPr>
        <w:tc>
          <w:tcPr>
            <w:tcW w:w="2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30, 2024 and January 31, 2024, all outstanding warrants were equity-classified and recorded as additional paid-in capital.</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Equity-classified contracts are not subsequently remeasured unless reclassification is required from equity to liability classification.</w:t>
      </w:r>
    </w:p>
    <w:p>
      <w:pPr>
        <w:spacing w:after="0" w:line="99" w:lineRule="exact"/>
        <w:rPr>
          <w:sz w:val="20"/>
          <w:szCs w:val="20"/>
          <w:color w:val="auto"/>
        </w:rPr>
      </w:pPr>
    </w:p>
    <w:p>
      <w:pPr>
        <w:jc w:val="both"/>
        <w:ind w:left="500" w:right="60"/>
        <w:spacing w:after="0" w:line="268" w:lineRule="auto"/>
        <w:rPr>
          <w:sz w:val="20"/>
          <w:szCs w:val="20"/>
          <w:color w:val="auto"/>
        </w:rPr>
      </w:pPr>
      <w:r>
        <w:rPr>
          <w:rFonts w:ascii="Arial" w:cs="Arial" w:eastAsia="Arial" w:hAnsi="Arial"/>
          <w:sz w:val="18"/>
          <w:szCs w:val="18"/>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pacing w:after="0" w:line="279"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30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2009 Stock Incentive Plan and 2019 Stock Incentive Plan</w:t>
      </w:r>
    </w:p>
    <w:p>
      <w:pPr>
        <w:spacing w:after="0" w:line="115"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74"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Amended and Restated 2021 Incentive Award Plan</w:t>
      </w:r>
    </w:p>
    <w:p>
      <w:pPr>
        <w:spacing w:after="0" w:line="115"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three months ended April 30, 2024 and years ended January 31, 2024 and 2023 and have a shorter vesting period of one to two years. As of April 30, 2024, there were 220,894 shares of Class A common stock available for issuance under the 2021 Plan. There will not be any further equity grants of Class B common stock.</w:t>
      </w:r>
    </w:p>
    <w:p>
      <w:pPr>
        <w:spacing w:after="0" w:line="7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the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There were no stock options granted during the three months ended April 30, 2024 or year ended January 31, 2024.</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500" w:right="520"/>
        <w:spacing w:after="0" w:line="287" w:lineRule="auto"/>
        <w:rPr>
          <w:sz w:val="20"/>
          <w:szCs w:val="20"/>
          <w:color w:val="auto"/>
        </w:rPr>
      </w:pPr>
      <w:r>
        <w:rPr>
          <w:rFonts w:ascii="Arial" w:cs="Arial" w:eastAsia="Arial" w:hAnsi="Arial"/>
          <w:sz w:val="18"/>
          <w:szCs w:val="18"/>
          <w:color w:val="auto"/>
        </w:rPr>
        <w:t>Stock option activity during the period indicated is as follows, adjusted on a retroactive basis to reflect the Reverse Stock Split as discussed in Note 11, Stockholders’ Equity:</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Weighted</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5"/>
                <w:szCs w:val="15"/>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3780" w:type="dxa"/>
            <w:vAlign w:val="bottom"/>
          </w:tcPr>
          <w:p>
            <w:pPr>
              <w:spacing w:after="0"/>
              <w:rPr>
                <w:sz w:val="15"/>
                <w:szCs w:val="15"/>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5"/>
                <w:szCs w:val="15"/>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rPr>
              <w:t>Intrinsic</w:t>
            </w:r>
          </w:p>
        </w:tc>
      </w:tr>
      <w:tr>
        <w:trPr>
          <w:trHeight w:val="211"/>
        </w:trPr>
        <w:tc>
          <w:tcPr>
            <w:tcW w:w="37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Value</w:t>
            </w: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31, 2024</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42,613</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70"/>
        </w:trPr>
        <w:tc>
          <w:tcPr>
            <w:tcW w:w="3780" w:type="dxa"/>
            <w:vAlign w:val="bottom"/>
          </w:tcPr>
          <w:p>
            <w:pPr>
              <w:ind w:left="4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3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3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(3,628)</w:t>
            </w:r>
          </w:p>
        </w:tc>
        <w:tc>
          <w:tcPr>
            <w:tcW w:w="66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162.82</w:t>
            </w:r>
          </w:p>
        </w:tc>
        <w:tc>
          <w:tcPr>
            <w:tcW w:w="22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April 30, 2024</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38,985</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248"/>
        </w:trPr>
        <w:tc>
          <w:tcPr>
            <w:tcW w:w="3780" w:type="dxa"/>
            <w:vAlign w:val="bottom"/>
          </w:tcPr>
          <w:p>
            <w:pPr>
              <w:ind w:left="20"/>
              <w:spacing w:after="0"/>
              <w:rPr>
                <w:sz w:val="20"/>
                <w:szCs w:val="20"/>
                <w:color w:val="auto"/>
              </w:rPr>
            </w:pPr>
            <w:r>
              <w:rPr>
                <w:rFonts w:ascii="Arial" w:cs="Arial" w:eastAsia="Arial" w:hAnsi="Arial"/>
                <w:sz w:val="18"/>
                <w:szCs w:val="18"/>
                <w:color w:val="auto"/>
              </w:rPr>
              <w:t>Exercisable as of April 30, 2024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37,041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156.61</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bl>
    <w:p>
      <w:pPr>
        <w:spacing w:after="0" w:line="315" w:lineRule="exact"/>
        <w:rPr>
          <w:sz w:val="20"/>
          <w:szCs w:val="20"/>
          <w:color w:val="auto"/>
        </w:rPr>
      </w:pPr>
    </w:p>
    <w:p>
      <w:pPr>
        <w:ind w:left="500" w:right="140"/>
        <w:spacing w:after="0" w:line="287" w:lineRule="auto"/>
        <w:rPr>
          <w:sz w:val="20"/>
          <w:szCs w:val="20"/>
          <w:color w:val="auto"/>
        </w:rPr>
      </w:pPr>
      <w:r>
        <w:rPr>
          <w:rFonts w:ascii="Arial" w:cs="Arial" w:eastAsia="Arial" w:hAnsi="Arial"/>
          <w:sz w:val="18"/>
          <w:szCs w:val="18"/>
          <w:color w:val="auto"/>
        </w:rPr>
        <w:t>As of April 30, 2024, there was $0.2 million of unrecognized compensation cost related to stock options granted that is expected to be recognized over a weighted average period of 1.23 years.</w:t>
      </w:r>
    </w:p>
    <w:p>
      <w:pPr>
        <w:spacing w:after="0" w:line="166" w:lineRule="exact"/>
        <w:rPr>
          <w:sz w:val="20"/>
          <w:szCs w:val="20"/>
          <w:color w:val="auto"/>
        </w:rPr>
      </w:pPr>
    </w:p>
    <w:p>
      <w:pPr>
        <w:ind w:left="500" w:right="160"/>
        <w:spacing w:after="0" w:line="259" w:lineRule="auto"/>
        <w:rPr>
          <w:sz w:val="20"/>
          <w:szCs w:val="20"/>
          <w:color w:val="auto"/>
        </w:rPr>
      </w:pPr>
      <w:r>
        <w:rPr>
          <w:rFonts w:ascii="Arial" w:cs="Arial" w:eastAsia="Arial" w:hAnsi="Arial"/>
          <w:sz w:val="17"/>
          <w:szCs w:val="17"/>
          <w:color w:val="auto"/>
        </w:rPr>
        <w:t>During the year ended January 31, 2024, the Company completed an option exchange designed to incentivize and retain employees, directors and other service providers by providing the ability to exchange outstanding stock options for RSUs representing the right to</w:t>
      </w:r>
    </w:p>
    <w:p>
      <w:pPr>
        <w:spacing w:after="0" w:line="1" w:lineRule="exact"/>
        <w:rPr>
          <w:sz w:val="20"/>
          <w:szCs w:val="20"/>
          <w:color w:val="auto"/>
        </w:rPr>
      </w:pPr>
    </w:p>
    <w:p>
      <w:pPr>
        <w:ind w:left="500" w:right="540"/>
        <w:spacing w:after="0"/>
        <w:rPr>
          <w:sz w:val="20"/>
          <w:szCs w:val="20"/>
          <w:color w:val="auto"/>
        </w:rPr>
      </w:pPr>
      <w:r>
        <w:rPr>
          <w:rFonts w:ascii="Arial" w:cs="Arial" w:eastAsia="Arial" w:hAnsi="Arial"/>
          <w:sz w:val="17"/>
          <w:szCs w:val="17"/>
          <w:color w:val="auto"/>
        </w:rPr>
        <w:t>receive Class A common stock. Stock options relating to 331,370 shares of Class A and Class B common stock were forfeited in exchange for 132,546 RSUs which generally vest over two years. The Company will recognize $0.8 million of incremental stock</w:t>
      </w:r>
    </w:p>
    <w:p>
      <w:pPr>
        <w:spacing w:after="0" w:line="1" w:lineRule="exact"/>
        <w:rPr>
          <w:sz w:val="20"/>
          <w:szCs w:val="20"/>
          <w:color w:val="auto"/>
        </w:rPr>
      </w:pPr>
    </w:p>
    <w:p>
      <w:pPr>
        <w:ind w:left="500" w:right="220"/>
        <w:spacing w:after="0" w:line="250" w:lineRule="auto"/>
        <w:rPr>
          <w:sz w:val="20"/>
          <w:szCs w:val="20"/>
          <w:color w:val="auto"/>
        </w:rPr>
      </w:pPr>
      <w:r>
        <w:rPr>
          <w:rFonts w:ascii="Arial" w:cs="Arial" w:eastAsia="Arial" w:hAnsi="Arial"/>
          <w:sz w:val="18"/>
          <w:szCs w:val="18"/>
          <w:color w:val="auto"/>
        </w:rPr>
        <w:t>compensation expense from the RSUs granted as a result of the option exchange which will be recognized over the two year vesting period.</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currently uses authorized and unissued shares to satisfy the exercise of stock option awards.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RSUs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RSUs activity during the period indicated is as follows, adjusted on a retroactive basis to reflect the Reverse Stock Split as discussed in</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Note 11, Stockholders’ Equity:</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15"/>
                <w:szCs w:val="15"/>
                <w:color w:val="auto"/>
              </w:rPr>
            </w:pPr>
          </w:p>
        </w:tc>
        <w:tc>
          <w:tcPr>
            <w:tcW w:w="13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5"/>
        </w:trPr>
        <w:tc>
          <w:tcPr>
            <w:tcW w:w="72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January 31, 2024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404,965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295,983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Vested/Released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(22,264)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April 30,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548,877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right="320"/>
        <w:spacing w:after="0" w:line="268" w:lineRule="auto"/>
        <w:rPr>
          <w:sz w:val="20"/>
          <w:szCs w:val="20"/>
          <w:color w:val="auto"/>
        </w:rPr>
      </w:pPr>
      <w:r>
        <w:rPr>
          <w:rFonts w:ascii="Arial" w:cs="Arial" w:eastAsia="Arial" w:hAnsi="Arial"/>
          <w:sz w:val="18"/>
          <w:szCs w:val="18"/>
          <w:color w:val="auto"/>
        </w:rPr>
        <w:t>As of April 30, 2024, there was $9.5 million of unrecognized compensation cost related to RSUs granted that is expected to be recognized over a weighted average period of 1.5 years. Of the total unrecognized compensation cost, $1.7 million related to RSUs granted as a result of the option exchange.</w:t>
      </w:r>
    </w:p>
    <w:p>
      <w:pPr>
        <w:spacing w:after="0" w:line="171" w:lineRule="exact"/>
        <w:rPr>
          <w:sz w:val="20"/>
          <w:szCs w:val="20"/>
          <w:color w:val="auto"/>
        </w:rPr>
      </w:pPr>
    </w:p>
    <w:p>
      <w:pPr>
        <w:ind w:left="500" w:right="680"/>
        <w:spacing w:after="0" w:line="287" w:lineRule="auto"/>
        <w:rPr>
          <w:sz w:val="20"/>
          <w:szCs w:val="20"/>
          <w:color w:val="auto"/>
        </w:rPr>
      </w:pPr>
      <w:r>
        <w:rPr>
          <w:rFonts w:ascii="Arial" w:cs="Arial" w:eastAsia="Arial" w:hAnsi="Arial"/>
          <w:sz w:val="18"/>
          <w:szCs w:val="18"/>
          <w:color w:val="auto"/>
        </w:rPr>
        <w:t>As of April 30, 2024 and January 31, 2024, there were 418 and 43,518 vested and unreleased shares, respectively, included in unvested and outstanding shares in the table above.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 Summary</w:t>
      </w:r>
    </w:p>
    <w:p>
      <w:pPr>
        <w:spacing w:after="0" w:line="156" w:lineRule="exact"/>
        <w:rPr>
          <w:sz w:val="20"/>
          <w:szCs w:val="20"/>
          <w:color w:val="auto"/>
        </w:rPr>
      </w:pPr>
    </w:p>
    <w:p>
      <w:pPr>
        <w:ind w:left="500" w:right="320"/>
        <w:spacing w:after="0" w:line="287" w:lineRule="auto"/>
        <w:rPr>
          <w:sz w:val="20"/>
          <w:szCs w:val="20"/>
          <w:color w:val="auto"/>
        </w:rPr>
      </w:pPr>
      <w:r>
        <w:rPr>
          <w:rFonts w:ascii="Arial" w:cs="Arial" w:eastAsia="Arial" w:hAnsi="Arial"/>
          <w:sz w:val="18"/>
          <w:szCs w:val="18"/>
          <w:color w:val="auto"/>
        </w:rPr>
        <w:t>The classification of share-based compensation for the three months ended April 30, 2024 and 2023, respectively, presented within each line item of the Condensed Consolidated Statements of Operations is as follows:</w:t>
      </w:r>
    </w:p>
    <w:p>
      <w:pPr>
        <w:spacing w:after="0" w:line="217"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April 30,</w:t>
      </w:r>
    </w:p>
    <w:p>
      <w:pPr>
        <w:spacing w:after="0" w:line="21" w:lineRule="exact"/>
        <w:rPr>
          <w:sz w:val="20"/>
          <w:szCs w:val="20"/>
          <w:color w:val="auto"/>
        </w:rPr>
      </w:pPr>
    </w:p>
    <w:tbl>
      <w:tblPr>
        <w:tblLayout w:type="fixed"/>
        <w:tblInd w:w="500" w:type="dxa"/>
        <w:tblCellMar>
          <w:top w:w="0" w:type="dxa"/>
          <w:left w:w="0" w:type="dxa"/>
          <w:bottom w:w="0" w:type="dxa"/>
          <w:right w:w="0" w:type="dxa"/>
        </w:tblCellMar>
      </w:tblPr>
      <w:tr>
        <w:trPr>
          <w:trHeight w:val="211"/>
        </w:trPr>
        <w:tc>
          <w:tcPr>
            <w:tcW w:w="6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2023</w:t>
            </w:r>
          </w:p>
        </w:tc>
      </w:tr>
      <w:tr>
        <w:trPr>
          <w:trHeight w:val="265"/>
        </w:trPr>
        <w:tc>
          <w:tcPr>
            <w:tcW w:w="646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10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88"/>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share-based compensation</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500" w:right="220"/>
        <w:spacing w:after="0" w:line="253" w:lineRule="auto"/>
        <w:rPr>
          <w:sz w:val="20"/>
          <w:szCs w:val="20"/>
          <w:color w:val="auto"/>
        </w:rPr>
      </w:pPr>
      <w:r>
        <w:rPr>
          <w:rFonts w:ascii="Arial" w:cs="Arial" w:eastAsia="Arial" w:hAnsi="Arial"/>
          <w:sz w:val="18"/>
          <w:szCs w:val="18"/>
          <w:color w:val="auto"/>
        </w:rPr>
        <w:t>The Company recognized $1.9 million of incremental share-based compensation expense in General and administrative expenses during the three months ended April 30, 2023 due to equity award modifications related to the transition of the Chief Financial Officer role.</w:t>
      </w:r>
    </w:p>
    <w:p>
      <w:pPr>
        <w:spacing w:after="0" w:line="196" w:lineRule="exact"/>
        <w:rPr>
          <w:sz w:val="20"/>
          <w:szCs w:val="20"/>
          <w:color w:val="auto"/>
        </w:rPr>
      </w:pPr>
    </w:p>
    <w:p>
      <w:pPr>
        <w:ind w:left="500" w:right="100"/>
        <w:spacing w:after="0" w:line="271" w:lineRule="auto"/>
        <w:rPr>
          <w:sz w:val="20"/>
          <w:szCs w:val="20"/>
          <w:color w:val="auto"/>
        </w:rPr>
      </w:pPr>
      <w:r>
        <w:rPr>
          <w:rFonts w:ascii="Arial" w:cs="Arial" w:eastAsia="Arial" w:hAnsi="Arial"/>
          <w:sz w:val="18"/>
          <w:szCs w:val="18"/>
          <w:color w:val="auto"/>
        </w:rPr>
        <w:t>The Company recognized $0.4 million of share-based compensation expense during the three months ended April 30, 2024, including incremental share-based compensation expense as a result of the option exchange discussed above.</w:t>
      </w:r>
    </w:p>
    <w:p>
      <w:pPr>
        <w:spacing w:after="0" w:line="262"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17" w:lineRule="exact"/>
        <w:rPr>
          <w:rFonts w:ascii="Arial" w:cs="Arial" w:eastAsia="Arial" w:hAnsi="Arial"/>
          <w:sz w:val="18"/>
          <w:szCs w:val="18"/>
          <w:b w:val="1"/>
          <w:bCs w:val="1"/>
          <w:color w:val="auto"/>
        </w:rPr>
      </w:pPr>
    </w:p>
    <w:p>
      <w:pPr>
        <w:ind w:left="500" w:right="4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68" w:lineRule="exact"/>
        <w:rPr>
          <w:rFonts w:ascii="Arial" w:cs="Arial" w:eastAsia="Arial" w:hAnsi="Arial"/>
          <w:sz w:val="18"/>
          <w:szCs w:val="18"/>
          <w:b w:val="1"/>
          <w:bCs w:val="1"/>
          <w:color w:val="auto"/>
        </w:rPr>
      </w:pPr>
    </w:p>
    <w:p>
      <w:pPr>
        <w:ind w:left="500" w:right="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 adjusted on a retroactive basis to reflect the Reverse Stock Split as discussed in Note 11, Stockholders’ Equity:</w:t>
      </w:r>
    </w:p>
    <w:p>
      <w:pPr>
        <w:spacing w:after="0" w:line="217"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April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00" w:type="dxa"/>
            <w:vAlign w:val="bottom"/>
          </w:tcPr>
          <w:p>
            <w:pPr>
              <w:spacing w:after="0"/>
              <w:rPr>
                <w:sz w:val="21"/>
                <w:szCs w:val="21"/>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Weighted-average shares used in computing net loss per share attributable to</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7040" w:type="dxa"/>
            <w:vAlign w:val="bottom"/>
          </w:tcPr>
          <w:p>
            <w:pPr>
              <w:ind w:left="660"/>
              <w:spacing w:after="0"/>
              <w:rPr>
                <w:sz w:val="20"/>
                <w:szCs w:val="20"/>
                <w:color w:val="auto"/>
              </w:rPr>
            </w:pPr>
            <w:r>
              <w:rPr>
                <w:rFonts w:ascii="Arial" w:cs="Arial" w:eastAsia="Arial" w:hAnsi="Arial"/>
                <w:sz w:val="18"/>
                <w:szCs w:val="18"/>
                <w:color w:val="auto"/>
              </w:rPr>
              <w:t>common stockholders, basic and diluted</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3,646,202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3,293,295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0" w:type="dxa"/>
            <w:vAlign w:val="bottom"/>
          </w:tcPr>
          <w:p>
            <w:pPr>
              <w:spacing w:after="0"/>
              <w:rPr>
                <w:sz w:val="24"/>
                <w:szCs w:val="24"/>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7040" w:type="dxa"/>
            <w:vAlign w:val="bottom"/>
            <w:tcBorders>
              <w:top w:val="single" w:sz="8" w:color="CCEEFF"/>
              <w:bottom w:val="single" w:sz="8" w:color="CCEEFF"/>
            </w:tcBorders>
            <w:vMerge w:val="restart"/>
          </w:tcPr>
          <w:p>
            <w:pPr>
              <w:ind w:left="5020"/>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500" w:type="dxa"/>
            <w:vAlign w:val="bottom"/>
            <w:vMerge w:val="continue"/>
          </w:tcPr>
          <w:p>
            <w:pPr>
              <w:spacing w:after="0"/>
              <w:rPr>
                <w:sz w:val="24"/>
                <w:szCs w:val="24"/>
                <w:color w:val="auto"/>
              </w:rPr>
            </w:pPr>
          </w:p>
        </w:tc>
        <w:tc>
          <w:tcPr>
            <w:tcW w:w="7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7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jc w:val="both"/>
        <w:ind w:left="500" w:right="220"/>
        <w:spacing w:after="0" w:line="268" w:lineRule="auto"/>
        <w:rPr>
          <w:sz w:val="20"/>
          <w:szCs w:val="20"/>
          <w:color w:val="auto"/>
        </w:rPr>
      </w:pPr>
      <w:r>
        <w:rPr>
          <w:rFonts w:ascii="Arial" w:cs="Arial" w:eastAsia="Arial" w:hAnsi="Arial"/>
          <w:sz w:val="18"/>
          <w:szCs w:val="18"/>
          <w:color w:val="auto"/>
        </w:rPr>
        <w:t>The following potentially dilutive outstanding securities based on amounts outstanding at each period end, adjusted on a retroactive basis to reflect the Reverse Stock Split as discussed in Note 11, Stockholders’ Equity, were excluded from the computation of diluted loss per share attributable to common stockholders because including them would have been anti-dilutive:</w:t>
      </w:r>
    </w:p>
    <w:p>
      <w:pPr>
        <w:spacing w:after="0" w:line="23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1170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48"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68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38,985</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398,840</w:t>
            </w:r>
          </w:p>
        </w:tc>
      </w:tr>
      <w:tr>
        <w:trPr>
          <w:trHeight w:val="247"/>
        </w:trPr>
        <w:tc>
          <w:tcPr>
            <w:tcW w:w="682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8"/>
                <w:szCs w:val="18"/>
                <w:color w:val="auto"/>
              </w:rPr>
              <w:t>131,574</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131,574</w:t>
            </w:r>
          </w:p>
        </w:tc>
      </w:tr>
      <w:tr>
        <w:trPr>
          <w:trHeight w:val="23"/>
        </w:trPr>
        <w:tc>
          <w:tcPr>
            <w:tcW w:w="6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548,877</w:t>
            </w:r>
          </w:p>
        </w:tc>
        <w:tc>
          <w:tcPr>
            <w:tcW w:w="8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481,372</w:t>
            </w:r>
          </w:p>
        </w:tc>
      </w:tr>
      <w:tr>
        <w:trPr>
          <w:trHeight w:val="263"/>
        </w:trPr>
        <w:tc>
          <w:tcPr>
            <w:tcW w:w="6820" w:type="dxa"/>
            <w:vAlign w:val="bottom"/>
          </w:tcPr>
          <w:p>
            <w:pPr>
              <w:ind w:left="4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719,436</w:t>
            </w:r>
          </w:p>
        </w:tc>
        <w:tc>
          <w:tcPr>
            <w:tcW w:w="80" w:type="dxa"/>
            <w:vAlign w:val="bottom"/>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1,011,786</w:t>
            </w:r>
          </w:p>
        </w:tc>
      </w:tr>
      <w:tr>
        <w:trPr>
          <w:trHeight w:val="21"/>
        </w:trPr>
        <w:tc>
          <w:tcPr>
            <w:tcW w:w="6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ind w:left="50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had restricted cash balances for cash collateralized standby letters of credit as of April 30, 2024 and January 31, 2024 of $10.0 million and $10.0 million, respectively, primarily to satisfy security deposit requirements on its leases. The restricted cash balances also consisted of letters of credit for rental product purchases and credit card transactions.</w:t>
      </w:r>
    </w:p>
    <w:p>
      <w:pPr>
        <w:spacing w:after="0" w:line="19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115"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74"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 w:cs="Arial" w:eastAsia="Arial" w:hAnsi="Arial"/>
          <w:sz w:val="18"/>
          <w:szCs w:val="18"/>
          <w:i w:val="1"/>
          <w:iCs w:val="1"/>
          <w:color w:val="auto"/>
        </w:rPr>
        <w:t>inter alia</w:t>
      </w:r>
      <w:r>
        <w:rPr>
          <w:rFonts w:ascii="Arial" w:cs="Arial" w:eastAsia="Arial" w:hAnsi="Arial"/>
          <w:sz w:val="18"/>
          <w:szCs w:val="18"/>
          <w:color w:val="auto"/>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have moved to dismiss the amended complaint and that motion, which was fully submitted on February 23, 2024, remains pending.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2024 and the related Management’s Discussion and Analysis of Financial Condition and Results of Operations in our Annual Report on Form 10-K for the fiscal year ended January 31, 2024 (the “2023 Annual Report on Form 10-K”).</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185,346 ending total subscribers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(active and paused) as of April 30, 2024. We had 145,837 active subscribers as of April 30, 2024. The majority of our revenue is highly recurring and is generated by our subscribers. For the three months ended April 30, 2024 and 2023, respectively, 88% and 87% of our total revenue (including Reserve and Resale revenue) was generated by subscribers while they were active or paused.</w:t>
      </w:r>
    </w:p>
    <w:p>
      <w:pPr>
        <w:spacing w:after="0" w:line="8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1" w:lineRule="exact"/>
        <w:rPr>
          <w:sz w:val="20"/>
          <w:szCs w:val="20"/>
          <w:color w:val="auto"/>
        </w:rPr>
      </w:pPr>
    </w:p>
    <w:p>
      <w:pPr>
        <w:ind w:right="260" w:firstLine="8"/>
        <w:spacing w:after="0" w:line="195" w:lineRule="auto"/>
        <w:tabs>
          <w:tab w:leader="none" w:pos="138" w:val="left"/>
        </w:tabs>
        <w:numPr>
          <w:ilvl w:val="0"/>
          <w:numId w:val="19"/>
        </w:numPr>
        <w:rPr>
          <w:rFonts w:ascii="Arial" w:cs="Arial" w:eastAsia="Arial" w:hAnsi="Arial"/>
          <w:sz w:val="28"/>
          <w:szCs w:val="28"/>
          <w:color w:val="auto"/>
          <w:vertAlign w:val="superscript"/>
        </w:rPr>
      </w:pPr>
      <w:r>
        <w:rPr>
          <w:rFonts w:ascii="Arial" w:cs="Arial" w:eastAsia="Arial" w:hAnsi="Arial"/>
          <w:sz w:val="14"/>
          <w:szCs w:val="14"/>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period.</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Restructuring Plan</w:t>
      </w:r>
      <w:r>
        <w:rPr>
          <w:rFonts w:ascii="Arial" w:cs="Arial" w:eastAsia="Arial" w:hAnsi="Arial"/>
          <w:sz w:val="18"/>
          <w:szCs w:val="18"/>
          <w:color w:val="auto"/>
        </w:rPr>
        <w:t>.</w:t>
      </w:r>
    </w:p>
    <w:p>
      <w:pPr>
        <w:spacing w:after="0" w:line="1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On January 9, 2024, we announced a restructuring plan to focus our workforce and cost structure on key growth opportunities and support our profitability goals. The plan primarily included total workforce reductions of approximately 10% of corporate employees (primarily a reduction in force, with some open role closures/reduced backfills).</w:t>
      </w:r>
    </w:p>
    <w:p>
      <w:pPr>
        <w:spacing w:after="0" w:line="7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Restructuring charges for severance and related costs of $0.2 million and $2.0 million were recognized during the three months ended April 30, 2024 and the year ended January 31, 2024, respectively, and are reflected in Restructuring charges on our Condensed Consolidated Statements of Operations. We may incur additional restructuring charges in the future.</w:t>
      </w:r>
    </w:p>
    <w:p>
      <w:pPr>
        <w:spacing w:after="0" w:line="6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recorded asset impairment charges of $ 1.1 million during the quarter and year ended January 31, 2024 related to the discontinuation of a software implementation project in connection with the January 2024 restructuring plan. The charge was reflected in Loss on asset impairment related to restructuring on the Company’s Consolidated Statements of Operations.</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January 2024 restructuring plan is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The restructuring plan was substantially completed by the end of the fourth quarter of fiscal year 2023 and is expected to be fully completed by the end of the second quarter of fiscal year 2024.</w:t>
      </w:r>
    </w:p>
    <w:p>
      <w:pPr>
        <w:spacing w:after="0" w:line="6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See Note 4, “Restructuring and Related Charges” in the Notes to the Condensed Consolidated Financial Statements for more details on these charges.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March 2024, our stockholders approved, and our Board of Directors selected a 1-for-20 reverse stock split of our outstanding shares of Class A common stock and Class B common stock (the “Reverse Stock Split”). The Reverse Stock Split became effective on April 2, 2024 and began trading on a post-split basis on April 3, 2024. Accordingly, all share and per share amounts for all periods presented in the accompanying financial statements and notes thereto have been retroactively adjusted, where applicable, to reflect the Reverse Stock Split. Shares of Class A common stock and Class B common stock underlying outstanding warrants, stock options, and restricted stock units were proportionately decreased and the respective per share value and exercise prices, if applicable, were proportionately adjusted.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Key Fiscal First Quarter and Recent Business Highlights:</w:t>
      </w:r>
    </w:p>
    <w:p>
      <w:pPr>
        <w:spacing w:after="0" w:line="115" w:lineRule="exact"/>
        <w:rPr>
          <w:sz w:val="20"/>
          <w:szCs w:val="20"/>
          <w:color w:val="auto"/>
        </w:rPr>
      </w:pPr>
    </w:p>
    <w:p>
      <w:pPr>
        <w:jc w:val="both"/>
        <w:ind w:left="500" w:right="140" w:hanging="330"/>
        <w:spacing w:after="0" w:line="257" w:lineRule="auto"/>
        <w:tabs>
          <w:tab w:leader="none" w:pos="49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 low quarterly consumption of cash flows from operations plus cash flows generated (used) in investing of less than $2 million, </w:t>
      </w:r>
      <w:r>
        <w:rPr>
          <w:rFonts w:ascii="Arial" w:cs="Arial" w:eastAsia="Arial" w:hAnsi="Arial"/>
          <w:sz w:val="18"/>
          <w:szCs w:val="18"/>
          <w:color w:val="auto"/>
        </w:rPr>
        <w:t>which is $11 million lower than the first quarter of fiscal year 2023 and $27 million lower than the first quarter of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2022.</w:t>
      </w:r>
    </w:p>
    <w:p>
      <w:pPr>
        <w:spacing w:after="0" w:line="1" w:lineRule="exact"/>
        <w:rPr>
          <w:rFonts w:ascii="Arial" w:cs="Arial" w:eastAsia="Arial" w:hAnsi="Arial"/>
          <w:sz w:val="18"/>
          <w:szCs w:val="18"/>
          <w:b w:val="1"/>
          <w:bCs w:val="1"/>
          <w:color w:val="auto"/>
        </w:rPr>
      </w:pPr>
    </w:p>
    <w:p>
      <w:pPr>
        <w:ind w:left="500" w:hanging="330"/>
        <w:spacing w:after="0" w:line="250"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Strong retention rates </w:t>
      </w:r>
      <w:r>
        <w:rPr>
          <w:rFonts w:ascii="Arial" w:cs="Arial" w:eastAsia="Arial" w:hAnsi="Arial"/>
          <w:sz w:val="18"/>
          <w:szCs w:val="18"/>
          <w:color w:val="auto"/>
        </w:rPr>
        <w:t>fueled by enhanced inventory and product experiences and new lifecycle marketing strategies. We believe that</w:t>
      </w:r>
      <w:r>
        <w:rPr>
          <w:rFonts w:ascii="Arial" w:cs="Arial" w:eastAsia="Arial" w:hAnsi="Arial"/>
          <w:sz w:val="18"/>
          <w:szCs w:val="18"/>
          <w:b w:val="1"/>
          <w:bCs w:val="1"/>
          <w:color w:val="auto"/>
        </w:rPr>
        <w:t xml:space="preserve"> </w:t>
      </w:r>
      <w:r>
        <w:rPr>
          <w:rFonts w:ascii="Arial" w:cs="Arial" w:eastAsia="Arial" w:hAnsi="Arial"/>
          <w:sz w:val="18"/>
          <w:szCs w:val="18"/>
          <w:color w:val="auto"/>
        </w:rPr>
        <w:t>strong, sustained in-stock rates, combined with improved merchandising through use-case hubs, have made it easier for her to get dressed for every occasion.</w:t>
      </w:r>
    </w:p>
    <w:p>
      <w:pPr>
        <w:spacing w:after="0" w:line="1" w:lineRule="exact"/>
        <w:rPr>
          <w:rFonts w:ascii="Arial" w:cs="Arial" w:eastAsia="Arial" w:hAnsi="Arial"/>
          <w:sz w:val="18"/>
          <w:szCs w:val="18"/>
          <w:color w:val="auto"/>
        </w:rPr>
      </w:pPr>
    </w:p>
    <w:p>
      <w:pPr>
        <w:ind w:left="500" w:right="740" w:hanging="330"/>
        <w:spacing w:after="0" w:line="250"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Strong rejoin rates </w:t>
      </w:r>
      <w:r>
        <w:rPr>
          <w:rFonts w:ascii="Arial" w:cs="Arial" w:eastAsia="Arial" w:hAnsi="Arial"/>
          <w:sz w:val="18"/>
          <w:szCs w:val="18"/>
          <w:color w:val="auto"/>
        </w:rPr>
        <w:t>of pausers and former customers driven by multi-channel lifecycle marketing and customer segmentation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initiatives.</w:t>
      </w:r>
    </w:p>
    <w:p>
      <w:pPr>
        <w:ind w:left="500" w:right="360" w:hanging="330"/>
        <w:spacing w:after="0" w:line="250"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Return to in-real-life events and customer interactions </w:t>
      </w:r>
      <w:r>
        <w:rPr>
          <w:rFonts w:ascii="Arial" w:cs="Arial" w:eastAsia="Arial" w:hAnsi="Arial"/>
          <w:sz w:val="18"/>
          <w:szCs w:val="18"/>
          <w:color w:val="auto"/>
        </w:rPr>
        <w:t>kicked off in our Flagship NYC store and in Atlanta, GA. The success of</w:t>
      </w:r>
      <w:r>
        <w:rPr>
          <w:rFonts w:ascii="Arial" w:cs="Arial" w:eastAsia="Arial" w:hAnsi="Arial"/>
          <w:sz w:val="18"/>
          <w:szCs w:val="18"/>
          <w:b w:val="1"/>
          <w:bCs w:val="1"/>
          <w:color w:val="auto"/>
        </w:rPr>
        <w:t xml:space="preserve"> </w:t>
      </w:r>
      <w:r>
        <w:rPr>
          <w:rFonts w:ascii="Arial" w:cs="Arial" w:eastAsia="Arial" w:hAnsi="Arial"/>
          <w:sz w:val="18"/>
          <w:szCs w:val="18"/>
          <w:color w:val="auto"/>
        </w:rPr>
        <w:t>these events have informed our plans to return to retail and officially re-open our Flagship NYC store this summer.</w:t>
      </w:r>
    </w:p>
    <w:p>
      <w:pPr>
        <w:jc w:val="both"/>
        <w:ind w:left="500" w:right="80" w:hanging="330"/>
        <w:spacing w:after="0" w:line="258"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Transformed marketing strategy and team </w:t>
      </w:r>
      <w:r>
        <w:rPr>
          <w:rFonts w:ascii="Arial" w:cs="Arial" w:eastAsia="Arial" w:hAnsi="Arial"/>
          <w:sz w:val="18"/>
          <w:szCs w:val="18"/>
          <w:color w:val="auto"/>
        </w:rPr>
        <w:t>to significantly increase our in-house expertise in brand marketing, creative, content and</w:t>
      </w:r>
      <w:r>
        <w:rPr>
          <w:rFonts w:ascii="Arial" w:cs="Arial" w:eastAsia="Arial" w:hAnsi="Arial"/>
          <w:sz w:val="18"/>
          <w:szCs w:val="18"/>
          <w:b w:val="1"/>
          <w:bCs w:val="1"/>
          <w:color w:val="auto"/>
        </w:rPr>
        <w:t xml:space="preserve"> </w:t>
      </w:r>
      <w:r>
        <w:rPr>
          <w:rFonts w:ascii="Arial" w:cs="Arial" w:eastAsia="Arial" w:hAnsi="Arial"/>
          <w:sz w:val="18"/>
          <w:szCs w:val="18"/>
          <w:color w:val="auto"/>
        </w:rPr>
        <w:t>lifecycle. The new talent is bringing fresh innovative solutions to RTR and an enhanced, more aspirational look and feel as we plan to reignite growth across all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 xml:space="preserve">Key Operating and Financial Results. </w:t>
      </w:r>
      <w:r>
        <w:rPr>
          <w:rFonts w:ascii="Arial" w:cs="Arial" w:eastAsia="Arial" w:hAnsi="Arial"/>
          <w:sz w:val="18"/>
          <w:szCs w:val="18"/>
          <w:color w:val="auto"/>
        </w:rPr>
        <w:t>We have achieved the following operating and financial results for the three months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and 2023, respectively:</w:t>
      </w:r>
    </w:p>
    <w:p>
      <w:pPr>
        <w:spacing w:after="0" w:line="180" w:lineRule="exact"/>
        <w:rPr>
          <w:sz w:val="20"/>
          <w:szCs w:val="20"/>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was $75.0 million and $74.2 million, respectively, representing a change of 1.1% year-over-year;</w:t>
      </w:r>
    </w:p>
    <w:p>
      <w:pPr>
        <w:spacing w:after="0" w:line="114" w:lineRule="exact"/>
        <w:rPr>
          <w:rFonts w:ascii="Arial" w:cs="Arial" w:eastAsia="Arial" w:hAnsi="Arial"/>
          <w:sz w:val="18"/>
          <w:szCs w:val="18"/>
          <w:color w:val="auto"/>
        </w:rPr>
      </w:pPr>
    </w:p>
    <w:p>
      <w:pPr>
        <w:ind w:left="740" w:right="40" w:hanging="246"/>
        <w:spacing w:after="0" w:line="232"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145,837 and 145,220 ending Active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(excluding paused subscribers), respectively, representing a slight increase year-over-year;</w:t>
      </w:r>
    </w:p>
    <w:p>
      <w:pPr>
        <w:spacing w:after="0" w:line="84"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135,896 and 135,966 Average Active Subscribers</w:t>
      </w:r>
      <w:r>
        <w:rPr>
          <w:rFonts w:ascii="Arial" w:cs="Arial" w:eastAsia="Arial" w:hAnsi="Arial"/>
          <w:sz w:val="23"/>
          <w:szCs w:val="23"/>
          <w:color w:val="auto"/>
          <w:vertAlign w:val="superscript"/>
        </w:rPr>
        <w:t>3</w:t>
      </w:r>
      <w:r>
        <w:rPr>
          <w:rFonts w:ascii="Arial" w:cs="Arial" w:eastAsia="Arial" w:hAnsi="Arial"/>
          <w:sz w:val="18"/>
          <w:szCs w:val="18"/>
          <w:color w:val="auto"/>
        </w:rPr>
        <w:t>, respectively, relatively flat year-over-year;</w:t>
      </w:r>
    </w:p>
    <w:p>
      <w:pPr>
        <w:spacing w:after="0" w:line="61"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185,346 and 185,720 ending Total Subscribers (including paused subscribers), respectively, relatively flat year-over-year;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Profit was $28.4 million and $31.4 million, respectively, representing a gross margin of 37.9% and 42.3%, respectively;</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Loss was $(22.0) million and $(30.1) million, respectively. Net Loss as a percentage of revenue was (29.3)% and (40.6)%, and included $0.2 million of restructuring and related charges for the three months ended April 30, 2024;</w:t>
      </w:r>
    </w:p>
    <w:p>
      <w:pPr>
        <w:spacing w:after="0" w:line="44" w:lineRule="exact"/>
        <w:rPr>
          <w:rFonts w:ascii="Arial" w:cs="Arial" w:eastAsia="Arial" w:hAnsi="Arial"/>
          <w:sz w:val="18"/>
          <w:szCs w:val="18"/>
          <w:color w:val="auto"/>
        </w:rPr>
      </w:pPr>
    </w:p>
    <w:p>
      <w:pPr>
        <w:ind w:left="740" w:right="420" w:hanging="246"/>
        <w:spacing w:after="0" w:line="287"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was $6.5 million and $4.5 million, respectively, representing an Adjusted EBITDA Margin of 8.7% and 6.1%, respectively;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was $(1.4) million and $(12.1) million, respectively;</w:t>
      </w:r>
    </w:p>
    <w:p>
      <w:pPr>
        <w:spacing w:after="0" w:line="117" w:lineRule="exact"/>
        <w:rPr>
          <w:rFonts w:ascii="Arial" w:cs="Arial" w:eastAsia="Arial" w:hAnsi="Arial"/>
          <w:sz w:val="18"/>
          <w:szCs w:val="18"/>
          <w:color w:val="auto"/>
        </w:rPr>
      </w:pPr>
    </w:p>
    <w:p>
      <w:pPr>
        <w:ind w:left="740" w:right="40" w:hanging="246"/>
        <w:spacing w:after="0" w:line="287"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as a percentage of revenue was (1.9)% and (16.3)%, respectively;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Cash Equivalents was $82.0 million and $141.4 million,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Acquisition Strategy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 designed using our data in collaboration with our brand partners. These units are manufactured through third-party partners with a low upfront fee and minimal revenue share payments to our brand partners over time.</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purchases of rental product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714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7"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9"/>
          <w:szCs w:val="9"/>
          <w:color w:val="auto"/>
        </w:rPr>
      </w:pPr>
      <w:r>
        <w:rPr>
          <w:rFonts w:ascii="Arial" w:cs="Arial" w:eastAsia="Arial" w:hAnsi="Arial"/>
          <w:sz w:val="14"/>
          <w:szCs w:val="14"/>
          <w:color w:val="auto"/>
        </w:rPr>
        <w:t>Active Subscribers is defined as ending total subscribers as of period end, excluding paused subscribers.</w:t>
      </w:r>
    </w:p>
    <w:p>
      <w:pPr>
        <w:spacing w:after="0" w:line="42" w:lineRule="exact"/>
        <w:rPr>
          <w:sz w:val="20"/>
          <w:szCs w:val="20"/>
          <w:color w:val="auto"/>
        </w:rPr>
      </w:pPr>
    </w:p>
    <w:p>
      <w:pPr>
        <w:ind w:firstLine="8"/>
        <w:spacing w:after="0" w:line="222" w:lineRule="auto"/>
        <w:tabs>
          <w:tab w:leader="none" w:pos="92"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fiscal year 2023, 39% of new items were acquired through Wholesale, 33% through Share by RTR and 28% through Exclusive Designs, compared to 42% Wholesale, 27% Share by RTR and 31% Exclusive Designs in fiscal year 2022. In total, approximately 61% of new items were acquired through Share by RTR and Exclusive Designs, our more capital-efficient channels in fiscal year 2023 and approximately 58% in fiscal year 2022. 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plan to further decrease the percentage of units acquired through Wholesale and increase the percentage of units acquired through our more capital-efficient channels, Exclusive Designs and Share by RTR over time. We expect to incur considerably lower Purchases of Rental Product in fiscal year 2024 relative to fiscal year 2023 due to fiscal year 2023 being impacted by the need to make rental product depth adjustments.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about our business model and our product acquisition strategy, see our 2023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Subscribers and Customers</w:t>
      </w:r>
    </w:p>
    <w:p>
      <w:pPr>
        <w:spacing w:after="0" w:line="11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b w:val="1"/>
          <w:bCs w:val="1"/>
          <w:i w:val="1"/>
          <w:iCs w:val="1"/>
          <w:color w:val="auto"/>
        </w:rPr>
        <w:t xml:space="preserve">Ability to Attract and Retain Subscribers and Customers. </w:t>
      </w:r>
      <w:r>
        <w:rPr>
          <w:rFonts w:ascii="Arial" w:cs="Arial" w:eastAsia="Arial" w:hAnsi="Arial"/>
          <w:sz w:val="18"/>
          <w:szCs w:val="18"/>
          <w:color w:val="auto"/>
        </w:rPr>
        <w:t>We believe that we have a significant market opportunity to increase our 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subscribers and customers, and that our long-term growth depends in large part on our continued ability to acquire and retain subscribers and customers.</w:t>
      </w:r>
    </w:p>
    <w:p>
      <w:pPr>
        <w:spacing w:after="0" w:line="63"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w:t>
      </w:r>
    </w:p>
    <w:p>
      <w:pPr>
        <w:spacing w:after="0" w:line="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Customer acquisition is dependent on both organic growth and the effectiveness of our paid marketing strategy. During fiscal year 2024, we anticipate focusing on increasing customer awareness of the Rent the Runway brand through brand campaigns, live events, and other initiatives. We are also focused on improving the efficiency of our paid marketing through channel diversification, improved creative content, and other optimizations. Our acquisitions are also reliant on new customer promotions. We expect our promotional spending to be below historical averages in the near to medium term, which is anticipated to reduce subscriber acquisition in the near-term, but support the health of the business over the longer-term. Our promotional strategy is subject to change depending on business and market conditions.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customer retention plays an important role in driving business growth. Customer retention is influenced by a number of factors, including rental product in-stock levels and satisfaction, product experience, and customer service levels. Starting in fiscal year 2023, we increased depth of our rental product purchases to improve rental product in-stock levels. We currently expect to continue to improve depths and maintain in-stock levels in fiscal year 2024. We are also focused on new product features as well as more personal customer service and styling. As a result of these initiatives, we have seen better customer retention in recent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Ability to Acquire, Manage and Monetize Products Efficiently. </w:t>
      </w:r>
      <w:r>
        <w:rPr>
          <w:rFonts w:ascii="Arial" w:cs="Arial" w:eastAsia="Arial" w:hAnsi="Arial"/>
          <w:sz w:val="18"/>
          <w:szCs w:val="18"/>
          <w:color w:val="auto"/>
        </w:rPr>
        <w:t>Our ability to deliver an elevated experience for our subscribers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that keeps them loyal to RTR depends on us having the right assortment. For example, beginning in fiscal year 2023,we focused on enhancing the availability of rental product on our site by increasing the depths of our buys (i.e. acquiring more units of particular styles) and expect to continue to pursue this strategy in fiscal year 2024.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2023, approximately 61% of new items were acquired through our more capital efficient non-Wholesale channels, compared to 58% in fiscal year 2022 and 55% in fiscal year 2021. We plan to further increase the percentage of units acquired through Exclusive Designs and Share by RTR in fiscal year 2024. We continuously evaluate our product acquisition mix to maximize our strategic priorities.</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2023 was 26% as a result of lower sales and the impact of the adjustment to our rental product depth in fiscal year 2023. Purchases of rental product as a percentage of revenue was 21% and 15% in fiscal year 2022 and 2021, respectively. We anticipate this percentage to decrease in fiscal year 2024 compared with fiscal year 2023 due to higher sales projections and the impact of increasing rental product depth in fiscal year 2023. Due to seasonality factors, we track our progress on purchases of rental product as a percentage of revenue on a full year basis, as quarterly expenditures are not necessarily reflective of full year trends. In addition, we intend to comply with the mutually agreed upon quarterly and annual spend levels for rental product capital expenditures during fiscal year 2024 in our 2023 Amended Temasek Facility.</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Ability to Achieve Leverage in our Cost Structure. </w:t>
      </w:r>
      <w:r>
        <w:rPr>
          <w:rFonts w:ascii="Arial" w:cs="Arial" w:eastAsia="Arial" w:hAnsi="Arial"/>
          <w:sz w:val="18"/>
          <w:szCs w:val="18"/>
          <w:color w:val="auto"/>
        </w:rPr>
        <w:t>Improving operational efficiency of our platform is imperative to increasing profitability.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certain of our operating costs to increase as order volume increases and as we make investments to grow subscribers and revenue and to enhance the customer experience. In September 2022, we announced a restructuring plan that reduced operating expenses by approximately $27 million in the four quarters following the restructuring compared to the annualized run rate for the second quarter of fiscal year 2022. In January 2024, we announced a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Though we anticipate quarterly fluctuations in operating leverage, with these reductions and continuous improvements to our cost structure, we expect our fixed costs to decrease as a percentage of total revenue in fiscal year 2024, and over time we anticipate that our operating costs will grow more slowly than our total revenue on an annual basis. In addition, we intend to comply with the mutually agreed upon quarterly and annual spend levels relating to our operating costs (i.e., fixed operating expenditures and marketing expenditures) during fiscal year 2024 in our 2023 Amended Temasek Facility.</w:t>
      </w:r>
    </w:p>
    <w:p>
      <w:pPr>
        <w:spacing w:after="0" w:line="8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63"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The 2023 Amended Temasek Facility reduces our cash interest payments during fiscal years 2024 and 2025 relative to the original agreement, which we expect to improve our overall liquidity.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experience seasonality in our business, which has been impacted and may in the future change due to the effects of COVID-19, the macro environment, and business decisions.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In fiscal year 2022, we believe that a price increase of our Subscription programs in April 2022 affected traditional seasonal patterns. In fiscal year 2023, changes in rental product in-stock levels and changes to promotional prices also disrupted typical seasonality. Given continued business changes, our future seasonality may not resemble historical trends.</w:t>
      </w:r>
    </w:p>
    <w:p>
      <w:pPr>
        <w:spacing w:after="0" w:line="7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 and Consumer Environment on Our Business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remains significant uncertainty in the current macroeconomic and consumer environment, driven by several factors, including inflationary pressures, higher interest rates, potential risk of recession, ongoing industry-wide supply chain issues, instability in the financial system, the wars in Ukraine and the Middle East and COVID-19. These factors have impacted, and are expected to continue to impact, consumer discretionary spending and purchasing behavior, price sensitivity, wage rates, transportation costs, and other costs associated with our business.</w:t>
      </w:r>
    </w:p>
    <w:p>
      <w:pPr>
        <w:spacing w:after="0" w:line="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spacing w:after="0" w:line="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during fiscal year 2023 and the first quarter of fiscal year 2024 to attract and retain talent at our fulfillment centers and we expect to continue to be impacted by rising labor costs in the future. We also expect transportation costs to decrease as a percentage of sales in fiscal year 2024 due to transportation efficiencies and the impact of our new transportation contract with a major national carrier, effective in September 2023. While we expect to be able to reduce transportation costs as a percentage of sales in fiscal year 2024, we plan to continue to mitigate longer-term rising costs by seeking to optimize shipping methods and improve contractual and pricing terms. Although we continue to face a challenging environment, we plan to invest in our customers, manage our staffing and further leverage our transportation partners to help to drive growth and efficiencies in our business.</w:t>
      </w:r>
    </w:p>
    <w:p>
      <w:pPr>
        <w:spacing w:after="0" w:line="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p>
    <w:p>
      <w:pPr>
        <w:spacing w:after="0" w:line="6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For additional details about key factors affecting our performance, see our 2023 Annual Report on Form 10-K and Part II, Item 1A, “Risk Factors” of this Quarterly Report on Form 10-Q.</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3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considered in conjunction with other metrics and components of our results of operations, such as each of the other key business and financial metrics, and our revenue and net loss.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7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r>
      <w:tr>
        <w:trPr>
          <w:trHeight w:val="196"/>
        </w:trPr>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tcPr>
          <w:p>
            <w:pPr>
              <w:spacing w:after="0"/>
              <w:rPr>
                <w:sz w:val="17"/>
                <w:szCs w:val="17"/>
                <w:color w:val="auto"/>
              </w:rPr>
            </w:pPr>
          </w:p>
        </w:tc>
      </w:tr>
      <w:tr>
        <w:trPr>
          <w:trHeight w:val="231"/>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Subscribers</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145,837</w:t>
            </w: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145,220</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Average Active Subscribers</w:t>
            </w:r>
          </w:p>
        </w:tc>
        <w:tc>
          <w:tcPr>
            <w:tcW w:w="32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135,896</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135,966</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28.4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9"/>
        </w:trPr>
        <w:tc>
          <w:tcPr>
            <w:tcW w:w="7960" w:type="dxa"/>
            <w:vAlign w:val="bottom"/>
          </w:tcPr>
          <w:p>
            <w:pPr>
              <w:ind w:left="20"/>
              <w:spacing w:after="0"/>
              <w:rPr>
                <w:sz w:val="20"/>
                <w:szCs w:val="20"/>
                <w:color w:val="auto"/>
              </w:rPr>
            </w:pPr>
            <w:r>
              <w:rPr>
                <w:rFonts w:ascii="Arial" w:cs="Arial" w:eastAsia="Arial" w:hAnsi="Arial"/>
                <w:sz w:val="18"/>
                <w:szCs w:val="18"/>
                <w:color w:val="auto"/>
              </w:rPr>
              <w:t>Adjusted EBITDA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6.5</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right="440" w:hanging="332"/>
        <w:spacing w:after="0" w:line="285"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reconciliation to the most directly comparable U.S. GAAP financial measure, net loss, and why we consider Adjusted EBITDA to be a useful metric, see “—Non-GAAP Financial Metrics” below.</w:t>
      </w:r>
    </w:p>
    <w:p>
      <w:pPr>
        <w:spacing w:after="0" w:line="10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Active Subscribers</w:t>
      </w:r>
      <w:r>
        <w:rPr>
          <w:rFonts w:ascii="Arial" w:cs="Arial" w:eastAsia="Arial" w:hAnsi="Arial"/>
          <w:sz w:val="18"/>
          <w:szCs w:val="18"/>
          <w:color w:val="auto"/>
        </w:rPr>
        <w:t>: Active Subscribers represents the number of subscribers with an active membership as of the last day of any given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and excludes paused subscribers. As of April 30, 2024, we had 145,837 Active Subscribers, slightly higher year-over-year.</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color w:val="auto"/>
        </w:rPr>
        <w:t xml:space="preserve">Average Active Subscribers: </w:t>
      </w:r>
      <w:r>
        <w:rPr>
          <w:rFonts w:ascii="Arial" w:cs="Arial" w:eastAsia="Arial" w:hAnsi="Arial"/>
          <w:sz w:val="18"/>
          <w:szCs w:val="18"/>
          <w:color w:val="auto"/>
        </w:rPr>
        <w:t>Average Active Subscribers represents the mean of the beginning of quarter and end of quarter Active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Subscribers for a quarterly period; and for other periods, represents the mean of the Average Active Subscribers of every quarter within that period. As of April 30, 2024, we had 135,896 Average Active Subscribers, relatively flat from 135,966 as of April 30, 2023.</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Gross Profit and Gross Margin: </w:t>
      </w:r>
      <w:r>
        <w:rPr>
          <w:rFonts w:ascii="Arial" w:cs="Arial" w:eastAsia="Arial" w:hAnsi="Arial"/>
          <w:sz w:val="18"/>
          <w:szCs w:val="18"/>
          <w:color w:val="auto"/>
        </w:rPr>
        <w:t>We define Gross Profit as total revenue less costs related to activities to fulfill customer orders and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acquisition costs, presented as 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Gross Profit was $28.4 million for the three months ended April 30, 2024 compared to $31.4 million for the three months ended April 30, 2023, representing Gross Margins of 37.9% and 42.3%, respectively. Gross Profit and Gross Margin for the three months ended April 30, 2024 decreased due to the impact of higher rental product depreciation and revenue share costs as a percentage of sales, partially offset by lower fulfillment costs as a percentage of sales. We will seek to continue to drive fulfillment and operational efficiency gains over time and strategically evolve our mix of revenue and product acquisition to offset cost increases.</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Adjusted EBITDA and Adjusted EBITDA Margin: </w:t>
      </w:r>
      <w:r>
        <w:rPr>
          <w:rFonts w:ascii="Arial" w:cs="Arial" w:eastAsia="Arial" w:hAnsi="Arial"/>
          <w:sz w:val="18"/>
          <w:szCs w:val="18"/>
          <w:color w:val="auto"/>
        </w:rPr>
        <w:t>We define Adjusted EBITDA as net loss, adjusted to exclude interest expense,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depreciation, other depreciation and amortization, share-based compensation expense, write-off of liquidated rental product assets, restructuring charges, other income and expense, and other gains / losses. Adjusted EBITDA margin is defined as Adjusted EBITDA calculated as a percentage of total revenue, net for a period.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Adjusted EBITDA was $6.5 million for the three months ended April 30, 2024 compared to $4.5 million for the three months ended April 30, 2023, representing margins of 8.7% and 6.1%, respectively. Adjusted EBITDA Margin improved year over year due to lower fulfillment costs and the impact of our fixed cost reduction efforts partially offset by higher revenue share payments due to a greater proportion of revenue share units.</w:t>
      </w:r>
    </w:p>
    <w:p>
      <w:pPr>
        <w:spacing w:after="0" w:line="20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believe we have the opportunity to improve Adjusted EBITDA and offset cost increases as we increase revenue and drive fulfillment and operational efficiency gains and operating expense leverage. In particular, we expect our January 2024 restructuring plan to significantly reduce fixed costs and improve operating expense leverage in fiscal year 2024 compared to fiscal year 2023.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Our total revenue, net consists of Subscription and Reserve rental revenue and Other revenue. Total revenue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net of promotional discounts, credits and refunds and taxes.</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We generate Subscription and Reserve rental revenue from subscription and Reserve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recognize Reserve fees over the rental period, which starts on the date of delivery of the product to the customer. Reserve orders can be placed up to two months prior to the rental start date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1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We generate Other revenue primarily from the sale of products while they are in rental condition. We offer the ability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and customers to purchase 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37"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i w:val="1"/>
          <w:iCs w:val="1"/>
          <w:color w:val="auto"/>
        </w:rPr>
        <w:t xml:space="preserve">Fulfillment. </w:t>
      </w:r>
      <w:r>
        <w:rPr>
          <w:rFonts w:ascii="Arial" w:cs="Arial" w:eastAsia="Arial" w:hAnsi="Arial"/>
          <w:sz w:val="17"/>
          <w:szCs w:val="17"/>
          <w:color w:val="auto"/>
        </w:rPr>
        <w:t>Fulfillment expenses consist of all costs to receive, process and fulfill customer orders. This primarily includes shipping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to/from customers and personnel and 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Fulfillment expense may also increase due to competitive pressures in the labor</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market which could lead to continued higher wage rates. We expect to continue to invest in automation and other process improvements to support and drive efficiencies in our operations. To the extent we are successful in becoming more efficient in fulfilling orders, and at a</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magnitude that is able to offset long-term increases in shipping costs, wage rates and cleaning/packing supply price increases, we would expect these expenses to decrease as a percentage of total revenue over the longer term.</w:t>
      </w:r>
    </w:p>
    <w:p>
      <w:pPr>
        <w:spacing w:after="0" w:line="1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consist of personnel and related costs for employees engaged in software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 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include online and mobile marketing, search engine optimization and email costs, marketing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related costs, agency fees, brand marketing, printed collateral, consumer research, and other related costs. Marketing expenses unrelated to personnel costs may increase if we increase marketing spend to drive the growth of our business and increase our brand awareness.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consist of all other personnel and related costs for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finance, tax, legal, human 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We expect to incur lower fixed cost G&amp;A expense dollars and as a percentage of total revenue in the short term as a result of our restructuring plan.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expenses consist of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expenses consist of depreciation and amortization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fixed assets, intangible assets including capitalized software, and financing right-of-use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Restructuring charges consist of severance and related costs associated with the January 2024 restructuring plan.</w:t>
      </w:r>
    </w:p>
    <w:p>
      <w:pPr>
        <w:spacing w:after="0" w:line="2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Interest Income / (Expense). </w:t>
      </w:r>
      <w:r>
        <w:rPr>
          <w:rFonts w:ascii="Arial" w:cs="Arial" w:eastAsia="Arial" w:hAnsi="Arial"/>
          <w:sz w:val="18"/>
          <w:szCs w:val="18"/>
          <w:color w:val="auto"/>
        </w:rPr>
        <w:t>Interest income / (expense) consists primarily of accrued paid-in-kind interest, cash interest and debt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amortization associated with our 2023 Amended Temasek Facility going forward. The 2023 Amended Temasek Facility eliminates all interest (both payment-in-kind and cash interest) for a period of six full fiscal quarters beginning with the fourth quarter of fiscal year 2023.</w:t>
      </w:r>
    </w:p>
    <w:p>
      <w:pPr>
        <w:spacing w:after="0" w:line="20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 xml:space="preserve">Other Income / (Expense). </w:t>
      </w:r>
      <w:r>
        <w:rPr>
          <w:rFonts w:ascii="Arial" w:cs="Arial" w:eastAsia="Arial" w:hAnsi="Arial"/>
          <w:sz w:val="18"/>
          <w:szCs w:val="18"/>
          <w:color w:val="auto"/>
        </w:rPr>
        <w:t>Other income / (expense) consists primarily of proceeds from monetizing tax credits associated with growth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Irish refundable tax credits.</w:t>
      </w:r>
    </w:p>
    <w:p>
      <w:pPr>
        <w:spacing w:after="0" w:line="26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 xml:space="preserve">Income Tax Benefit / (Expense). </w:t>
      </w:r>
      <w:r>
        <w:rPr>
          <w:rFonts w:ascii="Arial" w:cs="Arial" w:eastAsia="Arial" w:hAnsi="Arial"/>
          <w:sz w:val="18"/>
          <w:szCs w:val="18"/>
          <w:color w:val="auto"/>
        </w:rPr>
        <w:t>Income taxes consist primarily of state minimum and foreign taxes. We have established a valuation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0" w:type="dxa"/>
            <w:vAlign w:val="bottom"/>
          </w:tcPr>
          <w:p>
            <w:pPr>
              <w:spacing w:after="0"/>
              <w:rPr>
                <w:sz w:val="17"/>
                <w:szCs w:val="17"/>
                <w:color w:val="auto"/>
              </w:rPr>
            </w:pPr>
          </w:p>
        </w:tc>
        <w:tc>
          <w:tcPr>
            <w:tcW w:w="298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rPr>
              <w:t>Three Months Ended April 30,</w:t>
            </w:r>
          </w:p>
        </w:tc>
      </w:tr>
      <w:tr>
        <w:trPr>
          <w:trHeight w:val="202"/>
        </w:trPr>
        <w:tc>
          <w:tcPr>
            <w:tcW w:w="74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196"/>
        </w:trPr>
        <w:tc>
          <w:tcPr>
            <w:tcW w:w="74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Borders>
              <w:bottom w:val="single" w:sz="8" w:color="auto"/>
            </w:tcBorders>
          </w:tcPr>
          <w:p>
            <w:pPr>
              <w:spacing w:after="0"/>
              <w:rPr>
                <w:sz w:val="17"/>
                <w:szCs w:val="17"/>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Subscription and Reserve rental revenue</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7400" w:type="dxa"/>
            <w:vAlign w:val="bottom"/>
          </w:tcPr>
          <w:p>
            <w:pPr>
              <w:ind w:left="700"/>
              <w:spacing w:after="0"/>
              <w:rPr>
                <w:sz w:val="20"/>
                <w:szCs w:val="20"/>
                <w:color w:val="auto"/>
              </w:rPr>
            </w:pPr>
            <w:r>
              <w:rPr>
                <w:rFonts w:ascii="Arial" w:cs="Arial" w:eastAsia="Arial" w:hAnsi="Arial"/>
                <w:sz w:val="18"/>
                <w:szCs w:val="18"/>
                <w:color w:val="auto"/>
              </w:rPr>
              <w:t>Total revenue, net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Fulfillment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Marketing</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Rental product depreciation and revenue share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depreciation and amortization</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Restructuring charges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23"/>
        </w:trPr>
        <w:tc>
          <w:tcPr>
            <w:tcW w:w="7400" w:type="dxa"/>
            <w:vAlign w:val="bottom"/>
          </w:tcPr>
          <w:p>
            <w:pPr>
              <w:ind w:left="1000"/>
              <w:spacing w:after="0"/>
              <w:rPr>
                <w:sz w:val="20"/>
                <w:szCs w:val="20"/>
                <w:color w:val="auto"/>
              </w:rPr>
            </w:pPr>
            <w:r>
              <w:rPr>
                <w:rFonts w:ascii="Arial" w:cs="Arial" w:eastAsia="Arial" w:hAnsi="Arial"/>
                <w:sz w:val="18"/>
                <w:szCs w:val="18"/>
                <w:color w:val="auto"/>
              </w:rPr>
              <w:t>Operating loss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 (expense), net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 (expense), net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loss before income tax benefit / (expense)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Income tax benefit / (expense)</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00" w:type="dxa"/>
            <w:vAlign w:val="bottom"/>
            <w:tcBorders>
              <w:top w:val="single" w:sz="8" w:color="CCEEFF"/>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2024 and 2023</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$75.0 million for the three months ended April 30, 2024, an increase of $0.8 million, or 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$ 74.2 million for the three months ended April 30, 2023. This increase was primarily driven by the increase in units purchased per subscriber offset by lower reserve revenue. In fiscal year 2024, we expect revenue to increase as we work towards growing our customer base, improving the customer experience and continuing to focus on our resale revenue.</w:t>
      </w:r>
    </w:p>
    <w:p>
      <w:pPr>
        <w:spacing w:after="0" w:line="17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$66.1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2024, a decrease of $(0.7) million, or (1.0)%, compared to $66.8 million for the three months ended April 30, 2023. This decrease was driven by lower reserve revenue compared to the same period last year.</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$8.9 million for the three months ended April 30, 2024, an increase of $1.5 million, or 20.3%,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$7.4 million for the three months ended April 30, 2023. This increase was primarily driven by an increase in the items purchased per subscriber. Other revenue represented 11.9% of total revenue, up from 10.0% in the same period last year.</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were $91.5 million for the three months ended April 30, 2024, a decrease of $(4.0)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(4.2)%, compared to $95.5 million for the three months ended April 30, 2023. This decrease was primarily driven by lower share based compensation expense, cost savings from the January 2024 restructuring plan, the implementation of our new transportation contract in September 2023 and improvement in warehouse labor productivity, which reduced costs compared to the same period last year, offset by higher rental product depreciation and revenue share.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$ 20.6 million for the three months ended April 30, 2024, a decrease of $(1.3) million, or (5.9)%,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27.5% of revenue, compared to $21.9 million for the three months ended April 30, 2023, representing 29.5% of revenue. The decrease in fulfillment dollars and as a percentage of revenue was primarily driven by transportation and processing cost efficiencies and higher revenue per shipment that offset an increase in wage rates during the first quarter of fiscal year 2024.</w:t>
      </w:r>
    </w:p>
    <w:p>
      <w:pPr>
        <w:spacing w:after="0" w:line="20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fiscal year 2024, we expect fulfillment expenses as a percentage of total revenue to decrease as a result of anticipated higher revenue per order and continued transportation and processing efficiencies.</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$9.6 million for the three months ended April 30, 2024, a decrease of $(3.5) million, or (26.7)%,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$13.1 million for the three months ended April 30, 2023. This decrease was driven by cost savings from the January 2024 restructuring plan, other cost saving initiatives and lower share-based compensation expense. We were able to realize these benefits while supporting growth initiatives including enhanced search, fit and discovery experience for the consumer. Technology expenses were 12.8% of revenue for the three months ended April 30, 2024 compared to 17.7% for the same period last year as we saw increased operating leverage with higher revenue and a lower cost base post-restructuring. Technology related share-based compensation expense was $0.6 million for the three months ended April 30, 2024 and was $1.9 million for the same period last year.</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fiscal year 2024, we expect technology expenses to decrease in dollars and as a percentage of total revenue compared to fiscal year 2023 as a result of our January 2024 restructuring plan and our continued focus on managing costs.</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$9.0 million for the three months ended April 30, 2024, a decrease of $(0.3) million, or (3.2)%,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$ 9.3 million for the three months ended April 30, 2023. This decrease was driven by lower share-based compensation expense and the timing of our marketing campaigns. Marketing expenses unrelated to personnel costs were $8.2 million in the three months ended April 30, 2024 and 10.9% of revenue, compared to $8.5 million and 11.5% of total revenue for the same period last year.</w:t>
      </w:r>
    </w:p>
    <w:p>
      <w:pPr>
        <w:spacing w:after="0" w:line="20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fiscal year 2024, we expect marketing expenses to remain roughly flat in dollars compared to fiscal year 2023. The timing of our marketing expenses during the year will depend in part on the timing of marketing campaigns.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(“G&amp;A”) expenses were $22.8 million for the three months ended April 30, 2024,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decrease of $(3.7) million, or (14.0)%, compared to $26.5 million for the three months ended April 30, 2023. This decrease was driven by lower share-based compensation expense and cost savings from the January 2024 restructuring plan. G&amp;A expenses as a percentage of revenue were 30.4%, compared to 35.7% last year, as we saw increased operating leverage with higher revenue and a lower cost base post-restructuring. G&amp;A related share-based compensation expense was $2.4 million for the three months ended April 30, 2024 and was $6.8 million for the three months ended April 30, 2023. The decrease was primarily due to incremental share-based compensation expense due to</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equity award modifications related to the transition of the Chief Financial Officer role in the first quarter of fiscal year 2023 and reduced share based compensation in the current quarter.</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fiscal year 2024, we expect G&amp;A expenses to decrease in dollars and as a percentage of revenue compared to fiscal year 2023 as a result of lower share-based compensation expense and cost savings from the January 2024 restructuring plan.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$26.0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April 30, 2024, an increase of $5.1 million, or 24.4%, compared to $20.9 million for the three months ended April 30, 2023. The increase was primarily driven by higher Share by RTR units acquired, higher base of rental product and an increase in other revenue. Rental product depreciation and revenue share was 34.7% of revenue in the three months ended April 30, 2024, up from 28.2% in the same period last year primarily due to the factors discussed above.</w:t>
      </w:r>
    </w:p>
    <w:p>
      <w:pPr>
        <w:spacing w:after="0" w:line="17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$3.3 million for the three months ended April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$(0.5) million, or (13.2)%, compared to $3.8 million for the three months ended April 30, 2023. This decrease was primarily driven by lower depreciation and amortization associated with capitalized software and reusable packaging.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Restructuring charges were $0.2 million for the three months ended April 30, 2024 for severance and related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the January 2024 restructuring plan.</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 (Expense), Net. </w:t>
      </w:r>
      <w:r>
        <w:rPr>
          <w:rFonts w:ascii="Arial" w:cs="Arial" w:eastAsia="Arial" w:hAnsi="Arial"/>
          <w:sz w:val="18"/>
          <w:szCs w:val="18"/>
          <w:color w:val="auto"/>
        </w:rPr>
        <w:t>Interest expense, net was $(5.6) million for the three months ended April 30, 2024, a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$3.2 million, or (36.4)%, compared to $ (8.8) million for the three months ended April 30, 2023. This decrease was driven by lowered paid-in-kind (“PIK”) and cash interest from the 2023 Amended Temasek Facility, partially offset by higher debt discount amortization. Of the $(5.6) million total interest expense in the three months ended April 30, 2024, $0.8 million was the net of cash interest, interest earned, financing lease and other interest and $(6.4) million was debt discount amortization, compared to $(7.1) million of PIK interest, $(0.1) million net of cash interest, financing lease and other interest and $(1.6) million of debt discount amortization in the three months ended April 30, 2023.</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fiscal year 2024, we expect interest expense related to the 2023 Amended Temasek Facility to decrease and cash interest expense to be zero.</w:t>
      </w:r>
    </w:p>
    <w:p>
      <w:pPr>
        <w:spacing w:after="0" w:line="18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$0.1 million for the three months ended April 30, 2024,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compared to $0.0 million for the three months ended April 30,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8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9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i w:val="1"/>
          <w:iCs w:val="1"/>
          <w:color w:val="auto"/>
        </w:rPr>
        <w:t xml:space="preserve">Adjusted EBITDA and Adjusted EBITDA Margin. </w:t>
      </w:r>
      <w:r>
        <w:rPr>
          <w:rFonts w:ascii="Arial" w:cs="Arial" w:eastAsia="Arial" w:hAnsi="Arial"/>
          <w:sz w:val="18"/>
          <w:szCs w:val="18"/>
          <w:color w:val="auto"/>
        </w:rPr>
        <w:t>Adjusted EBITDA and Adjusted EBITDA Margin are key performance measures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management to assess our operating performance and the operating leverage of our business prior to capital expenditures. Our Adjusted EBITDA was $6.5 million for the three months ended April 30, 2024 compared to $4.5 million for the three months ended April 30, 2023, representing margins of 8.7% and 6.1%, respectively. Adjusted EBITDA Margin significantly improved for the three months ended April 30, 2024 due to lower fulfillment costs and the impact of our fixed cost reduction efforts partially offset by higher revenue share payments due to a greater proportion of revenue share units.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7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r>
      <w:tr>
        <w:trPr>
          <w:trHeight w:val="196"/>
        </w:trPr>
        <w:tc>
          <w:tcPr>
            <w:tcW w:w="7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7"/>
                <w:szCs w:val="17"/>
                <w:color w:val="auto"/>
              </w:rPr>
            </w:pPr>
          </w:p>
        </w:tc>
      </w:tr>
      <w:tr>
        <w:trPr>
          <w:trHeight w:val="231"/>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(30.1)</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Interest (income) / expense, net (1)</w:t>
            </w:r>
          </w:p>
        </w:tc>
        <w:tc>
          <w:tcPr>
            <w:tcW w:w="36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8.8</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product depreciation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Other depreciation and amortization (2)</w:t>
            </w:r>
          </w:p>
        </w:tc>
        <w:tc>
          <w:tcPr>
            <w:tcW w:w="36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3.8</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(3)</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8.8</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Write-off of liquidated assets (4)</w:t>
            </w:r>
          </w:p>
        </w:tc>
        <w:tc>
          <w:tcPr>
            <w:tcW w:w="36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1.0</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 (5)</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Other (income) / expense, net (6)</w:t>
            </w:r>
          </w:p>
        </w:tc>
        <w:tc>
          <w:tcPr>
            <w:tcW w:w="36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 losses (7)</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4.5</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 (8)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307"/>
        </w:trPr>
        <w:tc>
          <w:tcPr>
            <w:tcW w:w="7180" w:type="dxa"/>
            <w:vAlign w:val="bottom"/>
          </w:tcPr>
          <w:p>
            <w:pPr>
              <w:spacing w:after="0"/>
              <w:rPr>
                <w:sz w:val="20"/>
                <w:szCs w:val="20"/>
                <w:color w:val="auto"/>
              </w:rPr>
            </w:pPr>
            <w:r>
              <w:rPr>
                <w:rFonts w:ascii="Arial" w:cs="Arial" w:eastAsia="Arial" w:hAnsi="Arial"/>
                <w:sz w:val="18"/>
                <w:szCs w:val="18"/>
                <w:color w:val="auto"/>
              </w:rPr>
              <w:t>__________</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ind w:left="320" w:hanging="312"/>
        <w:spacing w:after="0" w:line="202" w:lineRule="auto"/>
        <w:tabs>
          <w:tab w:leader="none" w:pos="32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Includes debt discount amortization of $6.4 million in the three months ended April 30, 2024 and $1.6 million in the three months ended April 30, 2023.</w:t>
      </w:r>
    </w:p>
    <w:p>
      <w:pPr>
        <w:spacing w:after="0" w:line="80"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5"/>
        </w:numPr>
        <w:rPr>
          <w:rFonts w:ascii="Arial" w:cs="Arial" w:eastAsia="Arial" w:hAnsi="Arial"/>
          <w:sz w:val="9"/>
          <w:szCs w:val="9"/>
          <w:color w:val="auto"/>
        </w:rPr>
      </w:pPr>
      <w:r>
        <w:rPr>
          <w:rFonts w:ascii="Arial" w:cs="Arial" w:eastAsia="Arial" w:hAnsi="Arial"/>
          <w:sz w:val="14"/>
          <w:szCs w:val="14"/>
          <w:color w:val="auto"/>
        </w:rPr>
        <w:t>Reflects non-rental product depreciation and capitalized software amortization.</w:t>
      </w:r>
    </w:p>
    <w:p>
      <w:pPr>
        <w:spacing w:after="0" w:line="122" w:lineRule="exact"/>
        <w:rPr>
          <w:rFonts w:ascii="Arial" w:cs="Arial" w:eastAsia="Arial" w:hAnsi="Arial"/>
          <w:sz w:val="9"/>
          <w:szCs w:val="9"/>
          <w:color w:val="auto"/>
        </w:rPr>
      </w:pPr>
    </w:p>
    <w:p>
      <w:pPr>
        <w:ind w:left="320" w:hanging="312"/>
        <w:spacing w:after="0"/>
        <w:tabs>
          <w:tab w:leader="none" w:pos="320" w:val="left"/>
        </w:tabs>
        <w:numPr>
          <w:ilvl w:val="0"/>
          <w:numId w:val="25"/>
        </w:numPr>
        <w:rPr>
          <w:rFonts w:ascii="Arial" w:cs="Arial" w:eastAsia="Arial" w:hAnsi="Arial"/>
          <w:sz w:val="9"/>
          <w:szCs w:val="9"/>
          <w:color w:val="auto"/>
        </w:rPr>
      </w:pPr>
      <w:r>
        <w:rPr>
          <w:rFonts w:ascii="Arial" w:cs="Arial" w:eastAsia="Arial" w:hAnsi="Arial"/>
          <w:sz w:val="14"/>
          <w:szCs w:val="14"/>
          <w:color w:val="auto"/>
        </w:rPr>
        <w:t>Reflects the non-cash expense for share-based compensation.</w:t>
      </w:r>
    </w:p>
    <w:p>
      <w:pPr>
        <w:spacing w:after="0" w:line="94" w:lineRule="exact"/>
        <w:rPr>
          <w:rFonts w:ascii="Arial" w:cs="Arial" w:eastAsia="Arial" w:hAnsi="Arial"/>
          <w:sz w:val="9"/>
          <w:szCs w:val="9"/>
          <w:color w:val="auto"/>
        </w:rPr>
      </w:pPr>
    </w:p>
    <w:p>
      <w:pPr>
        <w:ind w:left="320" w:hanging="312"/>
        <w:spacing w:after="0"/>
        <w:tabs>
          <w:tab w:leader="none" w:pos="32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Reflects restructuring charges primarily related to severance and related costs in connection with the January 2024 restructuring plan.</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Includes other (income) / expense recognized in the period.</w:t>
      </w:r>
    </w:p>
    <w:p>
      <w:pPr>
        <w:spacing w:after="0" w:line="79" w:lineRule="exact"/>
        <w:rPr>
          <w:rFonts w:ascii="Arial" w:cs="Arial" w:eastAsia="Arial" w:hAnsi="Arial"/>
          <w:sz w:val="19"/>
          <w:szCs w:val="19"/>
          <w:color w:val="auto"/>
          <w:vertAlign w:val="superscript"/>
        </w:rPr>
      </w:pPr>
    </w:p>
    <w:p>
      <w:pPr>
        <w:ind w:left="340" w:right="200" w:hanging="332"/>
        <w:spacing w:after="0" w:line="305" w:lineRule="auto"/>
        <w:tabs>
          <w:tab w:leader="none" w:pos="333" w:val="left"/>
        </w:tabs>
        <w:numPr>
          <w:ilvl w:val="0"/>
          <w:numId w:val="25"/>
        </w:numPr>
        <w:rPr>
          <w:rFonts w:ascii="Arial" w:cs="Arial" w:eastAsia="Arial" w:hAnsi="Arial"/>
          <w:sz w:val="9"/>
          <w:szCs w:val="9"/>
          <w:color w:val="auto"/>
        </w:rPr>
      </w:pPr>
      <w:r>
        <w:rPr>
          <w:rFonts w:ascii="Arial" w:cs="Arial" w:eastAsia="Arial" w:hAnsi="Arial"/>
          <w:sz w:val="14"/>
          <w:szCs w:val="14"/>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21" w:lineRule="exact"/>
        <w:rPr>
          <w:rFonts w:ascii="Arial" w:cs="Arial" w:eastAsia="Arial" w:hAnsi="Arial"/>
          <w:sz w:val="9"/>
          <w:szCs w:val="9"/>
          <w:color w:val="auto"/>
        </w:rPr>
      </w:pPr>
    </w:p>
    <w:p>
      <w:pPr>
        <w:ind w:left="320" w:hanging="312"/>
        <w:spacing w:after="0"/>
        <w:tabs>
          <w:tab w:leader="none" w:pos="32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Adjusted EBITDA Margin calculated as Adjusted EBITDA as a percentage of revenue.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Since our founding, we have financed our operations primarily from net proceeds from the sale of redeemable preferred stock, common stock and debt financings. As of April 30, 2024, we had cash and cash equivalents of $82.0 million and restricted cash of $10.0 million ($5.2 million current and $4.8 million noncurrent), and an accumulated deficit of $(1,075.1) million.</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On October 29, 2021, we closed our IPO, in which we issued and sold 850,000 shares at a public offering price of $420.00 per share. We received net proceeds of $327.3 million after deducting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is a borrower under a loan agreement with Double Helix Pte Ltd., as administrative agent for Temasek Holdings. In January 2023, we entered into an amendment and restatement of such facility (the “2022 Amended Temasek Facility”). The 2022 Amended Temasek Facility extended the maturity date from October 2024 to October 2026, reduced cash interest payments by over $20 million for the two succeeding fiscal years while the total interest rate remains unchanged during this period, with subsequent increases thereafter. In connection with the 2022 Amended Temasek Facility, we also granted warrants to purchase 100,000 shares of Class A Common Stock at an exercise price of $100.00 per share, along with other clarifications and updates. In December 2023, we entered into the 2023 Amended</w:t>
      </w:r>
    </w:p>
    <w:p>
      <w:pPr>
        <w:spacing w:after="0" w:line="1" w:lineRule="exact"/>
        <w:rPr>
          <w:sz w:val="20"/>
          <w:szCs w:val="20"/>
          <w:color w:val="auto"/>
        </w:rPr>
      </w:pPr>
    </w:p>
    <w:p>
      <w:pPr>
        <w:jc w:val="both"/>
        <w:ind w:right="240"/>
        <w:spacing w:after="0"/>
        <w:rPr>
          <w:sz w:val="20"/>
          <w:szCs w:val="20"/>
          <w:color w:val="auto"/>
        </w:rPr>
      </w:pPr>
      <w:r>
        <w:rPr>
          <w:rFonts w:ascii="Arial" w:cs="Arial" w:eastAsia="Arial" w:hAnsi="Arial"/>
          <w:sz w:val="17"/>
          <w:szCs w:val="17"/>
          <w:color w:val="auto"/>
        </w:rPr>
        <w:t>Temasek Facility. The 2023 Amended Temasek Facility eliminated all interest (payment-in-kind and cash interest) for six full fiscal quarters beginning with the fourth quarter of fiscal year 2023, reduced the minimum liquidity maintenance covenant from $50 million to $30 million,</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and provided that the Company may not exceed mutually agreed upon quarterly and annual spend levels for rental product capital, fixed operating,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Our total indebtedness as of April 30, 2024 was $313.1 million. For a description of the terms of our current and prior credit agreements, see “Note 7 – Long-Term Debt” in the Notes to the Condensed Consolidated Financial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While we have experienced operating losses and negative cash flow historically, we expect to achieve cash flows from operations plus cash flows generated (used) in investing break-even in fiscal year 2024. We believe our existing cash and cash equivalents, and cash generated from our operations, will be sufficient to sustain our business operations and satisfy the $30 million minimum liquidity maintenance covenant for at least the next twelve months. We also plan to comply with the maximum expenditure covenants under the 2023 Amended Temasek Facility for at least the next twelve months from the date the accompanying financial statements included elsewhere in this Quarterly Report are issued. As noted above, our 2023 Amended Temasek Facility eliminates all interest (both payment-in-kind and cash interest) for a period</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of six full fiscal quarters beginning with the fourth quarter of fiscal year 2023. In September 2022, we announced a restructuring plan to reduce costs, streamline our organizational structure and drive operational efficiencies, which generated annual operating expense savings</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of approximately $27 million (relative to the second quarter of fiscal year 2022 run rate) in the four quarters following the September 2022 restructuring. In January 2024, we announced a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w:t>
      </w:r>
    </w:p>
    <w:p>
      <w:pPr>
        <w:spacing w:after="0" w:line="20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future capital requirements will depend on many factors, including, but not limited to, demand for our business, rental product spend and the timing of investments in technology and personnel to support the overall growth of our business. To the extent that current and anticipated future sources of liquidity are insufficient to fund our future business activities and requirements and service our debt obligations or if we fail to comply with the covenants specified in the 2023 Amended Temasek Facility, inclusive of the $30 million minimum liquidity maintenance covenant, we may be required to seek additional capital or restructure or refinance our indebtedness.</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On May 28, 2024, we filed a “shelf” registration statement on Form S-3 (Reg. No. 333 -279757) with the SEC, which was declared effective on June 6, 2024. This shelf registration statement, which includes a base prospectus, allows us at any time to offer any combination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securities described in the prospectus in one or more offerings for our own account in an aggregate amount up to $40 million. The Form S-3 is intended to provide us flexibility to conduct registered sales of our securities, subject to market conditions and our future capital needs. The</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terms of any future offering under the shelf registration statement will be established at the time of such offering and will be described in a prospectus supplement filed with the SEC prior to the completion of any such offering.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issuance of additional equity, including securities convertible into equity, would result in additional dilution to our stockholders and could reduce the market price of our stock. Preferred stock, if issued, could have a preference with respect to liquidating distributions or a preference with respect to dividend payments that could limit our ability to pay dividends to the holders of our common stock. The incurrence of debt financing would result in debt service obligations and the instruments governing such debt could provide for operating and financing covenants that would restrict our operations. Our decision to issue securities in any future offering will depend on market conditions and other factors beyond our control, which may adversely affect the amount, timing, or nature of our future offerings. There can be no assurances that</w:t>
      </w:r>
    </w:p>
    <w:p>
      <w:pPr>
        <w:spacing w:after="0" w:line="1"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we will be able to raise additional capital which could negatively affect our liquidity in the future. In the event that additional financing is required from outside sources, we may not be able to negotiate terms acceptable to us or at all. If this occurs, our repayment obligations</w:t>
      </w:r>
    </w:p>
    <w:p>
      <w:pPr>
        <w:spacing w:after="0" w:line="2" w:lineRule="exact"/>
        <w:rPr>
          <w:sz w:val="20"/>
          <w:szCs w:val="20"/>
          <w:color w:val="auto"/>
        </w:rPr>
      </w:pPr>
    </w:p>
    <w:p>
      <w:pPr>
        <w:jc w:val="both"/>
        <w:ind w:right="320"/>
        <w:spacing w:after="0" w:line="242" w:lineRule="auto"/>
        <w:rPr>
          <w:sz w:val="20"/>
          <w:szCs w:val="20"/>
          <w:color w:val="auto"/>
        </w:rPr>
      </w:pPr>
      <w:r>
        <w:rPr>
          <w:rFonts w:ascii="Arial" w:cs="Arial" w:eastAsia="Arial" w:hAnsi="Arial"/>
          <w:sz w:val="18"/>
          <w:szCs w:val="18"/>
          <w:color w:val="auto"/>
        </w:rPr>
        <w:t>under the 2023 Amended Temasek Facility may be accelerated and we may be unable to meet such obligations.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75"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April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195"/>
        </w:trPr>
        <w:tc>
          <w:tcPr>
            <w:tcW w:w="8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spacing w:after="0"/>
              <w:rPr>
                <w:sz w:val="16"/>
                <w:szCs w:val="16"/>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measure the cash consumption of the business including capital expenditures, by assessing net cash used in operating activities and net cash used in investing activities on a combined basis, which was $(1.4) million for the three months ended April 30, 2024 and $(12.1) million for the three months ended April 30, 2023. The cash consumption of the business was lower in the first quarter of fiscal year 2024 compared with the same period of fiscal year 2023 primarily due to improvements in working capital and Adjusted EBITDA and lower purchases of rental product compared to the prior period. The sum of net cash used in operating activities and net cash used in investing activities, as a percentage of revenue, was (1.9)% for the three months ended April 30, 2024 and (16.3)% for the three months ended April 30, 2023.</w:t>
      </w:r>
    </w:p>
    <w:p>
      <w:pPr>
        <w:spacing w:after="0" w:line="19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b w:val="1"/>
          <w:bCs w:val="1"/>
          <w:color w:val="auto"/>
        </w:rPr>
        <w:t>Net cash (used in) provided by operating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 months ended April 30, 2024, net cash provided by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was $4.6 million, which consisted of a net loss of $(22.0) million, offset by non-cash charges of $28.0 million, reclassification of the proceeds from the sale of rental product of $6.8 million and a net change of $5.4 million in our operating assets and liabilities. The non-cash</w:t>
      </w:r>
    </w:p>
    <w:p>
      <w:pPr>
        <w:spacing w:after="0" w:line="2" w:lineRule="exact"/>
        <w:rPr>
          <w:sz w:val="20"/>
          <w:szCs w:val="20"/>
          <w:color w:val="auto"/>
        </w:rPr>
      </w:pPr>
    </w:p>
    <w:p>
      <w:pPr>
        <w:ind w:right="780"/>
        <w:spacing w:after="0" w:line="237" w:lineRule="auto"/>
        <w:rPr>
          <w:sz w:val="20"/>
          <w:szCs w:val="20"/>
          <w:color w:val="auto"/>
        </w:rPr>
      </w:pPr>
      <w:r>
        <w:rPr>
          <w:rFonts w:ascii="Arial" w:cs="Arial" w:eastAsia="Arial" w:hAnsi="Arial"/>
          <w:sz w:val="18"/>
          <w:szCs w:val="18"/>
          <w:color w:val="auto"/>
        </w:rPr>
        <w:t>charges were primarily comprised of $15.3 million of rental product depreciation and write-off expenses, $3.0 million of share-based compensation, $6.4 million of debt discount amortization, and $3.3 million of other fixed and intangible asset depreciation.</w:t>
      </w:r>
    </w:p>
    <w:p>
      <w:pPr>
        <w:spacing w:after="0" w:line="194"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For the three months ended April 30, 2023, net cash used in operating activities was $(3.3) million, which consisted of a net loss of $(30.1) million, partially offset by non-cash charges of $33.3 million, reclassification of the proceeds from the sale of rental product of $5.4 million and a net change of $(1.1) million in our operating assets and liabilities. The non-cash charges were primarily comprised of $11.9 million of rental product depreciation and write-off expenses, $7.1 million of payment-in-kind interest, $8.8 million of share-based compensation, $1.6 million of debt discount amortization and $3.9 million of other fixed and intangible asset depreciation.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Net cash (used in) provided by investing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 months ended April 30, 2024, net cash used in investing activities was</w:t>
      </w:r>
      <w:r>
        <w:rPr>
          <w:rFonts w:ascii="Arial" w:cs="Arial" w:eastAsia="Arial" w:hAnsi="Arial"/>
          <w:sz w:val="18"/>
          <w:szCs w:val="18"/>
          <w:b w:val="1"/>
          <w:bCs w:val="1"/>
          <w:color w:val="auto"/>
        </w:rPr>
        <w:t xml:space="preserve"> </w:t>
      </w:r>
      <w:r>
        <w:rPr>
          <w:rFonts w:ascii="Arial" w:cs="Arial" w:eastAsia="Arial" w:hAnsi="Arial"/>
          <w:sz w:val="18"/>
          <w:szCs w:val="18"/>
          <w:color w:val="auto"/>
        </w:rPr>
        <w:t>$(6.0) million, primarily consisting of $(13.1) million of purchases of rental product incurred in the period and $(0.8) million of purchases of fixed and intangible assets. The investment in rental product does not include an additional $(12.3) million of cost for units received in the current period but not yet paid for, but does include $3.3 million of cost for units paid for in the current period but received in the prior period (see the Supplemental Cash Flow Information in Part I, Item 1. “Financial Statements (Unaudited)”). The investment in rental product was to support our rental product strategy. The majority of the investment in fixed and intangible assets was primarily related to machinery and equipment and leasehold improvements. The cash used in investing activities was partially offset by $6.8 million of proceeds from the sale of owned rental product and $1.1 million of proceeds from the liquidation of rental product.</w:t>
      </w:r>
    </w:p>
    <w:p>
      <w:pPr>
        <w:spacing w:after="0" w:line="18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For the three months ended April 30, 2023, net cash used in investing activities was $(8.8) million, primarily consisting of $(14.6) million of purchases of rental product incurred in the period and $(0.9) million of purchases of fixed and intangible assets. The investment in rental product did not include the additional $(13.0) million of cost for units received in the current period but not yet paid for, but did include $ 5.4 million of cost for units paid for in the current period but received in the prior period (see Supplemental Cash Flow Information in Part I, Item</w:t>
      </w:r>
    </w:p>
    <w:p>
      <w:pPr>
        <w:spacing w:after="0" w:line="2" w:lineRule="exact"/>
        <w:rPr>
          <w:sz w:val="20"/>
          <w:szCs w:val="20"/>
          <w:color w:val="auto"/>
        </w:rPr>
      </w:pPr>
    </w:p>
    <w:p>
      <w:pPr>
        <w:ind w:right="40" w:firstLine="8"/>
        <w:spacing w:after="0" w:line="255"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Statements (Unaudited)”). The investment in rental product was to support growth in customer demand. The majority of the investment in fixed and intangible assets was related to investments in capitalized technology labor. The cash used in investing activities was partially offset by $5.4 million of proceeds from sales of owned rental products and $1.3 million of proceeds from the liquidation of rental product.</w:t>
      </w:r>
    </w:p>
    <w:p>
      <w:pPr>
        <w:spacing w:after="0" w:line="18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Net cash provided by (used in) financing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three months ended April 30, 2024, net cash used in financing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$(0.6) million, consisting of other financing payments.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April 30, 2023, net cash used in financing activities was $(0.1) million, consisting of other financing payments.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2023, we entered into the 2023 Amended Temasek Facility, which eliminated all interest (both payment-in-kind and cash interest) for a period of six full fiscal quarters beginning with the fourth quarter of fiscal year 2023, reduced the minimum liquidity maintenance covenant from $50 million to $30 million, and provided that we may not exceed mutually agreed upon quarterly and annual spend levels for rental product capital expenditures, fixed operating expenses and marketing expenditures during fiscal year 2024 and to-be-agreed levels for fiscal years 2025 and 2026. See Note 7 — Long-Term Debt in the Notes to the Condensed Consolidated Financial Statements for more information. As of April 30, 2024, we had approximately $313.1 million of total debt outstanding, none of which matures within the next 12 months. See “Note 7 — Long-Term Debt” in the Notes to the Condensed Consolidated Financial Statements for more information. See “Note 5 – Leases – Lessee Accounting” in the Notes to the Condensed Consolidated Financial Statements for our minimum fixed lease obligations under existing lease agreements as of April 30, 2024, including the discussion of the recent extension of our Secaucus lease.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critical accounting estimates are described under the heading “Management’s Discussion and Analysis of Financial Condition and Results of Operations-Critical Accounting Estimates” in our 2023 Annual Report on Form 10-K. In the three months ended April 30, 2024, there were no material changes to our critical accounting estimates from those discussed in our 2023 Annual Report on Form 10-K except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Impairment Evaluation</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 -lived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Given the Company’s stock price decline during the third quarter of fiscal year 2023, the Company concluded a triggering event had occurred and performed an impairment analysis of its long-lived assets as of October 31, 2023. Based on the quantitative assessment performed, undiscounted cash flows expected to be generated by the use and eventual disposition of the Company’s long-lived assets exceeded their carrying values and therefore no impairment was recognized for the year ended January 31, 2024. The Company has concluded there were no triggering events as of April 30,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quantitative and qualitative disclosures about market risk are described under the heading “Quantitative and Qualitative Disclosures About Market Risk” in our 2023 Annual Report on Form 10-K. In the three months ended April 30, 2024, there were no material changes to our quantitative and qualitative disclosures about market risk from those discussed in our 2023 Annual Report on Form 10-K.</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April 30, 2024 because of the material weaknesses in our internal control over financial reporting described below.</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April 30, 2024, these material weaknesses are still in the process of being remediated.</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4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03"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quarter ended April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The information contained in “Note 14 — Commitments and Contingencies” in the Notes to the Condensed Consolidated Financial Statements is incorporated by reference into this Item.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25"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b w:val="1"/>
          <w:bCs w:val="1"/>
          <w:i w:val="1"/>
          <w:iCs w:val="1"/>
          <w:color w:val="auto"/>
        </w:rPr>
        <w:t>We have grown rapidly in recent years and have limited experience at our current scale of operations and our historical growth rates are not necessarily indicative of our future performance. If we are unable to drive future growth or manage our growth effectively, our brand, company culture, and financial performance may suffer</w:t>
      </w:r>
      <w:r>
        <w:rPr>
          <w:rFonts w:ascii="Arial" w:cs="Arial" w:eastAsia="Arial" w:hAnsi="Arial"/>
          <w:sz w:val="18"/>
          <w:szCs w:val="18"/>
          <w:color w:val="auto"/>
        </w:rPr>
        <w:t>.</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grown rapidly in the last several years, due in large part to the growth in demand for our Subscription offerings; however, our historical growth rates and financial performance should not necessarily be considered indicative of our future performance. To effectively manage and capitalize on our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a diverse employee base. Failure to scale and preserve our company culture as we grow could also harm our future success, including our ability to retain and recruit personnel and to effectively focus on and pursue our corporate objectives.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For example, our active subscriber growth rate decreased year over year in fiscal year 2023 and, although we are focused on growth initiatives, may continue to decline in the future. In addition, our annual revenue was roughly flat year-over-year in fiscal year 2023. We presently anticipate a modest increase in our year-over-year revenue growth rate in fiscal year 2024; however, if our growth rates continue to decline, the perception of our business, financial condition and results of operations by investors and our third-party service providers and brand partners may be adversely affected.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fashion industry is rapidly evolving and our business may not develop as we expect. Overall growth of our revenue will depend on a number of factors, including our ability to:</w:t>
      </w:r>
    </w:p>
    <w:p>
      <w:pPr>
        <w:spacing w:after="0" w:line="45"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traditional consumer buying habits and normalize clothing subscription, rental and resale;</w:t>
      </w:r>
    </w:p>
    <w:p>
      <w:pPr>
        <w:spacing w:after="0" w:line="117" w:lineRule="exact"/>
        <w:rPr>
          <w:rFonts w:ascii="Arial" w:cs="Arial" w:eastAsia="Arial" w:hAnsi="Arial"/>
          <w:sz w:val="18"/>
          <w:szCs w:val="18"/>
          <w:color w:val="auto"/>
        </w:rPr>
      </w:pPr>
    </w:p>
    <w:p>
      <w:pPr>
        <w:ind w:left="740" w:right="48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our Subscription, Reserve and Resale offerings so that we are able to attract new customers, and retain and expand our relationships with existing customers;</w:t>
      </w:r>
    </w:p>
    <w:p>
      <w:pPr>
        <w:spacing w:after="0" w:line="44" w:lineRule="exact"/>
        <w:rPr>
          <w:rFonts w:ascii="Arial" w:cs="Arial" w:eastAsia="Arial" w:hAnsi="Arial"/>
          <w:sz w:val="18"/>
          <w:szCs w:val="18"/>
          <w:color w:val="auto"/>
        </w:rPr>
      </w:pPr>
    </w:p>
    <w:p>
      <w:pPr>
        <w:ind w:left="740" w:right="22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ensure that we maintain an adequate depth and breadth of available products to meet customer demand and respond swiftly and appropriately to new and changing styles, trends or desired consumer preferences;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accurately forecast our revenue and plan our fulfillment, operating expenses and capital expenditures;</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customers with a high-quality, seamless user experience and order fulfillment, as well as customer service and support that meets their needs;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customers into varying levels of subscription programs at different price points;</w:t>
      </w:r>
    </w:p>
    <w:p>
      <w:pPr>
        <w:spacing w:after="0" w:line="117" w:lineRule="exact"/>
        <w:rPr>
          <w:rFonts w:ascii="Arial" w:cs="Arial" w:eastAsia="Arial" w:hAnsi="Arial"/>
          <w:sz w:val="18"/>
          <w:szCs w:val="18"/>
          <w:color w:val="auto"/>
        </w:rPr>
      </w:pPr>
    </w:p>
    <w:p>
      <w:pPr>
        <w:ind w:left="740" w:right="42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improve our website and app performance and successfully identify and acquire, partner or invest in products, technologies, or businesses that we believe could complement or expand our business;</w:t>
      </w:r>
    </w:p>
    <w:p>
      <w:pPr>
        <w:spacing w:after="0" w:line="44" w:lineRule="exact"/>
        <w:rPr>
          <w:rFonts w:ascii="Arial" w:cs="Arial" w:eastAsia="Arial" w:hAnsi="Arial"/>
          <w:sz w:val="18"/>
          <w:szCs w:val="18"/>
          <w:color w:val="auto"/>
        </w:rPr>
      </w:pPr>
    </w:p>
    <w:p>
      <w:pPr>
        <w:ind w:left="740" w:right="22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maintain and grow our relationships with existing and new brand partners, including continuing to maintain and grow our Share by RTR and Exclusive Design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avoid disruptions in acquiring and distributing our products and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effective and efficient in our paid marketing;</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integrate and retain talented personnel across all levels of our organization;</w:t>
      </w:r>
    </w:p>
    <w:p>
      <w:pPr>
        <w:spacing w:after="0" w:line="117" w:lineRule="exact"/>
        <w:rPr>
          <w:rFonts w:ascii="Arial" w:cs="Arial" w:eastAsia="Arial" w:hAnsi="Arial"/>
          <w:sz w:val="18"/>
          <w:szCs w:val="18"/>
          <w:color w:val="auto"/>
        </w:rPr>
      </w:pPr>
    </w:p>
    <w:p>
      <w:pPr>
        <w:ind w:left="740" w:right="10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expand into new and penetrate existing geographic markets in the United States;</w:t>
      </w:r>
    </w:p>
    <w:p>
      <w:pPr>
        <w:spacing w:after="0" w:line="117"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develop new offerings and innovate and enhance our existing offerings and their features, including in response to new trends, competitive dynamics or the needs of customers and subscribers;</w:t>
      </w:r>
    </w:p>
    <w:p>
      <w:pPr>
        <w:spacing w:after="0" w:line="44"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expanding our shipping and distribution capabilities and fulfillment center operations, as well as our logistics footprint and the number of facilities we operate in the future;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 and</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incidents and other factors that could affect our physical and digital infrastructure.</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expect to continue to expend substantial financial and other resources to grow our business, and we may fail to allocate our resources in a manner that results in increased revenue growth in our business.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fashion industry is highly competitive and rapidly changing, and we may not be able to compete effectively.</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ability to compete effectively depends on many factors within and beyond our control, including:</w:t>
      </w:r>
    </w:p>
    <w:p>
      <w:pPr>
        <w:spacing w:after="0" w:line="117"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normalize fashion rental and change traditional retail shopping habits and norms;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effectively differentiated our offerings, customer experience and value proposition are from those of our competitors;</w:t>
      </w:r>
    </w:p>
    <w:p>
      <w:pPr>
        <w:spacing w:after="0" w:line="117" w:lineRule="exact"/>
        <w:rPr>
          <w:rFonts w:ascii="Arial" w:cs="Arial" w:eastAsia="Arial" w:hAnsi="Arial"/>
          <w:sz w:val="18"/>
          <w:szCs w:val="18"/>
          <w:color w:val="auto"/>
        </w:rPr>
      </w:pPr>
    </w:p>
    <w:p>
      <w:pPr>
        <w:ind w:left="740" w:right="48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effectively we market and communicate how to use our Subscription, Reserve and Resale offerings and attract and retain customers;</w:t>
      </w:r>
    </w:p>
    <w:p>
      <w:pPr>
        <w:spacing w:after="0" w:line="44" w:lineRule="exact"/>
        <w:rPr>
          <w:rFonts w:ascii="Arial" w:cs="Arial" w:eastAsia="Arial" w:hAnsi="Arial"/>
          <w:sz w:val="18"/>
          <w:szCs w:val="18"/>
          <w:color w:val="auto"/>
        </w:rPr>
      </w:pPr>
    </w:p>
    <w:p>
      <w:pPr>
        <w:ind w:left="740" w:right="4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expand and maintain an appealing depth and breadth of our products to meet customer demand and to merchandise it effectively;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at which we are able to offer our Subscription, Reserve and Resale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diversity, and quality of brands that we or our competitors offer;</w:t>
      </w:r>
    </w:p>
    <w:p>
      <w:pPr>
        <w:spacing w:after="0" w:line="117" w:lineRule="exact"/>
        <w:rPr>
          <w:rFonts w:ascii="Arial" w:cs="Arial" w:eastAsia="Arial" w:hAnsi="Arial"/>
          <w:sz w:val="18"/>
          <w:szCs w:val="18"/>
          <w:color w:val="auto"/>
        </w:rPr>
      </w:pPr>
    </w:p>
    <w:p>
      <w:pPr>
        <w:ind w:left="740" w:right="8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acquire products on favorable and efficient terms, including our ability to attract new brand partners and retain existing brand partners in our Share by RTR and Exclusive Design programs;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speed and cost at which we can deliver products to our customers and the ease with which they can return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further developing our data science capabilities for brand partners;</w:t>
      </w:r>
    </w:p>
    <w:p>
      <w:pPr>
        <w:spacing w:after="0" w:line="117" w:lineRule="exact"/>
        <w:rPr>
          <w:rFonts w:ascii="Arial" w:cs="Arial" w:eastAsia="Arial" w:hAnsi="Arial"/>
          <w:sz w:val="18"/>
          <w:szCs w:val="18"/>
          <w:color w:val="auto"/>
        </w:rPr>
      </w:pPr>
    </w:p>
    <w:p>
      <w:pPr>
        <w:ind w:left="740" w:right="62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our brand, including maintaining favorable brand recognition and effectively marketing our services and value proposition to customers;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reverse-logistics processes in delivering products in good condition to customers;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anticipating and successfully responding to changing apparel trends and consumer shopping preferences.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8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81"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8"/>
          <w:szCs w:val="18"/>
          <w:color w:val="auto"/>
        </w:rPr>
        <w:t>.</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recent volatile macroeconomic environment and have seen negative impacts on customer demand at varying levels as a result.</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92" w:lineRule="exact"/>
        <w:rPr>
          <w:sz w:val="20"/>
          <w:szCs w:val="20"/>
          <w:color w:val="auto"/>
        </w:rPr>
      </w:pPr>
    </w:p>
    <w:p>
      <w:pPr>
        <w:ind w:right="680"/>
        <w:spacing w:after="0" w:line="272" w:lineRule="auto"/>
        <w:rPr>
          <w:sz w:val="20"/>
          <w:szCs w:val="20"/>
          <w:color w:val="auto"/>
        </w:rPr>
      </w:pPr>
      <w:r>
        <w:rPr>
          <w:rFonts w:ascii="Arial" w:cs="Arial" w:eastAsia="Arial" w:hAnsi="Arial"/>
          <w:sz w:val="18"/>
          <w:szCs w:val="18"/>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8"/>
          <w:szCs w:val="18"/>
          <w:b w:val="1"/>
          <w:bCs w:val="1"/>
          <w:color w:val="auto"/>
        </w:rPr>
        <w:t>.</w:t>
      </w:r>
    </w:p>
    <w:p>
      <w:pPr>
        <w:spacing w:after="0" w:line="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current marketing initiatives are focused on re-engaging lapsed and paused customers, retaining existing customers and growing our base of new customers. In addition, in fiscal year 2024, we are focused on growing traffic and conversion rates and refreshing our lifecycle marketing engine. Although we expect to make significant investments in these areas going forward, these investments may not result in an increase in customer loyalty or higher customer engagement. As a result, our levels of paid and organic growth may continue to fluctuate and/or overall growth may decline.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Paid marketing is a key part of our growth strategy and we are currently focused on enhancing our current processes and approach, including by continuing to leverage technology to measure our effectiveness and efficiency. We also utilize promotional pricing to attract customers and subscribers who may have heightened price sensitivity and not be willing to pay full price for our offering when the promotion period expires. In recent quarters, we have reduced promotional pricing for Subscription, which we believe negatively impacted subscriber acquisition. However, we believe that being less promotional going forward will enhance retention and customer experience and is in the best interest of the long-term health of the business. This approach may not be successful or sustainable and is likely to result in lower subscriber acquisition in the short term. In addition, it is likely that we will conduct additional experiments and may make changes to our promotions strategy in the future, depending on market conditions and other factors. We may incur marketing expenses significantly in advance of the time we anticipate recognized revenue associated with such expenses. In addition, our paid marketing may be unsuccessful for various reasons, including not effectively reaching potential customers or being cost-effective (particularly as costs increase for performance marketing), changes in regulations (e.g., privacy) or third-party interference could limit the effectiveness of search engines, social media platforms, and other tools for marketing, potential customers may decide not to rent through our platform or the spend of new customers may not yield the intended return on investment, any of which could negatively affect our results of operations. In addition, the success of our marketing initiatives overall depends upon our marketing team and leadership, which has experienced recent transition as we focus on building creative and strategic talent on the team. If our team building efforts or marketing strategies are not successful or are not executed successfully, our growth may decline and we may not achieve our growth and/or profitability goals.</w:t>
      </w:r>
    </w:p>
    <w:p>
      <w:pPr>
        <w:spacing w:after="0" w:line="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retain customers, our business, financial condition, and results of operations would be harmed</w:t>
      </w:r>
      <w:r>
        <w:rPr>
          <w:rFonts w:ascii="Arial" w:cs="Arial" w:eastAsia="Arial" w:hAnsi="Arial"/>
          <w:sz w:val="18"/>
          <w:szCs w:val="18"/>
          <w:color w:val="auto"/>
        </w:rPr>
        <w:t>.</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5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Our number of customers and the amounts they spend on our offerings may decline materially or fluctuate as a result of many factors, including, among other things:</w:t>
      </w:r>
    </w:p>
    <w:p>
      <w:pPr>
        <w:spacing w:after="0" w:line="45"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quality, consumer appeal, price, and reliability of our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dissatisfaction with changes we make to our offerings and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perceived value of our offerings, especially in response to price increases and changes in the macroeconomic environment;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quality control the products delivered to our customers and their fit;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ensuring on-time delivery of orders;</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ease with which customers can find items they are looking for, including the effectiveness of our search and discovery tools, merchandising, and rental product availability;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of our website and mobile app, including site speed and reliability;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negative customer service experience;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intense competition in the fashion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publicity that impacts our brand and reputation;</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consumer preferences regarding the use of pre-loved apparel;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market acceptance of our business model;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unpredictable nature of the continued impact of COVID-19 or a future outbreak of disease or similar public health concern;</w:t>
      </w:r>
    </w:p>
    <w:p>
      <w:pPr>
        <w:spacing w:after="0" w:line="117" w:lineRule="exact"/>
        <w:rPr>
          <w:rFonts w:ascii="Arial" w:cs="Arial" w:eastAsia="Arial" w:hAnsi="Arial"/>
          <w:sz w:val="18"/>
          <w:szCs w:val="18"/>
          <w:color w:val="auto"/>
        </w:rPr>
      </w:pPr>
    </w:p>
    <w:p>
      <w:pPr>
        <w:ind w:left="740" w:right="60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(or perceived failure) to meet customer expectations regarding our environmental, social and governance (“ESG”), initiatives;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efficiency of our historic or current customer acquisition methods.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negative publicity may be generated and word-of-mouth and other referrals may be hampered. If our customers no longer perceive our subscription plans as appropriately priced and cancel or pause their subscriptions, our business and financial results could be harmed. We are focused on investing in our customer and delivering even more value to her, including by adding an extra item to each shipment since the first quarter of fiscal year 2023, increasing the depth of our rental product selection, and emphasizing the value proposition of our offering in our marketing</w:t>
      </w:r>
    </w:p>
    <w:p>
      <w:pPr>
        <w:spacing w:after="0" w:line="1"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materials, among other initiatives; however these or other initiatives to retain customers may not be successful at improving customer satisfaction, subscriber retention and/or revenues and may require additional costs or lead to unanticipated consequences. Even if our</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r>
        <w:rPr>
          <w:rFonts w:ascii="Arial" w:cs="Arial" w:eastAsia="Arial" w:hAnsi="Arial"/>
          <w:sz w:val="18"/>
          <w:szCs w:val="18"/>
          <w:color w:val="auto"/>
        </w:rPr>
        <w:t>.</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had a net loss of $ (22.0) million and $ (113.2) million for the three months ended April 30, 2024 and year ended January 31, 2024, respectively, and have in the past had net losses. As of April 30, 2024, we had an accumulated deficit of $ (1,075.1)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ability to generate profit depends on our ability to grow customers and revenue and drive operational efficiencies in our business to generate better margins. In fiscal years 2022 and 2023, we took significant steps to reduce our operating costs, improve our margins, and make progress towards profitability, which is an important financial goal for us over time. Nevertheless, our efforts may be unsuccessful and we may continue to generate net losses in order to:</w:t>
      </w:r>
    </w:p>
    <w:p>
      <w:pPr>
        <w:spacing w:after="0" w:line="68"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rental product, which impacts rental product depreciation and revenue share expenses;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fulfill customer orders and provide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the engagement, enhance retention and improve the experience, of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drive customer acquisition and brand awareness through marketing and promotional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 in technology, including to enhance our website and mobile offerings and functionality;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motivate and retain our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new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generally support a larger customer base; and</w:t>
      </w:r>
    </w:p>
    <w:p>
      <w:pPr>
        <w:spacing w:after="0" w:line="117" w:lineRule="exact"/>
        <w:rPr>
          <w:rFonts w:ascii="Arial" w:cs="Arial" w:eastAsia="Arial" w:hAnsi="Arial"/>
          <w:sz w:val="18"/>
          <w:szCs w:val="18"/>
          <w:color w:val="auto"/>
        </w:rPr>
      </w:pPr>
    </w:p>
    <w:p>
      <w:pPr>
        <w:ind w:left="740" w:right="560" w:hanging="246"/>
        <w:spacing w:after="0" w:line="287"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 in our operations, including our logistics fulfillment, capacity and footprint, and other capital expenditures to support the growth in our business.</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If we fail to anticipate and respond successfully to new and changing fashion trends and consumer preferences and accurately forecast consumer demand, our business could be harmed</w:t>
      </w:r>
      <w:r>
        <w:rPr>
          <w:rFonts w:ascii="Arial" w:cs="Arial" w:eastAsia="Arial" w:hAnsi="Arial"/>
          <w:sz w:val="18"/>
          <w:szCs w:val="18"/>
          <w:color w:val="auto"/>
        </w:rPr>
        <w:t>.</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have not always predicted our customers’ preferences and acceptance levels of our products with accuracy. We have observed that our customers live, work, socialize and travel differently than they did prior to the COVID-19 pandemic and that these behaviors continue to evolve, which influences what they wear and has made trend predictions challenging. We may misjudge demand and over or under purchase rental product. In addition, external events may disrupt or change customer preferences and behaviors in ways we are not able to anticipate. During the second quarter of 2023, lower rental product depth levels negatively impacted active subscribers, particularly new subscribers, and, since then we have focused our efforts on improving rental product depth levels. Any future decreases in our rental product depth levels, including in connection with other business objectives, may negatively impact active subscribers.</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7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spacing w:after="0" w:line="286"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8"/>
          <w:szCs w:val="18"/>
          <w:color w:val="auto"/>
        </w:rPr>
        <w:t>.</w:t>
      </w:r>
    </w:p>
    <w:p>
      <w:pPr>
        <w:spacing w:after="0" w:line="15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 conditions or how relying on a single national carrier may impact customer sentiment and satisfaction, which could lead to unanticipated costs and/or have a material adverse effect on our business and financial condition.</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or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in their prices. We have</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experienced increased shipping costs in recent years, and these costs may increase in the future. In addition, although we have achieved efficiencies in our supply chain operations in recent years, these efficiencies may not be sustainable or meet our broader business</w:t>
      </w:r>
    </w:p>
    <w:p>
      <w:pPr>
        <w:spacing w:after="0" w:line="2"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objectives. Increases in shipping costs, in particular for our primary shipping vendor, could result in increased costs to us and adversely impact our business. In addition,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offering the ability to return products by dropping off items with third-party shipping vendors, we offer at-home pickup for customers located in multiple markets. We believe at-home pickup is more convenient for many customers. Although we have had positive customer feedback and adoption to date, at-home pickup is a newer offering and may not be successful over the long-term. In the event that we do not successfully and cost-effectively manage at-home pickup logistics, it will make it more difficult for us to satisfy our customers and efficiently manage shipping costs, which will negatively affect our brand, financial condition and results of operations.</w:t>
      </w:r>
    </w:p>
    <w:p>
      <w:pPr>
        <w:spacing w:after="0" w:line="289"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If we are unable to acquire and manage our products effectively and plan for future expenses, our operating results could be adversely affected.</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vulnerable to demand and pricing shifts and to suboptimal selection and timing of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Although we believe we have had limited voluntary attrition of brand partners to date, a brand partner could choose to no longer work with us or provide less favorable terms for a variety of reasons, including current operating, financial, market and supply chain conditions.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been focused on expanding our relationships with brand partners and continuing to work to increase the proportion of our products procured under Exclusive Designs and Share by RTR arrangements, which are our more capital-efficient ways of acquiring rental product.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by our brand partners and/or their financing partners or factoring companies, including as a result of our Nasdaq listing compliance and status,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or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Russia’s invasion of Ukraine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8"/>
          <w:szCs w:val="18"/>
          <w:color w:val="auto"/>
        </w:rPr>
        <w:t>.</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Furthermore, whether accurate or not, negative publicity about our business, operations, or employees, and customer complaints has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w:t>
      </w:r>
    </w:p>
    <w:p>
      <w:pPr>
        <w:spacing w:after="0" w:line="2"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8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If we are not able to improve our website and mobile app performance, keep pace with technological changes, enhance our current offerings, and develop new offerings in a timely way to respond to the changing needs of partners and customers, our business, financial performance, and growth may be harmed</w:t>
      </w:r>
      <w:r>
        <w:rPr>
          <w:rFonts w:ascii="Arial" w:cs="Arial" w:eastAsia="Arial" w:hAnsi="Arial"/>
          <w:sz w:val="18"/>
          <w:szCs w:val="18"/>
          <w:color w:val="auto"/>
        </w:rPr>
        <w:t>.</w:t>
      </w:r>
    </w:p>
    <w:p>
      <w:pPr>
        <w:spacing w:after="0" w:line="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may include new software applications or related services based on artificial intelligence (such as our AI search beta launch), augmented reality, machine learning, or robotics or more generally evolving trends in e-commerce. For example, we are currently focused on improving the performance of our website and mobile application for our customers, including increasing site speed and reliability; however, our efforts may be unsuccessful. The technologies that we currently use to support our business platform are highly interconnected and complex (as discussed elsewhere in these risk factors) and may become inadequate or obsolete, and the cost of incorporating new technologies into our offerings and services may be substantial.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spacing w:after="0" w:line="1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In addition, our at-home pickup offering offers customers in certain markets a new way to return their items without going to a physical drop off location. In March 2023, we changed our subscription programs to provide customers with one additional item per shipment at no extra charge, which is intended to provide more value to our customers and increase retention. These new plans and offerings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 Finally, the success of our technology and product initiatives overall depends upon our engineering and product teams and leadership, which have experienced recent transition and may continue to experience transition in the future. If our team building efforts or engineering and product strategies and plans are not successful or are not executed successfully, our growth may decline and we may not achieve our profitability goals.</w:t>
      </w:r>
    </w:p>
    <w:p>
      <w:pPr>
        <w:spacing w:after="0" w:line="299"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and fulfillment operations, depends significantly on the reliability and capacity of these IT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and may occur in the future, which could harm our ability to meet customer expectations, fulfill orders, manage our products, and achieve our objectives for operating efficiencies and profitability.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could have an unintended impact on other sections of our code, which may result in errors or vulnerabilities to our platform and/or launch delays that negatively impact the customer experience and functionality of our offerings. In some cases, such as our mobile application, certain errors are only able to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IT Systems and business operations are increasingly reliant on machine learning systems and artificial intelligence technologies, which are complex, expected to pose new or unknown cybersecurity risks and challenges, and may have errors or inadequacies that are not easily detectable. These systems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302"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8"/>
          <w:szCs w:val="18"/>
          <w:color w:val="auto"/>
        </w:rPr>
        <w:t>.</w:t>
      </w:r>
    </w:p>
    <w:p>
      <w:pPr>
        <w:spacing w:after="0" w:line="3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Our ability to effectively manage our business, particularly our product management, order and fulfillment operations,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whether due to cost savings or resource constraints, failure to identify the need or other reasons, could negatively impact our business.</w:t>
      </w:r>
    </w:p>
    <w:p>
      <w:pPr>
        <w:spacing w:after="0" w:line="17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Additionally, despite various security measures that have been implemented, our IT Systems and those of our third-party service providers and business partners as well as the Confidential Information stored thereon are vulnerable to numerous and evolving cybersecurity risks that threaten their confidentiality, integrity and availability, including security incidents, attacks by diverse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or other similar events.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artificial intelligence)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spacing w:after="0" w:line="1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may not be, and have not always been, effective in every instance.</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Moreover, we or our third-party service providers may be more vulnerable to such attacks in remote or hybrid work environments. Any cyberattack, security incident, or material disruption or slowdown affecting our Confidential Information or IT Systems or those of our third-party service providers or business partners, could result in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spacing w:after="0" w:line="18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Our e-commerce business faces distinct risks, such as fulfillment of orders, and our failure to successfully manage these risks could have a negative impact on our profitability.</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have recently renewed our lease in Secaucus, NJ,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Risks associated with our e-commerce business include:</w:t>
      </w:r>
    </w:p>
    <w:p>
      <w:pPr>
        <w:spacing w:after="0" w:line="117" w:lineRule="exact"/>
        <w:rPr>
          <w:sz w:val="20"/>
          <w:szCs w:val="20"/>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provide a delightful and effective search and discovery experience for our customers;</w:t>
      </w:r>
    </w:p>
    <w:p>
      <w:pPr>
        <w:spacing w:after="0" w:line="117" w:lineRule="exact"/>
        <w:rPr>
          <w:rFonts w:ascii="Arial" w:cs="Arial" w:eastAsia="Arial" w:hAnsi="Arial"/>
          <w:sz w:val="18"/>
          <w:szCs w:val="18"/>
          <w:color w:val="auto"/>
        </w:rPr>
      </w:pPr>
    </w:p>
    <w:p>
      <w:pPr>
        <w:ind w:left="740" w:right="20" w:hanging="246"/>
        <w:spacing w:after="0" w:line="287"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successfully execute planned enhancements to our website and mobile application performance to improve site speed and reliability in order to keep pace with industry standards and meet customer expectations;</w:t>
      </w:r>
    </w:p>
    <w:p>
      <w:pPr>
        <w:spacing w:after="0" w:line="44" w:lineRule="exact"/>
        <w:rPr>
          <w:rFonts w:ascii="Arial" w:cs="Arial" w:eastAsia="Arial" w:hAnsi="Arial"/>
          <w:sz w:val="18"/>
          <w:szCs w:val="18"/>
          <w:color w:val="auto"/>
        </w:rPr>
      </w:pPr>
    </w:p>
    <w:p>
      <w:pPr>
        <w:ind w:left="740" w:right="460" w:hanging="246"/>
        <w:spacing w:after="0" w:line="268"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62"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claims related to our e-commerce operations and fulfillment, including liability for online content;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cybersecurity, consumer privacy and consumer protection concerns and regulation;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2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including as a result of our Nasdaq listing compliance and status, we may receive less favorable terms and conditions, including requiring upfront payments or other demonstrations of credit.</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of operations may fluctuate, which may make it difficult to predict our future performance</w:t>
      </w:r>
      <w:r>
        <w:rPr>
          <w:rFonts w:ascii="Arial" w:cs="Arial" w:eastAsia="Arial" w:hAnsi="Arial"/>
          <w:sz w:val="18"/>
          <w:szCs w:val="18"/>
          <w:color w:val="auto"/>
        </w:rPr>
        <w: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Quarterly Report, factors that may contribute to the variability of our quarterly and annual results include:</w:t>
      </w:r>
    </w:p>
    <w:p>
      <w:pPr>
        <w:spacing w:after="0" w:line="71"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success in attracting and retaining customers and subscribers;</w:t>
      </w:r>
    </w:p>
    <w:p>
      <w:pPr>
        <w:spacing w:after="0" w:line="117" w:lineRule="exact"/>
        <w:rPr>
          <w:rFonts w:ascii="Arial" w:cs="Arial" w:eastAsia="Arial" w:hAnsi="Arial"/>
          <w:sz w:val="18"/>
          <w:szCs w:val="18"/>
          <w:color w:val="auto"/>
        </w:rPr>
      </w:pPr>
    </w:p>
    <w:p>
      <w:pPr>
        <w:ind w:left="740" w:right="74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successful relationships with brand partners and our ability to acquire products at acceptable prices and offer a compelling mix of products that are available for Subscription, Reserve or Resale at any given time;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and timing of our fulfillment costs, operating expenses and capital expenditures;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success of product launches, including pricing changes, new services and features we may introduce;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our marketing and promotional efforts;</w:t>
      </w:r>
    </w:p>
    <w:p>
      <w:pPr>
        <w:spacing w:after="0" w:line="117" w:lineRule="exact"/>
        <w:rPr>
          <w:rFonts w:ascii="Arial" w:cs="Arial" w:eastAsia="Arial" w:hAnsi="Arial"/>
          <w:sz w:val="18"/>
          <w:szCs w:val="18"/>
          <w:color w:val="auto"/>
        </w:rPr>
      </w:pPr>
    </w:p>
    <w:p>
      <w:pPr>
        <w:ind w:left="740" w:right="2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economic and market conditions and other adverse global events that negatively impact commerce and consumer behavior and that could lead to inflationary pressures and supply chain disruptions;</w:t>
      </w:r>
    </w:p>
    <w:p>
      <w:pPr>
        <w:spacing w:after="0" w:line="44" w:lineRule="exact"/>
        <w:rPr>
          <w:rFonts w:ascii="Arial" w:cs="Arial" w:eastAsia="Arial" w:hAnsi="Arial"/>
          <w:sz w:val="18"/>
          <w:szCs w:val="18"/>
          <w:color w:val="auto"/>
        </w:rPr>
      </w:pPr>
    </w:p>
    <w:p>
      <w:pPr>
        <w:ind w:left="740" w:right="52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or defects in our software or operations, such as privacy or data security incidents, outages, or other incidents that impact the availability, reliability, or performance of our business;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recruit and retain employees including fulfillment center labor to process, itemize, list, pack and ship our products; and</w:t>
      </w:r>
    </w:p>
    <w:p>
      <w:pPr>
        <w:spacing w:after="0" w:line="117" w:lineRule="exact"/>
        <w:rPr>
          <w:rFonts w:ascii="Arial" w:cs="Arial" w:eastAsia="Arial" w:hAnsi="Arial"/>
          <w:sz w:val="18"/>
          <w:szCs w:val="18"/>
          <w:color w:val="auto"/>
        </w:rPr>
      </w:pPr>
    </w:p>
    <w:p>
      <w:pPr>
        <w:ind w:left="740" w:right="30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We face risks arising from the restructuring of our operations, which could adversely affect our financial condition, results of operations, cash flows, or business reputation.</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taken and plan to continue to take actions intended to further reduce our cost structure. For example, in September 2022 and January 2024, we announced restructuring plans intended to reduce costs, streamline our organizational structure and drive operational efficiencies and growth. These plans or other future restructuring plans present significant risks that could have a material adverse effect on our operations, financial condition, results of operations, cash flow, or business reputation. Such risks include:</w:t>
      </w:r>
    </w:p>
    <w:p>
      <w:pPr>
        <w:spacing w:after="0" w:line="68" w:lineRule="exact"/>
        <w:rPr>
          <w:sz w:val="20"/>
          <w:szCs w:val="20"/>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to achieve targeted cost savings and efficiency, and growth, cash flow and profitability goals;</w:t>
      </w:r>
    </w:p>
    <w:p>
      <w:pPr>
        <w:spacing w:after="0" w:line="117" w:lineRule="exact"/>
        <w:rPr>
          <w:rFonts w:ascii="Arial" w:cs="Arial" w:eastAsia="Arial" w:hAnsi="Arial"/>
          <w:sz w:val="18"/>
          <w:szCs w:val="18"/>
          <w:color w:val="auto"/>
        </w:rPr>
      </w:pPr>
    </w:p>
    <w:p>
      <w:pPr>
        <w:ind w:left="740" w:right="8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in employee morale, a negative impact to our corporate culture, and heightened regrettable attrition, including by critical employees, each of which we’ve observed to some extent and are focused on addressing;</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employment claims;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perceived disruption of service or reduction in service standards to customers;</w:t>
      </w:r>
    </w:p>
    <w:p>
      <w:pPr>
        <w:spacing w:after="0" w:line="117" w:lineRule="exact"/>
        <w:rPr>
          <w:rFonts w:ascii="Arial" w:cs="Arial" w:eastAsia="Arial" w:hAnsi="Arial"/>
          <w:sz w:val="18"/>
          <w:szCs w:val="18"/>
          <w:color w:val="auto"/>
        </w:rPr>
      </w:pPr>
    </w:p>
    <w:p>
      <w:pPr>
        <w:ind w:left="740" w:right="32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institutional knowledge and/or employee expertise, which could lead to inefficiencies or business disruptions, some of which may be significant and our efforts to address may not be successful; and</w:t>
      </w:r>
    </w:p>
    <w:p>
      <w:pPr>
        <w:spacing w:after="0" w:line="44" w:lineRule="exact"/>
        <w:rPr>
          <w:rFonts w:ascii="Arial" w:cs="Arial" w:eastAsia="Arial" w:hAnsi="Arial"/>
          <w:sz w:val="18"/>
          <w:szCs w:val="18"/>
          <w:color w:val="auto"/>
        </w:rPr>
      </w:pPr>
    </w:p>
    <w:p>
      <w:pPr>
        <w:ind w:left="740" w:right="20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delay or failure to meet our operational standards, needs, or goals due to fewer employees, including potential single points of failure, or due to reduced or reallocated resources generally.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adversely impact our business and reputation.</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has been increased focus, including by consumers, investors, employees and other stakeholders, as well as by governmental and non-governmental organizations, on ESG matters generally and with regard to the fashion industry specifically. We expect that this increased focus on ESG considerations will affect some aspects of our operations. For example, we expect to be subject to various disclosure requirements (such as information on greenhouse gas emissions, climate risks, use of offsets, and emissions reduction claims) from the SEC’s climate disclosure rule and the State of California, among other regulations or requirements. These requirements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spacing w:after="0" w:line="1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any failure by us to meet our Impact Strategy goals for any reason, including due to the potential changes to the prioritization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or complying with ESG-related disclosure requirements may result in increased costs in our supply chain, fulfillment and/or corporate business operations, and could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deviate from our initial estimates and have a material adverse effect on our business and financial condition. Furthermore, if our competitors’ corporate responsibility performance is perceived to be greater than ours, we may lose potential or current customers, we may be unable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recruit and retain employees effectively, and potential or current investors may elect to invest with our competitors instead.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Voluntary or required standards and research regarding environmental, social and governance initiatives could change and become more onerous for both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 Alternatively, if we are unable to satisfy such new criteria, investors may conclude that our policies or actions with respect to corporate responsibility are inadequate. We risk damage to our brand and reputation in the event that our corporate responsibility procedures or standards do not meet the standards set by various constituencies.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w:t>
      </w:r>
    </w:p>
    <w:p>
      <w:pPr>
        <w:spacing w:after="0" w:line="2"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industry, which could have a negative impact on our access to and costs of capital. In light of investors’ and other stakeholders’ increased focus on ESG matters, there can be no certainty that we will manage such issues successfully, or that we will successfully meet our</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climate change and related regulatory, customer and investor responses may adversely impact our business.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w:t>
      </w:r>
    </w:p>
    <w:p>
      <w:pPr>
        <w:spacing w:after="0" w:line="300"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We rely on the experience and expertise of our Co-Founder and Chief Executive Officer, senior management team, key technical and strategic employees and hourly personnel.</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that our success and future growth depend largely upon the continued services of our senior management team, including our Co-Founder, Chief Executive Officer, President and Chair, Jennifer Y. Hyman. From time to time, there have been and may be future changes in our executive management team resulting from the hiring or departure of these executives. Our executive officers are employed on an at-will basis, which means they may terminate their employment with us at any time. The loss of one or more of our executive officers, the failure to appropriately manage executive transitions, or the failure by our executive team to effectively work with our employees and lead our company, could harm our business. We do not maintain key man life insurance with respect to any member of management or other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our future success will depend upon our ability to attract and retain employees, particularly for key roles, such as engineering and technology (including product and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levels could increase attrition and make recruiting more difficult. Alternatively, we may be required to increase current compensation levels to attract and retain employees, which could negatively impact our profitability goals. In addition, prospective and existing employees often</w:t>
      </w:r>
    </w:p>
    <w:p>
      <w:pPr>
        <w:spacing w:after="0" w:line="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consider the value 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In July 2023, we completed an option exchange designed to incentivize and retain employees, directors and other service providers by providing the ability to exchange outstanding stock options for RSUs, which was approved by stockholders. Additionally, in May 2024, the Board approved the Rent the Runway, Inc. Transaction Bonus Plan, which is intended to incentivize performance of key executives and encourage the realization of a qualifying transaction (as defined in the plan). The option exchange and Transaction Bonus Plan, however, may not have the intended incentivization and retention benefits, particularly in light of our current stock price volatility. Further our continued efforts to optimize our cost structure and organization design has made, and in the future may, make it more difficult to attract and retain employees for key roles.</w:t>
      </w:r>
    </w:p>
    <w:p>
      <w:pPr>
        <w:spacing w:after="0" w:line="19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corporate employees primarily worked remotely from March 2020 to April 2022. Since then, we have reopened our offices and moved to a hybrid working model for New York City and Galway. We have continued to shift to a more office-centric model in New York City.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spacing w:after="0" w:line="190" w:lineRule="exact"/>
        <w:rPr>
          <w:sz w:val="20"/>
          <w:szCs w:val="20"/>
          <w:color w:val="auto"/>
        </w:rPr>
      </w:pPr>
    </w:p>
    <w:p>
      <w:pPr>
        <w:ind w:right="440"/>
        <w:spacing w:after="0" w:line="245" w:lineRule="auto"/>
        <w:rPr>
          <w:sz w:val="20"/>
          <w:szCs w:val="20"/>
          <w:color w:val="auto"/>
        </w:rPr>
      </w:pPr>
      <w:r>
        <w:rPr>
          <w:rFonts w:ascii="Arial" w:cs="Arial" w:eastAsia="Arial" w:hAnsi="Arial"/>
          <w:sz w:val="18"/>
          <w:szCs w:val="18"/>
          <w:color w:val="auto"/>
        </w:rPr>
        <w:t>We have experienced in the past, and may in the future experience, voluntary attrition at significant rates for various reasons, including challenges with employee morale, perception of our business and financial condition, challenging labor market conditions such as rising</w:t>
      </w:r>
    </w:p>
    <w:p>
      <w:pPr>
        <w:jc w:val="both"/>
        <w:ind w:right="80"/>
        <w:spacing w:after="0"/>
        <w:rPr>
          <w:sz w:val="20"/>
          <w:szCs w:val="20"/>
          <w:color w:val="auto"/>
        </w:rPr>
      </w:pPr>
      <w:r>
        <w:rPr>
          <w:rFonts w:ascii="Arial" w:cs="Arial" w:eastAsia="Arial" w:hAnsi="Arial"/>
          <w:sz w:val="17"/>
          <w:szCs w:val="17"/>
          <w:color w:val="auto"/>
        </w:rPr>
        <w:t>wages, and a decreased level of workforce participation. Our teams are generally leanly staffed, which means that the impact of lower levels of attrition can be felt more acutely than in larger organizations. If we are unable to attract and retain qualified employees in a timely fashion,</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particularly for the key roles described above, our ability to achieve our strategic objectives will be adversely impacted, and our business and future growth prospects will be harmed.</w:t>
      </w:r>
    </w:p>
    <w:p>
      <w:pPr>
        <w:spacing w:after="0" w:line="295" w:lineRule="exact"/>
        <w:rPr>
          <w:sz w:val="20"/>
          <w:szCs w:val="20"/>
          <w:color w:val="auto"/>
        </w:rPr>
      </w:pPr>
    </w:p>
    <w:p>
      <w:pPr>
        <w:ind w:right="680"/>
        <w:spacing w:after="0" w:line="294" w:lineRule="auto"/>
        <w:rPr>
          <w:sz w:val="20"/>
          <w:szCs w:val="20"/>
          <w:color w:val="auto"/>
        </w:rPr>
      </w:pPr>
      <w:r>
        <w:rPr>
          <w:rFonts w:ascii="Arial" w:cs="Arial" w:eastAsia="Arial" w:hAnsi="Arial"/>
          <w:sz w:val="18"/>
          <w:szCs w:val="18"/>
          <w:b w:val="1"/>
          <w:bCs w:val="1"/>
          <w:i w:val="1"/>
          <w:iCs w:val="1"/>
          <w:color w:val="auto"/>
        </w:rPr>
        <w:t>We believe that our company culture has contributed to our success and if we cannot maintain this culture as we grow, our business could be harmed.</w:t>
      </w:r>
    </w:p>
    <w:p>
      <w:pPr>
        <w:spacing w:after="0" w:line="31"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63" w:lineRule="exact"/>
        <w:rPr>
          <w:sz w:val="20"/>
          <w:szCs w:val="20"/>
          <w:color w:val="auto"/>
        </w:rPr>
      </w:pPr>
    </w:p>
    <w:p>
      <w:pPr>
        <w:ind w:left="740" w:right="140" w:hanging="246"/>
        <w:spacing w:after="0" w:line="268"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maintain and/or improve employee morale and engagement in light of our office-centric approach in our New York City headquarters, our prior restructurings, the perception of our business and financial condition, and our continued efforts to ensure a cost-conscious and efficient workforce that supports our growth and profitability goals;</w:t>
      </w:r>
    </w:p>
    <w:p>
      <w:pPr>
        <w:spacing w:after="0" w:line="62"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identify, attract, reward, and retain employees who share and further our culture, values, and mission;</w:t>
      </w:r>
    </w:p>
    <w:p>
      <w:pPr>
        <w:spacing w:after="0" w:line="117" w:lineRule="exact"/>
        <w:rPr>
          <w:rFonts w:ascii="Arial" w:cs="Arial" w:eastAsia="Arial" w:hAnsi="Arial"/>
          <w:sz w:val="18"/>
          <w:szCs w:val="18"/>
          <w:color w:val="auto"/>
        </w:rPr>
      </w:pPr>
    </w:p>
    <w:p>
      <w:pPr>
        <w:ind w:left="740" w:right="140" w:hanging="246"/>
        <w:spacing w:after="0" w:line="287"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evolving size, complexity and geographic diversity of our workforce, and our ability to promote a uniform and consistent culture across all our offices and employees;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employee and market perception of our ESG efforts, which may impact employee morale and recruiting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hybrid working model for employees in Galway and the remote working model for customer service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0"/>
        <w:spacing w:after="0"/>
        <w:tabs>
          <w:tab w:leader="none" w:pos="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increasing need to develop expertise in new areas of business that affect us.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particular,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92" w:lineRule="exact"/>
        <w:rPr>
          <w:sz w:val="20"/>
          <w:szCs w:val="20"/>
          <w:color w:val="auto"/>
        </w:rPr>
      </w:pPr>
    </w:p>
    <w:p>
      <w:pPr>
        <w:ind w:right="820"/>
        <w:spacing w:after="0" w:line="294" w:lineRule="auto"/>
        <w:rPr>
          <w:sz w:val="20"/>
          <w:szCs w:val="20"/>
          <w:color w:val="auto"/>
        </w:rPr>
      </w:pPr>
      <w:r>
        <w:rPr>
          <w:rFonts w:ascii="Arial" w:cs="Arial" w:eastAsia="Arial" w:hAnsi="Arial"/>
          <w:sz w:val="18"/>
          <w:szCs w:val="18"/>
          <w:b w:val="1"/>
          <w:bCs w:val="1"/>
          <w:i w:val="1"/>
          <w:iCs w:val="1"/>
          <w:color w:val="auto"/>
        </w:rPr>
        <w:t>Material changes in the pricing practices of our brand and manufacturing partners and/or the costs of raw materials could negatively impact our profitability.</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the recent inflationary environment increased raw material costs, impacting pricing of our products, and caused shipping delays for certain of our products.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167"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satisfy our debt obligations, and this capital might not be available on acceptable terms, if at all.</w:t>
      </w:r>
    </w:p>
    <w:p>
      <w:pPr>
        <w:spacing w:after="0" w:line="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we believe that our current market capitalization,</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business performance and/or current level of indebtedness may adversely impact efforts to raise additional capital. If we are unable to obtain adequate financing or financing on terms satisfactory to us, our ability to support our business growth, and respond to business challenges</w:t>
      </w:r>
    </w:p>
    <w:p>
      <w:pPr>
        <w:spacing w:after="0" w:line="2" w:lineRule="exact"/>
        <w:rPr>
          <w:sz w:val="20"/>
          <w:szCs w:val="20"/>
          <w:color w:val="auto"/>
        </w:rPr>
      </w:pPr>
    </w:p>
    <w:p>
      <w:pPr>
        <w:jc w:val="both"/>
        <w:ind w:right="240"/>
        <w:spacing w:after="0" w:line="242" w:lineRule="auto"/>
        <w:rPr>
          <w:sz w:val="20"/>
          <w:szCs w:val="20"/>
          <w:color w:val="auto"/>
        </w:rPr>
      </w:pPr>
      <w:r>
        <w:rPr>
          <w:rFonts w:ascii="Arial" w:cs="Arial" w:eastAsia="Arial" w:hAnsi="Arial"/>
          <w:sz w:val="18"/>
          <w:szCs w:val="18"/>
          <w:color w:val="auto"/>
        </w:rPr>
        <w:t>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spacing w:after="0" w:line="22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including pursuant to our shelf registration statement on Form S-3,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89" w:lineRule="exact"/>
        <w:rPr>
          <w:sz w:val="20"/>
          <w:szCs w:val="20"/>
          <w:color w:val="auto"/>
        </w:rPr>
      </w:pPr>
    </w:p>
    <w:p>
      <w:pPr>
        <w:ind w:right="340"/>
        <w:spacing w:after="0" w:line="321"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April 30, 2024, we had $313.1 million aggregate principal amount of borrowings under a credit facility with Double Helix Pte Ltd. as administrative agent for Temasek Holdings (as subsequently amended, the “2023 Amended Temasek Facility”). The 2023 Amended Temasek Facility matures in October 2026.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7 —Long-Term Debt” in the Notes to the Condensed Consolidated Financial Statements for more information on our indebtedness.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60"/>
        <w:spacing w:after="0" w:line="294" w:lineRule="auto"/>
        <w:rPr>
          <w:sz w:val="20"/>
          <w:szCs w:val="20"/>
          <w:color w:val="auto"/>
        </w:rPr>
      </w:pPr>
      <w:r>
        <w:rPr>
          <w:rFonts w:ascii="Arial" w:cs="Arial" w:eastAsia="Arial" w:hAnsi="Arial"/>
          <w:sz w:val="18"/>
          <w:szCs w:val="18"/>
          <w:b w:val="1"/>
          <w:bCs w:val="1"/>
          <w:i w:val="1"/>
          <w:iCs w:val="1"/>
          <w:color w:val="auto"/>
        </w:rPr>
        <w:t>Our 2023 Amended Temasek Facility contains financial covenants and other restrictions on our actions that may limit our operational flexibility or otherwise adversely affect our business, financial condition and results of operations.</w:t>
      </w:r>
    </w:p>
    <w:p>
      <w:pPr>
        <w:spacing w:after="0" w:line="1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terms of our 2023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2023 Amended Temasek Facility includes a minimum liquidity maintenance covenant of $30 million and provides that the Company may not exceed mutually agreed upon quarterly and annual spend levels for rental product capital, fixed operating, and marketing expenditures during fiscal year 2024 of $51 million, $ 100 million (excluding $10 million of specified permitted expenditures), and $30 million, respectively, on an annual basis, and to-be-agreed levels for fiscal years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2025 and 2026, subject to the debt holders’ consent and certain exceptions. The terms of our 2023 Amended Temasek Facility may restrict our current and future operations and could adversely affect our ability to finance our future operations or capital needs. In addition,</w:t>
      </w:r>
    </w:p>
    <w:p>
      <w:pPr>
        <w:spacing w:after="0" w:line="2"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complying with these covenants may make it more difficult for us to successfully execute our business strategy and compete against companies which are not subject to such restrictions.</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failure by us to comply with the covenants specified in the 2023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8"/>
          <w:szCs w:val="18"/>
          <w:color w:val="auto"/>
        </w:rPr>
        <w:t>.</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preparation of our consolidated financial statements as of January 31, 2021, we identified material weaknesses in our internal control over financial reporting, as described below. As of April 30, 2024,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7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w:t>
      </w:r>
    </w:p>
    <w:p>
      <w:pPr>
        <w:spacing w:after="0" w:line="1"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the timing of when we will be able to fully remediate the material weaknesses 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w:t>
      </w:r>
    </w:p>
    <w:p>
      <w:pPr>
        <w:ind w:right="80"/>
        <w:spacing w:after="0" w:line="237" w:lineRule="auto"/>
        <w:rPr>
          <w:sz w:val="20"/>
          <w:szCs w:val="20"/>
          <w:color w:val="auto"/>
        </w:rPr>
      </w:pPr>
      <w:r>
        <w:rPr>
          <w:rFonts w:ascii="Arial" w:cs="Arial" w:eastAsia="Arial" w:hAnsi="Arial"/>
          <w:sz w:val="18"/>
          <w:szCs w:val="18"/>
          <w:color w:val="auto"/>
        </w:rPr>
        <w:t>that could result in a restatement of our financial statements, and could cause us to fail to meet our reporting obligations, any of which could diminish investor confidence in us and cause a decline in the price of our Class A common stock.</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we have identified in a timely manner, or if additional material weaknesses exist or are discovered in the future, and we are unable to remediate any such material weakness, our reputation, results of operations and financial condition could suffer.</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8"/>
          <w:szCs w:val="18"/>
          <w:color w:val="auto"/>
        </w:rPr>
        <w:t>.</w:t>
      </w:r>
    </w:p>
    <w:p>
      <w:pPr>
        <w:spacing w:after="0" w:line="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8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8"/>
          <w:szCs w:val="18"/>
          <w:color w:val="auto"/>
        </w:rPr>
        <w:t>.</w:t>
      </w:r>
    </w:p>
    <w:p>
      <w:pPr>
        <w:spacing w:after="0" w:line="5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At such time, our compliance with Section 404 will require that we incur substantial expenses and expend significant management efforts.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8"/>
          <w:szCs w:val="18"/>
          <w:b w:val="1"/>
          <w:bCs w:val="1"/>
          <w:color w:val="auto"/>
        </w:rPr>
        <w:t>.</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74" w:lineRule="exact"/>
        <w:rPr>
          <w:sz w:val="20"/>
          <w:szCs w:val="20"/>
          <w:color w:val="auto"/>
        </w:rPr>
      </w:pPr>
    </w:p>
    <w:p>
      <w:pPr>
        <w:ind w:left="740" w:right="96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partnership or acquisition may disrupt our ongoing business, divert resources, increase our expenses, and distract our management;</w:t>
      </w:r>
    </w:p>
    <w:p>
      <w:pPr>
        <w:spacing w:after="0" w:line="44" w:lineRule="exact"/>
        <w:rPr>
          <w:rFonts w:ascii="Arial" w:cs="Arial" w:eastAsia="Arial" w:hAnsi="Arial"/>
          <w:sz w:val="18"/>
          <w:szCs w:val="18"/>
          <w:color w:val="auto"/>
        </w:rPr>
      </w:pPr>
    </w:p>
    <w:p>
      <w:pPr>
        <w:ind w:left="740" w:right="120" w:hanging="246"/>
        <w:spacing w:after="0" w:line="262"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68" w:lineRule="exact"/>
        <w:rPr>
          <w:rFonts w:ascii="Arial" w:cs="Arial" w:eastAsia="Arial" w:hAnsi="Arial"/>
          <w:sz w:val="18"/>
          <w:szCs w:val="18"/>
          <w:color w:val="auto"/>
        </w:rPr>
      </w:pPr>
    </w:p>
    <w:p>
      <w:pPr>
        <w:ind w:left="740" w:right="76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partner with or acquire; and</w:t>
      </w:r>
    </w:p>
    <w:p>
      <w:pPr>
        <w:spacing w:after="0" w:line="44" w:lineRule="exact"/>
        <w:rPr>
          <w:rFonts w:ascii="Arial" w:cs="Arial" w:eastAsia="Arial" w:hAnsi="Arial"/>
          <w:sz w:val="18"/>
          <w:szCs w:val="18"/>
          <w:color w:val="auto"/>
        </w:rPr>
      </w:pPr>
    </w:p>
    <w:p>
      <w:pPr>
        <w:ind w:left="740" w:right="40" w:hanging="246"/>
        <w:spacing w:after="0" w:line="268"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15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spacing w:after="0" w:line="5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63" w:lineRule="exact"/>
        <w:rPr>
          <w:sz w:val="20"/>
          <w:szCs w:val="20"/>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auditor attestation requirements of Section 404;</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740" w:right="14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stockholder vote on executive compensation and non-binding advisory stockholder vote to approve any golden parachute payments not previously approved.</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7" w:lineRule="exact"/>
        <w:rPr>
          <w:sz w:val="20"/>
          <w:szCs w:val="20"/>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$1.235 billion or more;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right="680" w:hanging="246"/>
        <w:spacing w:after="0" w:line="287"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52" w:lineRule="exact"/>
        <w:rPr>
          <w:sz w:val="20"/>
          <w:szCs w:val="20"/>
          <w:color w:val="auto"/>
        </w:rPr>
      </w:pPr>
    </w:p>
    <w:p>
      <w:pPr>
        <w:ind w:left="80" w:right="180"/>
        <w:spacing w:after="0" w:line="268" w:lineRule="auto"/>
        <w:rPr>
          <w:sz w:val="20"/>
          <w:szCs w:val="20"/>
          <w:color w:val="auto"/>
        </w:rPr>
      </w:pPr>
      <w:r>
        <w:rPr>
          <w:rFonts w:ascii="Arial" w:cs="Arial" w:eastAsia="Arial" w:hAnsi="Arial"/>
          <w:sz w:val="18"/>
          <w:szCs w:val="18"/>
          <w:color w:val="auto"/>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w:t>
      </w:r>
    </w:p>
    <w:p>
      <w:pPr>
        <w:spacing w:after="0" w:line="279"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b w:val="1"/>
          <w:bCs w:val="1"/>
          <w:i w:val="1"/>
          <w:iCs w:val="1"/>
          <w:color w:val="auto"/>
        </w:rPr>
        <w:t>The COVID-19 pandemic had a material adverse impact on our business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future pandemics or public health crises may have a similar adverse impact on our business.</w:t>
      </w:r>
    </w:p>
    <w:p>
      <w:pPr>
        <w:spacing w:after="0" w:line="15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COVID-19 pandemic materially adversely affected our operating and financial results during fiscal year 2020 in many ways, including a significant reduction in Active Subscribers resulting from the decrease in special events, social gatherings and interactions outside the home, delays in the shipment and delivery of our products due to disruptions of the operations of our brand partners, and the implementation of temporary salary cuts, employee layoffs and furloughs, and pausing recruiting efforts, which negatively impacted employee morale and resulted in an increase in regrettable employee attrition.</w:t>
      </w:r>
    </w:p>
    <w:p>
      <w:pPr>
        <w:spacing w:after="0" w:line="3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this global health crisis and will continue to reassess our strategy and operational structure on a regular, ongoing basis as the situation evolves.</w:t>
      </w:r>
    </w:p>
    <w:p>
      <w:pPr>
        <w:spacing w:after="0" w:line="289"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r>
        <w:rPr>
          <w:rFonts w:ascii="Arial" w:cs="Arial" w:eastAsia="Arial" w:hAnsi="Arial"/>
          <w:sz w:val="18"/>
          <w:szCs w:val="18"/>
          <w:color w:val="auto"/>
        </w:rPr>
        <w:t>.</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95"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II, Item 7, “Management’s Discussion and Analysis of Financial Condition and Results of Operations— Critical Accounting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valuation of share-based compensation and warrants, and recoverability of long-lived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5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9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Expansion of our operations internationally requires management attention and resources, involves additional risks, and may be unsuccessful.</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68" w:lineRule="exact"/>
        <w:rPr>
          <w:sz w:val="20"/>
          <w:szCs w:val="20"/>
          <w:color w:val="auto"/>
        </w:rPr>
      </w:pPr>
    </w:p>
    <w:p>
      <w:pPr>
        <w:ind w:left="740" w:right="720" w:hanging="246"/>
        <w:spacing w:after="0" w:line="287"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acceptance of our offerings and the concept of renting apparel and accessories and the need to localize our products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and Regulatory Environment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a large number of U.S. and non-U.S. laws and regulations, many of which are evolving.</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86"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8"/>
          <w:szCs w:val="18"/>
          <w:b w:val="1"/>
          <w:bCs w:val="1"/>
          <w:color w:val="auto"/>
        </w:rPr>
        <w:t>.</w:t>
      </w:r>
    </w:p>
    <w:p>
      <w:pPr>
        <w:spacing w:after="0" w:line="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w:t>
      </w:r>
    </w:p>
    <w:p>
      <w:pPr>
        <w:spacing w:after="0" w:line="1" w:lineRule="exact"/>
        <w:rPr>
          <w:sz w:val="20"/>
          <w:szCs w:val="20"/>
          <w:color w:val="auto"/>
        </w:rPr>
      </w:pPr>
    </w:p>
    <w:p>
      <w:pPr>
        <w:ind w:firstLine="8"/>
        <w:spacing w:after="0" w:line="251" w:lineRule="auto"/>
        <w:tabs>
          <w:tab w:leader="none" w:pos="1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8"/>
          <w:szCs w:val="18"/>
          <w:color w:val="auto"/>
        </w:rPr>
        <w:t>.</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11, 12(a)(2)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14, “Commitments and Contingencies” in the Notes to the Condensed Consolidated Financial Statements for more details.</w:t>
      </w:r>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89"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8"/>
          <w:szCs w:val="18"/>
          <w:color w:val="auto"/>
        </w:rPr>
        <w:t>.</w:t>
      </w:r>
    </w:p>
    <w:p>
      <w:pPr>
        <w:spacing w:after="0" w:line="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Failure to adequately protect and enforce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thus create potential impediments to any efforts to expand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313"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8"/>
          <w:szCs w:val="18"/>
          <w:color w:val="auto"/>
        </w:rPr>
        <w:t>.</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Third parties may assert claims against us alleging that we infringe upon, misappropriate, dilute or otherwise violate their intellectual property rights, particularly as we expand our business. For example, third parties have sent us cease and desist letters in connection with our use of marketing and advertising assets, which could lead to claims against us.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If</w:t>
      </w:r>
    </w:p>
    <w:p>
      <w:pPr>
        <w:spacing w:after="0" w:line="3"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these claims are resolved against us, we could incur significant monetary liability, or we could be prevented from renting or selling some of our products or using some of our technology. In addition, a finding of liability or other resolution of claims may require us to change our</w:t>
      </w:r>
    </w:p>
    <w:p>
      <w:pPr>
        <w:spacing w:after="0" w:line="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8"/>
          <w:szCs w:val="18"/>
          <w:b w:val="1"/>
          <w:bCs w:val="1"/>
          <w:color w:val="auto"/>
        </w:rPr>
        <w:t>.</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expend substantial time and resources to re-engineer some or all of our software. We could also be precluded from charging fees for third-party use of our proprietary code.</w:t>
      </w:r>
    </w:p>
    <w:p>
      <w:pPr>
        <w:spacing w:after="0" w:line="19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9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payment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Further,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 CCPA are now in effect and enforceable in Virginia, Colorado, Connecticut, and Utah, and will soon be enforceable in several other states as well. The enactment of such laws could have potentially conflicting requirements that would make compliance challenging, resulting in further uncertainty and requiring us to incur additional costs and expenses in an effort to comply. We expect to continue to invest in compliance initiatives and potentially implement business process changes to support our compliance efforts.</w:t>
      </w:r>
    </w:p>
    <w:p>
      <w:pPr>
        <w:spacing w:after="0" w:line="18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to communicate with our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 The GDPR also imposes strict rules on the transfer of personal data out of the EU, including to the U.S., which have significantly evolved in recent years, including as a result of various challenges and court rulings. We expect such rules to continue evolving and face additional challenges in the future, adding to the legal complexity and uncertainty.</w:t>
      </w:r>
    </w:p>
    <w:p>
      <w:pPr>
        <w:spacing w:after="0" w:line="18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the adoption by consumers of browser settings or “ad-blocking” software, and the development and deployment of new technologies (including technologies using artificial intelligence)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 we are subject to the PCI Data Security Standard, which is a multifaceted security standard that is designed to protect payment card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subject us to fines, restrictions and expulsion from card acceptance programs, have an adverse impact on our business and reputation, and be costly for us to defend.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Any actual or perceived non-compliance could result in litigation (including class action lawsuits)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300"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Despite our efforts, we may become subject to claims that we have violated such laws and regulations based on past, present, and future practices, which could have an adverse impact on our business and reputation, and be costly for us to defend. 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8"/>
          <w:szCs w:val="18"/>
          <w:color w:val="auto"/>
        </w:rPr>
        <w:t>.</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January 31, 2024, we had federal net operating loss carryforwards of $ 631.1 million, $ 152.0 million of which will expire at various times through 2038. Furthermore, we had state net operating loss carryforwards of $ 598.0 million, which will expire at various times through 2041. Portions of these net operating loss carryforwards could expire unused and be unavailable to offset future income tax liabilities. While our U.S. federal net operating losses incurred in taxable years beginning after December 31, 2017, may be carried forward indefinitely,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have experienced since March 2021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r>
        <w:rPr>
          <w:rFonts w:ascii="Arial" w:cs="Arial" w:eastAsia="Arial" w:hAnsi="Arial"/>
          <w:sz w:val="18"/>
          <w:szCs w:val="18"/>
          <w:color w:val="auto"/>
        </w:rPr>
        <w:t>.</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45" w:lineRule="exact"/>
        <w:rPr>
          <w:sz w:val="20"/>
          <w:szCs w:val="20"/>
          <w:color w:val="auto"/>
        </w:rPr>
      </w:pPr>
    </w:p>
    <w:p>
      <w:pPr>
        <w:ind w:left="740" w:right="100" w:hanging="246"/>
        <w:spacing w:after="0" w:line="287" w:lineRule="auto"/>
        <w:tabs>
          <w:tab w:leader="none" w:pos="7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United States or foreign tax laws, tax treaties, and regulations or their interpretation;</w:t>
      </w:r>
    </w:p>
    <w:p>
      <w:pPr>
        <w:spacing w:after="0" w:line="117" w:lineRule="exact"/>
        <w:rPr>
          <w:rFonts w:ascii="Arial" w:cs="Arial" w:eastAsia="Arial" w:hAnsi="Arial"/>
          <w:sz w:val="18"/>
          <w:szCs w:val="18"/>
          <w:color w:val="auto"/>
        </w:rPr>
      </w:pPr>
    </w:p>
    <w:p>
      <w:pPr>
        <w:ind w:left="740" w:right="80" w:hanging="246"/>
        <w:spacing w:after="0" w:line="318" w:lineRule="auto"/>
        <w:tabs>
          <w:tab w:leader="none" w:pos="7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1" w:lineRule="exact"/>
        <w:rPr>
          <w:rFonts w:ascii="Arial" w:cs="Arial" w:eastAsia="Arial" w:hAnsi="Arial"/>
          <w:sz w:val="17"/>
          <w:szCs w:val="17"/>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brand and manufacturing partners from whom our products are sourced or co-manufactured.</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63" w:lineRule="exact"/>
        <w:rPr>
          <w:sz w:val="20"/>
          <w:szCs w:val="20"/>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discontinue selling products to us or manufacturing our Exclusive Designs;</w:t>
      </w:r>
    </w:p>
    <w:p>
      <w:pPr>
        <w:spacing w:after="0" w:line="117" w:lineRule="exact"/>
        <w:rPr>
          <w:rFonts w:ascii="Arial" w:cs="Arial" w:eastAsia="Arial" w:hAnsi="Arial"/>
          <w:sz w:val="18"/>
          <w:szCs w:val="18"/>
          <w:color w:val="auto"/>
        </w:rPr>
      </w:pPr>
    </w:p>
    <w:p>
      <w:pPr>
        <w:ind w:left="740" w:right="180" w:hanging="246"/>
        <w:spacing w:after="0" w:line="287"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products;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are not satisfied with the value proposition we offer them;</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not view our brand or financial profile favorably;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pricing terms to require us to pay a significant portion of the cost of items on delivery or upfront;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experience negative publicity or reputational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not follow our vendor code of conduct and/or violate legal and regulatory requirements;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experience supply chain disruptions that cause lead times to be lengthened or missed entirely; 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 to execute on the design we have provided for co-manufactured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We rely on third parties to provide the payment processing infrastructure underlying our business. If these third-party providers become unavailable or unavailable on favorable terms, our business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third parties to provide payment processing infrastructure, to accept card payments from customers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Outages or other failures of our payment processors could harm our business and cause customers to lose trust in our payment operations and cause them to discontinue use of our products and services. If the quality or convenience of our payment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spacing w:after="0" w:line="293" w:lineRule="exact"/>
        <w:rPr>
          <w:sz w:val="20"/>
          <w:szCs w:val="20"/>
          <w:color w:val="auto"/>
        </w:rPr>
      </w:pPr>
    </w:p>
    <w:p>
      <w:pPr>
        <w:ind w:right="1260"/>
        <w:spacing w:after="0" w:line="294" w:lineRule="auto"/>
        <w:rPr>
          <w:sz w:val="20"/>
          <w:szCs w:val="20"/>
          <w:color w:val="auto"/>
        </w:rPr>
      </w:pPr>
      <w:r>
        <w:rPr>
          <w:rFonts w:ascii="Arial" w:cs="Arial" w:eastAsia="Arial" w:hAnsi="Arial"/>
          <w:sz w:val="18"/>
          <w:szCs w:val="18"/>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8"/>
          <w:szCs w:val="18"/>
          <w:color w:val="auto"/>
        </w:rPr>
        <w:t>.</w:t>
      </w:r>
    </w:p>
    <w:p>
      <w:pPr>
        <w:spacing w:after="0" w:line="1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2022, we migrated a substantial portion of our primary production environment, core architecture, and data centers to a new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providers. In addition, our third-party cloud providers’ facilities may be vulnerable to damage or interruption from earthquakes, hurricanes, floods, fires, cybersecurity attacks, terrorist attacks, power losses, telecommunications failures and other events beyond our control. In the</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third-party cloud providers do not have an obligation to renew their agreements with us on terms acceptable to us or at all. Although alternative data center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93"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b w:val="1"/>
          <w:bCs w:val="1"/>
          <w:i w:val="1"/>
          <w:iCs w:val="1"/>
          <w:color w:val="auto"/>
        </w:rPr>
        <w:t>We depend on search engines, social media platforms, mobile application stores, content-based and cross-context behavioral online advertising and other online sources to attract consumers to and promote our website and our mobile application, which may be affected by third-party actions or interference beyond our control and, as we grow, our marketing and/or customer acquisition costs may continue to rise</w:t>
      </w:r>
      <w:r>
        <w:rPr>
          <w:rFonts w:ascii="Arial" w:cs="Arial" w:eastAsia="Arial" w:hAnsi="Arial"/>
          <w:sz w:val="18"/>
          <w:szCs w:val="18"/>
          <w:color w:val="auto"/>
        </w:rPr>
        <w:t>.</w:t>
      </w:r>
    </w:p>
    <w:p>
      <w:pPr>
        <w:spacing w:after="0" w:line="17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ability to maintain and increase the number of consumers directed to our products from digital platforms is not entirely within our control. Search engines, social media platforms and other online sources often revise their algorithms products, and APIs, and introduce new advertising products. If one or more of the search engines or other online sources on which we rely for traffic to our website and our mobile application were to modify its general methodology for how it displays our advertisements or keyword search results or change their APIs without sufficient notice, as they have in the past and may again in the future, fewer consumers may click through to our website and our mobile application or have difficulty accessing our sites, and our business and operating results are likely to suffer. Our efforts to attract consumers and convert them into customers also rely heavily on the use of cookies and similar tracking technologies, and our ability to use and benefit from such technologies may be restricted or prohibited by changes in 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 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through such channels increase, we may incur additional marketing expenses or be required to allocate a larger portion of our marketing spend to other channels and our business and operating results could be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Furthermore, we depend on the Apple App Store to distribute our mobile application, and because many of our customers access our</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products through our mobile application, any changes to the Apple App Store terms and conditions or how the Apple App Store functions in connection with our mobile application could adversely affect our business. Apple has broad discretion to change its respective terms and</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 -application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9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8"/>
          <w:szCs w:val="18"/>
          <w:color w:val="auto"/>
        </w:rPr>
        <w:t>.</w:t>
      </w:r>
    </w:p>
    <w:p>
      <w:pPr>
        <w:spacing w:after="0" w:line="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products we rent or sell to our customers are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8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losses from fraud</w:t>
      </w:r>
      <w:r>
        <w:rPr>
          <w:rFonts w:ascii="Arial" w:cs="Arial" w:eastAsia="Arial" w:hAnsi="Arial"/>
          <w:sz w:val="18"/>
          <w:szCs w:val="18"/>
          <w:color w:val="auto"/>
        </w:rPr>
        <w:t>.</w:t>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w:t>
      </w:r>
    </w:p>
    <w:p>
      <w:pPr>
        <w:ind w:right="20"/>
        <w:spacing w:after="0"/>
        <w:rPr>
          <w:sz w:val="20"/>
          <w:szCs w:val="20"/>
          <w:color w:val="auto"/>
        </w:rPr>
      </w:pPr>
      <w:r>
        <w:rPr>
          <w:rFonts w:ascii="Arial" w:cs="Arial" w:eastAsia="Arial" w:hAnsi="Arial"/>
          <w:sz w:val="17"/>
          <w:szCs w:val="17"/>
          <w:color w:val="auto"/>
        </w:rPr>
        <w:t>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failure to adequately prevent fraudulent transactions could damage our reputation, result in litigation or regulatory action, and lead to costs, fees, and expenses that could substantially impact our operating results.</w:t>
      </w:r>
    </w:p>
    <w:p>
      <w:pPr>
        <w:spacing w:after="0" w:line="295" w:lineRule="exact"/>
        <w:rPr>
          <w:sz w:val="20"/>
          <w:szCs w:val="20"/>
          <w:color w:val="auto"/>
        </w:rPr>
      </w:pPr>
    </w:p>
    <w:p>
      <w:pPr>
        <w:ind w:right="840"/>
        <w:spacing w:after="0" w:line="294" w:lineRule="auto"/>
        <w:rPr>
          <w:sz w:val="20"/>
          <w:szCs w:val="20"/>
          <w:color w:val="auto"/>
        </w:rPr>
      </w:pPr>
      <w:r>
        <w:rPr>
          <w:rFonts w:ascii="Arial" w:cs="Arial" w:eastAsia="Arial" w:hAnsi="Arial"/>
          <w:sz w:val="18"/>
          <w:szCs w:val="18"/>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In addition, we are required to maintain certain levels of insurance coverage in certain commercial agreements, such as our real estate leases, and in our Credit Facility Amendment. We cannot guarantee that we will continue to maintain adequate insurance coverage on favorable terms that meets our coverage needs and/or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spacing w:after="0" w:line="18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Class A Common Stock</w:t>
      </w:r>
    </w:p>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The dual class structure of our common stock and the stockholders’ agreement among us and certain stockholders have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8"/>
          <w:szCs w:val="18"/>
          <w:color w:val="auto"/>
        </w:rPr>
        <w:t>.</w:t>
      </w:r>
    </w:p>
    <w:p>
      <w:pPr>
        <w:spacing w:after="0" w:line="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Because of the twenty-to-one voting ratio between our Class B and Class A common stock, the holders of our Class B common stock collectively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Co-Founder, President and Chair,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our Amended and Restated Certificate of Incorporation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322"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We are required to meet the Nasdaq Global Market’s continued listing requirements and other Nasdaq rules, or we may risk delisting. Delisting could negatively affect the price of our Class A common stock, which could make it more difficult for us to sell securities in a future financing or for you to sell our Class A common stock.</w:t>
      </w:r>
    </w:p>
    <w:p>
      <w:pPr>
        <w:spacing w:after="0" w:line="5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required to meet the continued listing requirements of the Nasdaq Global Market and other Nasdaq rules, including those regarding director independence and independent committee requirements, minimum share price and certain other corporate governance requirements. If we do not meet these continued listing requirements, our Class A common stock could be delisted.</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October 20, 2023, we received a letter from Nasdaq indicating that, for the prior thirty consecutive business days, the bid price for our Class A common stock had closed below the minimum $1.00 per share requirement for continued listing (the “Bid Price Rule”). In order to regain compliance with the Bid Price Rule, we implemented a 1-for-20 reverse stock split that became effective on April 2, 2024 and our Class A common stock began trading on a post-split basis on April 3, 2024 (the “Reverse Stock Split”). On April 17, 2024, Nasdaq confirmed that we had regained compliance with the Bid Price Rule.</w:t>
      </w:r>
    </w:p>
    <w:p>
      <w:pPr>
        <w:spacing w:after="0" w:line="19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addition, on March 27, 2024, we received a letter from Nasdaq indicating that we were no longer in compliance with the minimum market value of listed securities of $35,000,000 required for continued listing on The Nasdaq Capital Market (the “Minimum Market Value Rule”). On April 25, 2024, Nasdaq confirmed our transfer to the Nasdaq Global Market and removed the deficiency under the Minimum Market Value Rule.</w:t>
      </w:r>
    </w:p>
    <w:p>
      <w:pPr>
        <w:spacing w:after="0" w:line="20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While we are currently in compliance with the continued listing requirements of The Nasdaq Global Market, there can be no guarantee that we will be able to maintain compliance with these requirements in the future.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our investors may be unable to sell shares at or above the price they paid for them</w:t>
      </w:r>
      <w:r>
        <w:rPr>
          <w:rFonts w:ascii="Arial" w:cs="Arial" w:eastAsia="Arial" w:hAnsi="Arial"/>
          <w:sz w:val="18"/>
          <w:szCs w:val="18"/>
          <w:color w:val="auto"/>
        </w:rPr>
        <w:t>.</w:t>
      </w:r>
    </w:p>
    <w:p>
      <w:pPr>
        <w:spacing w:after="0" w:line="117"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The market price of our Class A common stock has declined significantly since our IPO, has been volatile and is likely to continue to be volatile and could be subject to wide fluctuations in response to the risk factors described in this Quarterly Report, and others within or beyond our control, including:</w:t>
      </w:r>
    </w:p>
    <w:p>
      <w:pPr>
        <w:spacing w:after="0" w:line="63" w:lineRule="exact"/>
        <w:rPr>
          <w:sz w:val="20"/>
          <w:szCs w:val="20"/>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44"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 including changes in e-commerce and tax laws;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COVID-19 or future pandemics on our business or the fashion industry and sharing economy generally;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securities or industry analysts publish research about our business, or if they publish unfavorable research;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insiders have the ability to control or significantly influence all matters submitted to stockholders for approval.</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executive officers, directors, and stockholders party to our stockholders’ agreement entered into in connection with our IPO, in the aggregate, beneficially own over 50% of the voting power of our outstanding common stock as of April 30, 2024.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broad discretion in the use of our cash resources and may not use them effectively</w:t>
      </w:r>
      <w:r>
        <w:rPr>
          <w:rFonts w:ascii="Arial" w:cs="Arial" w:eastAsia="Arial" w:hAnsi="Arial"/>
          <w:sz w:val="18"/>
          <w:szCs w:val="18"/>
          <w:color w:val="auto"/>
        </w:rPr>
        <w: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management has broad discretion, subject to our 2023 Amended Temasek Facility,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9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8"/>
          <w:szCs w:val="18"/>
          <w:color w:val="auto"/>
        </w:rPr>
        <w:t>.</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Quarterly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r>
        <w:rPr>
          <w:rFonts w:ascii="Arial" w:cs="Arial" w:eastAsia="Arial" w:hAnsi="Arial"/>
          <w:sz w:val="18"/>
          <w:szCs w:val="18"/>
          <w:color w:val="auto"/>
        </w:rPr>
        <w:t>.</w:t>
      </w:r>
    </w:p>
    <w:p>
      <w:pPr>
        <w:spacing w:after="0" w:line="117"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future, we may sell additional Class A common stock, other series of common stock, convertible securities, or other equity securities, including preferred securities, in one or more transactions at prices and in a manner we determine from time to time, including pursuant to our shelf registration statement on Form S-3.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8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These factors could also make it more difficult for us to raise additional funds through future offerings of our shares of Class A common stock or other securities.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8"/>
          <w:szCs w:val="18"/>
          <w:color w:val="auto"/>
        </w:rPr>
        <w:t>.</w:t>
      </w:r>
    </w:p>
    <w:p>
      <w:pPr>
        <w:spacing w:after="0" w:line="5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There are provisions in our Amended Charter and Amended and Restated Bylaws (“Amended Bylaws”) that may make it difficult for a third party to acquire, or attempt to acquire, control of our company, even if a change in control were considered favorable by our stockholders. These anti-takeover provisions include:</w:t>
      </w:r>
    </w:p>
    <w:p>
      <w:pPr>
        <w:spacing w:after="0" w:line="63" w:lineRule="exact"/>
        <w:rPr>
          <w:sz w:val="20"/>
          <w:szCs w:val="20"/>
          <w:color w:val="auto"/>
        </w:rPr>
      </w:pPr>
    </w:p>
    <w:p>
      <w:pPr>
        <w:ind w:left="740" w:hanging="246"/>
        <w:spacing w:after="0" w:line="287"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44" w:lineRule="exact"/>
        <w:rPr>
          <w:rFonts w:ascii="Arial" w:cs="Arial" w:eastAsia="Arial" w:hAnsi="Arial"/>
          <w:sz w:val="18"/>
          <w:szCs w:val="18"/>
          <w:color w:val="auto"/>
        </w:rPr>
      </w:pPr>
    </w:p>
    <w:p>
      <w:pPr>
        <w:ind w:left="740" w:right="100" w:hanging="246"/>
        <w:spacing w:after="0" w:line="262"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68"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directors to fill all board vacancies, subject to the rights granted pursuant to the stockholders’ agreement;</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44" w:lineRule="exact"/>
        <w:rPr>
          <w:rFonts w:ascii="Arial" w:cs="Arial" w:eastAsia="Arial" w:hAnsi="Arial"/>
          <w:sz w:val="18"/>
          <w:szCs w:val="18"/>
          <w:color w:val="auto"/>
        </w:rPr>
      </w:pPr>
    </w:p>
    <w:p>
      <w:pPr>
        <w:ind w:left="740" w:right="1020" w:hanging="246"/>
        <w:spacing w:after="0" w:line="287"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procedures for stockholder director nominees and annual meeting matters (other than the parties to our stockholders; agreement for nominations made pursuant to the terms of the stockholders’ agreement);</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directors to amend our Amended Bylaws without stockholder consent;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Charter and Amended Bylaws;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8"/>
          <w:szCs w:val="18"/>
          <w:color w:val="auto"/>
        </w:rPr>
        <w:t>.</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86"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Amended Charter provides that the doctrine of “corporate opportunity” does not apply with respect to any directors (or their affiliates) who are not our employees.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firstLine="8"/>
        <w:spacing w:after="0" w:line="254"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Natalie McGrath, Chief Marketing Officer, and Zach Phillips, Senior Vice President, Product, adopted a Rule 10b5-1 trading arrangement on April 12, 2024 and April 16, 2024, respectively, that is intended to satisfy the affirmative defense of Rule 10b5-1(c) under the Exchange Act solely for the sale of the appropriate number of shares of our Class A common stock needed to satisfy minimum required federal, state, local, and foreign income and/or employment taxes in connection with the vesting of restricted stock units. These arrangements do not have termination dates.</w:t>
      </w:r>
    </w:p>
    <w:p>
      <w:pPr>
        <w:spacing w:after="0" w:line="21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On April 24, 2024, Jennifer Hyman, CEO, President, Chair and Co-Founder, adopted a Rule 10b5-1 trading arrangement that is intended to satisfy the affirmative defense of Rule 10b5-1(c) for the sale of up to 33,986 shares of our Class A common stock until July 24, 2025.</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April 30, 2024, Sid Thacker, Chief Financial Officer, adopted a Rule 10b5-1 trading arrangement (the “Thacker 10b5-1 Plan) that is intended to satisfy the affirmative defense of Rule 10b5-1(c) for the sale of up to (i) 7,952 shares of our Class A common stock plus (ii) the net number of shares of Class A common stock underlying 22,799 restricted stock units received after giving effect to the number of shares sold to satisfy tax withholding obligations on each vesting date specified under the Thacker 10b5-1 Plan until April 30, 2025 (such total number of shares is not determinable).</w:t>
      </w:r>
    </w:p>
    <w:p>
      <w:pPr>
        <w:spacing w:after="0" w:line="20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On April 29, 2024, Cara Schembri, Chief Legal &amp; Administrative Officer, adopted a Rule 10b5-1 trading arrangement that is intended to satisfy the affirmative defense of Rule 10b5-1(c) for the sale of up to 9,236 shares of our Class A common stock until April 29, 2025.</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0" w:lineRule="exact"/>
        <w:rPr>
          <w:sz w:val="20"/>
          <w:szCs w:val="20"/>
          <w:color w:val="auto"/>
        </w:rPr>
      </w:pPr>
    </w:p>
    <w:p>
      <w:pPr>
        <w:ind w:left="740" w:hanging="246"/>
        <w:spacing w:after="0"/>
        <w:tabs>
          <w:tab w:leader="none" w:pos="740" w:val="left"/>
        </w:tabs>
        <w:numPr>
          <w:ilvl w:val="0"/>
          <w:numId w:val="47"/>
        </w:numPr>
        <w:rPr>
          <w:rFonts w:ascii="Calibri" w:cs="Calibri" w:eastAsia="Calibri" w:hAnsi="Calibri"/>
          <w:sz w:val="20"/>
          <w:szCs w:val="20"/>
          <w:color w:val="auto"/>
        </w:rPr>
      </w:pPr>
      <w:r>
        <w:rPr>
          <w:rFonts w:ascii="Arial" w:cs="Arial" w:eastAsia="Arial" w:hAnsi="Arial"/>
          <w:sz w:val="18"/>
          <w:szCs w:val="18"/>
          <w:color w:val="auto"/>
        </w:rPr>
        <w:t>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34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4"/>
                <w:szCs w:val="14"/>
                <w:color w:val="auto"/>
              </w:rPr>
            </w:pPr>
          </w:p>
        </w:tc>
        <w:tc>
          <w:tcPr>
            <w:tcW w:w="7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4"/>
                <w:szCs w:val="14"/>
                <w:color w:val="auto"/>
              </w:rPr>
            </w:pPr>
          </w:p>
        </w:tc>
        <w:tc>
          <w:tcPr>
            <w:tcW w:w="12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Filing date</w:t>
            </w:r>
          </w:p>
        </w:tc>
        <w:tc>
          <w:tcPr>
            <w:tcW w:w="80" w:type="dxa"/>
            <w:vAlign w:val="bottom"/>
          </w:tcPr>
          <w:p>
            <w:pPr>
              <w:spacing w:after="0"/>
              <w:rPr>
                <w:sz w:val="14"/>
                <w:szCs w:val="14"/>
                <w:color w:val="auto"/>
              </w:rPr>
            </w:pPr>
          </w:p>
        </w:tc>
        <w:tc>
          <w:tcPr>
            <w:tcW w:w="1440" w:type="dxa"/>
            <w:vAlign w:val="bottom"/>
          </w:tcPr>
          <w:p>
            <w:pPr>
              <w:ind w:left="20"/>
              <w:spacing w:after="0"/>
              <w:rPr>
                <w:sz w:val="20"/>
                <w:szCs w:val="20"/>
                <w:color w:val="auto"/>
              </w:rPr>
            </w:pPr>
            <w:r>
              <w:rPr>
                <w:rFonts w:ascii="Arial" w:cs="Arial" w:eastAsia="Arial" w:hAnsi="Arial"/>
                <w:sz w:val="14"/>
                <w:szCs w:val="14"/>
                <w:b w:val="1"/>
                <w:bCs w:val="1"/>
                <w:color w:val="auto"/>
              </w:rPr>
              <w:t>Filed / Furnished</w:t>
            </w: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1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0000FF"/>
            </w:tcBorders>
            <w:gridSpan w:val="7"/>
          </w:tcPr>
          <w:p>
            <w:pPr>
              <w:spacing w:after="0"/>
              <w:rPr>
                <w:rFonts w:ascii="Arial" w:cs="Arial" w:eastAsia="Arial" w:hAnsi="Arial"/>
                <w:sz w:val="18"/>
                <w:szCs w:val="18"/>
                <w:color w:val="0000FF"/>
                <w:w w:val="99"/>
              </w:rPr>
            </w:pPr>
            <w:hyperlink r:id="rId141">
              <w:r>
                <w:rPr>
                  <w:rFonts w:ascii="Arial" w:cs="Arial" w:eastAsia="Arial" w:hAnsi="Arial"/>
                  <w:sz w:val="18"/>
                  <w:szCs w:val="18"/>
                  <w:color w:val="0000FF"/>
                  <w:w w:val="99"/>
                </w:rPr>
                <w:t>Amended &amp; Restated Certificate of Incorporation</w:t>
              </w:r>
            </w:hyperlink>
          </w:p>
        </w:tc>
        <w:tc>
          <w:tcPr>
            <w:tcW w:w="540" w:type="dxa"/>
            <w:vAlign w:val="bottom"/>
            <w:gridSpan w:val="6"/>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3"/>
          </w:tcPr>
          <w:p>
            <w:pPr>
              <w:spacing w:after="0"/>
              <w:rPr>
                <w:rFonts w:ascii="Arial" w:cs="Arial" w:eastAsia="Arial" w:hAnsi="Arial"/>
                <w:sz w:val="18"/>
                <w:szCs w:val="18"/>
                <w:color w:val="0000FF"/>
              </w:rPr>
            </w:pPr>
            <w:hyperlink r:id="rId142">
              <w:r>
                <w:rPr>
                  <w:rFonts w:ascii="Arial" w:cs="Arial" w:eastAsia="Arial" w:hAnsi="Arial"/>
                  <w:sz w:val="18"/>
                  <w:szCs w:val="18"/>
                  <w:color w:val="0000FF"/>
                </w:rPr>
                <w:t>Certificate of Amendment to Twelfth Amended &amp;</w:t>
              </w:r>
            </w:hyperlink>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04/02/2024</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Restated Certificate of Incorporation</w:t>
              </w:r>
            </w:hyperlink>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9"/>
              </w:rPr>
            </w:pPr>
            <w:hyperlink r:id="rId143">
              <w:r>
                <w:rPr>
                  <w:rFonts w:ascii="Arial" w:cs="Arial" w:eastAsia="Arial" w:hAnsi="Arial"/>
                  <w:sz w:val="18"/>
                  <w:szCs w:val="18"/>
                  <w:color w:val="0000FF"/>
                  <w:w w:val="99"/>
                </w:rPr>
                <w:t>Amended &amp; Restated Bylaws</w:t>
              </w:r>
            </w:hyperlink>
          </w:p>
        </w:tc>
        <w:tc>
          <w:tcPr>
            <w:tcW w:w="540" w:type="dxa"/>
            <w:vAlign w:val="bottom"/>
            <w:tcBorders>
              <w:top w:val="single" w:sz="8" w:color="0000FF"/>
            </w:tcBorders>
          </w:tcPr>
          <w:p>
            <w:pPr>
              <w:spacing w:after="0"/>
              <w:rPr>
                <w:sz w:val="24"/>
                <w:szCs w:val="24"/>
                <w:color w:val="auto"/>
              </w:rPr>
            </w:pPr>
          </w:p>
        </w:tc>
        <w:tc>
          <w:tcPr>
            <w:tcW w:w="1540" w:type="dxa"/>
            <w:vAlign w:val="bottom"/>
            <w:gridSpan w:val="9"/>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5"/>
          </w:tcPr>
          <w:p>
            <w:pPr>
              <w:spacing w:after="0"/>
              <w:rPr>
                <w:rFonts w:ascii="Arial" w:cs="Arial" w:eastAsia="Arial" w:hAnsi="Arial"/>
                <w:sz w:val="18"/>
                <w:szCs w:val="18"/>
                <w:color w:val="0000FF"/>
                <w:w w:val="99"/>
              </w:rPr>
            </w:pPr>
            <w:hyperlink r:id="rId144">
              <w:r>
                <w:rPr>
                  <w:rFonts w:ascii="Arial" w:cs="Arial" w:eastAsia="Arial" w:hAnsi="Arial"/>
                  <w:sz w:val="18"/>
                  <w:szCs w:val="18"/>
                  <w:color w:val="0000FF"/>
                  <w:w w:val="99"/>
                </w:rPr>
                <w:t>Rent the Runway, Inc. Transaction Bonus Plan</w:t>
              </w:r>
            </w:hyperlink>
          </w:p>
        </w:tc>
        <w:tc>
          <w:tcPr>
            <w:tcW w:w="680" w:type="dxa"/>
            <w:vAlign w:val="bottom"/>
            <w:gridSpan w:val="8"/>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5/21/2024</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Rule 13a-14(a)/15d-14(a)</w:t>
            </w:r>
          </w:p>
        </w:tc>
        <w:tc>
          <w:tcPr>
            <w:tcW w:w="1940" w:type="dxa"/>
            <w:vAlign w:val="bottom"/>
            <w:tcBorders>
              <w:top w:val="single" w:sz="8" w:color="0000FF"/>
            </w:tcBorders>
            <w:gridSpan w:val="7"/>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Rule 13a-14(a)/15d-14(a)</w:t>
            </w:r>
          </w:p>
        </w:tc>
        <w:tc>
          <w:tcPr>
            <w:tcW w:w="1880" w:type="dxa"/>
            <w:vAlign w:val="bottom"/>
            <w:tcBorders>
              <w:top w:val="single" w:sz="8" w:color="0000FF"/>
            </w:tcBorders>
            <w:gridSpan w:val="6"/>
          </w:tcPr>
          <w:p>
            <w:pPr>
              <w:spacing w:after="0"/>
              <w:rPr>
                <w:sz w:val="15"/>
                <w:szCs w:val="15"/>
                <w:color w:val="auto"/>
              </w:rPr>
            </w:pPr>
          </w:p>
        </w:tc>
        <w:tc>
          <w:tcPr>
            <w:tcW w:w="2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 18</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U.S.C. Section 1350</w:t>
            </w:r>
          </w:p>
        </w:tc>
        <w:tc>
          <w:tcPr>
            <w:tcW w:w="2600" w:type="dxa"/>
            <w:vAlign w:val="bottom"/>
            <w:tcBorders>
              <w:top w:val="single" w:sz="8" w:color="0000FF"/>
            </w:tcBorders>
            <w:gridSpan w:val="10"/>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0000FF"/>
              </w:rPr>
              <w:t>Certification of Chief Financial Officer pursuant to 18</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U.S.C. Section 1350</w:t>
            </w:r>
          </w:p>
        </w:tc>
        <w:tc>
          <w:tcPr>
            <w:tcW w:w="2540" w:type="dxa"/>
            <w:vAlign w:val="bottom"/>
            <w:tcBorders>
              <w:top w:val="single" w:sz="8" w:color="0000FF"/>
            </w:tcBorders>
            <w:gridSpan w:val="9"/>
          </w:tcPr>
          <w:p>
            <w:pPr>
              <w:spacing w:after="0"/>
              <w:rPr>
                <w:sz w:val="15"/>
                <w:szCs w:val="15"/>
                <w:color w:val="auto"/>
              </w:rPr>
            </w:pPr>
          </w:p>
        </w:tc>
        <w:tc>
          <w:tcPr>
            <w:tcW w:w="24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Instance Document - the instance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13"/>
          </w:tcPr>
          <w:p>
            <w:pPr>
              <w:spacing w:after="0" w:line="189" w:lineRule="exact"/>
              <w:rPr>
                <w:sz w:val="20"/>
                <w:szCs w:val="20"/>
                <w:color w:val="auto"/>
              </w:rPr>
            </w:pPr>
            <w:r>
              <w:rPr>
                <w:rFonts w:ascii="Arial" w:cs="Arial" w:eastAsia="Arial" w:hAnsi="Arial"/>
                <w:sz w:val="18"/>
                <w:szCs w:val="18"/>
                <w:color w:val="auto"/>
              </w:rPr>
              <w:t>document does not appear in the Interactive Data File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3"/>
          </w:tcPr>
          <w:p>
            <w:pPr>
              <w:spacing w:after="0" w:line="202" w:lineRule="exact"/>
              <w:rPr>
                <w:sz w:val="20"/>
                <w:szCs w:val="20"/>
                <w:color w:val="auto"/>
              </w:rPr>
            </w:pPr>
            <w:r>
              <w:rPr>
                <w:rFonts w:ascii="Arial" w:cs="Arial" w:eastAsia="Arial" w:hAnsi="Arial"/>
                <w:sz w:val="18"/>
                <w:szCs w:val="18"/>
                <w:color w:val="auto"/>
              </w:rPr>
              <w:t>because its XBRL tags are embedded within the Inline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XBRL 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XBRL and contained in Exhibit 101)</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95" w:name="page96"/>
    <w:bookmarkEnd w:id="95"/>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66" w:lineRule="exact"/>
        <w:rPr>
          <w:sz w:val="20"/>
          <w:szCs w:val="20"/>
          <w:color w:val="auto"/>
        </w:rPr>
      </w:pPr>
    </w:p>
    <w:p>
      <w:pPr>
        <w:ind w:left="20"/>
        <w:spacing w:after="0"/>
        <w:tabs>
          <w:tab w:leader="none" w:pos="5920" w:val="left"/>
          <w:tab w:leader="none" w:pos="6380" w:val="left"/>
        </w:tabs>
        <w:rPr>
          <w:sz w:val="20"/>
          <w:szCs w:val="20"/>
          <w:color w:val="auto"/>
        </w:rPr>
      </w:pPr>
      <w:r>
        <w:rPr>
          <w:rFonts w:ascii="Arial" w:cs="Arial" w:eastAsia="Arial" w:hAnsi="Arial"/>
          <w:sz w:val="18"/>
          <w:szCs w:val="18"/>
          <w:color w:val="auto"/>
        </w:rPr>
        <w:t>Date: June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34925</wp:posOffset>
            </wp:positionV>
            <wp:extent cx="30861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Siddharth Thacker</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820"/>
          </w:cols>
          <w:pgMar w:left="320" w:top="1255" w:right="7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Jennifer Y. Hyman, certify that:</w:t>
      </w:r>
    </w:p>
    <w:p>
      <w:pPr>
        <w:spacing w:after="0" w:line="239" w:lineRule="exact"/>
        <w:rPr>
          <w:sz w:val="20"/>
          <w:szCs w:val="20"/>
          <w:color w:val="auto"/>
        </w:rPr>
      </w:pPr>
    </w:p>
    <w:p>
      <w:pPr>
        <w:ind w:left="700" w:hanging="36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53"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660" w:right="140" w:hanging="328"/>
        <w:spacing w:after="0" w:line="253"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300" w:right="20" w:hanging="320"/>
        <w:spacing w:after="0" w:line="253" w:lineRule="auto"/>
        <w:tabs>
          <w:tab w:leader="none" w:pos="12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300" w:right="540" w:hanging="320"/>
        <w:spacing w:after="0" w:line="275" w:lineRule="auto"/>
        <w:tabs>
          <w:tab w:leader="none" w:pos="1288"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7"/>
          <w:szCs w:val="17"/>
          <w:color w:val="auto"/>
        </w:rPr>
      </w:pPr>
    </w:p>
    <w:p>
      <w:pPr>
        <w:ind w:left="1300" w:right="300" w:hanging="320"/>
        <w:spacing w:after="0" w:line="245" w:lineRule="auto"/>
        <w:tabs>
          <w:tab w:leader="none" w:pos="1291"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8"/>
          <w:szCs w:val="18"/>
          <w:color w:val="auto"/>
        </w:rPr>
      </w:pPr>
    </w:p>
    <w:p>
      <w:pPr>
        <w:ind w:left="1300" w:right="60" w:hanging="320"/>
        <w:spacing w:after="0" w:line="253" w:lineRule="auto"/>
        <w:tabs>
          <w:tab w:leader="none" w:pos="12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660" w:right="360" w:hanging="328"/>
        <w:spacing w:after="0" w:line="253"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1300" w:right="440" w:hanging="320"/>
        <w:spacing w:after="0" w:line="253" w:lineRule="auto"/>
        <w:tabs>
          <w:tab w:leader="none" w:pos="12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300" w:right="780" w:hanging="320"/>
        <w:spacing w:after="0" w:line="271" w:lineRule="auto"/>
        <w:tabs>
          <w:tab w:leader="none" w:pos="12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220" w:val="left"/>
          <w:tab w:leader="none" w:pos="6740" w:val="left"/>
        </w:tabs>
        <w:rPr>
          <w:sz w:val="20"/>
          <w:szCs w:val="20"/>
          <w:color w:val="auto"/>
        </w:rPr>
      </w:pPr>
      <w:r>
        <w:rPr>
          <w:rFonts w:ascii="Arial" w:cs="Arial" w:eastAsia="Arial" w:hAnsi="Arial"/>
          <w:sz w:val="18"/>
          <w:szCs w:val="18"/>
          <w:color w:val="auto"/>
        </w:rPr>
        <w:t>Date: June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36195</wp:posOffset>
            </wp:positionV>
            <wp:extent cx="37115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5"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20"/>
          </w:cols>
          <w:pgMar w:left="34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Siddharth Thacker, certify that:</w:t>
      </w:r>
    </w:p>
    <w:p>
      <w:pPr>
        <w:spacing w:after="0" w:line="239" w:lineRule="exact"/>
        <w:rPr>
          <w:sz w:val="20"/>
          <w:szCs w:val="20"/>
          <w:color w:val="auto"/>
        </w:rPr>
      </w:pPr>
    </w:p>
    <w:p>
      <w:pPr>
        <w:ind w:left="700" w:hanging="368"/>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53"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660" w:right="140" w:hanging="328"/>
        <w:spacing w:after="0" w:line="253"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300" w:right="20" w:hanging="320"/>
        <w:spacing w:after="0" w:line="253"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300" w:right="540" w:hanging="320"/>
        <w:spacing w:after="0" w:line="275" w:lineRule="auto"/>
        <w:tabs>
          <w:tab w:leader="none" w:pos="1288"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7"/>
          <w:szCs w:val="17"/>
          <w:color w:val="auto"/>
        </w:rPr>
      </w:pPr>
    </w:p>
    <w:p>
      <w:pPr>
        <w:ind w:left="1300" w:right="300" w:hanging="320"/>
        <w:spacing w:after="0" w:line="245" w:lineRule="auto"/>
        <w:tabs>
          <w:tab w:leader="none" w:pos="129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8"/>
          <w:szCs w:val="18"/>
          <w:color w:val="auto"/>
        </w:rPr>
      </w:pPr>
    </w:p>
    <w:p>
      <w:pPr>
        <w:ind w:left="1300" w:right="60" w:hanging="320"/>
        <w:spacing w:after="0" w:line="253"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660" w:right="360" w:hanging="328"/>
        <w:spacing w:after="0" w:line="253"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1300" w:right="440" w:hanging="320"/>
        <w:spacing w:after="0" w:line="253"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300" w:right="780" w:hanging="320"/>
        <w:spacing w:after="0" w:line="271"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220" w:val="left"/>
          <w:tab w:leader="none" w:pos="6820" w:val="left"/>
        </w:tabs>
        <w:rPr>
          <w:sz w:val="20"/>
          <w:szCs w:val="20"/>
          <w:color w:val="auto"/>
        </w:rPr>
      </w:pPr>
      <w:r>
        <w:rPr>
          <w:rFonts w:ascii="Arial" w:cs="Arial" w:eastAsia="Arial" w:hAnsi="Arial"/>
          <w:sz w:val="18"/>
          <w:szCs w:val="18"/>
          <w:color w:val="auto"/>
        </w:rPr>
        <w:t>Date: June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34925</wp:posOffset>
            </wp:positionV>
            <wp:extent cx="37115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Siddharth Thacker</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20"/>
          </w:cols>
          <w:pgMar w:left="34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April 30,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4240" w:val="left"/>
          <w:tab w:leader="none" w:pos="6900" w:val="left"/>
        </w:tabs>
        <w:rPr>
          <w:sz w:val="20"/>
          <w:szCs w:val="20"/>
          <w:color w:val="auto"/>
        </w:rPr>
      </w:pPr>
      <w:r>
        <w:rPr>
          <w:rFonts w:ascii="Times New Roman" w:cs="Times New Roman" w:eastAsia="Times New Roman" w:hAnsi="Times New Roman"/>
          <w:sz w:val="18"/>
          <w:szCs w:val="18"/>
          <w:color w:val="auto"/>
        </w:rPr>
        <w:t>Date: 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37115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Jennifer Y. Hyman</w:t>
      </w:r>
    </w:p>
    <w:p>
      <w:pPr>
        <w:spacing w:after="0" w:line="50"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I, Siddharth Thacker, the Chief Financial Officer of Rent the Runway, Inc., certify, pursuant to 18 U.S.C. Section 1350, as adopted pursuant to Section 906 of the Sarbanes-Oxley Act of 2002, that the Quarterly Report on Form 10-Q of Rent the Runway, Inc. for the quarterly period ended April 30,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4240" w:val="left"/>
          <w:tab w:leader="none" w:pos="6920" w:val="left"/>
        </w:tabs>
        <w:rPr>
          <w:sz w:val="20"/>
          <w:szCs w:val="20"/>
          <w:color w:val="auto"/>
        </w:rPr>
      </w:pPr>
      <w:r>
        <w:rPr>
          <w:rFonts w:ascii="Times New Roman" w:cs="Times New Roman" w:eastAsia="Times New Roman" w:hAnsi="Times New Roman"/>
          <w:sz w:val="18"/>
          <w:szCs w:val="18"/>
          <w:color w:val="auto"/>
        </w:rPr>
        <w:t>Date: 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37115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Siddharth Thacker</w:t>
      </w:r>
    </w:p>
    <w:p>
      <w:pPr>
        <w:spacing w:after="0" w:line="50"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3"/>
    </w:lvl>
  </w:abstractNum>
  <w:abstractNum w:abstractNumId="8">
    <w:nsid w:val="2901D82"/>
    <w:multiLevelType w:val="hybridMultilevel"/>
    <w:lvl w:ilvl="0">
      <w:lvlJc w:val="left"/>
      <w:lvlText w:val="%1."/>
      <w:numFmt w:val="decimal"/>
      <w:start w:val="4"/>
    </w:lvl>
  </w:abstractNum>
  <w:abstractNum w:abstractNumId="9">
    <w:nsid w:val="3A95F874"/>
    <w:multiLevelType w:val="hybridMultilevel"/>
    <w:lvl w:ilvl="0">
      <w:lvlJc w:val="left"/>
      <w:lvlText w:val="%1."/>
      <w:numFmt w:val="decimal"/>
      <w:start w:val="5"/>
    </w:lvl>
  </w:abstractNum>
  <w:abstractNum w:abstractNumId="10">
    <w:nsid w:val="8138641"/>
    <w:multiLevelType w:val="hybridMultilevel"/>
    <w:lvl w:ilvl="0">
      <w:lvlJc w:val="left"/>
      <w:lvlText w:val="%1."/>
      <w:numFmt w:val="decimal"/>
      <w:start w:val="6"/>
    </w:lvl>
  </w:abstractNum>
  <w:abstractNum w:abstractNumId="11">
    <w:nsid w:val="1E7FF521"/>
    <w:multiLevelType w:val="hybridMultilevel"/>
    <w:lvl w:ilvl="0">
      <w:lvlJc w:val="left"/>
      <w:lvlText w:val="%1."/>
      <w:numFmt w:val="decimal"/>
      <w:start w:val="7"/>
    </w:lvl>
  </w:abstractNum>
  <w:abstractNum w:abstractNumId="12">
    <w:nsid w:val="7C3DBD3D"/>
    <w:multiLevelType w:val="hybridMultilevel"/>
    <w:lvl w:ilvl="0">
      <w:lvlJc w:val="left"/>
      <w:lvlText w:val="%1."/>
      <w:numFmt w:val="decimal"/>
      <w:start w:val="8"/>
    </w:lvl>
  </w:abstractNum>
  <w:abstractNum w:abstractNumId="13">
    <w:nsid w:val="737B8DDC"/>
    <w:multiLevelType w:val="hybridMultilevel"/>
    <w:lvl w:ilvl="0">
      <w:lvlJc w:val="left"/>
      <w:lvlText w:val="%1."/>
      <w:numFmt w:val="decimal"/>
      <w:start w:val="10"/>
    </w:lvl>
  </w:abstractNum>
  <w:abstractNum w:abstractNumId="14">
    <w:nsid w:val="6CEAF087"/>
    <w:multiLevelType w:val="hybridMultilevel"/>
    <w:lvl w:ilvl="0">
      <w:lvlJc w:val="left"/>
      <w:lvlText w:val="%1."/>
      <w:numFmt w:val="decimal"/>
      <w:start w:val="11"/>
    </w:lvl>
  </w:abstractNum>
  <w:abstractNum w:abstractNumId="15">
    <w:nsid w:val="22221A70"/>
    <w:multiLevelType w:val="hybridMultilevel"/>
    <w:lvl w:ilvl="0">
      <w:lvlJc w:val="left"/>
      <w:lvlText w:val="%1."/>
      <w:numFmt w:val="decimal"/>
      <w:start w:val="12"/>
    </w:lvl>
  </w:abstractNum>
  <w:abstractNum w:abstractNumId="16">
    <w:nsid w:val="4516DDE9"/>
    <w:multiLevelType w:val="hybridMultilevel"/>
    <w:lvl w:ilvl="0">
      <w:lvlJc w:val="left"/>
      <w:lvlText w:val="%1."/>
      <w:numFmt w:val="decimal"/>
      <w:start w:val="13"/>
    </w:lvl>
  </w:abstractNum>
  <w:abstractNum w:abstractNumId="17">
    <w:nsid w:val="3006C83E"/>
    <w:multiLevelType w:val="hybridMultilevel"/>
    <w:lvl w:ilvl="0">
      <w:lvlJc w:val="left"/>
      <w:lvlText w:val="%1."/>
      <w:numFmt w:val="decimal"/>
      <w:start w:val="14"/>
    </w:lvl>
  </w:abstractNum>
  <w:abstractNum w:abstractNumId="18">
    <w:nsid w:val="614FD4A1"/>
    <w:multiLevelType w:val="hybridMultilevel"/>
    <w:lvl w:ilvl="0">
      <w:lvlJc w:val="left"/>
      <w:lvlText w:val="1"/>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2"/>
      <w:numFmt w:val="bullet"/>
      <w:start w:val="1"/>
    </w:lvl>
  </w:abstractNum>
  <w:abstractNum w:abstractNumId="22">
    <w:nsid w:val="5072367"/>
    <w:multiLevelType w:val="hybridMultilevel"/>
    <w:lvl w:ilvl="0">
      <w:lvlJc w:val="left"/>
      <w:lvlText w:val="3"/>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41" Type="http://schemas.openxmlformats.org/officeDocument/2006/relationships/hyperlink" Target="https://www.sec.gov/Archives/edgar/data/0001468327/000119312521313321/d211519dex31.htm" TargetMode="External"/><Relationship Id="rId142" Type="http://schemas.openxmlformats.org/officeDocument/2006/relationships/hyperlink" Target="https://www.sec.gov/Archives/edgar/data/1468327/000146832724000100/exhibit31certificateofam.htm" TargetMode="External"/><Relationship Id="rId143" Type="http://schemas.openxmlformats.org/officeDocument/2006/relationships/hyperlink" Target="https://www.sec.gov/Archives/edgar/data/0001468327/000119312521313321/d211519dex32.htm" TargetMode="External"/><Relationship Id="rId144" Type="http://schemas.openxmlformats.org/officeDocument/2006/relationships/hyperlink" Target="https://www.sec.gov/Archives/edgar/data/1468327/000146832724000160/rtr-transactionbonus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2024-06-06T16:31:26Z</dcterms:created>
  <dcterms:modified xsi:type="dcterms:W3CDTF">2024-06-06T16:31:26Z</dcterms:modified>
</cp:coreProperties>
</file>