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248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24852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Friend Scott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10/26/2021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20"/>
        <w:spacing w:after="0" w:line="269" w:lineRule="auto"/>
        <w:rPr>
          <w:sz w:val="20"/>
          <w:szCs w:val="20"/>
          <w:color w:val="auto"/>
        </w:rPr>
      </w:pPr>
      <w:r>
        <w:rPr>
          <w:rFonts w:ascii="Arial" w:cs="Arial" w:eastAsia="Arial" w:hAnsi="Arial"/>
          <w:sz w:val="20"/>
          <w:szCs w:val="20"/>
          <w:color w:val="0000FF"/>
        </w:rPr>
        <w:t>C/O BAIN CAPITAL VENTURE INVESTORS, LLC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 CLARENDON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02116</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Rent the Runway,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RENT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4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0" w:type="dxa"/>
            <w:vAlign w:val="bottom"/>
          </w:tcPr>
          <w:p>
            <w:pPr>
              <w:ind w:left="10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6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r>
              <w:rPr>
                <w:rFonts w:ascii="Arial" w:cs="Arial" w:eastAsia="Arial" w:hAnsi="Arial"/>
                <w:sz w:val="25"/>
                <w:szCs w:val="25"/>
                <w:color w:val="008000"/>
                <w:vertAlign w:val="superscript"/>
              </w:rPr>
              <w:t>(1)</w:t>
            </w:r>
          </w:p>
        </w:tc>
        <w:tc>
          <w:tcPr>
            <w:tcW w:w="1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ind w:left="740"/>
              <w:spacing w:after="0"/>
              <w:rPr>
                <w:sz w:val="20"/>
                <w:szCs w:val="20"/>
                <w:color w:val="auto"/>
              </w:rPr>
            </w:pPr>
            <w:r>
              <w:rPr>
                <w:rFonts w:ascii="Arial" w:cs="Arial" w:eastAsia="Arial" w:hAnsi="Arial"/>
                <w:sz w:val="20"/>
                <w:szCs w:val="20"/>
                <w:color w:val="0000FF"/>
              </w:rPr>
              <w:t>483,732</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565"/>
              <w:spacing w:after="0"/>
              <w:rPr>
                <w:sz w:val="20"/>
                <w:szCs w:val="20"/>
                <w:color w:val="auto"/>
              </w:rPr>
            </w:pPr>
            <w:r>
              <w:rPr>
                <w:rFonts w:ascii="Arial" w:cs="Arial" w:eastAsia="Arial" w:hAnsi="Arial"/>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(3)(4)</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jc w:val="right"/>
              <w:ind w:right="325"/>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5400" w:type="dxa"/>
            <w:vAlign w:val="bottom"/>
            <w:gridSpan w:val="7"/>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900" w:type="dxa"/>
            <w:vAlign w:val="bottom"/>
            <w:tcBorders>
              <w:bottom w:val="single" w:sz="8" w:color="2C2C2C"/>
            </w:tcBorders>
            <w:gridSpan w:val="2"/>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8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86"/>
              </w:rPr>
              <w:t>Seed Series Convertible Preferred</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(2)</w:t>
            </w:r>
          </w:p>
        </w:tc>
        <w:tc>
          <w:tcPr>
            <w:tcW w:w="1800" w:type="dxa"/>
            <w:vAlign w:val="bottom"/>
            <w:vMerge w:val="restart"/>
          </w:tcPr>
          <w:p>
            <w:pPr>
              <w:ind w:left="200"/>
              <w:spacing w:after="0"/>
              <w:rPr>
                <w:sz w:val="20"/>
                <w:szCs w:val="20"/>
                <w:color w:val="auto"/>
              </w:rPr>
            </w:pPr>
            <w:r>
              <w:rPr>
                <w:rFonts w:ascii="Arial" w:cs="Arial" w:eastAsia="Arial" w:hAnsi="Arial"/>
                <w:sz w:val="20"/>
                <w:szCs w:val="20"/>
                <w:color w:val="0000FF"/>
              </w:rPr>
              <w:t>Common Stock</w:t>
            </w:r>
            <w:r>
              <w:rPr>
                <w:rFonts w:ascii="Arial" w:cs="Arial" w:eastAsia="Arial" w:hAnsi="Arial"/>
                <w:sz w:val="25"/>
                <w:szCs w:val="25"/>
                <w:color w:val="008000"/>
                <w:vertAlign w:val="superscript"/>
              </w:rPr>
              <w:t>(1)</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7"/>
              </w:rPr>
              <w:t>3,992,000</w:t>
            </w:r>
          </w:p>
        </w:tc>
        <w:tc>
          <w:tcPr>
            <w:tcW w:w="720" w:type="dxa"/>
            <w:vAlign w:val="bottom"/>
            <w:gridSpan w:val="2"/>
            <w:vMerge w:val="restart"/>
          </w:tcPr>
          <w:p>
            <w:pPr>
              <w:jc w:val="right"/>
              <w:ind w:right="5"/>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7"/>
              </w:rPr>
              <w:t>Series A Convertible Preferred</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(2)</w:t>
            </w:r>
          </w:p>
        </w:tc>
        <w:tc>
          <w:tcPr>
            <w:tcW w:w="1800" w:type="dxa"/>
            <w:vAlign w:val="bottom"/>
            <w:vMerge w:val="restart"/>
          </w:tcPr>
          <w:p>
            <w:pPr>
              <w:ind w:left="200"/>
              <w:spacing w:after="0"/>
              <w:rPr>
                <w:sz w:val="20"/>
                <w:szCs w:val="20"/>
                <w:color w:val="auto"/>
              </w:rPr>
            </w:pPr>
            <w:r>
              <w:rPr>
                <w:rFonts w:ascii="Arial" w:cs="Arial" w:eastAsia="Arial" w:hAnsi="Arial"/>
                <w:sz w:val="20"/>
                <w:szCs w:val="20"/>
                <w:color w:val="0000FF"/>
              </w:rPr>
              <w:t>Common Stock</w:t>
            </w:r>
            <w:r>
              <w:rPr>
                <w:rFonts w:ascii="Arial" w:cs="Arial" w:eastAsia="Arial" w:hAnsi="Arial"/>
                <w:sz w:val="25"/>
                <w:szCs w:val="25"/>
                <w:color w:val="008000"/>
                <w:vertAlign w:val="superscript"/>
              </w:rPr>
              <w:t>(1)</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7"/>
              </w:rPr>
              <w:t>1,691,175</w:t>
            </w:r>
          </w:p>
        </w:tc>
        <w:tc>
          <w:tcPr>
            <w:tcW w:w="720" w:type="dxa"/>
            <w:vAlign w:val="bottom"/>
            <w:gridSpan w:val="2"/>
            <w:vMerge w:val="restart"/>
          </w:tcPr>
          <w:p>
            <w:pPr>
              <w:jc w:val="right"/>
              <w:ind w:right="5"/>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6"/>
              </w:rPr>
              <w:t>Series C Convertible Preferred</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(2)</w:t>
            </w:r>
          </w:p>
        </w:tc>
        <w:tc>
          <w:tcPr>
            <w:tcW w:w="1800" w:type="dxa"/>
            <w:vAlign w:val="bottom"/>
            <w:vMerge w:val="restart"/>
          </w:tcPr>
          <w:p>
            <w:pPr>
              <w:ind w:left="200"/>
              <w:spacing w:after="0"/>
              <w:rPr>
                <w:sz w:val="20"/>
                <w:szCs w:val="20"/>
                <w:color w:val="auto"/>
              </w:rPr>
            </w:pPr>
            <w:r>
              <w:rPr>
                <w:rFonts w:ascii="Arial" w:cs="Arial" w:eastAsia="Arial" w:hAnsi="Arial"/>
                <w:sz w:val="20"/>
                <w:szCs w:val="20"/>
                <w:color w:val="0000FF"/>
              </w:rPr>
              <w:t>Common Stock</w:t>
            </w:r>
            <w:r>
              <w:rPr>
                <w:rFonts w:ascii="Arial" w:cs="Arial" w:eastAsia="Arial" w:hAnsi="Arial"/>
                <w:sz w:val="25"/>
                <w:szCs w:val="25"/>
                <w:color w:val="008000"/>
                <w:vertAlign w:val="superscript"/>
              </w:rPr>
              <w:t>(1)</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8"/>
              </w:rPr>
              <w:t>370,369</w:t>
            </w:r>
          </w:p>
        </w:tc>
        <w:tc>
          <w:tcPr>
            <w:tcW w:w="720" w:type="dxa"/>
            <w:vAlign w:val="bottom"/>
            <w:gridSpan w:val="2"/>
            <w:vMerge w:val="restart"/>
          </w:tcPr>
          <w:p>
            <w:pPr>
              <w:jc w:val="right"/>
              <w:ind w:right="5"/>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6"/>
              </w:rPr>
              <w:t>Series D Convertible Preferred</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(2)</w:t>
            </w:r>
          </w:p>
        </w:tc>
        <w:tc>
          <w:tcPr>
            <w:tcW w:w="1800" w:type="dxa"/>
            <w:vAlign w:val="bottom"/>
            <w:vMerge w:val="restart"/>
          </w:tcPr>
          <w:p>
            <w:pPr>
              <w:ind w:left="200"/>
              <w:spacing w:after="0"/>
              <w:rPr>
                <w:sz w:val="20"/>
                <w:szCs w:val="20"/>
                <w:color w:val="auto"/>
              </w:rPr>
            </w:pPr>
            <w:r>
              <w:rPr>
                <w:rFonts w:ascii="Arial" w:cs="Arial" w:eastAsia="Arial" w:hAnsi="Arial"/>
                <w:sz w:val="20"/>
                <w:szCs w:val="20"/>
                <w:color w:val="0000FF"/>
              </w:rPr>
              <w:t>Common Stock</w:t>
            </w:r>
            <w:r>
              <w:rPr>
                <w:rFonts w:ascii="Arial" w:cs="Arial" w:eastAsia="Arial" w:hAnsi="Arial"/>
                <w:sz w:val="25"/>
                <w:szCs w:val="25"/>
                <w:color w:val="008000"/>
                <w:vertAlign w:val="superscript"/>
              </w:rPr>
              <w:t>(1)</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8"/>
              </w:rPr>
              <w:t>395,193</w:t>
            </w:r>
          </w:p>
        </w:tc>
        <w:tc>
          <w:tcPr>
            <w:tcW w:w="720" w:type="dxa"/>
            <w:vAlign w:val="bottom"/>
            <w:gridSpan w:val="2"/>
            <w:vMerge w:val="restart"/>
          </w:tcPr>
          <w:p>
            <w:pPr>
              <w:jc w:val="right"/>
              <w:ind w:right="5"/>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7"/>
              </w:rPr>
              <w:t>Series E Convertible Preferred</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(2)</w:t>
            </w:r>
          </w:p>
        </w:tc>
        <w:tc>
          <w:tcPr>
            <w:tcW w:w="1800" w:type="dxa"/>
            <w:vAlign w:val="bottom"/>
            <w:vMerge w:val="restart"/>
          </w:tcPr>
          <w:p>
            <w:pPr>
              <w:ind w:left="200"/>
              <w:spacing w:after="0"/>
              <w:rPr>
                <w:sz w:val="20"/>
                <w:szCs w:val="20"/>
                <w:color w:val="auto"/>
              </w:rPr>
            </w:pPr>
            <w:r>
              <w:rPr>
                <w:rFonts w:ascii="Arial" w:cs="Arial" w:eastAsia="Arial" w:hAnsi="Arial"/>
                <w:sz w:val="20"/>
                <w:szCs w:val="20"/>
                <w:color w:val="0000FF"/>
              </w:rPr>
              <w:t>Common Stock</w:t>
            </w:r>
            <w:r>
              <w:rPr>
                <w:rFonts w:ascii="Arial" w:cs="Arial" w:eastAsia="Arial" w:hAnsi="Arial"/>
                <w:sz w:val="25"/>
                <w:szCs w:val="25"/>
                <w:color w:val="008000"/>
                <w:vertAlign w:val="superscript"/>
              </w:rPr>
              <w:t>(1)</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8"/>
              </w:rPr>
              <w:t>550,469</w:t>
            </w:r>
          </w:p>
        </w:tc>
        <w:tc>
          <w:tcPr>
            <w:tcW w:w="720" w:type="dxa"/>
            <w:vAlign w:val="bottom"/>
            <w:gridSpan w:val="2"/>
            <w:vMerge w:val="restart"/>
          </w:tcPr>
          <w:p>
            <w:pPr>
              <w:jc w:val="right"/>
              <w:ind w:right="5"/>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7"/>
              </w:rPr>
              <w:t>Series F Convertible Preferred</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(2)</w:t>
            </w:r>
          </w:p>
        </w:tc>
        <w:tc>
          <w:tcPr>
            <w:tcW w:w="1800" w:type="dxa"/>
            <w:vAlign w:val="bottom"/>
            <w:vMerge w:val="restart"/>
          </w:tcPr>
          <w:p>
            <w:pPr>
              <w:ind w:left="200"/>
              <w:spacing w:after="0"/>
              <w:rPr>
                <w:sz w:val="20"/>
                <w:szCs w:val="20"/>
                <w:color w:val="auto"/>
              </w:rPr>
            </w:pPr>
            <w:r>
              <w:rPr>
                <w:rFonts w:ascii="Arial" w:cs="Arial" w:eastAsia="Arial" w:hAnsi="Arial"/>
                <w:sz w:val="20"/>
                <w:szCs w:val="20"/>
                <w:color w:val="0000FF"/>
              </w:rPr>
              <w:t>Common Stock</w:t>
            </w:r>
            <w:r>
              <w:rPr>
                <w:rFonts w:ascii="Arial" w:cs="Arial" w:eastAsia="Arial" w:hAnsi="Arial"/>
                <w:sz w:val="25"/>
                <w:szCs w:val="25"/>
                <w:color w:val="008000"/>
                <w:vertAlign w:val="superscript"/>
              </w:rPr>
              <w:t>(1)</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8"/>
              </w:rPr>
              <w:t>558,074</w:t>
            </w:r>
          </w:p>
        </w:tc>
        <w:tc>
          <w:tcPr>
            <w:tcW w:w="720" w:type="dxa"/>
            <w:vAlign w:val="bottom"/>
            <w:gridSpan w:val="2"/>
            <w:vMerge w:val="restart"/>
          </w:tcPr>
          <w:p>
            <w:pPr>
              <w:jc w:val="right"/>
              <w:ind w:right="5"/>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6"/>
              </w:rPr>
              <w:t>Series G Convertible Preferred</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(2)</w:t>
            </w:r>
          </w:p>
        </w:tc>
        <w:tc>
          <w:tcPr>
            <w:tcW w:w="1800" w:type="dxa"/>
            <w:vAlign w:val="bottom"/>
            <w:vMerge w:val="restart"/>
          </w:tcPr>
          <w:p>
            <w:pPr>
              <w:ind w:left="200"/>
              <w:spacing w:after="0"/>
              <w:rPr>
                <w:sz w:val="20"/>
                <w:szCs w:val="20"/>
                <w:color w:val="auto"/>
              </w:rPr>
            </w:pPr>
            <w:r>
              <w:rPr>
                <w:rFonts w:ascii="Arial" w:cs="Arial" w:eastAsia="Arial" w:hAnsi="Arial"/>
                <w:sz w:val="20"/>
                <w:szCs w:val="20"/>
                <w:color w:val="0000FF"/>
              </w:rPr>
              <w:t>Common Stock</w:t>
            </w:r>
            <w:r>
              <w:rPr>
                <w:rFonts w:ascii="Arial" w:cs="Arial" w:eastAsia="Arial" w:hAnsi="Arial"/>
                <w:sz w:val="25"/>
                <w:szCs w:val="25"/>
                <w:color w:val="008000"/>
                <w:vertAlign w:val="superscript"/>
              </w:rPr>
              <w:t>(1)</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0000FF"/>
                <w:w w:val="88"/>
              </w:rPr>
              <w:t>135,406</w:t>
            </w:r>
          </w:p>
        </w:tc>
        <w:tc>
          <w:tcPr>
            <w:tcW w:w="720" w:type="dxa"/>
            <w:vAlign w:val="bottom"/>
            <w:gridSpan w:val="2"/>
            <w:vMerge w:val="restart"/>
          </w:tcPr>
          <w:p>
            <w:pPr>
              <w:jc w:val="right"/>
              <w:ind w:right="5"/>
              <w:spacing w:after="0"/>
              <w:rPr>
                <w:sz w:val="20"/>
                <w:szCs w:val="20"/>
                <w:color w:val="auto"/>
              </w:rPr>
            </w:pPr>
            <w:r>
              <w:rPr>
                <w:rFonts w:ascii="Arial" w:cs="Arial" w:eastAsia="Arial" w:hAnsi="Arial"/>
                <w:sz w:val="13"/>
                <w:szCs w:val="13"/>
                <w:color w:val="008000"/>
              </w:rPr>
              <w:t>(2)</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Upon the closing of the Issuer's initial public offering, each share of Common Stock will be reclassified into one share of Class A Common Stock.</w:t>
      </w:r>
    </w:p>
    <w:p>
      <w:pPr>
        <w:spacing w:after="0" w:line="52" w:lineRule="exact"/>
        <w:rPr>
          <w:rFonts w:ascii="Arial" w:cs="Arial" w:eastAsia="Arial" w:hAnsi="Arial"/>
          <w:sz w:val="15"/>
          <w:szCs w:val="15"/>
          <w:color w:val="008000"/>
        </w:rPr>
      </w:pPr>
    </w:p>
    <w:p>
      <w:pPr>
        <w:ind w:left="40" w:right="220" w:firstLine="5"/>
        <w:spacing w:after="0" w:line="288"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Seed Series, Series A, Series C, Series D, Series E, Series F and Series G Convertible Preferred Stock is convertible into Common Stock on a 1-for-1 basis at the holder's election and will automatically convert immediately prior to the closing of the Issuer's initial public offering. These shares have no expiration date.</w:t>
      </w:r>
    </w:p>
    <w:p>
      <w:pPr>
        <w:spacing w:after="0" w:line="3" w:lineRule="exact"/>
        <w:rPr>
          <w:rFonts w:ascii="Arial" w:cs="Arial" w:eastAsia="Arial" w:hAnsi="Arial"/>
          <w:sz w:val="14"/>
          <w:szCs w:val="14"/>
          <w:color w:val="008000"/>
        </w:rPr>
      </w:pPr>
    </w:p>
    <w:p>
      <w:pPr>
        <w:ind w:left="40" w:right="32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Consists of securities held by Bain Capital Venture Fund 2009, L.P. ("BCV Fund 2009"), BCIP Venture Associates ("BCIP Venture") and BCIP Venture Associates-B ("BCIP Venture-B" and, together with BCV Fund 2009 and BCIP Venture, the "Bain Capital Venture Entities").</w:t>
      </w:r>
    </w:p>
    <w:p>
      <w:pPr>
        <w:spacing w:after="0" w:line="26" w:lineRule="exact"/>
        <w:rPr>
          <w:rFonts w:ascii="Arial" w:cs="Arial" w:eastAsia="Arial" w:hAnsi="Arial"/>
          <w:sz w:val="15"/>
          <w:szCs w:val="15"/>
          <w:color w:val="008000"/>
        </w:rPr>
      </w:pPr>
    </w:p>
    <w:p>
      <w:pPr>
        <w:ind w:left="40" w:right="8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Bain Capital Venture Investors, LLC ("BCVI") (i) is the ultimate general partner of BCV Fund 2009 and (ii) governs the investment strategy and decision-making process with respect to investments held by each of BCIP Venture and BCIP Venture-B. Mr. Friend is a Managing Director of BCVI. By virtue of the relationships described in this footnote, Mr. Friend may be deemed to share voting and dispositive power with respect to the securities held by the Bain Capital Venture Entities. Mr. Friend disclaims beneficial ownership of such securities except to the extent of his pecuniary interest therein.</w:t>
      </w:r>
    </w:p>
    <w:p>
      <w:pPr>
        <w:sectPr>
          <w:pgSz w:w="11900" w:h="16838" w:orient="portrait"/>
          <w:cols w:equalWidth="0" w:num="1">
            <w:col w:w="10940"/>
          </w:cols>
          <w:pgMar w:left="480" w:top="236" w:right="479" w:bottom="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Scott Friend</w:t>
            </w:r>
          </w:p>
        </w:tc>
        <w:tc>
          <w:tcPr>
            <w:tcW w:w="900" w:type="dxa"/>
            <w:vAlign w:val="bottom"/>
          </w:tcPr>
          <w:p>
            <w:pPr>
              <w:spacing w:after="0"/>
              <w:rPr>
                <w:sz w:val="20"/>
                <w:szCs w:val="20"/>
                <w:color w:val="auto"/>
              </w:rPr>
            </w:pPr>
            <w:r>
              <w:rPr>
                <w:rFonts w:ascii="Arial" w:cs="Arial" w:eastAsia="Arial" w:hAnsi="Arial"/>
                <w:sz w:val="20"/>
                <w:szCs w:val="20"/>
                <w:color w:val="0000FF"/>
                <w:w w:val="87"/>
              </w:rPr>
              <w:t>10/26/2021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6204"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2021-10-26T20:24:53Z</dcterms:created>
  <dcterms:modified xsi:type="dcterms:W3CDTF">2021-10-26T20:24:53Z</dcterms:modified>
</cp:coreProperties>
</file>