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83820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7"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62230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93"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gridSpan w:val="2"/>
          </w:tcPr>
          <w:p>
            <w:pPr>
              <w:ind w:left="2360"/>
              <w:spacing w:after="0"/>
              <w:rPr>
                <w:sz w:val="20"/>
                <w:szCs w:val="20"/>
                <w:color w:val="auto"/>
              </w:rPr>
            </w:pPr>
            <w:r>
              <w:rPr>
                <w:rFonts w:ascii="Arial" w:cs="Arial" w:eastAsia="Arial" w:hAnsi="Arial"/>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Arial" w:cs="Arial" w:eastAsia="Arial" w:hAnsi="Arial"/>
                <w:sz w:val="18"/>
                <w:szCs w:val="18"/>
                <w:b w:val="1"/>
                <w:bCs w:val="1"/>
                <w:color w:val="auto"/>
                <w:w w:val="89"/>
              </w:rPr>
              <w:t>80-0376379</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Arial" w:cs="Arial" w:eastAsia="Arial" w:hAnsi="Arial"/>
                <w:sz w:val="14"/>
                <w:szCs w:val="14"/>
                <w:b w:val="1"/>
                <w:bCs w:val="1"/>
                <w:color w:val="auto"/>
              </w:rPr>
              <w:t>(Commission</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Arial" w:cs="Arial" w:eastAsia="Arial" w:hAnsi="Arial"/>
                <w:sz w:val="14"/>
                <w:szCs w:val="14"/>
                <w:b w:val="1"/>
                <w:bCs w:val="1"/>
                <w:color w:val="auto"/>
              </w:rPr>
              <w:t>File Number)</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5"/>
              </w:rPr>
              <w:t>Identification Number)</w:t>
            </w:r>
          </w:p>
        </w:tc>
      </w:tr>
      <w:tr>
        <w:trPr>
          <w:trHeight w:val="426"/>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10 Jay Street</w:t>
            </w:r>
          </w:p>
        </w:tc>
        <w:tc>
          <w:tcPr>
            <w:tcW w:w="1660" w:type="dxa"/>
            <w:vAlign w:val="bottom"/>
          </w:tcPr>
          <w:p>
            <w:pPr>
              <w:spacing w:after="0"/>
              <w:rPr>
                <w:sz w:val="18"/>
                <w:szCs w:val="18"/>
                <w:color w:val="auto"/>
              </w:rPr>
            </w:pPr>
          </w:p>
        </w:tc>
      </w:tr>
      <w:tr>
        <w:trPr>
          <w:trHeight w:val="198"/>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198" w:lineRule="exact"/>
              <w:rPr>
                <w:sz w:val="20"/>
                <w:szCs w:val="20"/>
                <w:color w:val="auto"/>
              </w:rPr>
            </w:pPr>
            <w:r>
              <w:rPr>
                <w:rFonts w:ascii="Arial" w:cs="Arial" w:eastAsia="Arial" w:hAnsi="Arial"/>
                <w:sz w:val="18"/>
                <w:szCs w:val="18"/>
                <w:b w:val="1"/>
                <w:bCs w:val="1"/>
                <w:color w:val="auto"/>
                <w:w w:val="91"/>
              </w:rPr>
              <w:t>Brooklyn, New York 11201</w:t>
            </w:r>
          </w:p>
        </w:tc>
        <w:tc>
          <w:tcPr>
            <w:tcW w:w="1660" w:type="dxa"/>
            <w:vAlign w:val="bottom"/>
          </w:tcPr>
          <w:p>
            <w:pPr>
              <w:spacing w:after="0"/>
              <w:rPr>
                <w:sz w:val="17"/>
                <w:szCs w:val="17"/>
                <w:color w:val="auto"/>
              </w:rPr>
            </w:pPr>
          </w:p>
        </w:tc>
      </w:tr>
      <w:tr>
        <w:trPr>
          <w:trHeight w:val="186"/>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60" w:type="dxa"/>
            <w:vAlign w:val="bottom"/>
          </w:tcPr>
          <w:p>
            <w:pPr>
              <w:spacing w:after="0"/>
              <w:rPr>
                <w:sz w:val="16"/>
                <w:szCs w:val="16"/>
                <w:color w:val="auto"/>
              </w:rPr>
            </w:pPr>
          </w:p>
        </w:tc>
      </w:tr>
      <w:tr>
        <w:trPr>
          <w:trHeight w:val="323"/>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580" w:type="dxa"/>
            <w:vAlign w:val="bottom"/>
          </w:tcPr>
          <w:p>
            <w:pPr>
              <w:spacing w:after="0"/>
              <w:rPr>
                <w:sz w:val="15"/>
                <w:szCs w:val="15"/>
                <w:color w:val="auto"/>
              </w:rPr>
            </w:pPr>
          </w:p>
        </w:tc>
      </w:tr>
      <w:tr>
        <w:trPr>
          <w:trHeight w:val="200"/>
        </w:trPr>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5"/>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8"/>
        </w:trPr>
        <w:tc>
          <w:tcPr>
            <w:tcW w:w="37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rPr>
              <w:t>RENT</w:t>
            </w:r>
          </w:p>
        </w:tc>
        <w:tc>
          <w:tcPr>
            <w:tcW w:w="140" w:type="dxa"/>
            <w:vAlign w:val="bottom"/>
          </w:tcPr>
          <w:p>
            <w:pPr>
              <w:spacing w:after="0"/>
              <w:rPr>
                <w:sz w:val="15"/>
                <w:szCs w:val="15"/>
                <w:color w:val="auto"/>
              </w:rPr>
            </w:pPr>
          </w:p>
        </w:tc>
        <w:tc>
          <w:tcPr>
            <w:tcW w:w="35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The Nasdaq Global Select Market</w:t>
            </w:r>
          </w:p>
        </w:tc>
      </w:tr>
      <w:tr>
        <w:trPr>
          <w:trHeight w:val="234"/>
        </w:trPr>
        <w:tc>
          <w:tcPr>
            <w:tcW w:w="3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8"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8"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On September 8, 2023, Rent the Runway, Inc. (the “Company”) issued a press release announcing its financial results for the quarter ended July 31, 2023.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to this Form 8-K and is incorporated by reference.</w:t>
      </w:r>
    </w:p>
    <w:p>
      <w:pPr>
        <w:spacing w:after="0" w:line="22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Arial" w:cs="Arial" w:eastAsia="Arial" w:hAnsi="Arial"/>
                <w:sz w:val="18"/>
                <w:szCs w:val="18"/>
                <w:color w:val="0000FF"/>
              </w:rPr>
              <w:t>Press Release issued by Rent the Runway, Inc. on September 8, 2023</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Arial" w:cs="Arial" w:eastAsia="Arial" w:hAnsi="Arial"/>
          <w:sz w:val="18"/>
          <w:szCs w:val="18"/>
          <w:color w:val="auto"/>
        </w:rPr>
        <w:t>Date: September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Siddharth Thacker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320" w:top="769"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Rent the Runway, Inc. Announces Second Quarter 2023 Results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Announces Intention to Accelerate Path to Free Cash Flow Profitability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Before Cash Interest to FY24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Q2 Net Loss of $(26.8)M and Net Loss Margin was (35.4)%, vs $(33.9)M and (44.3)% in Q2 2022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Strong Adjusted EBITDA of $7.7M and Adjusted EBITDA Margin of 10.2% in Q2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Up From $1.8M and 2.4% in Q2 2022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Revises Fiscal Year 2023 Guidance</w:t>
      </w:r>
    </w:p>
    <w:p>
      <w:pPr>
        <w:spacing w:after="0" w:line="260" w:lineRule="exact"/>
        <w:rPr>
          <w:sz w:val="20"/>
          <w:szCs w:val="20"/>
          <w:color w:val="auto"/>
        </w:rPr>
      </w:pPr>
    </w:p>
    <w:p>
      <w:pPr>
        <w:spacing w:after="0" w:line="314" w:lineRule="auto"/>
        <w:rPr>
          <w:sz w:val="20"/>
          <w:szCs w:val="20"/>
          <w:color w:val="auto"/>
        </w:rPr>
      </w:pPr>
      <w:r>
        <w:rPr>
          <w:rFonts w:ascii="Arial" w:cs="Arial" w:eastAsia="Arial" w:hAnsi="Arial"/>
          <w:sz w:val="20"/>
          <w:szCs w:val="20"/>
          <w:b w:val="1"/>
          <w:bCs w:val="1"/>
          <w:color w:val="auto"/>
        </w:rPr>
        <w:t xml:space="preserve">New York (September 8, 2023) </w:t>
      </w:r>
      <w:r>
        <w:rPr>
          <w:rFonts w:ascii="Arial" w:cs="Arial" w:eastAsia="Arial" w:hAnsi="Arial"/>
          <w:sz w:val="20"/>
          <w:szCs w:val="20"/>
          <w:color w:val="auto"/>
        </w:rPr>
        <w:t>- Rent the Runway, Inc. (“Rent the Runway” or "RTR") (NASDAQ: RENT), the world’s first and</w:t>
      </w:r>
      <w:r>
        <w:rPr>
          <w:rFonts w:ascii="Arial" w:cs="Arial" w:eastAsia="Arial" w:hAnsi="Arial"/>
          <w:sz w:val="20"/>
          <w:szCs w:val="20"/>
          <w:b w:val="1"/>
          <w:bCs w:val="1"/>
          <w:color w:val="auto"/>
        </w:rPr>
        <w:t xml:space="preserve"> </w:t>
      </w:r>
      <w:r>
        <w:rPr>
          <w:rFonts w:ascii="Arial" w:cs="Arial" w:eastAsia="Arial" w:hAnsi="Arial"/>
          <w:sz w:val="20"/>
          <w:szCs w:val="20"/>
          <w:color w:val="auto"/>
        </w:rPr>
        <w:t>largest shared designer closet platform, today reported financial results for the fiscal quarter ended July 31, 2023.</w:t>
      </w:r>
    </w:p>
    <w:p>
      <w:pPr>
        <w:spacing w:after="0" w:line="178"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"For some time, we have been focused on taking decisive actions with the goal to bring Rent the Runway to profitability, and we believe now is the right time to accelerate our efforts. We made significant progress in Q2 across the bottom line, exceeding our profitability guidance, and with Adjusted EBITDA margins hitting a historic high at 10.2%,” said Jennifer Hyman, Co-Founder and CEO, Rent the Runway. “We believe that a key part of achieving our profitability milestone is prioritizing the medium and long-term health of the business over short-term revenue gains and lower margin customers. Above all, we are empowering our leaders to make the right decisions in service to this goal and in service to our customers and investors, and look forward to continuing to capture what we believe is a significant market opportunity ahead.”</w:t>
      </w:r>
    </w:p>
    <w:p>
      <w:pPr>
        <w:spacing w:after="0" w:line="228" w:lineRule="exact"/>
        <w:rPr>
          <w:sz w:val="20"/>
          <w:szCs w:val="20"/>
          <w:color w:val="auto"/>
        </w:rPr>
      </w:pPr>
    </w:p>
    <w:p>
      <w:pPr>
        <w:ind w:right="420"/>
        <w:spacing w:after="0" w:line="279" w:lineRule="auto"/>
        <w:rPr>
          <w:sz w:val="20"/>
          <w:szCs w:val="20"/>
          <w:color w:val="auto"/>
        </w:rPr>
      </w:pPr>
      <w:r>
        <w:rPr>
          <w:rFonts w:ascii="Arial" w:cs="Arial" w:eastAsia="Arial" w:hAnsi="Arial"/>
          <w:sz w:val="20"/>
          <w:szCs w:val="20"/>
          <w:color w:val="auto"/>
        </w:rPr>
        <w:t>“Our teams have made strong progress reducing fixed and variable costs,” said CFO Sid Thacker. “We believe these improvements--combined with expected changes in promotional strategies and increases in rental product acquired through non-wholesale channels--have accelerated our path to achieve free cash flow breakeven, before cash interest expense, in FY24.”</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Key Metrics and Financial Highlights</w:t>
      </w:r>
    </w:p>
    <w:p>
      <w:pPr>
        <w:spacing w:after="0" w:line="47" w:lineRule="exact"/>
        <w:rPr>
          <w:sz w:val="20"/>
          <w:szCs w:val="20"/>
          <w:color w:val="auto"/>
        </w:rPr>
      </w:pPr>
    </w:p>
    <w:p>
      <w:pPr>
        <w:ind w:left="480" w:hanging="310"/>
        <w:spacing w:after="0"/>
        <w:tabs>
          <w:tab w:leader="none" w:pos="480" w:val="left"/>
        </w:tabs>
        <w:numPr>
          <w:ilvl w:val="0"/>
          <w:numId w:val="2"/>
        </w:numPr>
        <w:rPr>
          <w:rFonts w:ascii="Arial" w:cs="Arial" w:eastAsia="Arial" w:hAnsi="Arial"/>
          <w:sz w:val="19"/>
          <w:szCs w:val="19"/>
          <w:b w:val="1"/>
          <w:bCs w:val="1"/>
          <w:color w:val="auto"/>
        </w:rPr>
      </w:pPr>
      <w:r>
        <w:rPr>
          <w:rFonts w:ascii="Arial" w:cs="Arial" w:eastAsia="Arial" w:hAnsi="Arial"/>
          <w:sz w:val="19"/>
          <w:szCs w:val="19"/>
          <w:color w:val="auto"/>
        </w:rPr>
        <w:t>Revenue was $75.7 million, a (1.0)% decrease year-over-year from $76.5 million in the second quarter of fiscal year 2022.</w:t>
      </w:r>
    </w:p>
    <w:p>
      <w:pPr>
        <w:spacing w:after="0" w:line="40" w:lineRule="exact"/>
        <w:rPr>
          <w:rFonts w:ascii="Arial" w:cs="Arial" w:eastAsia="Arial" w:hAnsi="Arial"/>
          <w:sz w:val="19"/>
          <w:szCs w:val="19"/>
          <w:b w:val="1"/>
          <w:bCs w:val="1"/>
          <w:color w:val="auto"/>
        </w:rPr>
      </w:pPr>
    </w:p>
    <w:p>
      <w:pPr>
        <w:ind w:left="500" w:right="20" w:hanging="330"/>
        <w:spacing w:after="0" w:line="274"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137,566 ending Active Subscribers, representing an increase of 11% year-over-year from 124,131 at the end of the second quarter of fiscal year 2022.</w:t>
      </w:r>
    </w:p>
    <w:p>
      <w:pPr>
        <w:spacing w:after="0" w:line="1" w:lineRule="exact"/>
        <w:rPr>
          <w:rFonts w:ascii="Arial" w:cs="Arial" w:eastAsia="Arial" w:hAnsi="Arial"/>
          <w:sz w:val="20"/>
          <w:szCs w:val="20"/>
          <w:b w:val="1"/>
          <w:bCs w:val="1"/>
          <w:color w:val="auto"/>
        </w:rPr>
      </w:pPr>
    </w:p>
    <w:p>
      <w:pPr>
        <w:ind w:left="500" w:right="20" w:hanging="249"/>
        <w:spacing w:after="0" w:line="269" w:lineRule="auto"/>
        <w:tabs>
          <w:tab w:leader="none" w:pos="488" w:val="left"/>
        </w:tabs>
        <w:numPr>
          <w:ilvl w:val="1"/>
          <w:numId w:val="2"/>
        </w:numPr>
        <w:rPr>
          <w:rFonts w:ascii="Arial" w:cs="Arial" w:eastAsia="Arial" w:hAnsi="Arial"/>
          <w:sz w:val="20"/>
          <w:szCs w:val="20"/>
          <w:color w:val="auto"/>
        </w:rPr>
      </w:pPr>
      <w:r>
        <w:rPr>
          <w:rFonts w:ascii="Arial" w:cs="Arial" w:eastAsia="Arial" w:hAnsi="Arial"/>
          <w:sz w:val="20"/>
          <w:szCs w:val="20"/>
          <w:color w:val="auto"/>
        </w:rPr>
        <w:t>141,393 Average Active Subscribers representing an increase of 9% year-over-year from 129,565 at the end of the second quarter of fiscal year 2022.</w:t>
      </w:r>
    </w:p>
    <w:p>
      <w:pPr>
        <w:spacing w:after="0" w:line="10" w:lineRule="exact"/>
        <w:rPr>
          <w:rFonts w:ascii="Arial" w:cs="Arial" w:eastAsia="Arial" w:hAnsi="Arial"/>
          <w:sz w:val="20"/>
          <w:szCs w:val="20"/>
          <w:color w:val="auto"/>
        </w:rPr>
      </w:pPr>
    </w:p>
    <w:p>
      <w:pPr>
        <w:ind w:left="500" w:right="240" w:hanging="330"/>
        <w:spacing w:after="0" w:line="269"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184,389 ending Total Subscribers, representing an increase of 6% year-over-year from 173,321 at the end of the second quarter of fiscal year 2022.</w:t>
      </w:r>
    </w:p>
    <w:p>
      <w:pPr>
        <w:spacing w:after="0" w:line="10" w:lineRule="exact"/>
        <w:rPr>
          <w:rFonts w:ascii="Arial" w:cs="Arial" w:eastAsia="Arial" w:hAnsi="Arial"/>
          <w:sz w:val="20"/>
          <w:szCs w:val="20"/>
          <w:b w:val="1"/>
          <w:bCs w:val="1"/>
          <w:color w:val="auto"/>
        </w:rPr>
      </w:pPr>
    </w:p>
    <w:p>
      <w:pPr>
        <w:ind w:left="500" w:right="440" w:hanging="330"/>
        <w:spacing w:after="0" w:line="289"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Gross Profit was $33.2 million, representing an increase of 2.5% from $32.4 million in the second quarter of fiscal year 2022. Gross Margin was 43.9%, as compared to 42.4% in the second quarter of fiscal year 2022.</w:t>
      </w:r>
    </w:p>
    <w:p>
      <w:pPr>
        <w:sectPr>
          <w:pgSz w:w="11900" w:h="16838" w:orient="portrait"/>
          <w:cols w:equalWidth="0" w:num="1">
            <w:col w:w="11240"/>
          </w:cols>
          <w:pgMar w:left="320" w:top="1097" w:right="339" w:bottom="1440" w:gutter="0" w:footer="0" w:header="0"/>
        </w:sectPr>
      </w:pPr>
    </w:p>
    <w:bookmarkStart w:id="4" w:name="page5"/>
    <w:bookmarkEnd w:id="4"/>
    <w:p>
      <w:pPr>
        <w:ind w:left="500" w:right="580" w:hanging="330"/>
        <w:spacing w:after="0" w:line="271"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Net Loss was $(26.8) million, as compared to $(33.9) million in the second quarter of fiscal year 2022. Net Loss as a percentage of revenue was (35.4)%, as compared to (44.3)% in the second quarter of fiscal year 2022.</w:t>
      </w:r>
    </w:p>
    <w:p>
      <w:pPr>
        <w:spacing w:after="0" w:line="7" w:lineRule="exact"/>
        <w:rPr>
          <w:rFonts w:ascii="Arial" w:cs="Arial" w:eastAsia="Arial" w:hAnsi="Arial"/>
          <w:sz w:val="20"/>
          <w:szCs w:val="20"/>
          <w:b w:val="1"/>
          <w:bCs w:val="1"/>
          <w:color w:val="auto"/>
        </w:rPr>
      </w:pPr>
    </w:p>
    <w:p>
      <w:pPr>
        <w:ind w:left="500" w:right="760" w:hanging="330"/>
        <w:spacing w:after="0" w:line="303"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$7.7 million, as compared to $1.8 million in the second quarter of fiscal year 2022. Adjusted EBITDA margin was 10.2%, as compared to 2.4% in the second quarter of fiscal year 2022.</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Second Quarter and Recent Business Highlights</w:t>
      </w:r>
    </w:p>
    <w:p>
      <w:pPr>
        <w:spacing w:after="0" w:line="270" w:lineRule="exact"/>
        <w:rPr>
          <w:sz w:val="20"/>
          <w:szCs w:val="20"/>
          <w:color w:val="auto"/>
        </w:rPr>
      </w:pPr>
    </w:p>
    <w:p>
      <w:pPr>
        <w:jc w:val="both"/>
        <w:ind w:left="500" w:right="220" w:hanging="330"/>
        <w:spacing w:after="0" w:line="294" w:lineRule="auto"/>
        <w:tabs>
          <w:tab w:leader="none" w:pos="488" w:val="left"/>
        </w:tabs>
        <w:numPr>
          <w:ilvl w:val="0"/>
          <w:numId w:val="4"/>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Implemented Inventory Depth Strategy: </w:t>
      </w:r>
      <w:r>
        <w:rPr>
          <w:rFonts w:ascii="Arial" w:cs="Arial" w:eastAsia="Arial" w:hAnsi="Arial"/>
          <w:sz w:val="19"/>
          <w:szCs w:val="19"/>
          <w:color w:val="auto"/>
        </w:rPr>
        <w:t>laid important groundwork designed to meaningfully improve in-stock rates by</w:t>
      </w:r>
      <w:r>
        <w:rPr>
          <w:rFonts w:ascii="Arial" w:cs="Arial" w:eastAsia="Arial" w:hAnsi="Arial"/>
          <w:sz w:val="19"/>
          <w:szCs w:val="19"/>
          <w:b w:val="1"/>
          <w:bCs w:val="1"/>
          <w:color w:val="auto"/>
        </w:rPr>
        <w:t xml:space="preserve"> </w:t>
      </w:r>
      <w:r>
        <w:rPr>
          <w:rFonts w:ascii="Arial" w:cs="Arial" w:eastAsia="Arial" w:hAnsi="Arial"/>
          <w:sz w:val="19"/>
          <w:szCs w:val="19"/>
          <w:color w:val="auto"/>
        </w:rPr>
        <w:t>increasing new inventory depth at approximately 1.7X the depths of our 1H23 buys, which is expected to drive a positive</w:t>
      </w:r>
    </w:p>
    <w:p>
      <w:pPr>
        <w:spacing w:after="0" w:line="1" w:lineRule="exact"/>
        <w:rPr>
          <w:rFonts w:ascii="Arial" w:cs="Arial" w:eastAsia="Arial" w:hAnsi="Arial"/>
          <w:sz w:val="19"/>
          <w:szCs w:val="19"/>
          <w:b w:val="1"/>
          <w:bCs w:val="1"/>
          <w:i w:val="1"/>
          <w:iCs w:val="1"/>
          <w:color w:val="auto"/>
        </w:rPr>
      </w:pPr>
    </w:p>
    <w:p>
      <w:pPr>
        <w:ind w:left="500" w:right="800"/>
        <w:spacing w:after="0" w:line="269" w:lineRule="auto"/>
        <w:rPr>
          <w:rFonts w:ascii="Arial" w:cs="Arial" w:eastAsia="Arial" w:hAnsi="Arial"/>
          <w:sz w:val="19"/>
          <w:szCs w:val="19"/>
          <w:b w:val="1"/>
          <w:bCs w:val="1"/>
          <w:i w:val="1"/>
          <w:iCs w:val="1"/>
          <w:color w:val="auto"/>
        </w:rPr>
      </w:pPr>
      <w:r>
        <w:rPr>
          <w:rFonts w:ascii="Arial" w:cs="Arial" w:eastAsia="Arial" w:hAnsi="Arial"/>
          <w:sz w:val="20"/>
          <w:szCs w:val="20"/>
          <w:color w:val="auto"/>
        </w:rPr>
        <w:t>customer experience in 2H23 and beyond. We have further expanded our depth plans for 2024 and expect to see continued improvement on in-stock rates in 1H24 as a result.</w:t>
      </w:r>
    </w:p>
    <w:p>
      <w:pPr>
        <w:ind w:left="500" w:hanging="330"/>
        <w:spacing w:after="0" w:line="294" w:lineRule="auto"/>
        <w:tabs>
          <w:tab w:leader="none" w:pos="488"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Further improved operating efficiencies: </w:t>
      </w:r>
      <w:r>
        <w:rPr>
          <w:rFonts w:ascii="Arial" w:cs="Arial" w:eastAsia="Arial" w:hAnsi="Arial"/>
          <w:sz w:val="19"/>
          <w:szCs w:val="19"/>
          <w:color w:val="auto"/>
        </w:rPr>
        <w:t>In August, completed a new transportation deal with UPS to lock in competitive</w:t>
      </w:r>
      <w:r>
        <w:rPr>
          <w:rFonts w:ascii="Arial" w:cs="Arial" w:eastAsia="Arial" w:hAnsi="Arial"/>
          <w:sz w:val="19"/>
          <w:szCs w:val="19"/>
          <w:b w:val="1"/>
          <w:bCs w:val="1"/>
          <w:color w:val="auto"/>
        </w:rPr>
        <w:t xml:space="preserve"> </w:t>
      </w:r>
      <w:r>
        <w:rPr>
          <w:rFonts w:ascii="Arial" w:cs="Arial" w:eastAsia="Arial" w:hAnsi="Arial"/>
          <w:sz w:val="19"/>
          <w:szCs w:val="19"/>
          <w:color w:val="auto"/>
        </w:rPr>
        <w:t>rates and consolidate the vast majority of our shipping needs. We believe this partnership will enable us to continue</w:t>
      </w:r>
    </w:p>
    <w:p>
      <w:pPr>
        <w:spacing w:after="0" w:line="1" w:lineRule="exact"/>
        <w:rPr>
          <w:rFonts w:ascii="Arial" w:cs="Arial" w:eastAsia="Arial" w:hAnsi="Arial"/>
          <w:sz w:val="19"/>
          <w:szCs w:val="19"/>
          <w:color w:val="auto"/>
        </w:rPr>
      </w:pPr>
    </w:p>
    <w:p>
      <w:pPr>
        <w:ind w:left="500" w:right="260"/>
        <w:spacing w:after="0" w:line="269" w:lineRule="auto"/>
        <w:rPr>
          <w:rFonts w:ascii="Arial" w:cs="Arial" w:eastAsia="Arial" w:hAnsi="Arial"/>
          <w:sz w:val="19"/>
          <w:szCs w:val="19"/>
          <w:color w:val="auto"/>
        </w:rPr>
      </w:pPr>
      <w:r>
        <w:rPr>
          <w:rFonts w:ascii="Arial" w:cs="Arial" w:eastAsia="Arial" w:hAnsi="Arial"/>
          <w:sz w:val="20"/>
          <w:szCs w:val="20"/>
          <w:color w:val="auto"/>
        </w:rPr>
        <w:t>serving our customers with premium delivery and return service, and to further expand new programs like At Home Pick Up and Saturday Delivery.</w:t>
      </w:r>
    </w:p>
    <w:p>
      <w:pPr>
        <w:ind w:left="500" w:right="100" w:hanging="330"/>
        <w:spacing w:after="0" w:line="273"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Introduced new site and discovery features: </w:t>
      </w:r>
      <w:r>
        <w:rPr>
          <w:rFonts w:ascii="Arial" w:cs="Arial" w:eastAsia="Arial" w:hAnsi="Arial"/>
          <w:sz w:val="20"/>
          <w:szCs w:val="20"/>
          <w:color w:val="auto"/>
        </w:rPr>
        <w:t>launched elevated product detail pages (PDP), improved site filtering, and</w:t>
      </w:r>
      <w:r>
        <w:rPr>
          <w:rFonts w:ascii="Arial" w:cs="Arial" w:eastAsia="Arial" w:hAnsi="Arial"/>
          <w:sz w:val="20"/>
          <w:szCs w:val="20"/>
          <w:b w:val="1"/>
          <w:bCs w:val="1"/>
          <w:color w:val="auto"/>
        </w:rPr>
        <w:t xml:space="preserve"> </w:t>
      </w:r>
      <w:r>
        <w:rPr>
          <w:rFonts w:ascii="Arial" w:cs="Arial" w:eastAsia="Arial" w:hAnsi="Arial"/>
          <w:sz w:val="20"/>
          <w:szCs w:val="20"/>
          <w:color w:val="auto"/>
        </w:rPr>
        <w:t>more rapidly refreshed editorial curations; also rolled out AI search beta to 20% of the RTR customer base. These features, on the whole, have driven significant reductions in time to select shipments for our customers.</w:t>
      </w:r>
    </w:p>
    <w:p>
      <w:pPr>
        <w:spacing w:after="0" w:line="2" w:lineRule="exact"/>
        <w:rPr>
          <w:rFonts w:ascii="Arial" w:cs="Arial" w:eastAsia="Arial" w:hAnsi="Arial"/>
          <w:sz w:val="20"/>
          <w:szCs w:val="20"/>
          <w:color w:val="auto"/>
        </w:rPr>
      </w:pPr>
    </w:p>
    <w:p>
      <w:pPr>
        <w:ind w:left="500" w:right="140" w:hanging="330"/>
        <w:spacing w:after="0" w:line="286"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Continued to enhance the onboarding experience: </w:t>
      </w:r>
      <w:r>
        <w:rPr>
          <w:rFonts w:ascii="Arial" w:cs="Arial" w:eastAsia="Arial" w:hAnsi="Arial"/>
          <w:sz w:val="20"/>
          <w:szCs w:val="20"/>
          <w:color w:val="auto"/>
        </w:rPr>
        <w:t>Launched yesterday a new subscriber onboarding experience to</w:t>
      </w:r>
      <w:r>
        <w:rPr>
          <w:rFonts w:ascii="Arial" w:cs="Arial" w:eastAsia="Arial" w:hAnsi="Arial"/>
          <w:sz w:val="20"/>
          <w:szCs w:val="20"/>
          <w:b w:val="1"/>
          <w:bCs w:val="1"/>
          <w:color w:val="auto"/>
        </w:rPr>
        <w:t xml:space="preserve"> </w:t>
      </w:r>
      <w:r>
        <w:rPr>
          <w:rFonts w:ascii="Arial" w:cs="Arial" w:eastAsia="Arial" w:hAnsi="Arial"/>
          <w:sz w:val="20"/>
          <w:szCs w:val="20"/>
          <w:color w:val="auto"/>
        </w:rPr>
        <w:t>help lead customers to inventory they love quickly and pick their first shipment. Intended to drive engagement and retention, the new experience also includes the creation of an interactive customer styling profile and encourages sign up into our concierge program to aid with live, 1:1 assistance.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FY 2023 UPDATED OUTLOOK</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For the third quarter of fiscal year 2023, Rent the Runway expects:</w:t>
      </w:r>
    </w:p>
    <w:p>
      <w:pPr>
        <w:spacing w:after="0" w:line="27" w:lineRule="exact"/>
        <w:rPr>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in the range of $72 million to $74 million</w:t>
      </w:r>
    </w:p>
    <w:p>
      <w:pPr>
        <w:spacing w:after="0" w:line="40"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 of 3% to 4%</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2023, Rent the Runway now expects:</w:t>
      </w:r>
    </w:p>
    <w:p>
      <w:pPr>
        <w:spacing w:after="0" w:line="40" w:lineRule="exact"/>
        <w:rPr>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Revenue of at least $296.4 million, our fiscal year 2022 Revenue</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Adjusted EBITDA Margin of 7% to 8%</w:t>
      </w:r>
    </w:p>
    <w:p>
      <w:pPr>
        <w:spacing w:after="0" w:line="40" w:lineRule="exact"/>
        <w:rPr>
          <w:rFonts w:ascii="Arial" w:cs="Arial" w:eastAsia="Arial" w:hAnsi="Arial"/>
          <w:sz w:val="20"/>
          <w:szCs w:val="20"/>
          <w:color w:val="auto"/>
        </w:rPr>
      </w:pPr>
    </w:p>
    <w:p>
      <w:pPr>
        <w:ind w:left="480" w:hanging="310"/>
        <w:spacing w:after="0"/>
        <w:tabs>
          <w:tab w:leader="none" w:pos="480" w:val="left"/>
        </w:tabs>
        <w:numPr>
          <w:ilvl w:val="0"/>
          <w:numId w:val="6"/>
        </w:numPr>
        <w:rPr>
          <w:rFonts w:ascii="Arial" w:cs="Arial" w:eastAsia="Arial" w:hAnsi="Arial"/>
          <w:sz w:val="20"/>
          <w:szCs w:val="20"/>
          <w:color w:val="auto"/>
        </w:rPr>
      </w:pPr>
      <w:r>
        <w:rPr>
          <w:rFonts w:ascii="Arial" w:cs="Arial" w:eastAsia="Arial" w:hAnsi="Arial"/>
          <w:sz w:val="20"/>
          <w:szCs w:val="20"/>
          <w:color w:val="auto"/>
        </w:rPr>
        <w:t>Free Cash Flow of ~$(50-53M*)</w:t>
      </w:r>
    </w:p>
    <w:p>
      <w:pPr>
        <w:spacing w:after="0" w:line="25" w:lineRule="exact"/>
        <w:rPr>
          <w:rFonts w:ascii="Arial" w:cs="Arial" w:eastAsia="Arial" w:hAnsi="Arial"/>
          <w:sz w:val="20"/>
          <w:szCs w:val="20"/>
          <w:color w:val="auto"/>
        </w:rPr>
      </w:pPr>
    </w:p>
    <w:p>
      <w:pPr>
        <w:ind w:left="500"/>
        <w:spacing w:after="0"/>
        <w:rPr>
          <w:rFonts w:ascii="Arial" w:cs="Arial" w:eastAsia="Arial" w:hAnsi="Arial"/>
          <w:sz w:val="20"/>
          <w:szCs w:val="20"/>
          <w:color w:val="auto"/>
        </w:rPr>
      </w:pPr>
      <w:r>
        <w:rPr>
          <w:rFonts w:ascii="Arial" w:cs="Arial" w:eastAsia="Arial" w:hAnsi="Arial"/>
          <w:sz w:val="18"/>
          <w:szCs w:val="18"/>
          <w:i w:val="1"/>
          <w:iCs w:val="1"/>
          <w:color w:val="auto"/>
        </w:rPr>
        <w:t>*Including anticipated $3M incremental inventory purchase</w:t>
      </w:r>
    </w:p>
    <w:p>
      <w:pPr>
        <w:spacing w:after="0" w:line="280" w:lineRule="exact"/>
        <w:rPr>
          <w:sz w:val="20"/>
          <w:szCs w:val="20"/>
          <w:color w:val="auto"/>
        </w:rPr>
      </w:pPr>
    </w:p>
    <w:p>
      <w:pPr>
        <w:ind w:right="340"/>
        <w:spacing w:after="0" w:line="289" w:lineRule="auto"/>
        <w:rPr>
          <w:sz w:val="20"/>
          <w:szCs w:val="20"/>
          <w:color w:val="auto"/>
        </w:rPr>
      </w:pPr>
      <w:r>
        <w:rPr>
          <w:rFonts w:ascii="Arial" w:cs="Arial" w:eastAsia="Arial" w:hAnsi="Arial"/>
          <w:sz w:val="20"/>
          <w:szCs w:val="20"/>
          <w:color w:val="auto"/>
        </w:rPr>
        <w:t>Please see our second quarter 2023 earnings presentation at https://investors.renttherunway.com/ under the “Presentations” section for supplemental guidance.</w:t>
      </w:r>
    </w:p>
    <w:p>
      <w:pPr>
        <w:sectPr>
          <w:pgSz w:w="11900" w:h="16838" w:orient="portrait"/>
          <w:cols w:equalWidth="0" w:num="1">
            <w:col w:w="11220"/>
          </w:cols>
          <w:pgMar w:left="320" w:top="1107"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80"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The second quarter 2023 Earnings Presentation is now accessible through the Investor Relations section of Rent the Runway’s website at https://investors.renttherunway.com/ under the “Presentations” section.</w:t>
      </w:r>
    </w:p>
    <w:p>
      <w:pPr>
        <w:spacing w:after="0" w:line="202" w:lineRule="exact"/>
        <w:rPr>
          <w:sz w:val="20"/>
          <w:szCs w:val="20"/>
          <w:color w:val="auto"/>
        </w:rPr>
      </w:pPr>
    </w:p>
    <w:p>
      <w:pPr>
        <w:ind w:right="500"/>
        <w:spacing w:after="0" w:line="289" w:lineRule="auto"/>
        <w:rPr>
          <w:sz w:val="20"/>
          <w:szCs w:val="20"/>
          <w:color w:val="auto"/>
        </w:rPr>
      </w:pPr>
      <w:r>
        <w:rPr>
          <w:rFonts w:ascii="Arial" w:cs="Arial" w:eastAsia="Arial" w:hAnsi="Arial"/>
          <w:sz w:val="20"/>
          <w:szCs w:val="20"/>
          <w:color w:val="auto"/>
        </w:rPr>
        <w:t>Rent the Runway will host a conference call and webcast to discuss its second quarter 2023 financial results and provide a business update today, September 8, 2023, at 8:30 am EDT.</w:t>
      </w:r>
    </w:p>
    <w:p>
      <w:pPr>
        <w:spacing w:after="0" w:line="216" w:lineRule="exact"/>
        <w:rPr>
          <w:sz w:val="20"/>
          <w:szCs w:val="20"/>
          <w:color w:val="auto"/>
        </w:rPr>
      </w:pPr>
    </w:p>
    <w:p>
      <w:pPr>
        <w:ind w:right="120"/>
        <w:spacing w:after="0" w:line="285"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207" w:lineRule="exact"/>
        <w:rPr>
          <w:sz w:val="20"/>
          <w:szCs w:val="20"/>
          <w:color w:val="auto"/>
        </w:rPr>
      </w:pPr>
    </w:p>
    <w:p>
      <w:pPr>
        <w:jc w:val="both"/>
        <w:ind w:right="120"/>
        <w:spacing w:after="0" w:line="332"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13740518.</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09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Forward-Looking Statements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future product launches, business objectives, anticipated macroeconomic environment, benefits of our inventory-focused strategy and other strategic initiatives, including building inventory depth, promotional strategy and onboarding initiatives, anticipated cost savings including from the new transportation deal with a major national carrier, and expectations regarding subscriber trends.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w:t>
      </w:r>
    </w:p>
    <w:p>
      <w:pPr>
        <w:sectPr>
          <w:pgSz w:w="11900" w:h="16838" w:orient="portrait"/>
          <w:cols w:equalWidth="0" w:num="1">
            <w:col w:w="11140"/>
          </w:cols>
          <w:pgMar w:left="320" w:top="1097" w:right="439" w:bottom="1440" w:gutter="0" w:footer="0" w:header="0"/>
        </w:sectPr>
      </w:pPr>
    </w:p>
    <w:bookmarkStart w:id="7" w:name="page8"/>
    <w:bookmarkEnd w:id="7"/>
    <w:p>
      <w:pPr>
        <w:ind w:right="40"/>
        <w:spacing w:after="0" w:line="275" w:lineRule="auto"/>
        <w:rPr>
          <w:sz w:val="20"/>
          <w:szCs w:val="20"/>
          <w:color w:val="auto"/>
        </w:rPr>
      </w:pPr>
      <w:r>
        <w:rPr>
          <w:rFonts w:ascii="Arial" w:cs="Arial" w:eastAsia="Arial" w:hAnsi="Arial"/>
          <w:sz w:val="20"/>
          <w:szCs w:val="20"/>
          <w:color w:val="auto"/>
        </w:rPr>
        <w:t>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macroeconomic environment; the highly competitive and rapidly changing nature of the global fashion industry; our ability to cost-effectively grow our customer base; any failure to retain customers; risk related to COVID-19 and other future pandemics or public health crises; risks related to shipping, logistics and our supply chain; our ability to accurately forecast customer demand, manage our offerings effectively and plan for future expenses; our ability to improve website and mobile app performance and keep pace with technological changes;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 Additional information regarding these and other risks and uncertainties that could cause actual results to differ materially from the Company’s expectations is included in our Quarterly Report on Form 10-Q for the quarter ended April 30, 2023, as will be updated in our Quarterly Report on Form 10-Q for the quarter ended July 31, 2023. Except as required by law, we do not undertake any obligation to publicly update or revise any forward-looking statement, whether as a result of new information, future developments, or otherwise.</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80"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1" w:lineRule="exact"/>
        <w:rPr>
          <w:sz w:val="20"/>
          <w:szCs w:val="20"/>
          <w:color w:val="auto"/>
        </w:rPr>
      </w:pPr>
    </w:p>
    <w:p>
      <w:pPr>
        <w:jc w:val="both"/>
        <w:ind w:right="560"/>
        <w:spacing w:after="0" w:line="285"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ectPr>
          <w:pgSz w:w="11900" w:h="16838" w:orient="portrait"/>
          <w:cols w:equalWidth="0" w:num="1">
            <w:col w:w="11220"/>
          </w:cols>
          <w:pgMar w:left="320" w:top="1107" w:right="359" w:bottom="1440" w:gutter="0" w:footer="0" w:header="0"/>
        </w:sectPr>
      </w:pPr>
    </w:p>
    <w:bookmarkStart w:id="8" w:name="page9"/>
    <w:bookmarkEnd w:id="8"/>
    <w:p>
      <w:pPr>
        <w:ind w:right="120"/>
        <w:spacing w:after="0" w:line="280" w:lineRule="auto"/>
        <w:rPr>
          <w:sz w:val="20"/>
          <w:szCs w:val="20"/>
          <w:color w:val="auto"/>
        </w:rPr>
      </w:pPr>
      <w:r>
        <w:rPr>
          <w:rFonts w:ascii="Arial" w:cs="Arial" w:eastAsia="Arial" w:hAnsi="Arial"/>
          <w:sz w:val="20"/>
          <w:szCs w:val="20"/>
          <w:color w:val="auto"/>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cost of our products and fulfillment costs are included.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93"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This press release and the accompanying tables contain the non-GAAP financial measures of Adjusted EBITDA, Adjusted EBITDA margin, free cash flow, free cash flow margin, free cash flow before cash interest expense, and free cash flow before cash interest expense margin. In addition to our results determined in accordance with GAAP, we believe that Adjusted EBITDA and Adjusted EBITDA margin are useful in evaluating our performance and free cash flow and free cash flow before cash interest expense (as well as related margins)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23" w:lineRule="exact"/>
        <w:rPr>
          <w:sz w:val="20"/>
          <w:szCs w:val="20"/>
          <w:color w:val="auto"/>
        </w:rPr>
      </w:pPr>
    </w:p>
    <w:p>
      <w:pPr>
        <w:ind w:right="220"/>
        <w:spacing w:after="0" w:line="279"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assets, non-recurring adjustments (see below footnotes to reconciliation table), income tax (benefit) expense, other income and expense, net, and other gains / losses. Adjusted EBITDA margin is defined as Adjusted EBITDA calculated as a percentage of revenue.</w:t>
      </w:r>
    </w:p>
    <w:p>
      <w:pPr>
        <w:spacing w:after="0" w:line="227" w:lineRule="exact"/>
        <w:rPr>
          <w:sz w:val="20"/>
          <w:szCs w:val="20"/>
          <w:color w:val="auto"/>
        </w:rPr>
      </w:pPr>
    </w:p>
    <w:p>
      <w:pPr>
        <w:ind w:right="40"/>
        <w:spacing w:after="0" w:line="280" w:lineRule="auto"/>
        <w:rPr>
          <w:sz w:val="20"/>
          <w:szCs w:val="20"/>
          <w:color w:val="auto"/>
        </w:rPr>
      </w:pPr>
      <w:r>
        <w:rPr>
          <w:rFonts w:ascii="Arial" w:cs="Arial" w:eastAsia="Arial" w:hAnsi="Arial"/>
          <w:sz w:val="20"/>
          <w:szCs w:val="20"/>
          <w:color w:val="auto"/>
        </w:rPr>
        <w:t>We define free cash flow as net cash used in operating activities and net cash used in investing activities on a combined basis. We define free cash flow before cash interest expense as net cash used in operating activities and net cash used in investing activities on a combined basis, before cash interest expense. Free cash flow margin and free cash flow before cash interest expense margin are defined as free cash flow and free cash flow before cash interest expense, respectively, as a percentage of revenue.</w:t>
      </w:r>
    </w:p>
    <w:p>
      <w:pPr>
        <w:sectPr>
          <w:pgSz w:w="11900" w:h="16838" w:orient="portrait"/>
          <w:cols w:equalWidth="0" w:num="1">
            <w:col w:w="11180"/>
          </w:cols>
          <w:pgMar w:left="320" w:top="1107" w:right="39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Adjusted EBITDA margin and free cash flow guidance and free cash flow before cash interest expense expectations for fiscal year 2024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non-recurring expenses, which can have unpredictable fluctuations based on unforeseen activity that is out of our control and/or cannot reasonably be predicted.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Alison Rappaport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00"/>
          </w:cols>
          <w:pgMar w:left="320" w:top="1107" w:right="379" w:bottom="1440" w:gutter="0" w:footer="0" w:header="0"/>
        </w:sectPr>
      </w:pPr>
    </w:p>
    <w:bookmarkStart w:id="10" w:name="page11"/>
    <w:bookmarkEnd w:id="10"/>
    <w:p>
      <w:pPr>
        <w:ind w:left="4200"/>
        <w:spacing w:after="0"/>
        <w:rPr>
          <w:sz w:val="20"/>
          <w:szCs w:val="20"/>
          <w:color w:val="auto"/>
        </w:rPr>
      </w:pPr>
      <w:r>
        <w:rPr>
          <w:rFonts w:ascii="Arial" w:cs="Arial" w:eastAsia="Arial" w:hAnsi="Arial"/>
          <w:sz w:val="20"/>
          <w:szCs w:val="20"/>
          <w:b w:val="1"/>
          <w:bCs w:val="1"/>
          <w:color w:val="auto"/>
        </w:rPr>
        <w:t>Rent the Runway, Inc.</w:t>
      </w:r>
    </w:p>
    <w:p>
      <w:pPr>
        <w:ind w:left="328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60"/>
        <w:spacing w:after="0"/>
        <w:rPr>
          <w:sz w:val="20"/>
          <w:szCs w:val="20"/>
          <w:color w:val="auto"/>
        </w:rPr>
      </w:pPr>
      <w:r>
        <w:rPr>
          <w:rFonts w:ascii="Arial" w:cs="Arial" w:eastAsia="Arial" w:hAnsi="Arial"/>
          <w:sz w:val="20"/>
          <w:szCs w:val="20"/>
          <w:b w:val="1"/>
          <w:bCs w:val="1"/>
          <w:color w:val="auto"/>
        </w:rPr>
        <w:t>(in millions)</w:t>
      </w:r>
    </w:p>
    <w:p>
      <w:pPr>
        <w:ind w:left="47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8"/>
                <w:szCs w:val="18"/>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6"/>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9"/>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1"/>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172.1</w:t>
            </w:r>
          </w:p>
        </w:tc>
        <w:tc>
          <w:tcPr>
            <w:tcW w:w="0" w:type="dxa"/>
            <w:vAlign w:val="bottom"/>
          </w:tcPr>
          <w:p>
            <w:pPr>
              <w:spacing w:after="0"/>
              <w:rPr>
                <w:sz w:val="1"/>
                <w:szCs w:val="1"/>
                <w:color w:val="auto"/>
              </w:rPr>
            </w:pPr>
          </w:p>
        </w:tc>
      </w:tr>
      <w:tr>
        <w:trPr>
          <w:trHeight w:val="258"/>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44"/>
        </w:trPr>
        <w:tc>
          <w:tcPr>
            <w:tcW w:w="7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336.2</w:t>
            </w:r>
          </w:p>
        </w:tc>
        <w:tc>
          <w:tcPr>
            <w:tcW w:w="0" w:type="dxa"/>
            <w:vAlign w:val="bottom"/>
          </w:tcPr>
          <w:p>
            <w:pPr>
              <w:spacing w:after="0"/>
              <w:rPr>
                <w:sz w:val="1"/>
                <w:szCs w:val="1"/>
                <w:color w:val="auto"/>
              </w:rPr>
            </w:pPr>
          </w:p>
        </w:tc>
      </w:tr>
      <w:tr>
        <w:trPr>
          <w:trHeight w:val="25"/>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272.5</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38.3</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420" w:type="dxa"/>
            <w:vAlign w:val="bottom"/>
          </w:tcPr>
          <w:p>
            <w:pPr>
              <w:ind w:left="640"/>
              <w:spacing w:after="0"/>
              <w:rPr>
                <w:sz w:val="20"/>
                <w:szCs w:val="20"/>
                <w:color w:val="auto"/>
              </w:rPr>
            </w:pPr>
            <w:r>
              <w:rPr>
                <w:rFonts w:ascii="Arial" w:cs="Arial" w:eastAsia="Arial" w:hAnsi="Arial"/>
                <w:sz w:val="17"/>
                <w:szCs w:val="17"/>
                <w:color w:val="auto"/>
              </w:rPr>
              <w:t>Total liabilities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371.5</w:t>
            </w:r>
          </w:p>
        </w:tc>
        <w:tc>
          <w:tcPr>
            <w:tcW w:w="0" w:type="dxa"/>
            <w:vAlign w:val="bottom"/>
          </w:tcPr>
          <w:p>
            <w:pPr>
              <w:spacing w:after="0"/>
              <w:rPr>
                <w:sz w:val="1"/>
                <w:szCs w:val="1"/>
                <w:color w:val="auto"/>
              </w:rPr>
            </w:pPr>
          </w:p>
        </w:tc>
      </w:tr>
      <w:tr>
        <w:trPr>
          <w:trHeight w:val="31"/>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1"/>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904.5</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(996.8)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(939.9)</w:t>
            </w:r>
          </w:p>
        </w:tc>
        <w:tc>
          <w:tcPr>
            <w:tcW w:w="0" w:type="dxa"/>
            <w:vAlign w:val="bottom"/>
          </w:tcPr>
          <w:p>
            <w:pPr>
              <w:spacing w:after="0"/>
              <w:rPr>
                <w:sz w:val="1"/>
                <w:szCs w:val="1"/>
                <w:color w:val="auto"/>
              </w:rPr>
            </w:pPr>
          </w:p>
        </w:tc>
      </w:tr>
      <w:tr>
        <w:trPr>
          <w:trHeight w:val="44"/>
        </w:trPr>
        <w:tc>
          <w:tcPr>
            <w:tcW w:w="74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42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31"/>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336.2</w:t>
            </w:r>
          </w:p>
        </w:tc>
        <w:tc>
          <w:tcPr>
            <w:tcW w:w="0" w:type="dxa"/>
            <w:vAlign w:val="bottom"/>
          </w:tcPr>
          <w:p>
            <w:pPr>
              <w:spacing w:after="0"/>
              <w:rPr>
                <w:sz w:val="1"/>
                <w:szCs w:val="1"/>
                <w:color w:val="auto"/>
              </w:rPr>
            </w:pPr>
          </w:p>
        </w:tc>
      </w:tr>
      <w:tr>
        <w:trPr>
          <w:trHeight w:val="23"/>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5"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July 31,</w:t>
            </w:r>
          </w:p>
        </w:tc>
        <w:tc>
          <w:tcPr>
            <w:tcW w:w="240" w:type="dxa"/>
            <w:vAlign w:val="bottom"/>
          </w:tcPr>
          <w:p>
            <w:pPr>
              <w:spacing w:after="0"/>
              <w:rPr>
                <w:sz w:val="18"/>
                <w:szCs w:val="18"/>
                <w:color w:val="auto"/>
              </w:rPr>
            </w:pPr>
          </w:p>
        </w:tc>
        <w:tc>
          <w:tcPr>
            <w:tcW w:w="250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46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70"/>
        </w:trPr>
        <w:tc>
          <w:tcPr>
            <w:tcW w:w="546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6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0"/>
        </w:trPr>
        <w:tc>
          <w:tcPr>
            <w:tcW w:w="546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0"/>
        </w:trPr>
        <w:tc>
          <w:tcPr>
            <w:tcW w:w="546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54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0"/>
        </w:trPr>
        <w:tc>
          <w:tcPr>
            <w:tcW w:w="546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0"/>
        </w:trPr>
        <w:tc>
          <w:tcPr>
            <w:tcW w:w="546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6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97"/>
        </w:trPr>
        <w:tc>
          <w:tcPr>
            <w:tcW w:w="546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tcPr>
          <w:p>
            <w:pPr>
              <w:ind w:left="880"/>
              <w:spacing w:after="0"/>
              <w:rPr>
                <w:sz w:val="20"/>
                <w:szCs w:val="20"/>
                <w:color w:val="auto"/>
              </w:rPr>
            </w:pPr>
            <w:r>
              <w:rPr>
                <w:rFonts w:ascii="Arial" w:cs="Arial" w:eastAsia="Arial" w:hAnsi="Arial"/>
                <w:sz w:val="18"/>
                <w:szCs w:val="18"/>
                <w:color w:val="auto"/>
              </w:rPr>
              <w:t>Net loss before income tax benefit / (expense)</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0"/>
        </w:trPr>
        <w:tc>
          <w:tcPr>
            <w:tcW w:w="546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460" w:type="dxa"/>
            <w:vAlign w:val="bottom"/>
          </w:tcPr>
          <w:p>
            <w:pPr>
              <w:ind w:left="98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8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4"/>
        </w:trPr>
        <w:tc>
          <w:tcPr>
            <w:tcW w:w="5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67,608,274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64,074,681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66,751,529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63,758,256</w:t>
            </w:r>
          </w:p>
        </w:tc>
        <w:tc>
          <w:tcPr>
            <w:tcW w:w="0" w:type="dxa"/>
            <w:vAlign w:val="bottom"/>
          </w:tcPr>
          <w:p>
            <w:pPr>
              <w:spacing w:after="0"/>
              <w:rPr>
                <w:sz w:val="1"/>
                <w:szCs w:val="1"/>
                <w:color w:val="auto"/>
              </w:rPr>
            </w:pPr>
          </w:p>
        </w:tc>
      </w:tr>
      <w:tr>
        <w:trPr>
          <w:trHeight w:val="229"/>
        </w:trPr>
        <w:tc>
          <w:tcPr>
            <w:tcW w:w="546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420" w:top="1097" w:right="419" w:bottom="1440" w:gutter="0" w:footer="0" w:header="0"/>
        </w:sectPr>
      </w:pPr>
    </w:p>
    <w:bookmarkStart w:id="12" w:name="page13"/>
    <w:bookmarkEnd w:id="12"/>
    <w:p>
      <w:pPr>
        <w:spacing w:after="0" w:line="38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Rent the Runway, Inc.</w:t>
      </w:r>
    </w:p>
    <w:p>
      <w:pPr>
        <w:spacing w:after="0" w:line="8" w:lineRule="exact"/>
        <w:rPr>
          <w:sz w:val="20"/>
          <w:szCs w:val="20"/>
          <w:color w:val="auto"/>
        </w:rPr>
      </w:pPr>
    </w:p>
    <w:p>
      <w:pPr>
        <w:ind w:left="3120"/>
        <w:spacing w:after="0"/>
        <w:rPr>
          <w:sz w:val="20"/>
          <w:szCs w:val="20"/>
          <w:color w:val="auto"/>
        </w:rPr>
      </w:pPr>
      <w:r>
        <w:rPr>
          <w:rFonts w:ascii="Arial" w:cs="Arial" w:eastAsia="Arial" w:hAnsi="Arial"/>
          <w:sz w:val="19"/>
          <w:szCs w:val="19"/>
          <w:b w:val="1"/>
          <w:bCs w:val="1"/>
          <w:color w:val="auto"/>
        </w:rPr>
        <w:t>Condensed Consolidated Statements of Cash Flow</w:t>
      </w:r>
    </w:p>
    <w:p>
      <w:pPr>
        <w:ind w:left="4960"/>
        <w:spacing w:after="0"/>
        <w:rPr>
          <w:sz w:val="20"/>
          <w:szCs w:val="20"/>
          <w:color w:val="auto"/>
        </w:rPr>
      </w:pPr>
      <w:r>
        <w:rPr>
          <w:rFonts w:ascii="Arial" w:cs="Arial" w:eastAsia="Arial" w:hAnsi="Arial"/>
          <w:sz w:val="20"/>
          <w:szCs w:val="20"/>
          <w:b w:val="1"/>
          <w:bCs w:val="1"/>
          <w:color w:val="auto"/>
        </w:rPr>
        <w:t>(in millions)</w:t>
      </w:r>
    </w:p>
    <w:p>
      <w:pPr>
        <w:ind w:left="502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1020"/>
          </w:cols>
          <w:pgMar w:left="4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right="2200"/>
        <w:spacing w:after="0" w:line="316" w:lineRule="auto"/>
        <w:rPr>
          <w:sz w:val="20"/>
          <w:szCs w:val="20"/>
          <w:color w:val="auto"/>
        </w:rPr>
      </w:pPr>
      <w:r>
        <w:rPr>
          <w:rFonts w:ascii="Arial" w:cs="Arial" w:eastAsia="Arial" w:hAnsi="Arial"/>
          <w:sz w:val="16"/>
          <w:szCs w:val="16"/>
          <w:color w:val="auto"/>
        </w:rPr>
        <w:t>(Gain) / loss from lease termination and write-off of fixed assets Proceeds from rental product sold</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investing activities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2014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r>
      <w:tr>
        <w:trPr>
          <w:trHeight w:val="453"/>
        </w:trPr>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4"/>
                <w:szCs w:val="24"/>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486"/>
        </w:trPr>
        <w:tc>
          <w:tcPr>
            <w:tcW w:w="360" w:type="dxa"/>
            <w:vAlign w:val="bottom"/>
          </w:tcPr>
          <w:p>
            <w:pPr>
              <w:spacing w:after="0"/>
              <w:rPr>
                <w:sz w:val="24"/>
                <w:szCs w:val="24"/>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24.1</w:t>
            </w:r>
          </w:p>
        </w:tc>
      </w:tr>
      <w:tr>
        <w:trPr>
          <w:trHeight w:val="243"/>
        </w:trPr>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3.0</w:t>
            </w:r>
          </w:p>
        </w:tc>
      </w:tr>
      <w:tr>
        <w:trPr>
          <w:trHeight w:val="243"/>
        </w:trPr>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8.7</w:t>
            </w:r>
          </w:p>
        </w:tc>
      </w:tr>
      <w:tr>
        <w:trPr>
          <w:trHeight w:val="243"/>
        </w:trPr>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1.9</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43"/>
        </w:trPr>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7.0</w:t>
            </w:r>
          </w:p>
        </w:tc>
      </w:tr>
      <w:tr>
        <w:trPr>
          <w:trHeight w:val="243"/>
        </w:trPr>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2.0</w:t>
            </w:r>
          </w:p>
        </w:tc>
      </w:tr>
      <w:tr>
        <w:trPr>
          <w:trHeight w:val="243"/>
        </w:trPr>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12.4</w:t>
            </w:r>
          </w:p>
        </w:tc>
      </w:tr>
      <w:tr>
        <w:trPr>
          <w:trHeight w:val="486"/>
        </w:trPr>
        <w:tc>
          <w:tcPr>
            <w:tcW w:w="360" w:type="dxa"/>
            <w:vAlign w:val="bottom"/>
          </w:tcPr>
          <w:p>
            <w:pPr>
              <w:spacing w:after="0"/>
              <w:rPr>
                <w:sz w:val="24"/>
                <w:szCs w:val="24"/>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0.9</w:t>
            </w:r>
          </w:p>
        </w:tc>
      </w:tr>
      <w:tr>
        <w:trPr>
          <w:trHeight w:val="243"/>
        </w:trPr>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3.2</w:t>
            </w:r>
          </w:p>
        </w:tc>
      </w:tr>
      <w:tr>
        <w:trPr>
          <w:trHeight w:val="243"/>
        </w:trPr>
        <w:tc>
          <w:tcPr>
            <w:tcW w:w="3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56"/>
        </w:trPr>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0.1</w:t>
            </w:r>
          </w:p>
        </w:tc>
      </w:tr>
      <w:tr>
        <w:trPr>
          <w:trHeight w:val="223"/>
        </w:trPr>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47"/>
        </w:trPr>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447"/>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43"/>
        </w:trPr>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2.6</w:t>
            </w:r>
          </w:p>
        </w:tc>
      </w:tr>
      <w:tr>
        <w:trPr>
          <w:trHeight w:val="228"/>
        </w:trPr>
        <w:tc>
          <w:tcPr>
            <w:tcW w:w="36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5"/>
                <w:szCs w:val="15"/>
                <w:color w:val="auto"/>
              </w:rPr>
              <w:t>8.8</w:t>
            </w:r>
          </w:p>
        </w:tc>
      </w:tr>
      <w:tr>
        <w:trPr>
          <w:trHeight w:val="243"/>
        </w:trPr>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5"/>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(20.8)</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471"/>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5"/>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5"/>
        </w:trPr>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(56.9)</w:t>
            </w:r>
          </w:p>
        </w:tc>
      </w:tr>
      <w:tr>
        <w:trPr>
          <w:trHeight w:val="270"/>
        </w:trPr>
        <w:tc>
          <w:tcPr>
            <w:tcW w:w="360" w:type="dxa"/>
            <w:vAlign w:val="bottom"/>
          </w:tcPr>
          <w:p>
            <w:pPr>
              <w:spacing w:after="0"/>
              <w:rPr>
                <w:sz w:val="23"/>
                <w:szCs w:val="23"/>
                <w:color w:val="auto"/>
              </w:rPr>
            </w:pPr>
          </w:p>
        </w:tc>
        <w:tc>
          <w:tcPr>
            <w:tcW w:w="1180" w:type="dxa"/>
            <w:vAlign w:val="bottom"/>
          </w:tcPr>
          <w:p>
            <w:pPr>
              <w:jc w:val="right"/>
              <w:ind w:right="1"/>
              <w:spacing w:after="0"/>
              <w:rPr>
                <w:sz w:val="20"/>
                <w:szCs w:val="20"/>
                <w:color w:val="auto"/>
              </w:rPr>
            </w:pPr>
            <w:r>
              <w:rPr>
                <w:rFonts w:ascii="Arial" w:cs="Arial" w:eastAsia="Arial" w:hAnsi="Arial"/>
                <w:sz w:val="15"/>
                <w:szCs w:val="15"/>
                <w:color w:val="auto"/>
              </w:rPr>
              <w:t>163.6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1"/>
              <w:spacing w:after="0"/>
              <w:rPr>
                <w:sz w:val="20"/>
                <w:szCs w:val="20"/>
                <w:color w:val="auto"/>
              </w:rPr>
            </w:pPr>
            <w:r>
              <w:rPr>
                <w:rFonts w:ascii="Arial" w:cs="Arial" w:eastAsia="Arial" w:hAnsi="Arial"/>
                <w:sz w:val="15"/>
                <w:szCs w:val="15"/>
                <w:color w:val="auto"/>
              </w:rPr>
              <w:t>259.6</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5"/>
        </w:trPr>
        <w:tc>
          <w:tcPr>
            <w:tcW w:w="360" w:type="dxa"/>
            <w:vAlign w:val="bottom"/>
          </w:tcPr>
          <w:p>
            <w:pPr>
              <w:jc w:val="right"/>
              <w:ind w:right="181"/>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
              <w:spacing w:after="0"/>
              <w:rPr>
                <w:sz w:val="20"/>
                <w:szCs w:val="20"/>
                <w:color w:val="auto"/>
              </w:rPr>
            </w:pPr>
            <w:r>
              <w:rPr>
                <w:rFonts w:ascii="Arial" w:cs="Arial" w:eastAsia="Arial" w:hAnsi="Arial"/>
                <w:sz w:val="15"/>
                <w:szCs w:val="15"/>
                <w:color w:val="auto"/>
              </w:rPr>
              <w:t>133.7</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
              <w:spacing w:after="0"/>
              <w:rPr>
                <w:sz w:val="20"/>
                <w:szCs w:val="20"/>
                <w:color w:val="auto"/>
              </w:rPr>
            </w:pPr>
            <w:r>
              <w:rPr>
                <w:rFonts w:ascii="Arial" w:cs="Arial" w:eastAsia="Arial" w:hAnsi="Arial"/>
                <w:sz w:val="15"/>
                <w:szCs w:val="15"/>
                <w:color w:val="auto"/>
              </w:rPr>
              <w:t>202.7</w:t>
            </w:r>
          </w:p>
        </w:tc>
      </w:tr>
      <w:tr>
        <w:trPr>
          <w:trHeight w:val="35"/>
        </w:trPr>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20" w:space="720"/>
            <w:col w:w="3180"/>
          </w:cols>
          <w:pgMar w:left="420" w:top="1440" w:right="459" w:bottom="1440" w:gutter="0" w:footer="0" w:header="0"/>
          <w:type w:val="continuous"/>
        </w:sectPr>
      </w:pPr>
    </w:p>
    <w:bookmarkStart w:id="13" w:name="page14"/>
    <w:bookmarkEnd w:id="13"/>
    <w:p>
      <w:pPr>
        <w:ind w:left="4440"/>
        <w:spacing w:after="0"/>
        <w:rPr>
          <w:sz w:val="20"/>
          <w:szCs w:val="20"/>
          <w:color w:val="auto"/>
        </w:rPr>
      </w:pPr>
      <w:r>
        <w:rPr>
          <w:rFonts w:ascii="Arial" w:cs="Arial" w:eastAsia="Arial" w:hAnsi="Arial"/>
          <w:sz w:val="20"/>
          <w:szCs w:val="20"/>
          <w:b w:val="1"/>
          <w:bCs w:val="1"/>
          <w:color w:val="auto"/>
        </w:rPr>
        <w:t>Rent the Runway, Inc.</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auto"/>
        </w:rPr>
        <w:t>Condensed Consolidated Statements of Cash Flow</w:t>
      </w:r>
    </w:p>
    <w:p>
      <w:pPr>
        <w:ind w:left="4900"/>
        <w:spacing w:after="0"/>
        <w:rPr>
          <w:sz w:val="20"/>
          <w:szCs w:val="20"/>
          <w:color w:val="auto"/>
        </w:rPr>
      </w:pPr>
      <w:r>
        <w:rPr>
          <w:rFonts w:ascii="Arial" w:cs="Arial" w:eastAsia="Arial" w:hAnsi="Arial"/>
          <w:sz w:val="20"/>
          <w:szCs w:val="20"/>
          <w:b w:val="1"/>
          <w:bCs w:val="1"/>
          <w:color w:val="auto"/>
        </w:rPr>
        <w:t>(in millions)</w:t>
      </w:r>
    </w:p>
    <w:p>
      <w:pPr>
        <w:ind w:left="496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960"/>
          </w:cols>
          <w:pgMar w:left="480" w:top="109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right="60" w:hanging="161"/>
        <w:spacing w:after="0" w:line="307"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Fixed operating lease payments, net</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Financing leases right-of-use asset amortization</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ROU assets obtained in exchange for lease liabilities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19970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r>
      <w:tr>
        <w:trPr>
          <w:trHeight w:val="595"/>
        </w:trPr>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192.3</w:t>
            </w:r>
          </w:p>
        </w:tc>
      </w:tr>
      <w:tr>
        <w:trPr>
          <w:trHeight w:val="230"/>
        </w:trPr>
        <w:tc>
          <w:tcPr>
            <w:tcW w:w="34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4.6</w:t>
            </w:r>
          </w:p>
        </w:tc>
      </w:tr>
      <w:tr>
        <w:trPr>
          <w:trHeight w:val="243"/>
        </w:trPr>
        <w:tc>
          <w:tcPr>
            <w:tcW w:w="34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5.8</w:t>
            </w:r>
          </w:p>
        </w:tc>
      </w:tr>
      <w:tr>
        <w:trPr>
          <w:trHeight w:val="26"/>
        </w:trPr>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1"/>
        </w:trPr>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18"/>
                <w:szCs w:val="18"/>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202.7</w:t>
            </w:r>
          </w:p>
        </w:tc>
      </w:tr>
      <w:tr>
        <w:trPr>
          <w:trHeight w:val="26"/>
        </w:trPr>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43"/>
        </w:trPr>
        <w:tc>
          <w:tcPr>
            <w:tcW w:w="6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7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43"/>
        </w:trPr>
        <w:tc>
          <w:tcPr>
            <w:tcW w:w="6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7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473"/>
        </w:trPr>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7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6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43"/>
        </w:trPr>
        <w:tc>
          <w:tcPr>
            <w:tcW w:w="6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7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3"/>
        </w:trPr>
        <w:tc>
          <w:tcPr>
            <w:tcW w:w="6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7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w:t>
            </w:r>
          </w:p>
        </w:tc>
      </w:tr>
    </w:tbl>
    <w:p>
      <w:pPr>
        <w:sectPr>
          <w:pgSz w:w="11900" w:h="16838" w:orient="portrait"/>
          <w:cols w:equalWidth="0" w:num="2">
            <w:col w:w="7100" w:space="720"/>
            <w:col w:w="3140"/>
          </w:cols>
          <w:pgMar w:left="480" w:top="1097" w:right="459" w:bottom="1440" w:gutter="0" w:footer="0" w:header="0"/>
          <w:type w:val="continuous"/>
        </w:sectPr>
      </w:pPr>
    </w:p>
    <w:bookmarkStart w:id="14" w:name="page15"/>
    <w:bookmarkEnd w:id="14"/>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5"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060"/>
        <w:spacing w:after="0"/>
        <w:rPr>
          <w:sz w:val="20"/>
          <w:szCs w:val="20"/>
          <w:color w:val="auto"/>
        </w:rPr>
      </w:pPr>
      <w:r>
        <w:rPr>
          <w:rFonts w:ascii="Arial" w:cs="Arial" w:eastAsia="Arial" w:hAnsi="Arial"/>
          <w:sz w:val="20"/>
          <w:szCs w:val="20"/>
          <w:b w:val="1"/>
          <w:bCs w:val="1"/>
          <w:color w:val="auto"/>
        </w:rPr>
        <w:t>(in millions)</w:t>
      </w:r>
    </w:p>
    <w:p>
      <w:pPr>
        <w:ind w:left="51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72"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ectPr>
          <w:pgSz w:w="11900" w:h="16838" w:orient="portrait"/>
          <w:cols w:equalWidth="0" w:num="1">
            <w:col w:w="11180"/>
          </w:cols>
          <w:pgMar w:left="320" w:top="109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Rental product depreciation</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Other depreciation and amortization </w:t>
      </w:r>
      <w:r>
        <w:rPr>
          <w:rFonts w:ascii="Arial" w:cs="Arial" w:eastAsia="Arial" w:hAnsi="Arial"/>
          <w:sz w:val="22"/>
          <w:szCs w:val="22"/>
          <w:color w:val="auto"/>
          <w:vertAlign w:val="superscript"/>
        </w:rPr>
        <w:t>(2)</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20" w:right="1040"/>
        <w:spacing w:after="0" w:line="338" w:lineRule="auto"/>
        <w:rPr>
          <w:sz w:val="20"/>
          <w:szCs w:val="20"/>
          <w:color w:val="auto"/>
        </w:rPr>
      </w:pPr>
      <w:r>
        <w:rPr>
          <w:rFonts w:ascii="Arial" w:cs="Arial" w:eastAsia="Arial" w:hAnsi="Arial"/>
          <w:sz w:val="18"/>
          <w:szCs w:val="18"/>
          <w:color w:val="auto"/>
        </w:rPr>
        <w:t xml:space="preserve">Income tax (benefit) / expense Other (income) / expense, net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Other (gains) / losses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Adjusted EBITDA</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July 31,</w:t>
            </w:r>
          </w:p>
        </w:tc>
      </w:tr>
      <w:tr>
        <w:trPr>
          <w:trHeight w:val="237"/>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r>
      <w:tr>
        <w:trPr>
          <w:trHeight w:val="228"/>
        </w:trPr>
        <w:tc>
          <w:tcPr>
            <w:tcW w:w="980" w:type="dxa"/>
            <w:vAlign w:val="bottom"/>
          </w:tcPr>
          <w:p>
            <w:pPr>
              <w:spacing w:after="0"/>
              <w:rPr>
                <w:sz w:val="19"/>
                <w:szCs w:val="19"/>
                <w:color w:val="auto"/>
              </w:rPr>
            </w:pPr>
          </w:p>
        </w:tc>
        <w:tc>
          <w:tcPr>
            <w:tcW w:w="172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9"/>
                <w:szCs w:val="19"/>
                <w:color w:val="auto"/>
              </w:rPr>
            </w:pPr>
          </w:p>
        </w:tc>
      </w:tr>
      <w:tr>
        <w:trPr>
          <w:trHeight w:val="272"/>
        </w:trPr>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91"/>
              <w:spacing w:after="0"/>
              <w:rPr>
                <w:sz w:val="20"/>
                <w:szCs w:val="20"/>
                <w:color w:val="auto"/>
              </w:rPr>
            </w:pPr>
            <w:r>
              <w:rPr>
                <w:rFonts w:ascii="Arial" w:cs="Arial" w:eastAsia="Arial" w:hAnsi="Arial"/>
                <w:sz w:val="18"/>
                <w:szCs w:val="18"/>
                <w:color w:val="auto"/>
                <w:w w:val="93"/>
              </w:rPr>
              <w:t>(26.8)</w:t>
            </w:r>
          </w:p>
        </w:tc>
        <w:tc>
          <w:tcPr>
            <w:tcW w:w="100" w:type="dxa"/>
            <w:vAlign w:val="bottom"/>
          </w:tcPr>
          <w:p>
            <w:pPr>
              <w:spacing w:after="0"/>
              <w:rPr>
                <w:sz w:val="23"/>
                <w:szCs w:val="23"/>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3"/>
              </w:rPr>
              <w:t>(33.9)</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(76.4)</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18.9</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27.1</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8.7</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12.4</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2.4</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(1.3)</w:t>
            </w:r>
          </w:p>
        </w:tc>
      </w:tr>
      <w:tr>
        <w:trPr>
          <w:trHeight w:val="297"/>
        </w:trPr>
        <w:tc>
          <w:tcPr>
            <w:tcW w:w="980" w:type="dxa"/>
            <w:vAlign w:val="bottom"/>
          </w:tcPr>
          <w:p>
            <w:pPr>
              <w:spacing w:after="0"/>
              <w:rPr>
                <w:sz w:val="24"/>
                <w:szCs w:val="24"/>
                <w:color w:val="auto"/>
              </w:rPr>
            </w:pP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40"/>
        </w:trPr>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0"/>
        </w:trPr>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(7.0)</w:t>
            </w:r>
          </w:p>
        </w:tc>
      </w:tr>
      <w:tr>
        <w:trPr>
          <w:trHeight w:val="40"/>
        </w:trPr>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sectPr>
          <w:pgSz w:w="11900" w:h="16838" w:orient="portrait"/>
          <w:cols w:equalWidth="0" w:num="2">
            <w:col w:w="3640" w:space="720"/>
            <w:col w:w="6820"/>
          </w:cols>
          <w:pgMar w:left="320" w:top="1097" w:right="399" w:bottom="1440" w:gutter="0" w:footer="0" w:header="0"/>
          <w:type w:val="continuous"/>
        </w:sectPr>
      </w:pPr>
    </w:p>
    <w:p>
      <w:pPr>
        <w:spacing w:after="0" w:line="117" w:lineRule="exact"/>
        <w:rPr>
          <w:sz w:val="20"/>
          <w:szCs w:val="20"/>
          <w:color w:val="auto"/>
        </w:rPr>
      </w:pPr>
    </w:p>
    <w:p>
      <w:pPr>
        <w:ind w:left="340" w:right="240" w:hanging="332"/>
        <w:spacing w:after="0" w:line="253" w:lineRule="auto"/>
        <w:tabs>
          <w:tab w:leader="none" w:pos="333"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Includes debt discount amortization of $1.8 million in the three months ended July 31, 2023, $1.0 million in the three months ended July 31, 2022, $3.4 million in the six months ended July 31, 2023 and $2.0 million in the six months ended July 31, 2022.</w:t>
      </w:r>
    </w:p>
    <w:p>
      <w:pPr>
        <w:spacing w:after="0" w:line="56" w:lineRule="exact"/>
        <w:rPr>
          <w:rFonts w:ascii="Arial" w:cs="Arial" w:eastAsia="Arial" w:hAnsi="Arial"/>
          <w:sz w:val="9"/>
          <w:szCs w:val="9"/>
          <w:color w:val="auto"/>
        </w:rPr>
      </w:pPr>
    </w:p>
    <w:p>
      <w:pPr>
        <w:ind w:left="320" w:hanging="312"/>
        <w:spacing w:after="0"/>
        <w:tabs>
          <w:tab w:leader="none" w:pos="3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78"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78"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rental product that had previously been held for sale.</w:t>
      </w:r>
    </w:p>
    <w:p>
      <w:pPr>
        <w:spacing w:after="0" w:line="114"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7"/>
        </w:numPr>
        <w:rPr>
          <w:rFonts w:ascii="Arial" w:cs="Arial" w:eastAsia="Arial" w:hAnsi="Arial"/>
          <w:sz w:val="9"/>
          <w:szCs w:val="9"/>
          <w:color w:val="auto"/>
        </w:rPr>
      </w:pPr>
      <w:r>
        <w:rPr>
          <w:rFonts w:ascii="Arial" w:cs="Arial" w:eastAsia="Arial" w:hAnsi="Arial"/>
          <w:sz w:val="14"/>
          <w:szCs w:val="14"/>
          <w:color w:val="auto"/>
        </w:rPr>
        <w:t>Non-recurring adjustments for the three months ended July 31, 2023 includes $0.5 million of costs related to the option exchange and the three months ended July 31,</w:t>
      </w:r>
    </w:p>
    <w:p>
      <w:pPr>
        <w:spacing w:after="0" w:line="41" w:lineRule="exact"/>
        <w:rPr>
          <w:rFonts w:ascii="Arial" w:cs="Arial" w:eastAsia="Arial" w:hAnsi="Arial"/>
          <w:sz w:val="9"/>
          <w:szCs w:val="9"/>
          <w:color w:val="auto"/>
        </w:rPr>
      </w:pPr>
    </w:p>
    <w:p>
      <w:pPr>
        <w:ind w:left="340" w:right="180"/>
        <w:spacing w:after="0" w:line="313" w:lineRule="auto"/>
        <w:rPr>
          <w:rFonts w:ascii="Arial" w:cs="Arial" w:eastAsia="Arial" w:hAnsi="Arial"/>
          <w:sz w:val="9"/>
          <w:szCs w:val="9"/>
          <w:color w:val="auto"/>
        </w:rPr>
      </w:pPr>
      <w:r>
        <w:rPr>
          <w:rFonts w:ascii="Arial" w:cs="Arial" w:eastAsia="Arial" w:hAnsi="Arial"/>
          <w:sz w:val="14"/>
          <w:szCs w:val="14"/>
          <w:color w:val="auto"/>
        </w:rPr>
        <w:t>2022 includes $0.7 million of costs related to public company SOX readiness. Non-recurring adjustments for the six months ended July 31, 2023 includes $0.5 million of costs related to the option exchange and for the six months ended July 31, 2022 includes $1.0 million of costs related to public company SOX readiness.</w:t>
      </w:r>
    </w:p>
    <w:p>
      <w:pPr>
        <w:spacing w:after="0" w:line="29" w:lineRule="exact"/>
        <w:rPr>
          <w:rFonts w:ascii="Arial" w:cs="Arial" w:eastAsia="Arial" w:hAnsi="Arial"/>
          <w:sz w:val="9"/>
          <w:szCs w:val="9"/>
          <w:color w:val="auto"/>
        </w:rPr>
      </w:pPr>
    </w:p>
    <w:p>
      <w:pPr>
        <w:ind w:left="320" w:hanging="312"/>
        <w:spacing w:after="0"/>
        <w:tabs>
          <w:tab w:leader="none" w:pos="3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Primarily includes $1.3 million of monetized tax credits for the three and six months ended July 31, 2022.</w:t>
      </w:r>
    </w:p>
    <w:p>
      <w:pPr>
        <w:spacing w:after="0" w:line="114" w:lineRule="exact"/>
        <w:rPr>
          <w:rFonts w:ascii="Arial" w:cs="Arial" w:eastAsia="Arial" w:hAnsi="Arial"/>
          <w:sz w:val="19"/>
          <w:szCs w:val="19"/>
          <w:color w:val="auto"/>
          <w:vertAlign w:val="superscript"/>
        </w:rPr>
      </w:pPr>
    </w:p>
    <w:p>
      <w:pPr>
        <w:ind w:left="340" w:right="140" w:hanging="332"/>
        <w:spacing w:after="0" w:line="234" w:lineRule="auto"/>
        <w:tabs>
          <w:tab w:leader="none" w:pos="333"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4 - Leases – Lessee Accounting” in the Notes to the Condensed Consolidated Financial Statements).</w:t>
      </w:r>
    </w:p>
    <w:p>
      <w:pPr>
        <w:spacing w:after="0" w:line="116"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7"/>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180"/>
          </w:cols>
          <w:pgMar w:left="320" w:top="1097" w:right="399" w:bottom="1440" w:gutter="0" w:footer="0" w:header="0"/>
          <w:type w:val="continuous"/>
        </w:sectPr>
      </w:pPr>
    </w:p>
    <w:bookmarkStart w:id="15" w:name="page16"/>
    <w:bookmarkEnd w:id="15"/>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5"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060"/>
        <w:spacing w:after="0"/>
        <w:rPr>
          <w:sz w:val="20"/>
          <w:szCs w:val="20"/>
          <w:color w:val="auto"/>
        </w:rPr>
      </w:pPr>
      <w:r>
        <w:rPr>
          <w:rFonts w:ascii="Arial" w:cs="Arial" w:eastAsia="Arial" w:hAnsi="Arial"/>
          <w:sz w:val="20"/>
          <w:szCs w:val="20"/>
          <w:b w:val="1"/>
          <w:bCs w:val="1"/>
          <w:color w:val="auto"/>
        </w:rPr>
        <w:t>(in millions)</w:t>
      </w:r>
    </w:p>
    <w:p>
      <w:pPr>
        <w:ind w:left="5120"/>
        <w:spacing w:after="0"/>
        <w:rPr>
          <w:sz w:val="20"/>
          <w:szCs w:val="20"/>
          <w:color w:val="auto"/>
        </w:rPr>
      </w:pPr>
      <w:r>
        <w:rPr>
          <w:rFonts w:ascii="Arial" w:cs="Arial" w:eastAsia="Arial" w:hAnsi="Arial"/>
          <w:sz w:val="20"/>
          <w:szCs w:val="20"/>
          <w:color w:val="auto"/>
        </w:rPr>
        <w:t>(unaudited)</w:t>
      </w:r>
    </w:p>
    <w:p>
      <w:pPr>
        <w:spacing w:after="0" w:line="35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Free Cash Flow Margin, Free Cash Flow Before Cash Interest Expense, and Free Cash Flow Before Cash Interest Expense Margin for the periods presented:</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Six Months Ended July 31,</w:t>
            </w:r>
          </w:p>
        </w:tc>
        <w:tc>
          <w:tcPr>
            <w:tcW w:w="680" w:type="dxa"/>
            <w:vAlign w:val="bottom"/>
            <w:tcBorders>
              <w:bottom w:val="single" w:sz="8" w:color="auto"/>
            </w:tcBorders>
          </w:tcPr>
          <w:p>
            <w:pPr>
              <w:spacing w:after="0"/>
              <w:rPr>
                <w:sz w:val="18"/>
                <w:szCs w:val="18"/>
                <w:color w:val="auto"/>
              </w:rPr>
            </w:pP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9"/>
                <w:szCs w:val="19"/>
                <w:color w:val="auto"/>
              </w:rPr>
            </w:pPr>
          </w:p>
        </w:tc>
      </w:tr>
      <w:tr>
        <w:trPr>
          <w:trHeight w:val="228"/>
        </w:trPr>
        <w:tc>
          <w:tcPr>
            <w:tcW w:w="7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9"/>
                <w:szCs w:val="19"/>
                <w:color w:val="auto"/>
              </w:rPr>
            </w:pPr>
          </w:p>
        </w:tc>
      </w:tr>
      <w:tr>
        <w:trPr>
          <w:trHeight w:val="272"/>
        </w:trPr>
        <w:tc>
          <w:tcPr>
            <w:tcW w:w="76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(33.0)</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3"/>
              </w:rPr>
              <w:t>(36.3)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(27.6)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00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00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8.8</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(4.6)</w:t>
            </w:r>
          </w:p>
        </w:tc>
      </w:tr>
      <w:tr>
        <w:trPr>
          <w:trHeight w:val="41"/>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84"/>
        </w:trPr>
        <w:tc>
          <w:tcPr>
            <w:tcW w:w="7620" w:type="dxa"/>
            <w:vAlign w:val="bottom"/>
          </w:tcPr>
          <w:p>
            <w:pPr>
              <w:spacing w:after="0"/>
              <w:rPr>
                <w:sz w:val="20"/>
                <w:szCs w:val="20"/>
                <w:color w:val="auto"/>
              </w:rPr>
            </w:pPr>
            <w:r>
              <w:rPr>
                <w:rFonts w:ascii="Arial" w:cs="Arial" w:eastAsia="Arial" w:hAnsi="Arial"/>
                <w:sz w:val="18"/>
                <w:szCs w:val="18"/>
                <w:color w:val="auto"/>
              </w:rPr>
              <w:t>Free Cash Flow</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3"/>
              </w:rPr>
              <w:t>(29.6)</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(53.8)</w:t>
            </w:r>
          </w:p>
        </w:tc>
      </w:tr>
      <w:tr>
        <w:trPr>
          <w:trHeight w:val="27"/>
        </w:trPr>
        <w:tc>
          <w:tcPr>
            <w:tcW w:w="7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(9.9)</w:t>
            </w:r>
          </w:p>
        </w:tc>
      </w:tr>
      <w:tr>
        <w:trPr>
          <w:trHeight w:val="40"/>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84"/>
        </w:trPr>
        <w:tc>
          <w:tcPr>
            <w:tcW w:w="7620" w:type="dxa"/>
            <w:vAlign w:val="bottom"/>
          </w:tcPr>
          <w:p>
            <w:pPr>
              <w:spacing w:after="0"/>
              <w:rPr>
                <w:sz w:val="20"/>
                <w:szCs w:val="20"/>
                <w:color w:val="auto"/>
              </w:rPr>
            </w:pPr>
            <w:r>
              <w:rPr>
                <w:rFonts w:ascii="Arial" w:cs="Arial" w:eastAsia="Arial" w:hAnsi="Arial"/>
                <w:sz w:val="18"/>
                <w:szCs w:val="18"/>
                <w:color w:val="auto"/>
              </w:rPr>
              <w:t>Free Cash Flow Before Cash Interest Expense</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3"/>
              </w:rPr>
              <w:t>(26.6)</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(43.9)</w:t>
            </w:r>
          </w:p>
        </w:tc>
      </w:tr>
      <w:tr>
        <w:trPr>
          <w:trHeight w:val="27"/>
        </w:trPr>
        <w:tc>
          <w:tcPr>
            <w:tcW w:w="7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18"/>
                <w:szCs w:val="18"/>
                <w:color w:val="auto"/>
              </w:rPr>
              <w:t>Free Cash Flow Before Cash Interest Expense Margin</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w:t>
            </w:r>
          </w:p>
        </w:tc>
      </w:tr>
    </w:tbl>
    <w:p>
      <w:pPr>
        <w:sectPr>
          <w:pgSz w:w="11900" w:h="16838" w:orient="portrait"/>
          <w:cols w:equalWidth="0" w:num="1">
            <w:col w:w="11060"/>
          </w:cols>
          <w:pgMar w:left="320" w:top="1205" w:right="519" w:bottom="1440" w:gutter="0" w:footer="0" w:header="0"/>
        </w:sectPr>
      </w:pPr>
    </w:p>
    <w:bookmarkStart w:id="16" w:name="page17"/>
    <w:bookmarkEnd w:id="16"/>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197"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060"/>
        <w:spacing w:after="0"/>
        <w:rPr>
          <w:sz w:val="20"/>
          <w:szCs w:val="20"/>
          <w:color w:val="auto"/>
        </w:rPr>
      </w:pPr>
      <w:r>
        <w:rPr>
          <w:rFonts w:ascii="Arial" w:cs="Arial" w:eastAsia="Arial" w:hAnsi="Arial"/>
          <w:sz w:val="20"/>
          <w:szCs w:val="20"/>
          <w:b w:val="1"/>
          <w:bCs w:val="1"/>
          <w:color w:val="auto"/>
        </w:rPr>
        <w:t>(in millions)</w:t>
      </w:r>
    </w:p>
    <w:p>
      <w:pPr>
        <w:ind w:left="5120"/>
        <w:spacing w:after="0"/>
        <w:rPr>
          <w:sz w:val="20"/>
          <w:szCs w:val="20"/>
          <w:color w:val="auto"/>
        </w:rPr>
      </w:pPr>
      <w:r>
        <w:rPr>
          <w:rFonts w:ascii="Arial" w:cs="Arial" w:eastAsia="Arial" w:hAnsi="Arial"/>
          <w:sz w:val="20"/>
          <w:szCs w:val="20"/>
          <w:color w:val="auto"/>
        </w:rPr>
        <w:t>(unaudited)</w:t>
      </w:r>
    </w:p>
    <w:p>
      <w:pPr>
        <w:spacing w:after="0" w:line="35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Free Cash Flow, Free Cash Flow Margin, Free Cash Flow Before Cash Interest Expense, and Free Cash Flow Before Cash Interest Expense Margin for the periods presented:</w: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Six Months Ended July 31,</w:t>
            </w:r>
          </w:p>
        </w:tc>
        <w:tc>
          <w:tcPr>
            <w:tcW w:w="680" w:type="dxa"/>
            <w:vAlign w:val="bottom"/>
            <w:tcBorders>
              <w:bottom w:val="single" w:sz="8" w:color="auto"/>
            </w:tcBorders>
          </w:tcPr>
          <w:p>
            <w:pPr>
              <w:spacing w:after="0"/>
              <w:rPr>
                <w:sz w:val="18"/>
                <w:szCs w:val="18"/>
                <w:color w:val="auto"/>
              </w:rPr>
            </w:pP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9"/>
                <w:szCs w:val="19"/>
                <w:color w:val="auto"/>
              </w:rPr>
            </w:pPr>
          </w:p>
        </w:tc>
      </w:tr>
      <w:tr>
        <w:trPr>
          <w:trHeight w:val="228"/>
        </w:trPr>
        <w:tc>
          <w:tcPr>
            <w:tcW w:w="7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9"/>
                <w:szCs w:val="19"/>
                <w:color w:val="auto"/>
              </w:rPr>
            </w:pPr>
          </w:p>
        </w:tc>
      </w:tr>
      <w:tr>
        <w:trPr>
          <w:trHeight w:val="272"/>
        </w:trPr>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3"/>
              </w:rPr>
              <w:t>(56.9)</w:t>
            </w:r>
          </w:p>
        </w:tc>
        <w:tc>
          <w:tcPr>
            <w:tcW w:w="100" w:type="dxa"/>
            <w:vAlign w:val="bottom"/>
          </w:tcPr>
          <w:p>
            <w:pPr>
              <w:spacing w:after="0"/>
              <w:rPr>
                <w:sz w:val="23"/>
                <w:szCs w:val="23"/>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(76.4)</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Interest (income) / expense, net</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18.9</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Rental product depreciation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27.1</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depreciation and amortization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8.7</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12.4</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Write-off of liquidated assets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2.4</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Non-recurring adjustments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1.0</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Income tax (benefit) / expense</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(income) / expense, net</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(gains) / losses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40"/>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18"/>
                <w:szCs w:val="18"/>
                <w:color w:val="auto"/>
              </w:rPr>
              <w:t>Adjusted EBITDA</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(7.0)</w:t>
            </w:r>
          </w:p>
        </w:tc>
      </w:tr>
      <w:tr>
        <w:trPr>
          <w:trHeight w:val="40"/>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0"/>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0" w:type="dxa"/>
            <w:vAlign w:val="bottom"/>
          </w:tcPr>
          <w:p>
            <w:pPr>
              <w:spacing w:after="0"/>
              <w:rPr>
                <w:sz w:val="21"/>
                <w:szCs w:val="21"/>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3"/>
              </w:rPr>
              <w:t>(36.3)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(27.6)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(4.6)</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(9.9)</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earned</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Change in assets and liabilities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(6.7)</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Non-recurring adjustments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(1.0)</w:t>
            </w:r>
          </w:p>
        </w:tc>
      </w:tr>
      <w:tr>
        <w:trPr>
          <w:trHeight w:val="337"/>
        </w:trPr>
        <w:tc>
          <w:tcPr>
            <w:tcW w:w="7620" w:type="dxa"/>
            <w:vAlign w:val="bottom"/>
          </w:tcPr>
          <w:p>
            <w:pPr>
              <w:ind w:left="44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(1)</w:t>
            </w:r>
          </w:p>
        </w:tc>
        <w:tc>
          <w:tcPr>
            <w:tcW w:w="1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w:t>
            </w:r>
          </w:p>
        </w:tc>
      </w:tr>
      <w:tr>
        <w:trPr>
          <w:trHeight w:val="284"/>
        </w:trPr>
        <w:tc>
          <w:tcPr>
            <w:tcW w:w="7620" w:type="dxa"/>
            <w:vAlign w:val="bottom"/>
          </w:tcPr>
          <w:p>
            <w:pPr>
              <w:spacing w:after="0"/>
              <w:rPr>
                <w:sz w:val="20"/>
                <w:szCs w:val="20"/>
                <w:color w:val="auto"/>
              </w:rPr>
            </w:pPr>
            <w:r>
              <w:rPr>
                <w:rFonts w:ascii="Arial" w:cs="Arial" w:eastAsia="Arial" w:hAnsi="Arial"/>
                <w:sz w:val="18"/>
                <w:szCs w:val="18"/>
                <w:color w:val="auto"/>
              </w:rPr>
              <w:t>Free Cash Flow</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3"/>
              </w:rPr>
              <w:t>(29.6)</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(53.8)</w:t>
            </w:r>
          </w:p>
        </w:tc>
      </w:tr>
      <w:tr>
        <w:trPr>
          <w:trHeight w:val="27"/>
        </w:trPr>
        <w:tc>
          <w:tcPr>
            <w:tcW w:w="7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(9.9)</w:t>
            </w:r>
          </w:p>
        </w:tc>
      </w:tr>
      <w:tr>
        <w:trPr>
          <w:trHeight w:val="40"/>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84"/>
        </w:trPr>
        <w:tc>
          <w:tcPr>
            <w:tcW w:w="7620" w:type="dxa"/>
            <w:vAlign w:val="bottom"/>
          </w:tcPr>
          <w:p>
            <w:pPr>
              <w:spacing w:after="0"/>
              <w:rPr>
                <w:sz w:val="20"/>
                <w:szCs w:val="20"/>
                <w:color w:val="auto"/>
              </w:rPr>
            </w:pPr>
            <w:r>
              <w:rPr>
                <w:rFonts w:ascii="Arial" w:cs="Arial" w:eastAsia="Arial" w:hAnsi="Arial"/>
                <w:sz w:val="18"/>
                <w:szCs w:val="18"/>
                <w:color w:val="auto"/>
              </w:rPr>
              <w:t>Free Cash Flow Before Cash Interest Expense</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3"/>
              </w:rPr>
              <w:t>(26.6)</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(43.9)</w:t>
            </w:r>
          </w:p>
        </w:tc>
      </w:tr>
      <w:tr>
        <w:trPr>
          <w:trHeight w:val="27"/>
        </w:trPr>
        <w:tc>
          <w:tcPr>
            <w:tcW w:w="7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620" w:type="dxa"/>
            <w:vAlign w:val="bottom"/>
          </w:tcPr>
          <w:p>
            <w:pPr>
              <w:spacing w:after="0"/>
              <w:rPr>
                <w:sz w:val="20"/>
                <w:szCs w:val="20"/>
                <w:color w:val="auto"/>
              </w:rPr>
            </w:pPr>
            <w:r>
              <w:rPr>
                <w:rFonts w:ascii="Arial" w:cs="Arial" w:eastAsia="Arial" w:hAnsi="Arial"/>
                <w:sz w:val="18"/>
                <w:szCs w:val="18"/>
                <w:color w:val="auto"/>
              </w:rPr>
              <w:t>Free Cash Flow Before Cash Interest Expense Margin</w:t>
            </w: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(30.6)%</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hanging="152"/>
        <w:spacing w:after="0"/>
        <w:tabs>
          <w:tab w:leader="none" w:pos="160" w:val="left"/>
        </w:tabs>
        <w:numPr>
          <w:ilvl w:val="0"/>
          <w:numId w:val="8"/>
        </w:numPr>
        <w:rPr>
          <w:rFonts w:ascii="Arial" w:cs="Arial" w:eastAsia="Arial" w:hAnsi="Arial"/>
          <w:sz w:val="9"/>
          <w:szCs w:val="9"/>
          <w:color w:val="auto"/>
        </w:rPr>
      </w:pPr>
      <w:r>
        <w:rPr>
          <w:rFonts w:ascii="Arial" w:cs="Arial" w:eastAsia="Arial" w:hAnsi="Arial"/>
          <w:sz w:val="14"/>
          <w:szCs w:val="14"/>
          <w:color w:val="auto"/>
        </w:rPr>
        <w:t>Other adjustments primarily includes cash tax adjustments and other gains (losses).</w:t>
      </w:r>
    </w:p>
    <w:sectPr>
      <w:pgSz w:w="11900" w:h="16838" w:orient="portrait"/>
      <w:cols w:equalWidth="0" w:num="1">
        <w:col w:w="11200"/>
      </w:cols>
      <w:pgMar w:left="320" w:top="117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2023-09-08T07:29:12Z</dcterms:created>
  <dcterms:modified xsi:type="dcterms:W3CDTF">2023-09-08T07:29:12Z</dcterms:modified>
</cp:coreProperties>
</file>