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4060" w:type="dxa"/>
            <w:vAlign w:val="bottom"/>
          </w:tcPr>
          <w:p>
            <w:pPr>
              <w:ind w:left="40"/>
              <w:spacing w:after="0"/>
              <w:rPr>
                <w:sz w:val="20"/>
                <w:szCs w:val="20"/>
                <w:color w:val="auto"/>
              </w:rPr>
            </w:pPr>
            <w:r>
              <w:rPr>
                <w:rFonts w:ascii="Arial" w:cs="Arial" w:eastAsia="Arial" w:hAnsi="Arial"/>
                <w:sz w:val="22"/>
                <w:szCs w:val="22"/>
                <w:color w:val="auto"/>
              </w:rPr>
              <w:t>0001737388</w:t>
            </w:r>
          </w:p>
        </w:tc>
        <w:tc>
          <w:tcPr>
            <w:tcW w:w="32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4060" w:type="dxa"/>
            <w:vAlign w:val="bottom"/>
          </w:tcPr>
          <w:p>
            <w:pPr>
              <w:ind w:left="40"/>
              <w:spacing w:after="0"/>
              <w:rPr>
                <w:sz w:val="20"/>
                <w:szCs w:val="20"/>
                <w:color w:val="auto"/>
              </w:rPr>
            </w:pPr>
            <w:r>
              <w:rPr>
                <w:rFonts w:ascii="Arial" w:cs="Arial" w:eastAsia="Arial" w:hAnsi="Arial"/>
                <w:sz w:val="22"/>
                <w:szCs w:val="22"/>
                <w:color w:val="auto"/>
              </w:rPr>
              <w:t>XXXXXXXX</w:t>
            </w:r>
          </w:p>
        </w:tc>
        <w:tc>
          <w:tcPr>
            <w:tcW w:w="32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406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406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835"/>
        </w:trPr>
        <w:tc>
          <w:tcPr>
            <w:tcW w:w="706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2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w w:val="87"/>
              </w:rPr>
              <w:t>Rent the Runway,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001-40958</w:t>
            </w:r>
          </w:p>
        </w:tc>
      </w:tr>
      <w:tr>
        <w:trPr>
          <w:trHeight w:val="266"/>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10 Jay St</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Brooklyn</w:t>
            </w:r>
          </w:p>
        </w:tc>
      </w:tr>
      <w:tr>
        <w:trPr>
          <w:trHeight w:val="243"/>
        </w:trPr>
        <w:tc>
          <w:tcPr>
            <w:tcW w:w="3000" w:type="dxa"/>
            <w:vAlign w:val="bottom"/>
          </w:tcPr>
          <w:p>
            <w:pPr>
              <w:spacing w:after="0"/>
              <w:rPr>
                <w:sz w:val="21"/>
                <w:szCs w:val="21"/>
                <w:color w:val="auto"/>
              </w:rPr>
            </w:pPr>
          </w:p>
        </w:tc>
        <w:tc>
          <w:tcPr>
            <w:tcW w:w="4060" w:type="dxa"/>
            <w:vAlign w:val="bottom"/>
          </w:tcPr>
          <w:p>
            <w:pPr>
              <w:spacing w:after="0"/>
              <w:rPr>
                <w:sz w:val="21"/>
                <w:szCs w:val="21"/>
                <w:color w:val="auto"/>
              </w:rPr>
            </w:pPr>
          </w:p>
        </w:tc>
        <w:tc>
          <w:tcPr>
            <w:tcW w:w="3240" w:type="dxa"/>
            <w:vAlign w:val="bottom"/>
          </w:tcPr>
          <w:p>
            <w:pPr>
              <w:ind w:left="1320"/>
              <w:spacing w:after="0" w:line="243" w:lineRule="exact"/>
              <w:rPr>
                <w:sz w:val="20"/>
                <w:szCs w:val="20"/>
                <w:color w:val="auto"/>
              </w:rPr>
            </w:pPr>
            <w:r>
              <w:rPr>
                <w:rFonts w:ascii="Arial" w:cs="Arial" w:eastAsia="Arial" w:hAnsi="Arial"/>
                <w:sz w:val="22"/>
                <w:szCs w:val="22"/>
                <w:color w:val="auto"/>
              </w:rPr>
              <w:t>NEW YORK</w:t>
            </w:r>
          </w:p>
        </w:tc>
      </w:tr>
      <w:tr>
        <w:trPr>
          <w:trHeight w:val="274"/>
        </w:trPr>
        <w:tc>
          <w:tcPr>
            <w:tcW w:w="300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11201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4060" w:type="dxa"/>
            <w:vAlign w:val="bottom"/>
          </w:tcPr>
          <w:p>
            <w:pPr>
              <w:spacing w:after="0"/>
              <w:rPr>
                <w:sz w:val="24"/>
                <w:szCs w:val="24"/>
                <w:color w:val="auto"/>
              </w:rPr>
            </w:pPr>
          </w:p>
        </w:tc>
        <w:tc>
          <w:tcPr>
            <w:tcW w:w="3240" w:type="dxa"/>
            <w:vAlign w:val="bottom"/>
          </w:tcPr>
          <w:p>
            <w:pPr>
              <w:ind w:left="1320"/>
              <w:spacing w:after="0"/>
              <w:rPr>
                <w:sz w:val="20"/>
                <w:szCs w:val="20"/>
                <w:color w:val="auto"/>
              </w:rPr>
            </w:pPr>
            <w:r>
              <w:rPr>
                <w:rFonts w:ascii="Arial" w:cs="Arial" w:eastAsia="Arial" w:hAnsi="Arial"/>
                <w:sz w:val="22"/>
                <w:szCs w:val="22"/>
                <w:color w:val="auto"/>
              </w:rPr>
              <w:t>2125246860</w:t>
            </w:r>
          </w:p>
        </w:tc>
      </w:tr>
      <w:tr>
        <w:trPr>
          <w:trHeight w:val="297"/>
        </w:trPr>
        <w:tc>
          <w:tcPr>
            <w:tcW w:w="706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240" w:type="dxa"/>
            <w:vAlign w:val="bottom"/>
          </w:tcPr>
          <w:p>
            <w:pPr>
              <w:ind w:left="1320"/>
              <w:spacing w:after="0"/>
              <w:rPr>
                <w:sz w:val="20"/>
                <w:szCs w:val="20"/>
                <w:color w:val="auto"/>
              </w:rPr>
            </w:pPr>
            <w:r>
              <w:rPr>
                <w:rFonts w:ascii="Arial" w:cs="Arial" w:eastAsia="Arial" w:hAnsi="Arial"/>
                <w:sz w:val="22"/>
                <w:szCs w:val="22"/>
                <w:color w:val="auto"/>
              </w:rPr>
              <w:t>Jennifer Y. Hyman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44" w:lineRule="exact"/>
        <w:rPr>
          <w:sz w:val="24"/>
          <w:szCs w:val="24"/>
          <w:color w:val="auto"/>
        </w:rPr>
      </w:pPr>
    </w:p>
    <w:p>
      <w:pPr>
        <w:ind w:left="40"/>
        <w:spacing w:after="0"/>
        <w:tabs>
          <w:tab w:leader="none" w:pos="83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Director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53"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Morgan Stanley Smith</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Barney LLC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w w:val="99"/>
              </w:rPr>
              <w:t>Class A Common Stock</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 New York Plaza</w:t>
            </w:r>
          </w:p>
        </w:tc>
        <w:tc>
          <w:tcPr>
            <w:tcW w:w="1280" w:type="dxa"/>
            <w:vAlign w:val="bottom"/>
          </w:tcPr>
          <w:p>
            <w:pPr>
              <w:jc w:val="right"/>
              <w:ind w:right="432"/>
              <w:spacing w:after="0" w:line="243" w:lineRule="exact"/>
              <w:rPr>
                <w:sz w:val="20"/>
                <w:szCs w:val="20"/>
                <w:color w:val="auto"/>
              </w:rPr>
            </w:pPr>
            <w:r>
              <w:rPr>
                <w:rFonts w:ascii="Arial" w:cs="Arial" w:eastAsia="Arial" w:hAnsi="Arial"/>
                <w:sz w:val="22"/>
                <w:szCs w:val="22"/>
                <w:color w:val="auto"/>
                <w:w w:val="98"/>
              </w:rPr>
              <w:t>113142</w:t>
            </w:r>
          </w:p>
        </w:tc>
        <w:tc>
          <w:tcPr>
            <w:tcW w:w="1140" w:type="dxa"/>
            <w:vAlign w:val="bottom"/>
          </w:tcPr>
          <w:p>
            <w:pPr>
              <w:jc w:val="right"/>
              <w:ind w:right="192"/>
              <w:spacing w:after="0" w:line="243" w:lineRule="exact"/>
              <w:rPr>
                <w:sz w:val="20"/>
                <w:szCs w:val="20"/>
                <w:color w:val="auto"/>
              </w:rPr>
            </w:pPr>
            <w:r>
              <w:rPr>
                <w:rFonts w:ascii="Arial" w:cs="Arial" w:eastAsia="Arial" w:hAnsi="Arial"/>
                <w:sz w:val="22"/>
                <w:szCs w:val="22"/>
                <w:color w:val="auto"/>
                <w:w w:val="89"/>
              </w:rPr>
              <w:t>59399.55</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38th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New York  NY  10004</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65858662</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11/01/2023   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38" w:orient="portrait"/>
          <w:cols w:equalWidth="0" w:num="2">
            <w:col w:w="7200" w:space="220"/>
            <w:col w:w="3820"/>
          </w:cols>
          <w:pgMar w:left="320" w:top="267" w:right="339" w:bottom="53"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7" w:right="339" w:bottom="53" w:gutter="0" w:footer="0" w:header="0"/>
          <w:type w:val="continuous"/>
        </w:sectPr>
      </w:pPr>
    </w:p>
    <w:p>
      <w:pPr>
        <w:spacing w:after="0" w:line="221" w:lineRule="exact"/>
        <w:rPr>
          <w:sz w:val="24"/>
          <w:szCs w:val="24"/>
          <w:color w:val="auto"/>
        </w:rPr>
      </w:pPr>
    </w:p>
    <w:p>
      <w:pPr>
        <w:spacing w:after="0"/>
        <w:rPr>
          <w:sz w:val="20"/>
          <w:szCs w:val="20"/>
          <w:color w:val="auto"/>
        </w:rPr>
      </w:pPr>
      <w:r>
        <w:rPr>
          <w:rFonts w:ascii="Arial" w:cs="Arial" w:eastAsia="Arial" w:hAnsi="Arial"/>
          <w:sz w:val="38"/>
          <w:szCs w:val="38"/>
          <w:b w:val="1"/>
          <w:bCs w:val="1"/>
          <w:color w:val="auto"/>
        </w:rPr>
        <w:t>144: Securities To Be Sold</w:t>
      </w:r>
    </w:p>
    <w:p>
      <w:pPr>
        <w:sectPr>
          <w:pgSz w:w="11900" w:h="16838" w:orient="portrait"/>
          <w:cols w:equalWidth="0" w:num="1">
            <w:col w:w="11240"/>
          </w:cols>
          <w:pgMar w:left="320" w:top="267" w:right="339" w:bottom="53" w:gutter="0" w:footer="0" w:header="0"/>
          <w:type w:val="continuous"/>
        </w:sectPr>
      </w:pPr>
    </w:p>
    <w:bookmarkStart w:id="1" w:name="page2"/>
    <w:bookmarkEnd w:id="1"/>
    <w:p>
      <w:pPr>
        <w:spacing w:after="0" w:line="63"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Title of the</w:t>
      </w:r>
    </w:p>
    <w:p>
      <w:pPr>
        <w:spacing w:after="0" w:line="15" w:lineRule="exact"/>
        <w:rPr>
          <w:sz w:val="20"/>
          <w:szCs w:val="20"/>
          <w:color w:val="auto"/>
        </w:rPr>
      </w:pPr>
    </w:p>
    <w:p>
      <w:pPr>
        <w:jc w:val="center"/>
        <w:ind w:left="120"/>
        <w:spacing w:after="0"/>
        <w:rPr>
          <w:sz w:val="20"/>
          <w:szCs w:val="20"/>
          <w:color w:val="auto"/>
        </w:rPr>
      </w:pPr>
      <w:r>
        <w:rPr>
          <w:rFonts w:ascii="Arial" w:cs="Arial" w:eastAsia="Arial" w:hAnsi="Arial"/>
          <w:sz w:val="22"/>
          <w:szCs w:val="22"/>
          <w:b w:val="1"/>
          <w:bCs w:val="1"/>
          <w:color w:val="auto"/>
        </w:rPr>
        <w:t>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line="328" w:lineRule="auto"/>
        <w:rPr>
          <w:sz w:val="20"/>
          <w:szCs w:val="20"/>
          <w:color w:val="auto"/>
        </w:rPr>
      </w:pPr>
      <w:r>
        <w:rPr>
          <w:rFonts w:ascii="Arial" w:cs="Arial" w:eastAsia="Arial" w:hAnsi="Arial"/>
          <w:sz w:val="19"/>
          <w:szCs w:val="19"/>
          <w:color w:val="auto"/>
        </w:rPr>
        <w:t>Class A Common Stock</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ind w:left="80"/>
        <w:spacing w:after="0"/>
        <w:tabs>
          <w:tab w:leader="none" w:pos="1420" w:val="left"/>
          <w:tab w:leader="none" w:pos="3060" w:val="left"/>
          <w:tab w:leader="none" w:pos="4380" w:val="left"/>
          <w:tab w:leader="none" w:pos="4980" w:val="left"/>
          <w:tab w:leader="none" w:pos="5800" w:val="left"/>
          <w:tab w:leader="none" w:pos="7140" w:val="left"/>
          <w:tab w:leader="none" w:pos="8400" w:val="left"/>
        </w:tabs>
        <w:rPr>
          <w:sz w:val="20"/>
          <w:szCs w:val="20"/>
          <w:color w:val="auto"/>
        </w:rPr>
      </w:pPr>
      <w:r>
        <w:rPr>
          <w:rFonts w:ascii="Arial" w:cs="Arial" w:eastAsia="Arial" w:hAnsi="Arial"/>
          <w:sz w:val="22"/>
          <w:szCs w:val="22"/>
          <w:b w:val="1"/>
          <w:bCs w:val="1"/>
          <w:color w:val="auto"/>
        </w:rPr>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5" w:lineRule="exact"/>
        <w:rPr>
          <w:sz w:val="20"/>
          <w:szCs w:val="20"/>
          <w:color w:val="auto"/>
        </w:rPr>
      </w:pPr>
    </w:p>
    <w:p>
      <w:pPr>
        <w:ind w:left="60"/>
        <w:spacing w:after="0"/>
        <w:tabs>
          <w:tab w:leader="none" w:pos="1320" w:val="left"/>
          <w:tab w:leader="none" w:pos="2880" w:val="left"/>
          <w:tab w:leader="none" w:pos="4300" w:val="left"/>
          <w:tab w:leader="none" w:pos="4900" w:val="left"/>
          <w:tab w:leader="none" w:pos="5860" w:val="left"/>
          <w:tab w:leader="none" w:pos="7080" w:val="left"/>
          <w:tab w:leader="none" w:pos="8360" w:val="left"/>
        </w:tabs>
        <w:rPr>
          <w:sz w:val="20"/>
          <w:szCs w:val="20"/>
          <w:color w:val="auto"/>
        </w:rPr>
      </w:pP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ind w:left="1320"/>
        <w:spacing w:after="0"/>
        <w:tabs>
          <w:tab w:leader="none" w:pos="3140" w:val="left"/>
          <w:tab w:leader="none" w:pos="4400" w:val="left"/>
          <w:tab w:leader="none" w:pos="4760" w:val="left"/>
          <w:tab w:leader="none" w:pos="588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spacing w:after="0" w:line="1" w:lineRule="exact"/>
        <w:rPr>
          <w:sz w:val="20"/>
          <w:szCs w:val="20"/>
          <w:color w:val="auto"/>
        </w:rPr>
      </w:pPr>
    </w:p>
    <w:p>
      <w:pPr>
        <w:ind w:left="3040"/>
        <w:spacing w:after="0"/>
        <w:tabs>
          <w:tab w:leader="none" w:pos="422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Shares acquired</w:t>
      </w:r>
    </w:p>
    <w:p>
      <w:pPr>
        <w:ind w:left="1040"/>
        <w:spacing w:after="0" w:line="238" w:lineRule="auto"/>
        <w:rPr>
          <w:sz w:val="20"/>
          <w:szCs w:val="20"/>
          <w:color w:val="auto"/>
        </w:rPr>
      </w:pPr>
      <w:r>
        <w:rPr>
          <w:rFonts w:ascii="Arial" w:cs="Arial" w:eastAsia="Arial" w:hAnsi="Arial"/>
          <w:sz w:val="22"/>
          <w:szCs w:val="22"/>
          <w:color w:val="auto"/>
        </w:rPr>
        <w:t>upon vesting of</w:t>
      </w:r>
    </w:p>
    <w:p>
      <w:pPr>
        <w:ind w:left="1040"/>
        <w:spacing w:after="0" w:line="230" w:lineRule="auto"/>
        <w:rPr>
          <w:sz w:val="20"/>
          <w:szCs w:val="20"/>
          <w:color w:val="auto"/>
        </w:rPr>
      </w:pPr>
      <w:r>
        <w:rPr>
          <w:rFonts w:ascii="Arial" w:cs="Arial" w:eastAsia="Arial" w:hAnsi="Arial"/>
          <w:sz w:val="22"/>
          <w:szCs w:val="22"/>
          <w:color w:val="auto"/>
        </w:rPr>
        <w:t>restricted stock</w:t>
      </w:r>
    </w:p>
    <w:p>
      <w:pPr>
        <w:ind w:left="1040"/>
        <w:spacing w:after="0" w:line="231" w:lineRule="auto"/>
        <w:rPr>
          <w:sz w:val="20"/>
          <w:szCs w:val="20"/>
          <w:color w:val="auto"/>
        </w:rPr>
      </w:pPr>
      <w:r>
        <w:rPr>
          <w:rFonts w:ascii="Arial" w:cs="Arial" w:eastAsia="Arial" w:hAnsi="Arial"/>
          <w:sz w:val="22"/>
          <w:szCs w:val="22"/>
          <w:color w:val="auto"/>
        </w:rPr>
        <w:t>units awarded</w:t>
      </w:r>
    </w:p>
    <w:p>
      <w:pPr>
        <w:spacing w:after="0"/>
        <w:tabs>
          <w:tab w:leader="none" w:pos="2740" w:val="left"/>
          <w:tab w:leader="none" w:pos="6980" w:val="left"/>
        </w:tabs>
        <w:rPr>
          <w:sz w:val="20"/>
          <w:szCs w:val="20"/>
          <w:color w:val="auto"/>
        </w:rPr>
      </w:pPr>
      <w:r>
        <w:rPr>
          <w:rFonts w:ascii="Arial" w:cs="Arial" w:eastAsia="Arial" w:hAnsi="Arial"/>
          <w:sz w:val="22"/>
          <w:szCs w:val="22"/>
          <w:color w:val="auto"/>
        </w:rPr>
        <w:t>11/01/2023 under Issuers</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152850</w:t>
      </w:r>
      <w:r>
        <w:rPr>
          <w:sz w:val="20"/>
          <w:szCs w:val="20"/>
          <w:color w:val="auto"/>
        </w:rPr>
        <w:tab/>
      </w:r>
      <w:r>
        <w:rPr>
          <w:rFonts w:ascii="Arial" w:cs="Arial" w:eastAsia="Arial" w:hAnsi="Arial"/>
          <w:sz w:val="19"/>
          <w:szCs w:val="19"/>
          <w:color w:val="auto"/>
        </w:rPr>
        <w:t>07/11/2023 Services Rendered</w:t>
      </w:r>
    </w:p>
    <w:p>
      <w:pPr>
        <w:ind w:left="1040"/>
        <w:spacing w:after="0" w:line="231" w:lineRule="auto"/>
        <w:rPr>
          <w:sz w:val="20"/>
          <w:szCs w:val="20"/>
          <w:color w:val="auto"/>
        </w:rPr>
      </w:pPr>
      <w:r>
        <w:rPr>
          <w:rFonts w:ascii="Arial" w:cs="Arial" w:eastAsia="Arial" w:hAnsi="Arial"/>
          <w:sz w:val="22"/>
          <w:szCs w:val="22"/>
          <w:color w:val="auto"/>
        </w:rPr>
        <w:t>Amended and</w:t>
      </w:r>
    </w:p>
    <w:p>
      <w:pPr>
        <w:ind w:left="1040"/>
        <w:spacing w:after="0" w:line="230" w:lineRule="auto"/>
        <w:rPr>
          <w:sz w:val="20"/>
          <w:szCs w:val="20"/>
          <w:color w:val="auto"/>
        </w:rPr>
      </w:pPr>
      <w:r>
        <w:rPr>
          <w:rFonts w:ascii="Arial" w:cs="Arial" w:eastAsia="Arial" w:hAnsi="Arial"/>
          <w:sz w:val="22"/>
          <w:szCs w:val="22"/>
          <w:color w:val="auto"/>
        </w:rPr>
        <w:t>Restated 2021</w:t>
      </w:r>
    </w:p>
    <w:p>
      <w:pPr>
        <w:ind w:left="1040"/>
        <w:spacing w:after="0" w:line="231" w:lineRule="auto"/>
        <w:rPr>
          <w:sz w:val="20"/>
          <w:szCs w:val="20"/>
          <w:color w:val="auto"/>
        </w:rPr>
      </w:pPr>
      <w:r>
        <w:rPr>
          <w:rFonts w:ascii="Arial" w:cs="Arial" w:eastAsia="Arial" w:hAnsi="Arial"/>
          <w:sz w:val="22"/>
          <w:szCs w:val="22"/>
          <w:color w:val="auto"/>
        </w:rPr>
        <w:t>Incentive Award</w:t>
      </w:r>
    </w:p>
    <w:p>
      <w:pPr>
        <w:ind w:left="1040"/>
        <w:spacing w:after="0"/>
        <w:rPr>
          <w:sz w:val="20"/>
          <w:szCs w:val="20"/>
          <w:color w:val="auto"/>
        </w:rPr>
      </w:pPr>
      <w:r>
        <w:rPr>
          <w:rFonts w:ascii="Arial" w:cs="Arial" w:eastAsia="Arial" w:hAnsi="Arial"/>
          <w:sz w:val="22"/>
          <w:szCs w:val="22"/>
          <w:color w:val="auto"/>
        </w:rPr>
        <w:t>Plan</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Shares acquired</w:t>
      </w:r>
    </w:p>
    <w:p>
      <w:pPr>
        <w:ind w:left="1040"/>
        <w:spacing w:after="0" w:line="238" w:lineRule="auto"/>
        <w:rPr>
          <w:sz w:val="20"/>
          <w:szCs w:val="20"/>
          <w:color w:val="auto"/>
        </w:rPr>
      </w:pPr>
      <w:r>
        <w:rPr>
          <w:rFonts w:ascii="Arial" w:cs="Arial" w:eastAsia="Arial" w:hAnsi="Arial"/>
          <w:sz w:val="22"/>
          <w:szCs w:val="22"/>
          <w:color w:val="auto"/>
        </w:rPr>
        <w:t>upon vesting of</w:t>
      </w:r>
    </w:p>
    <w:p>
      <w:pPr>
        <w:ind w:left="1040"/>
        <w:spacing w:after="0" w:line="230" w:lineRule="auto"/>
        <w:rPr>
          <w:sz w:val="20"/>
          <w:szCs w:val="20"/>
          <w:color w:val="auto"/>
        </w:rPr>
      </w:pPr>
      <w:r>
        <w:rPr>
          <w:rFonts w:ascii="Arial" w:cs="Arial" w:eastAsia="Arial" w:hAnsi="Arial"/>
          <w:sz w:val="22"/>
          <w:szCs w:val="22"/>
          <w:color w:val="auto"/>
        </w:rPr>
        <w:t>restricted stock</w:t>
      </w:r>
    </w:p>
    <w:p>
      <w:pPr>
        <w:ind w:left="1040"/>
        <w:spacing w:after="0" w:line="231" w:lineRule="auto"/>
        <w:rPr>
          <w:sz w:val="20"/>
          <w:szCs w:val="20"/>
          <w:color w:val="auto"/>
        </w:rPr>
      </w:pPr>
      <w:r>
        <w:rPr>
          <w:rFonts w:ascii="Arial" w:cs="Arial" w:eastAsia="Arial" w:hAnsi="Arial"/>
          <w:sz w:val="22"/>
          <w:szCs w:val="22"/>
          <w:color w:val="auto"/>
        </w:rPr>
        <w:t>units awarded</w:t>
      </w:r>
    </w:p>
    <w:p>
      <w:pPr>
        <w:ind w:left="1040"/>
        <w:spacing w:after="0" w:line="230" w:lineRule="auto"/>
        <w:rPr>
          <w:sz w:val="20"/>
          <w:szCs w:val="20"/>
          <w:color w:val="auto"/>
        </w:rPr>
      </w:pPr>
      <w:r>
        <w:rPr>
          <w:rFonts w:ascii="Arial" w:cs="Arial" w:eastAsia="Arial" w:hAnsi="Arial"/>
          <w:sz w:val="22"/>
          <w:szCs w:val="22"/>
          <w:color w:val="auto"/>
        </w:rPr>
        <w:t>under Issuers 2019</w:t>
      </w:r>
    </w:p>
    <w:p>
      <w:pPr>
        <w:ind w:left="1040"/>
        <w:spacing w:after="0" w:line="231" w:lineRule="auto"/>
        <w:rPr>
          <w:sz w:val="20"/>
          <w:szCs w:val="20"/>
          <w:color w:val="auto"/>
        </w:rPr>
      </w:pPr>
      <w:r>
        <w:rPr>
          <w:rFonts w:ascii="Arial" w:cs="Arial" w:eastAsia="Arial" w:hAnsi="Arial"/>
          <w:sz w:val="22"/>
          <w:szCs w:val="22"/>
          <w:color w:val="auto"/>
        </w:rPr>
        <w:t>Incentive Award</w:t>
      </w:r>
    </w:p>
    <w:p>
      <w:pPr>
        <w:spacing w:after="0"/>
        <w:tabs>
          <w:tab w:leader="none" w:pos="2740" w:val="left"/>
          <w:tab w:leader="none" w:pos="6980" w:val="left"/>
        </w:tabs>
        <w:rPr>
          <w:sz w:val="20"/>
          <w:szCs w:val="20"/>
          <w:color w:val="auto"/>
        </w:rPr>
      </w:pPr>
      <w:r>
        <w:rPr>
          <w:rFonts w:ascii="Arial" w:cs="Arial" w:eastAsia="Arial" w:hAnsi="Arial"/>
          <w:sz w:val="22"/>
          <w:szCs w:val="22"/>
          <w:color w:val="auto"/>
        </w:rPr>
        <w:t>11/01/2023 Plan;</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12931</w:t>
      </w:r>
      <w:r>
        <w:rPr>
          <w:sz w:val="20"/>
          <w:szCs w:val="20"/>
          <w:color w:val="auto"/>
        </w:rPr>
        <w:tab/>
      </w:r>
      <w:r>
        <w:rPr>
          <w:rFonts w:ascii="Arial" w:cs="Arial" w:eastAsia="Arial" w:hAnsi="Arial"/>
          <w:sz w:val="19"/>
          <w:szCs w:val="19"/>
          <w:color w:val="auto"/>
        </w:rPr>
        <w:t>04/01/2020 Services Rendered</w:t>
      </w:r>
    </w:p>
    <w:p>
      <w:pPr>
        <w:ind w:left="1040"/>
        <w:spacing w:after="0" w:line="231" w:lineRule="auto"/>
        <w:rPr>
          <w:sz w:val="20"/>
          <w:szCs w:val="20"/>
          <w:color w:val="auto"/>
        </w:rPr>
      </w:pPr>
      <w:r>
        <w:rPr>
          <w:rFonts w:ascii="Arial" w:cs="Arial" w:eastAsia="Arial" w:hAnsi="Arial"/>
          <w:sz w:val="22"/>
          <w:szCs w:val="22"/>
          <w:color w:val="auto"/>
        </w:rPr>
        <w:t>approximately</w:t>
      </w:r>
    </w:p>
    <w:p>
      <w:pPr>
        <w:ind w:left="1040"/>
        <w:spacing w:after="0" w:line="230" w:lineRule="auto"/>
        <w:rPr>
          <w:sz w:val="20"/>
          <w:szCs w:val="20"/>
          <w:color w:val="auto"/>
        </w:rPr>
      </w:pPr>
      <w:r>
        <w:rPr>
          <w:rFonts w:ascii="Arial" w:cs="Arial" w:eastAsia="Arial" w:hAnsi="Arial"/>
          <w:sz w:val="22"/>
          <w:szCs w:val="22"/>
          <w:color w:val="auto"/>
        </w:rPr>
        <w:t>8,668 shares will</w:t>
      </w:r>
    </w:p>
    <w:p>
      <w:pPr>
        <w:ind w:left="1040"/>
        <w:spacing w:after="0" w:line="231" w:lineRule="auto"/>
        <w:rPr>
          <w:sz w:val="20"/>
          <w:szCs w:val="20"/>
          <w:color w:val="auto"/>
        </w:rPr>
      </w:pPr>
      <w:r>
        <w:rPr>
          <w:rFonts w:ascii="Arial" w:cs="Arial" w:eastAsia="Arial" w:hAnsi="Arial"/>
          <w:sz w:val="22"/>
          <w:szCs w:val="22"/>
          <w:color w:val="auto"/>
        </w:rPr>
        <w:t>be converted into</w:t>
      </w:r>
    </w:p>
    <w:p>
      <w:pPr>
        <w:ind w:left="1040"/>
        <w:spacing w:after="0" w:line="231" w:lineRule="auto"/>
        <w:rPr>
          <w:sz w:val="20"/>
          <w:szCs w:val="20"/>
          <w:color w:val="auto"/>
        </w:rPr>
      </w:pPr>
      <w:r>
        <w:rPr>
          <w:rFonts w:ascii="Arial" w:cs="Arial" w:eastAsia="Arial" w:hAnsi="Arial"/>
          <w:sz w:val="22"/>
          <w:szCs w:val="22"/>
          <w:color w:val="auto"/>
        </w:rPr>
        <w:t>Class A common</w:t>
      </w:r>
    </w:p>
    <w:p>
      <w:pPr>
        <w:ind w:left="1040"/>
        <w:spacing w:after="0" w:line="230" w:lineRule="auto"/>
        <w:rPr>
          <w:sz w:val="20"/>
          <w:szCs w:val="20"/>
          <w:color w:val="auto"/>
        </w:rPr>
      </w:pPr>
      <w:r>
        <w:rPr>
          <w:rFonts w:ascii="Arial" w:cs="Arial" w:eastAsia="Arial" w:hAnsi="Arial"/>
          <w:sz w:val="22"/>
          <w:szCs w:val="22"/>
          <w:color w:val="auto"/>
        </w:rPr>
        <w:t>stock in order to</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be sold</w:t>
      </w:r>
    </w:p>
    <w:p>
      <w:pPr>
        <w:spacing w:after="0" w:line="26"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Shares acquired</w:t>
      </w:r>
    </w:p>
    <w:p>
      <w:pPr>
        <w:ind w:left="1040"/>
        <w:spacing w:after="0" w:line="238" w:lineRule="auto"/>
        <w:rPr>
          <w:sz w:val="20"/>
          <w:szCs w:val="20"/>
          <w:color w:val="auto"/>
        </w:rPr>
      </w:pPr>
      <w:r>
        <w:rPr>
          <w:rFonts w:ascii="Arial" w:cs="Arial" w:eastAsia="Arial" w:hAnsi="Arial"/>
          <w:sz w:val="22"/>
          <w:szCs w:val="22"/>
          <w:color w:val="auto"/>
        </w:rPr>
        <w:t>upon vesting of</w:t>
      </w:r>
    </w:p>
    <w:p>
      <w:pPr>
        <w:ind w:left="1040"/>
        <w:spacing w:after="0" w:line="230" w:lineRule="auto"/>
        <w:rPr>
          <w:sz w:val="20"/>
          <w:szCs w:val="20"/>
          <w:color w:val="auto"/>
        </w:rPr>
      </w:pPr>
      <w:r>
        <w:rPr>
          <w:rFonts w:ascii="Arial" w:cs="Arial" w:eastAsia="Arial" w:hAnsi="Arial"/>
          <w:sz w:val="22"/>
          <w:szCs w:val="22"/>
          <w:color w:val="auto"/>
        </w:rPr>
        <w:t>restricted stock</w:t>
      </w:r>
    </w:p>
    <w:p>
      <w:pPr>
        <w:ind w:left="1040"/>
        <w:spacing w:after="0" w:line="231" w:lineRule="auto"/>
        <w:rPr>
          <w:sz w:val="20"/>
          <w:szCs w:val="20"/>
          <w:color w:val="auto"/>
        </w:rPr>
      </w:pPr>
      <w:r>
        <w:rPr>
          <w:rFonts w:ascii="Arial" w:cs="Arial" w:eastAsia="Arial" w:hAnsi="Arial"/>
          <w:sz w:val="22"/>
          <w:szCs w:val="22"/>
          <w:color w:val="auto"/>
        </w:rPr>
        <w:t>units awarded</w:t>
      </w:r>
    </w:p>
    <w:p>
      <w:pPr>
        <w:ind w:left="1040"/>
        <w:spacing w:after="0" w:line="230" w:lineRule="auto"/>
        <w:rPr>
          <w:sz w:val="20"/>
          <w:szCs w:val="20"/>
          <w:color w:val="auto"/>
        </w:rPr>
      </w:pPr>
      <w:r>
        <w:rPr>
          <w:rFonts w:ascii="Arial" w:cs="Arial" w:eastAsia="Arial" w:hAnsi="Arial"/>
          <w:sz w:val="22"/>
          <w:szCs w:val="22"/>
          <w:color w:val="auto"/>
        </w:rPr>
        <w:t>under Issuers 2019</w:t>
      </w:r>
    </w:p>
    <w:p>
      <w:pPr>
        <w:ind w:left="1040"/>
        <w:spacing w:after="0" w:line="231" w:lineRule="auto"/>
        <w:rPr>
          <w:sz w:val="20"/>
          <w:szCs w:val="20"/>
          <w:color w:val="auto"/>
        </w:rPr>
      </w:pPr>
      <w:r>
        <w:rPr>
          <w:rFonts w:ascii="Arial" w:cs="Arial" w:eastAsia="Arial" w:hAnsi="Arial"/>
          <w:sz w:val="22"/>
          <w:szCs w:val="22"/>
          <w:color w:val="auto"/>
        </w:rPr>
        <w:t>Incentive Award</w:t>
      </w:r>
    </w:p>
    <w:p>
      <w:pPr>
        <w:spacing w:after="0"/>
        <w:tabs>
          <w:tab w:leader="none" w:pos="2740" w:val="left"/>
          <w:tab w:leader="none" w:pos="6980" w:val="left"/>
        </w:tabs>
        <w:rPr>
          <w:sz w:val="20"/>
          <w:szCs w:val="20"/>
          <w:color w:val="auto"/>
        </w:rPr>
      </w:pPr>
      <w:r>
        <w:rPr>
          <w:rFonts w:ascii="Arial" w:cs="Arial" w:eastAsia="Arial" w:hAnsi="Arial"/>
          <w:sz w:val="22"/>
          <w:szCs w:val="22"/>
          <w:color w:val="auto"/>
        </w:rPr>
        <w:t>11/01/2023 Plan;</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270"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Arial" w:cs="Arial" w:eastAsia="Arial" w:hAnsi="Arial"/>
          <w:sz w:val="22"/>
          <w:szCs w:val="22"/>
          <w:color w:val="auto"/>
        </w:rPr>
        <w:t xml:space="preserve">           3180</w:t>
      </w:r>
      <w:r>
        <w:rPr>
          <w:sz w:val="20"/>
          <w:szCs w:val="20"/>
          <w:color w:val="auto"/>
        </w:rPr>
        <w:tab/>
      </w:r>
      <w:r>
        <w:rPr>
          <w:rFonts w:ascii="Arial" w:cs="Arial" w:eastAsia="Arial" w:hAnsi="Arial"/>
          <w:sz w:val="19"/>
          <w:szCs w:val="19"/>
          <w:color w:val="auto"/>
        </w:rPr>
        <w:t>10/29/2021 Services Rendered</w:t>
      </w:r>
    </w:p>
    <w:p>
      <w:pPr>
        <w:ind w:left="1040"/>
        <w:spacing w:after="0" w:line="231" w:lineRule="auto"/>
        <w:rPr>
          <w:sz w:val="20"/>
          <w:szCs w:val="20"/>
          <w:color w:val="auto"/>
        </w:rPr>
      </w:pPr>
      <w:r>
        <w:rPr>
          <w:rFonts w:ascii="Arial" w:cs="Arial" w:eastAsia="Arial" w:hAnsi="Arial"/>
          <w:sz w:val="22"/>
          <w:szCs w:val="22"/>
          <w:color w:val="auto"/>
        </w:rPr>
        <w:t>approximately</w:t>
      </w:r>
    </w:p>
    <w:p>
      <w:pPr>
        <w:ind w:left="1040"/>
        <w:spacing w:after="0" w:line="230" w:lineRule="auto"/>
        <w:rPr>
          <w:sz w:val="20"/>
          <w:szCs w:val="20"/>
          <w:color w:val="auto"/>
        </w:rPr>
      </w:pPr>
      <w:r>
        <w:rPr>
          <w:rFonts w:ascii="Arial" w:cs="Arial" w:eastAsia="Arial" w:hAnsi="Arial"/>
          <w:sz w:val="22"/>
          <w:szCs w:val="22"/>
          <w:color w:val="auto"/>
        </w:rPr>
        <w:t>2,140 shares will</w:t>
      </w:r>
    </w:p>
    <w:p>
      <w:pPr>
        <w:ind w:left="1040"/>
        <w:spacing w:after="0" w:line="231" w:lineRule="auto"/>
        <w:rPr>
          <w:sz w:val="20"/>
          <w:szCs w:val="20"/>
          <w:color w:val="auto"/>
        </w:rPr>
      </w:pPr>
      <w:r>
        <w:rPr>
          <w:rFonts w:ascii="Arial" w:cs="Arial" w:eastAsia="Arial" w:hAnsi="Arial"/>
          <w:sz w:val="22"/>
          <w:szCs w:val="22"/>
          <w:color w:val="auto"/>
        </w:rPr>
        <w:t>be converted into</w:t>
      </w:r>
    </w:p>
    <w:p>
      <w:pPr>
        <w:ind w:left="1040"/>
        <w:spacing w:after="0" w:line="231" w:lineRule="auto"/>
        <w:rPr>
          <w:sz w:val="20"/>
          <w:szCs w:val="20"/>
          <w:color w:val="auto"/>
        </w:rPr>
      </w:pPr>
      <w:r>
        <w:rPr>
          <w:rFonts w:ascii="Arial" w:cs="Arial" w:eastAsia="Arial" w:hAnsi="Arial"/>
          <w:sz w:val="22"/>
          <w:szCs w:val="22"/>
          <w:color w:val="auto"/>
        </w:rPr>
        <w:t>Class A common</w:t>
      </w:r>
    </w:p>
    <w:p>
      <w:pPr>
        <w:ind w:left="1040"/>
        <w:spacing w:after="0" w:line="230" w:lineRule="auto"/>
        <w:rPr>
          <w:sz w:val="20"/>
          <w:szCs w:val="20"/>
          <w:color w:val="auto"/>
        </w:rPr>
      </w:pPr>
      <w:r>
        <w:rPr>
          <w:rFonts w:ascii="Arial" w:cs="Arial" w:eastAsia="Arial" w:hAnsi="Arial"/>
          <w:sz w:val="22"/>
          <w:szCs w:val="22"/>
          <w:color w:val="auto"/>
        </w:rPr>
        <w:t>stock in order to</w:t>
      </w:r>
    </w:p>
    <w:p>
      <w:pPr>
        <w:spacing w:after="0" w:line="1"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be sold</w:t>
      </w:r>
    </w:p>
    <w:p>
      <w:pPr>
        <w:spacing w:after="0" w:line="200" w:lineRule="exact"/>
        <w:rPr>
          <w:sz w:val="20"/>
          <w:szCs w:val="20"/>
          <w:color w:val="auto"/>
        </w:rPr>
      </w:pPr>
    </w:p>
    <w:p>
      <w:pPr>
        <w:sectPr>
          <w:pgSz w:w="11900" w:h="16901" w:orient="portrait"/>
          <w:cols w:equalWidth="0" w:num="2">
            <w:col w:w="1400" w:space="120"/>
            <w:col w:w="9720"/>
          </w:cols>
          <w:pgMar w:left="320" w:top="111" w:right="339" w:bottom="0" w:gutter="0" w:footer="0" w:header="0"/>
        </w:sectPr>
      </w:pPr>
    </w:p>
    <w:p>
      <w:pPr>
        <w:spacing w:after="0" w:line="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20" w:type="dxa"/>
            <w:vAlign w:val="bottom"/>
            <w:vMerge w:val="restart"/>
          </w:tcPr>
          <w:p>
            <w:pPr>
              <w:ind w:left="104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9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Jennifer Y. Hyman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1855</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3086.54</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Jennifer Y. Hyman</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900" w:type="dxa"/>
            <w:vAlign w:val="bottom"/>
          </w:tcPr>
          <w:p>
            <w:pPr>
              <w:spacing w:after="0" w:line="243" w:lineRule="exact"/>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08/02/2023 7531</w:t>
            </w:r>
          </w:p>
        </w:tc>
        <w:tc>
          <w:tcPr>
            <w:tcW w:w="1580" w:type="dxa"/>
            <w:vAlign w:val="bottom"/>
            <w:vMerge w:val="restart"/>
          </w:tcPr>
          <w:p>
            <w:pPr>
              <w:ind w:left="100"/>
              <w:spacing w:after="0"/>
              <w:rPr>
                <w:sz w:val="20"/>
                <w:szCs w:val="20"/>
                <w:color w:val="auto"/>
              </w:rPr>
            </w:pPr>
            <w:r>
              <w:rPr>
                <w:rFonts w:ascii="Arial" w:cs="Arial" w:eastAsia="Arial" w:hAnsi="Arial"/>
                <w:sz w:val="22"/>
                <w:szCs w:val="22"/>
                <w:color w:val="auto"/>
              </w:rPr>
              <w:t>12530.83</w:t>
            </w:r>
          </w:p>
        </w:tc>
        <w:tc>
          <w:tcPr>
            <w:tcW w:w="0" w:type="dxa"/>
            <w:vAlign w:val="bottom"/>
          </w:tcPr>
          <w:p>
            <w:pPr>
              <w:spacing w:after="0"/>
              <w:rPr>
                <w:sz w:val="1"/>
                <w:szCs w:val="1"/>
                <w:color w:val="auto"/>
              </w:rPr>
            </w:pPr>
          </w:p>
        </w:tc>
      </w:tr>
      <w:tr>
        <w:trPr>
          <w:trHeight w:val="153"/>
        </w:trPr>
        <w:tc>
          <w:tcPr>
            <w:tcW w:w="900" w:type="dxa"/>
            <w:vAlign w:val="bottom"/>
            <w:vMerge w:val="restart"/>
          </w:tcPr>
          <w:p>
            <w:pPr>
              <w:spacing w:after="0" w:line="243" w:lineRule="exact"/>
              <w:rPr>
                <w:sz w:val="20"/>
                <w:szCs w:val="20"/>
                <w:color w:val="auto"/>
              </w:rPr>
            </w:pPr>
            <w:r>
              <w:rPr>
                <w:rFonts w:ascii="Arial" w:cs="Arial" w:eastAsia="Arial" w:hAnsi="Arial"/>
                <w:sz w:val="22"/>
                <w:szCs w:val="22"/>
                <w:color w:val="auto"/>
                <w:w w:val="94"/>
              </w:rPr>
              <w:t>Suite 900</w:t>
            </w:r>
          </w:p>
        </w:tc>
        <w:tc>
          <w:tcPr>
            <w:tcW w:w="480" w:type="dxa"/>
            <w:vAlign w:val="bottom"/>
          </w:tcPr>
          <w:p>
            <w:pPr>
              <w:spacing w:after="0"/>
              <w:rPr>
                <w:sz w:val="13"/>
                <w:szCs w:val="13"/>
                <w:color w:val="auto"/>
              </w:rPr>
            </w:pPr>
          </w:p>
        </w:tc>
        <w:tc>
          <w:tcPr>
            <w:tcW w:w="196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90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196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Brooklyn</w:t>
            </w:r>
          </w:p>
        </w:tc>
        <w:tc>
          <w:tcPr>
            <w:tcW w:w="480" w:type="dxa"/>
            <w:vAlign w:val="bottom"/>
          </w:tcPr>
          <w:p>
            <w:pPr>
              <w:ind w:left="80"/>
              <w:spacing w:after="0"/>
              <w:rPr>
                <w:sz w:val="20"/>
                <w:szCs w:val="20"/>
                <w:color w:val="auto"/>
              </w:rPr>
            </w:pPr>
            <w:r>
              <w:rPr>
                <w:rFonts w:ascii="Arial" w:cs="Arial" w:eastAsia="Arial" w:hAnsi="Arial"/>
                <w:sz w:val="22"/>
                <w:szCs w:val="22"/>
                <w:color w:val="auto"/>
              </w:rPr>
              <w:t>NY</w:t>
            </w:r>
          </w:p>
        </w:tc>
        <w:tc>
          <w:tcPr>
            <w:tcW w:w="1960" w:type="dxa"/>
            <w:vAlign w:val="bottom"/>
          </w:tcPr>
          <w:p>
            <w:pPr>
              <w:jc w:val="right"/>
              <w:ind w:right="1232"/>
              <w:spacing w:after="0"/>
              <w:rPr>
                <w:sz w:val="20"/>
                <w:szCs w:val="20"/>
                <w:color w:val="auto"/>
              </w:rPr>
            </w:pPr>
            <w:r>
              <w:rPr>
                <w:rFonts w:ascii="Arial" w:cs="Arial" w:eastAsia="Arial" w:hAnsi="Arial"/>
                <w:sz w:val="22"/>
                <w:szCs w:val="22"/>
                <w:color w:val="auto"/>
                <w:w w:val="98"/>
              </w:rPr>
              <w:t>11201</w:t>
            </w: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40" w:type="dxa"/>
            <w:vAlign w:val="bottom"/>
            <w:gridSpan w:val="3"/>
          </w:tcPr>
          <w:p>
            <w:pPr>
              <w:spacing w:after="0"/>
              <w:rPr>
                <w:sz w:val="20"/>
                <w:szCs w:val="20"/>
                <w:color w:val="auto"/>
              </w:rPr>
            </w:pPr>
            <w:r>
              <w:rPr>
                <w:rFonts w:ascii="Arial" w:cs="Arial" w:eastAsia="Arial" w:hAnsi="Arial"/>
                <w:sz w:val="22"/>
                <w:szCs w:val="22"/>
                <w:color w:val="auto"/>
              </w:rPr>
              <w:t>Jennifer Y. Hyman</w:t>
            </w:r>
          </w:p>
        </w:tc>
        <w:tc>
          <w:tcPr>
            <w:tcW w:w="3520" w:type="dxa"/>
            <w:vAlign w:val="bottom"/>
          </w:tcPr>
          <w:p>
            <w:pPr>
              <w:ind w:left="280"/>
              <w:spacing w:after="0"/>
              <w:rPr>
                <w:sz w:val="20"/>
                <w:szCs w:val="20"/>
                <w:color w:val="auto"/>
              </w:rPr>
            </w:pPr>
            <w:r>
              <w:rPr>
                <w:rFonts w:ascii="Arial" w:cs="Arial" w:eastAsia="Arial" w:hAnsi="Arial"/>
                <w:sz w:val="22"/>
                <w:szCs w:val="22"/>
                <w:color w:val="auto"/>
              </w:rPr>
              <w:t>Class A Common Stock</w:t>
            </w:r>
          </w:p>
        </w:tc>
        <w:tc>
          <w:tcPr>
            <w:tcW w:w="2680" w:type="dxa"/>
            <w:vAlign w:val="bottom"/>
            <w:gridSpan w:val="2"/>
          </w:tcPr>
          <w:p>
            <w:pPr>
              <w:ind w:left="400"/>
              <w:spacing w:after="0"/>
              <w:rPr>
                <w:sz w:val="20"/>
                <w:szCs w:val="20"/>
                <w:color w:val="auto"/>
              </w:rPr>
            </w:pPr>
            <w:r>
              <w:rPr>
                <w:rFonts w:ascii="Arial" w:cs="Arial" w:eastAsia="Arial" w:hAnsi="Arial"/>
                <w:sz w:val="22"/>
                <w:szCs w:val="22"/>
                <w:color w:val="auto"/>
              </w:rPr>
              <w:t>09/18/2023 57006</w:t>
            </w:r>
          </w:p>
        </w:tc>
        <w:tc>
          <w:tcPr>
            <w:tcW w:w="1580" w:type="dxa"/>
            <w:vAlign w:val="bottom"/>
          </w:tcPr>
          <w:p>
            <w:pPr>
              <w:ind w:left="100"/>
              <w:spacing w:after="0"/>
              <w:rPr>
                <w:sz w:val="20"/>
                <w:szCs w:val="20"/>
                <w:color w:val="auto"/>
              </w:rPr>
            </w:pPr>
            <w:r>
              <w:rPr>
                <w:rFonts w:ascii="Arial" w:cs="Arial" w:eastAsia="Arial" w:hAnsi="Arial"/>
                <w:sz w:val="22"/>
                <w:szCs w:val="22"/>
                <w:color w:val="auto"/>
              </w:rPr>
              <w:t>46961.54</w:t>
            </w:r>
          </w:p>
        </w:tc>
        <w:tc>
          <w:tcPr>
            <w:tcW w:w="0" w:type="dxa"/>
            <w:vAlign w:val="bottom"/>
          </w:tcPr>
          <w:p>
            <w:pPr>
              <w:spacing w:after="0"/>
              <w:rPr>
                <w:sz w:val="1"/>
                <w:szCs w:val="1"/>
                <w:color w:val="auto"/>
              </w:rPr>
            </w:pPr>
          </w:p>
        </w:tc>
      </w:tr>
      <w:tr>
        <w:trPr>
          <w:trHeight w:val="274"/>
        </w:trPr>
        <w:tc>
          <w:tcPr>
            <w:tcW w:w="900" w:type="dxa"/>
            <w:vAlign w:val="bottom"/>
          </w:tcPr>
          <w:p>
            <w:pPr>
              <w:spacing w:after="0"/>
              <w:rPr>
                <w:sz w:val="20"/>
                <w:szCs w:val="20"/>
                <w:color w:val="auto"/>
              </w:rPr>
            </w:pPr>
            <w:r>
              <w:rPr>
                <w:rFonts w:ascii="Arial" w:cs="Arial" w:eastAsia="Arial" w:hAnsi="Arial"/>
                <w:sz w:val="22"/>
                <w:szCs w:val="22"/>
                <w:color w:val="auto"/>
                <w:w w:val="95"/>
              </w:rPr>
              <w:t>10 Jay St</w:t>
            </w:r>
          </w:p>
        </w:tc>
        <w:tc>
          <w:tcPr>
            <w:tcW w:w="4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901" w:orient="portrait"/>
          <w:cols w:equalWidth="0" w:num="1">
            <w:col w:w="11240"/>
          </w:cols>
          <w:pgMar w:left="320" w:top="111" w:right="339" w:bottom="0"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Suite 900</w:t>
      </w:r>
    </w:p>
    <w:p>
      <w:pPr>
        <w:spacing w:after="0" w:line="9" w:lineRule="exact"/>
        <w:rPr>
          <w:sz w:val="20"/>
          <w:szCs w:val="20"/>
          <w:color w:val="auto"/>
        </w:rPr>
      </w:pPr>
    </w:p>
    <w:p>
      <w:pPr>
        <w:ind w:left="40"/>
        <w:spacing w:after="0"/>
        <w:rPr>
          <w:sz w:val="20"/>
          <w:szCs w:val="20"/>
          <w:color w:val="auto"/>
        </w:rPr>
      </w:pPr>
      <w:r>
        <w:rPr>
          <w:rFonts w:ascii="Arial" w:cs="Arial" w:eastAsia="Arial" w:hAnsi="Arial"/>
          <w:sz w:val="22"/>
          <w:szCs w:val="22"/>
          <w:color w:val="auto"/>
        </w:rPr>
        <w:t>Brooklyn  NY  11201</w:t>
      </w:r>
    </w:p>
    <w:p>
      <w:pPr>
        <w:spacing w:after="0" w:line="2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00"/>
          </w:cols>
          <w:pgMar w:left="320" w:top="118" w:right="37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9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400"/>
        <w:spacing w:after="0" w:line="296" w:lineRule="auto"/>
        <w:rPr>
          <w:sz w:val="20"/>
          <w:szCs w:val="20"/>
          <w:color w:val="auto"/>
        </w:rPr>
      </w:pPr>
      <w:r>
        <w:rPr>
          <w:rFonts w:ascii="Arial" w:cs="Arial" w:eastAsia="Arial" w:hAnsi="Arial"/>
          <w:sz w:val="19"/>
          <w:szCs w:val="19"/>
          <w:color w:val="auto"/>
        </w:rPr>
        <w:t>Shares to be sold to cover withholding taxes upon vesting of restricted stock unit awards pursuant to standing Rule 10b5-1 sell to cover instruction.</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11/01/2023</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12/22/2021</w:t>
      </w:r>
    </w:p>
    <w:p>
      <w:pPr>
        <w:spacing w:after="0" w:line="618" w:lineRule="exact"/>
        <w:rPr>
          <w:sz w:val="20"/>
          <w:szCs w:val="20"/>
          <w:color w:val="auto"/>
        </w:rPr>
      </w:pPr>
    </w:p>
    <w:p>
      <w:pPr>
        <w:sectPr>
          <w:pgSz w:w="11900" w:h="16838" w:orient="portrait"/>
          <w:cols w:equalWidth="0" w:num="2">
            <w:col w:w="3380" w:space="440"/>
            <w:col w:w="7380"/>
          </w:cols>
          <w:pgMar w:left="320" w:top="118" w:right="379" w:bottom="1440" w:gutter="0" w:footer="0" w:header="0"/>
          <w:type w:val="continuous"/>
        </w:sectPr>
      </w:pPr>
    </w:p>
    <w:p>
      <w:pPr>
        <w:spacing w:after="0" w:line="1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8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/s/ Jennifer Y. Hyman</w:t>
      </w:r>
    </w:p>
    <w:p>
      <w:pPr>
        <w:spacing w:after="0" w:line="44"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2023-11-01T08:08:12Z</dcterms:created>
  <dcterms:modified xsi:type="dcterms:W3CDTF">2023-11-01T08:08:12Z</dcterms:modified>
</cp:coreProperties>
</file>