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28, 2024</w:t>
      </w:r>
    </w:p>
    <w:p>
      <w:pPr>
        <w:spacing w:after="0" w:line="36" w:lineRule="exact"/>
        <w:rPr>
          <w:sz w:val="24"/>
          <w:szCs w:val="24"/>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90170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81280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99060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57" w:lineRule="exact"/>
        <w:rPr>
          <w:sz w:val="24"/>
          <w:szCs w:val="24"/>
          <w:color w:val="auto"/>
        </w:rPr>
      </w:pPr>
    </w:p>
    <w:tbl>
      <w:tblPr>
        <w:tblLayout w:type="fixed"/>
        <w:tblInd w:w="1260" w:type="dxa"/>
        <w:tblCellMar>
          <w:top w:w="0" w:type="dxa"/>
          <w:left w:w="0" w:type="dxa"/>
          <w:bottom w:w="0" w:type="dxa"/>
          <w:right w:w="0" w:type="dxa"/>
        </w:tblCellMar>
      </w:tblPr>
      <w:tr>
        <w:trPr>
          <w:trHeight w:val="228"/>
        </w:trPr>
        <w:tc>
          <w:tcPr>
            <w:tcW w:w="3740" w:type="dxa"/>
            <w:vAlign w:val="bottom"/>
          </w:tcPr>
          <w:p>
            <w:pPr>
              <w:jc w:val="center"/>
              <w:ind w:right="139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200" w:type="dxa"/>
            <w:vAlign w:val="bottom"/>
          </w:tcPr>
          <w:p>
            <w:pPr>
              <w:jc w:val="center"/>
              <w:ind w:left="1414"/>
              <w:spacing w:after="0"/>
              <w:rPr>
                <w:sz w:val="20"/>
                <w:szCs w:val="20"/>
                <w:color w:val="auto"/>
              </w:rPr>
            </w:pPr>
            <w:r>
              <w:rPr>
                <w:rFonts w:ascii="Times New Roman" w:cs="Times New Roman" w:eastAsia="Times New Roman" w:hAnsi="Times New Roman"/>
                <w:sz w:val="17"/>
                <w:szCs w:val="17"/>
                <w:b w:val="1"/>
                <w:bCs w:val="1"/>
                <w:color w:val="auto"/>
                <w:w w:val="99"/>
              </w:rPr>
              <w:t>80-0376379</w:t>
            </w:r>
          </w:p>
        </w:tc>
      </w:tr>
      <w:tr>
        <w:trPr>
          <w:trHeight w:val="285"/>
        </w:trPr>
        <w:tc>
          <w:tcPr>
            <w:tcW w:w="3740" w:type="dxa"/>
            <w:vAlign w:val="bottom"/>
          </w:tcPr>
          <w:p>
            <w:pPr>
              <w:jc w:val="center"/>
              <w:ind w:right="1454"/>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200" w:type="dxa"/>
            <w:vAlign w:val="bottom"/>
          </w:tcPr>
          <w:p>
            <w:pPr>
              <w:jc w:val="center"/>
              <w:ind w:left="1374"/>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8"/>
        </w:trPr>
        <w:tc>
          <w:tcPr>
            <w:tcW w:w="3740" w:type="dxa"/>
            <w:vAlign w:val="bottom"/>
          </w:tcPr>
          <w:p>
            <w:pPr>
              <w:jc w:val="center"/>
              <w:ind w:right="1394"/>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200" w:type="dxa"/>
            <w:vAlign w:val="bottom"/>
          </w:tcPr>
          <w:p>
            <w:pPr>
              <w:jc w:val="center"/>
              <w:ind w:left="1414"/>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r>
    </w:tbl>
    <w:p>
      <w:pPr>
        <w:spacing w:after="0" w:line="6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10 Jay Street</w:t>
      </w:r>
    </w:p>
    <w:p>
      <w:pPr>
        <w:spacing w:after="0" w:line="2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Brooklyn, New York 11201</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(212) 524-6860</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Jennifer Y. Hyman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Co-Founder, Chief Executive Officer and Chair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Rent the Runway,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 Jay Street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Brooklyn, New York 11201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524-6860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agent for service)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color w:val="auto"/>
        </w:rPr>
        <w:t> </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Marc D. Jaffe, Esq.</w:t>
      </w:r>
    </w:p>
    <w:p>
      <w:pPr>
        <w:spacing w:after="0" w:line="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Jenna B. Cooper, Esq.</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Latham &amp; Watkins LLP</w:t>
      </w:r>
    </w:p>
    <w:p>
      <w:pPr>
        <w:spacing w:after="0" w:line="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1271 Avenue of the Americas</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New York, NY 10020</w:t>
      </w:r>
    </w:p>
    <w:p>
      <w:pPr>
        <w:spacing w:after="0" w:line="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(212) 906-1200</w:t>
      </w:r>
    </w:p>
    <w:p>
      <w:pPr>
        <w:spacing w:after="0" w:line="32" w:lineRule="exact"/>
        <w:rPr>
          <w:sz w:val="24"/>
          <w:szCs w:val="24"/>
          <w:color w:val="auto"/>
        </w:rPr>
      </w:pPr>
    </w:p>
    <w:p>
      <w:pPr>
        <w:jc w:val="both"/>
        <w:ind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of this registration statement.</w:t>
      </w:r>
    </w:p>
    <w:p>
      <w:pPr>
        <w:spacing w:after="0" w:line="2" w:lineRule="exact"/>
        <w:rPr>
          <w:sz w:val="24"/>
          <w:szCs w:val="24"/>
          <w:color w:val="auto"/>
        </w:rPr>
      </w:pPr>
    </w:p>
    <w:p>
      <w:pPr>
        <w:jc w:val="both"/>
        <w:ind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 w:lineRule="exact"/>
        <w:rPr>
          <w:sz w:val="24"/>
          <w:szCs w:val="24"/>
          <w:color w:val="auto"/>
        </w:rPr>
      </w:pPr>
    </w:p>
    <w:p>
      <w:pPr>
        <w:jc w:val="both"/>
        <w:ind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 w:lineRule="exact"/>
        <w:rPr>
          <w:sz w:val="24"/>
          <w:szCs w:val="24"/>
          <w:color w:val="auto"/>
        </w:rPr>
      </w:pPr>
    </w:p>
    <w:p>
      <w:pPr>
        <w:jc w:val="both"/>
        <w:ind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7"/>
          <w:szCs w:val="17"/>
          <w:color w:val="auto"/>
        </w:rPr>
        <w:t>☐</w:t>
      </w:r>
    </w:p>
    <w:p>
      <w:pPr>
        <w:spacing w:after="0" w:line="2" w:lineRule="exact"/>
        <w:rPr>
          <w:sz w:val="24"/>
          <w:szCs w:val="24"/>
          <w:color w:val="auto"/>
        </w:rPr>
      </w:pPr>
    </w:p>
    <w:p>
      <w:pPr>
        <w:jc w:val="both"/>
        <w:ind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38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8" w:lineRule="exact"/>
        <w:rPr>
          <w:sz w:val="24"/>
          <w:szCs w:val="24"/>
          <w:color w:val="auto"/>
        </w:rPr>
      </w:pPr>
    </w:p>
    <w:p>
      <w:pPr>
        <w:jc w:val="both"/>
        <w:ind w:firstLine="36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5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320040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131445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191770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317" w:gutter="0" w:footer="0" w:header="0"/>
        </w:sectPr>
      </w:pPr>
    </w:p>
    <w:bookmarkStart w:id="1" w:name="page2"/>
    <w:bookmarkEnd w:id="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5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 dated May 28, 2024.</w:t>
      </w: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182880</wp:posOffset>
            </wp:positionV>
            <wp:extent cx="796925" cy="1089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692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3"/>
          <w:szCs w:val="23"/>
          <w:b w:val="1"/>
          <w:bCs w:val="1"/>
          <w:color w:val="auto"/>
        </w:rPr>
        <w:t>RENT THE RUNWAY, INC.</w:t>
      </w:r>
    </w:p>
    <w:p>
      <w:pPr>
        <w:spacing w:after="0" w:line="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3"/>
          <w:szCs w:val="23"/>
          <w:b w:val="1"/>
          <w:bCs w:val="1"/>
          <w:color w:val="auto"/>
        </w:rPr>
        <w:t> </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3"/>
          <w:szCs w:val="23"/>
          <w:b w:val="1"/>
          <w:bCs w:val="1"/>
          <w:color w:val="auto"/>
        </w:rPr>
        <w:t>$40,000,000</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3"/>
          <w:szCs w:val="23"/>
          <w:b w:val="1"/>
          <w:bCs w:val="1"/>
          <w:color w:val="auto"/>
        </w:rPr>
        <w:t> </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3"/>
          <w:szCs w:val="23"/>
          <w:b w:val="1"/>
          <w:bCs w:val="1"/>
          <w:color w:val="auto"/>
        </w:rPr>
        <w:t>Preferred Stock</w:t>
      </w:r>
    </w:p>
    <w:p>
      <w:pPr>
        <w:spacing w:after="0" w:line="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3"/>
          <w:szCs w:val="23"/>
          <w:b w:val="1"/>
          <w:bCs w:val="1"/>
          <w:color w:val="auto"/>
        </w:rPr>
        <w:t>Purchase Contracts</w:t>
      </w:r>
    </w:p>
    <w:p>
      <w:pPr>
        <w:spacing w:after="0" w:line="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3"/>
          <w:szCs w:val="23"/>
          <w:b w:val="1"/>
          <w:bCs w:val="1"/>
          <w:color w:val="auto"/>
        </w:rPr>
        <w:t>Units</w:t>
      </w:r>
    </w:p>
    <w:p>
      <w:pPr>
        <w:spacing w:after="0" w:line="101" w:lineRule="exact"/>
        <w:rPr>
          <w:sz w:val="20"/>
          <w:szCs w:val="20"/>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$40,000,000 in the aggregate of the securities identified above from time to time in one or more offerings. This prospectus provides you with a general description of the securities.</w:t>
      </w:r>
    </w:p>
    <w:p>
      <w:pPr>
        <w:spacing w:after="0" w:line="54" w:lineRule="exact"/>
        <w:rPr>
          <w:sz w:val="20"/>
          <w:szCs w:val="20"/>
          <w:color w:val="auto"/>
        </w:rPr>
      </w:pPr>
    </w:p>
    <w:p>
      <w:pPr>
        <w:jc w:val="both"/>
        <w:ind w:left="400" w:right="419" w:firstLine="360"/>
        <w:spacing w:after="0" w:line="261"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72" w:lineRule="exact"/>
        <w:rPr>
          <w:sz w:val="20"/>
          <w:szCs w:val="20"/>
          <w:color w:val="auto"/>
        </w:rPr>
      </w:pPr>
    </w:p>
    <w:p>
      <w:pPr>
        <w:jc w:val="both"/>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80" w:lineRule="exact"/>
        <w:rPr>
          <w:sz w:val="20"/>
          <w:szCs w:val="20"/>
          <w:color w:val="auto"/>
        </w:rPr>
      </w:pPr>
    </w:p>
    <w:p>
      <w:pPr>
        <w:jc w:val="both"/>
        <w:ind w:left="4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72"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“RENT.” On May 24, 2024, the last reported sale price of our Class A common stock on The Nasdaq Global Market was $29.19 per share.</w:t>
      </w:r>
    </w:p>
    <w:p>
      <w:pPr>
        <w:spacing w:after="0" w:line="64" w:lineRule="exact"/>
        <w:rPr>
          <w:sz w:val="20"/>
          <w:szCs w:val="20"/>
          <w:color w:val="auto"/>
        </w:rPr>
      </w:pPr>
    </w:p>
    <w:p>
      <w:pPr>
        <w:jc w:val="both"/>
        <w:ind w:left="4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9019"/>
          </w:cols>
          <w:pgMar w:left="1440" w:top="263" w:right="1440" w:bottom="5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546"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4"/>
        </w:trPr>
        <w:tc>
          <w:tcPr>
            <w:tcW w:w="13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780" w:type="dxa"/>
            <w:vAlign w:val="bottom"/>
            <w:tcBorders>
              <w:top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 INCORPORATION BY REFERENCE</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1780" w:type="dxa"/>
            <w:vAlign w:val="bottom"/>
            <w:tcBorders>
              <w:top w:val="single" w:sz="8" w:color="0000EE"/>
            </w:tcBorders>
            <w:shd w:val="clear" w:color="auto" w:fill="CCEEFF"/>
          </w:tcPr>
          <w:p>
            <w:pPr>
              <w:spacing w:after="0"/>
              <w:rPr>
                <w:sz w:val="6"/>
                <w:szCs w:val="6"/>
                <w:color w:val="auto"/>
              </w:rPr>
            </w:pPr>
          </w:p>
        </w:tc>
        <w:tc>
          <w:tcPr>
            <w:tcW w:w="1400" w:type="dxa"/>
            <w:vAlign w:val="bottom"/>
            <w:tcBorders>
              <w:top w:val="single" w:sz="8" w:color="0000EE"/>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14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PURCHASE CONTRACTS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GLOBAL SECURITIES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760" w:type="dxa"/>
            <w:vAlign w:val="bottom"/>
            <w:tcBorders>
              <w:top w:val="single" w:sz="8" w:color="0000EE"/>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2"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$40,000,000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PROSPECTUS MAY NOT BE USED TO OFFER AND SELL SECURITIES UNLESS IT IS ACCOMPANIED BY A PROSPECTUS SUPPLEMENT.</w:t>
      </w:r>
    </w:p>
    <w:p>
      <w:pPr>
        <w:spacing w:after="0" w:line="5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When we refer to “Rent the Runway,” “RTR,” “we,” “our,” “us” and the “Company” in this prospectus, we mean Rent the Runway, Inc. and its consolidated subsidiaries, unless otherwise specified. When we refer to “you,” we mean the potential holders of the applicable series of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include, but are not limited to statements regarding our future results of operations and financial position, industry and business trends, share-based compensation, business strategy and initiatives, including rental product depth strategy, promotional and marketing strategy and onboarding initiatives, sustainability initiatives, business plans, impacts from our September 2022 and January 2024 restructuring plans and other cost savings initiatives, anticipated cost savings from our 2023 transportation deal with a major national carrier, anticipated future expenditures, product acquisition expectations, compliance with Nasdaq continued listing requirements, impacts from our five-item base subscription offering, anticipated expenditures and compliance with our debt covenants, market growth and our objectives for future operations.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most recent Annual Report on Form 10-K for the fiscal year ended January 31, 2024, which are incorporated herein by reference.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this prospectus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prospectus. Except as required by applicable law, we do not plan to publicly update or revise any forward-looking statements contained in this prospectus, whether as a result of any new information, future events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web site address is www.renttherunway.com. The information on our web site, however, is not, and should not be deemed to be, a part of this prospectus.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ind w:left="1000" w:right="319" w:hanging="348"/>
        <w:spacing w:after="0" w:line="258" w:lineRule="auto"/>
        <w:tabs>
          <w:tab w:leader="none" w:pos="100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Our Annual Report on Form 10-K for the year ended January 31, 2024, filed with the SEC on </w:t>
        </w:r>
        <w:r>
          <w:rPr>
            <w:rFonts w:ascii="Times New Roman" w:cs="Times New Roman" w:eastAsia="Times New Roman" w:hAnsi="Times New Roman"/>
            <w:sz w:val="18"/>
            <w:szCs w:val="18"/>
            <w:u w:val="single" w:color="auto"/>
            <w:color w:val="0000EE"/>
          </w:rPr>
          <w:t>April 11,</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ind w:left="1000" w:right="319" w:hanging="348"/>
        <w:spacing w:after="0" w:line="263"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21">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w:t>
      </w: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22">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59"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the registration statement on Form 8-A12B, filed with the SEC on October 22, 2021, as updated in </w:t>
      </w:r>
      <w:hyperlink r:id="rId25">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April 11, 2024 and any amendment or report filed with the SEC for the purpose of updating the description.</w:t>
      </w:r>
    </w:p>
    <w:p>
      <w:pPr>
        <w:spacing w:after="0" w:line="74" w:lineRule="exact"/>
        <w:rPr>
          <w:rFonts w:ascii="Times New Roman" w:cs="Times New Roman" w:eastAsia="Times New Roman" w:hAnsi="Times New Roman"/>
          <w:sz w:val="18"/>
          <w:szCs w:val="18"/>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9" w:lineRule="exact"/>
        <w:rPr>
          <w:rFonts w:ascii="Times New Roman" w:cs="Times New Roman" w:eastAsia="Times New Roman" w:hAnsi="Times New Roman"/>
          <w:sz w:val="18"/>
          <w:szCs w:val="18"/>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524-6860</w:t>
      </w:r>
    </w:p>
    <w:p>
      <w:pPr>
        <w:spacing w:after="0" w:line="99" w:lineRule="exact"/>
        <w:rPr>
          <w:rFonts w:ascii="Times New Roman" w:cs="Times New Roman" w:eastAsia="Times New Roman" w:hAnsi="Times New Roman"/>
          <w:sz w:val="18"/>
          <w:szCs w:val="18"/>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and largest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and our telephone number is (212) 524-6860.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Below is a summary of certain factors that make an investment in our securities speculative or risky. Importantly, this summary does not address all of the risks that we face. Additional discussion of the risks summarized below, as well as other risks that we face, can be found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79" w:lineRule="exact"/>
        <w:rPr>
          <w:sz w:val="20"/>
          <w:szCs w:val="20"/>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fashion industry is highly competitive and rapidly changing, and we may not be able to compete effectively.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consumer discretionary spending and have been, and may in the future be, adversely affected by economic downturns and other macroeconomic conditions or trends.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customers, our business, financial condition, and results of operations would be harmed.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accurately forecast customer demand or trends, manage our products effectively and plan for future expenses, our operating results could be adversely affected.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restructuring of our operations, which could adversely affect our financial condition, results of operations, cash flows, or business reputation.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large number of U.S. and non-U.S. laws and regulations, many of which are evolving.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experience and expertise of our Co-Founder and Chief Executive Officer, senior management team, key technical and strategic employees and hourly personnel.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 impact the results of our operations and subject us to liabilities that adversely affect our business, operations, and financial performance.</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brand partners from whom our products are sourced or co-manufactured.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Nasdaq Global Market’s continued listing requirements and other Nasdaq rules could adversely affect the price of our Class A common stock and make it more difficult for us to sell securities in a future financing or for you to sell our Class A common stock.</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investors may be unable to sell their shares at or above the price they purchased them.</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had, and future COVID-19 outbreaks may in the future have, a material adverse impact on our business. Other future pandemics or public health crises may have a similar adverse impact on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Twelfth Amended and Restated Certificate of Incorporation (as further amended by the Certificate of Amendment which is incorporated by reference as Exhibit 3.2 to our Current Report on Form 10-K filed with the SEC on April 11, 2024, our “Amended Charter”) and our Amended and Restated Bylaws (“Amended Bylaws”), which has been publicly filed with the SEC. See “Where You Can Find More Information; Incorporation by Reference.”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Class A common stock, par value $0.001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Class B common stock, par value $0.001 per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stockholders. The holders of our Class A common stock do not have cumulative voting rights in the election of directors.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vote together with holders of our Class B common stock as a single class on all matters (including the election of directors) submitted to a vote of our stockholders, except as otherwise required by applicable law or our Amended Charter.</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There are no redemption or sinking fund provisions applicable to our Class A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20 votes per share on all matters submitted to a vote of stockholders. The holders of shares of our Class B common stock do not have cumulative voting rights in the election of directors.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fully paid and nonassessable share of Class A common stock. Except as otherwise provided in our Amended Charter, each share of Class B common stock automatically converts into one fully paid and nonassessable share of Class A common stock upon certain sales or transfers as described in our Amended Charter. In addition, each share of Class B common stock converts automatically into one share of Class A common stock upon the date that is earlier of (i) the transfer of such share to a person that is not in the same Permitted Ownership Group (as defined in our Amended Charter) as such Permitted Class B Holder (as defined in our Amended Charter), (ii) November 1, 2028 or</w:t>
      </w:r>
    </w:p>
    <w:p>
      <w:pPr>
        <w:spacing w:after="0" w:line="3" w:lineRule="exact"/>
        <w:rPr>
          <w:sz w:val="20"/>
          <w:szCs w:val="20"/>
          <w:color w:val="auto"/>
        </w:rPr>
      </w:pPr>
    </w:p>
    <w:p>
      <w:pPr>
        <w:jc w:val="both"/>
        <w:ind w:left="300" w:right="299" w:hanging="8"/>
        <w:spacing w:after="0" w:line="252"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shares held by any person in Jennifer Y. Hyman and Jennifer Fleiss (each, a “Co-Founder” and together, the “Co-Founders”)’s Permitted Ownership Group, (A) 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vote together with holders of our Class A common stock as a single class on all matters (including the election of directors) submitted to a vote of our stockholders, except as otherwise required by applicable law or our Amended Charter.</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Holders of our Class B common stock do not have preemptive, subscription or redemption rights. There are no redemption or sinking fund provisions applicable to our Class B common stock.</w:t>
      </w:r>
    </w:p>
    <w:p>
      <w:pPr>
        <w:spacing w:after="0" w:line="5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The holders of our Class A and Class B common stock are entitled to receive dividends out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legally available if our board of directors, in its discretion, determines to issue dividends and then only at the times and in the amounts that our board of directors may determine. The time and amount of dividends 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8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to Receive Liquidation Distributions. </w:t>
      </w:r>
      <w:r>
        <w:rPr>
          <w:rFonts w:ascii="Times New Roman" w:cs="Times New Roman" w:eastAsia="Times New Roman" w:hAnsi="Times New Roman"/>
          <w:sz w:val="18"/>
          <w:szCs w:val="18"/>
          <w:color w:val="auto"/>
        </w:rPr>
        <w:t>If we become subject to a liquidation, dissolution, or winding-up,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legally 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Treatment of Common Stock in Reclassifications and Mergers. </w:t>
      </w:r>
      <w:r>
        <w:rPr>
          <w:rFonts w:ascii="Times New Roman" w:cs="Times New Roman" w:eastAsia="Times New Roman" w:hAnsi="Times New Roman"/>
          <w:sz w:val="18"/>
          <w:szCs w:val="18"/>
          <w:color w:val="auto"/>
        </w:rPr>
        <w:t>The affirmative vote of the holders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eighth amended and restated investors’ rights agreement, as amended (the “Investors’ Rights Agreement”) to which we are a party provides certain holders of our capital stock registration rights as set forth below. The registration of shares of our capital stock by the exercise of these registration rights described below enables the holders to sell these shares without restriction under the Securities Act.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demand, piggyback and Form S-3 registration rights described below expires, with respect to any particular stockholder, upon the earliest of (i) such time that such stockholder (a) owns less than 1% of the common stock on an as-converted basis and (b) can sell all of its shares entitled to registration rights under Rule 144 of the Securities Act and (ii) a liquidation event.</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Registration Rights. </w:t>
      </w:r>
      <w:r>
        <w:rPr>
          <w:rFonts w:ascii="Times New Roman" w:cs="Times New Roman" w:eastAsia="Times New Roman" w:hAnsi="Times New Roman"/>
          <w:sz w:val="18"/>
          <w:szCs w:val="18"/>
          <w:color w:val="auto"/>
        </w:rPr>
        <w:t>Upon election by one or more holders holding at least 20% of the registrable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held by such holders, certain holders are entitled to certain demand registration rights.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Piggyback Registration Rights. </w:t>
      </w:r>
      <w:r>
        <w:rPr>
          <w:rFonts w:ascii="Times New Roman" w:cs="Times New Roman" w:eastAsia="Times New Roman" w:hAnsi="Times New Roman"/>
          <w:sz w:val="18"/>
          <w:szCs w:val="18"/>
          <w:color w:val="auto"/>
        </w:rPr>
        <w:t>In the event that we propose to register any of our securities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either for our own account or for the account of other security holders, in connection with such offering certain holders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 S-3 Registration Rights. </w:t>
      </w:r>
      <w:r>
        <w:rPr>
          <w:rFonts w:ascii="Times New Roman" w:cs="Times New Roman" w:eastAsia="Times New Roman" w:hAnsi="Times New Roman"/>
          <w:sz w:val="18"/>
          <w:szCs w:val="18"/>
          <w:color w:val="auto"/>
        </w:rPr>
        <w:t>Subject to certain exceptions, holders of at least 10% of the registrable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held by 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are not required to effect more than two registrations on Form S-3 within any 12-month period.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Amended Charter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General Corporation Law of the State of Delaware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and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Amended Charter provides that, unless we consent in writing to the selection of an alternative forum, the federal district courts of the United States of America, to the fullest extent permitted by law, are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would be enforced by a court in those other jurisdictions.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Amended Charter provides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Additionally, our Amended Charter provides that any person or entity holding, owning, or otherwise acquiring any interest in any of our securities shall be deemed to have notice of and consented to these provisions.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Amended Charter and Amended Bylaws contain provisions that may delay, defer or discourage another party from acquiring control of us. We believe that these provisions, which are summarized below, could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our common stock and our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are available for future issuance without stockholder approval, subject to any limitations imposed by the listing standards of The Nasdaq Global Market.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Dual Class Stock. </w:t>
      </w:r>
      <w:r>
        <w:rPr>
          <w:rFonts w:ascii="Times New Roman" w:cs="Times New Roman" w:eastAsia="Times New Roman" w:hAnsi="Times New Roman"/>
          <w:sz w:val="18"/>
          <w:szCs w:val="18"/>
          <w:color w:val="auto"/>
        </w:rPr>
        <w:t>As described above, our Amended Charter provides for a dual class structure,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Board of Directors. </w:t>
      </w:r>
      <w:r>
        <w:rPr>
          <w:rFonts w:ascii="Times New Roman" w:cs="Times New Roman" w:eastAsia="Times New Roman" w:hAnsi="Times New Roman"/>
          <w:sz w:val="18"/>
          <w:szCs w:val="18"/>
          <w:color w:val="auto"/>
        </w:rPr>
        <w:t>Our Amended Charter provides that our board of directors is divided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classes, with the number of directors in each class being as nearly equal in number as possible. The directors in each class serve for a three-year term, one class being elected each year by our stockholders, with staggered three-year terms. These provisions may have the effect of deferring, delaying or discouraging hostile takeovers, or changes in control of us or our management.</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Our Amended Charter provides that members of our board of directors may be removed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office only for cause by an affirmative vote of the holders of at least two-thirds of the voting power of all of our outstanding stock entitled to vote generally in the election of directors.</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Vacancies and Board Size. </w:t>
      </w:r>
      <w:r>
        <w:rPr>
          <w:rFonts w:ascii="Times New Roman" w:cs="Times New Roman" w:eastAsia="Times New Roman" w:hAnsi="Times New Roman"/>
          <w:sz w:val="18"/>
          <w:szCs w:val="18"/>
          <w:color w:val="auto"/>
        </w:rPr>
        <w:t>Our Amended Charter and Amended Bylaws provide that any vacant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directorships, including newly created directorships, may only be filled by a majority of the directors then in office, though less than a quorum, or by the sole remaining director and the number of directors constituting the full board of directors is permitted to be set only by a resolution of the board of directors.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Action; Special Meetings of Stockholders. </w:t>
      </w:r>
      <w:r>
        <w:rPr>
          <w:rFonts w:ascii="Times New Roman" w:cs="Times New Roman" w:eastAsia="Times New Roman" w:hAnsi="Times New Roman"/>
          <w:sz w:val="18"/>
          <w:szCs w:val="18"/>
          <w:color w:val="auto"/>
        </w:rPr>
        <w:t>Our Amended Charter provides that our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take 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provide that only the chairperson of our board of directors or a majority of our board of directors may call special meetings of our stockholders, thus prohibiting a stockholder from calling a special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meeting. These provisions could delay the ability of our stockholders to force consideration of a proposal or for stockholders controlling a majority of our capital stock to take any action, including the removal of directors.</w:t>
      </w:r>
    </w:p>
    <w:p>
      <w:pPr>
        <w:spacing w:after="0" w:line="5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In addition,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Bylaws provide an advance notice procedure for stockholder proposals or nominations to be brought before a meeting of stockholders. In order for any matter to be “properly brought” before a meeting, a stockholder must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Certificate of Incorporation or Bylaws. </w:t>
      </w:r>
      <w:r>
        <w:rPr>
          <w:rFonts w:ascii="Times New Roman" w:cs="Times New Roman" w:eastAsia="Times New Roman" w:hAnsi="Times New Roman"/>
          <w:sz w:val="18"/>
          <w:szCs w:val="18"/>
          <w:color w:val="auto"/>
        </w:rPr>
        <w:t>Our Amended Bylaws may be amended or repealed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by 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Not Entitled to Cumulative Voting. </w:t>
      </w:r>
      <w:r>
        <w:rPr>
          <w:rFonts w:ascii="Times New Roman" w:cs="Times New Roman" w:eastAsia="Times New Roman" w:hAnsi="Times New Roman"/>
          <w:sz w:val="18"/>
          <w:szCs w:val="18"/>
          <w:color w:val="auto"/>
        </w:rPr>
        <w:t>The DGCL provides that stockholders are not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cumulate votes in the election of directors unless a corporation’s certificate of incorporation provides otherwise. Our Amended Charter does not provide for cumulative voting.</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203 of the DGCL. </w:t>
      </w:r>
      <w:r>
        <w:rPr>
          <w:rFonts w:ascii="Times New Roman" w:cs="Times New Roman" w:eastAsia="Times New Roman" w:hAnsi="Times New Roman"/>
          <w:sz w:val="18"/>
          <w:szCs w:val="18"/>
          <w:color w:val="auto"/>
        </w:rPr>
        <w:t>We have opted out of Section 203 of the DGCL. However, our Amended Charter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contains provisions that are similar to Section 203. Specifically, our Amended Charter provides that, subject to certain exceptions, we are not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However, under our Amended Charter, Jennifer Y. Hyman, Bain Capital Venture Investors, LLC and Highland Management Partners VIII Ltd, and any of their respective affiliates are deemed to not be interested stockholders regardless of the percentage of our outstanding voting stock owned by them, and accordingly are not subject to such restrictions.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Amended Charter provides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(each, a “Covered Person”), unless such matter, transaction or interest is presented to, or acquired, created or developed by, or otherwise comes into the possession of, a Covered Person expressly and solely in such Covered Person’s capacity as a director.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Rent the Runway. Pursuant to Section 262 of the DGCL, stockholders who properly request and perfect appraisal rights in connection with such merger or consolidation would have the right to receive payment of the fair value of their shares as determined by the Delaware Court of Chancery.</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transfer agent and registrar for our Class A common stock is Equiniti Trust Company, LLC.</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Market under the symbol “RENT.”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only, “Rent the Runway,” “RTR,” “we,” “our” or “us” refer to Rent the Runway,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excluding our subsidiaries, unless expressly stated or the context otherwise requires.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2"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Rent the Runway) is a corporation, partnership, trust or other entity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Rent the Runway and the trustee receive written notice from the holders of not less than 25% in principal amount of the outstanding debt securities of that series as provided in the indenture;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Rent the Runway;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8"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2"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82"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upon compliance with certain conditions:</w:t>
      </w:r>
    </w:p>
    <w:p>
      <w:pPr>
        <w:spacing w:after="0" w:line="52"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jc w:val="both"/>
        <w:ind w:left="1000" w:right="319" w:hanging="348"/>
        <w:spacing w:after="0" w:line="25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Class A common stock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17"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meeting of shareholders for the election of our directors or any other matter;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Rent the Runway.</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Class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Class A common stock or preferred stock are exercised, the holders of the warrants will not have any rights of holders of the underlying Class A common stock or preferred stock, including any rights to receive dividends or payments upon any liquidation, dissolution or winding up on our Class A common stock or preferred stock, if 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Each purchase contract will entitle the holder thereof to purchase or sell, and obligate us to sell or purchase, on specified dates, such securities at a specified purchase price, which may be based on a formula, all as set forth in the applicable prospectus supplement. Any purchase contracts we issue will be physically settled by delivery of such securities.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68" w:lineRule="exact"/>
        <w:rPr>
          <w:sz w:val="20"/>
          <w:szCs w:val="20"/>
          <w:color w:val="auto"/>
        </w:rPr>
      </w:pPr>
    </w:p>
    <w:p>
      <w:pPr>
        <w:jc w:val="both"/>
        <w:ind w:left="300" w:right="319" w:firstLine="360"/>
        <w:spacing w:after="0" w:line="281"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 w:lineRule="exact"/>
        <w:rPr>
          <w:sz w:val="20"/>
          <w:szCs w:val="20"/>
          <w:color w:val="auto"/>
        </w:rPr>
      </w:pPr>
    </w:p>
    <w:p>
      <w:pPr>
        <w:jc w:val="both"/>
        <w:ind w:left="1000" w:right="29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1" w:lineRule="exact"/>
        <w:rPr>
          <w:rFonts w:ascii="Times New Roman" w:cs="Times New Roman" w:eastAsia="Times New Roman" w:hAnsi="Times New Roman"/>
          <w:sz w:val="18"/>
          <w:szCs w:val="18"/>
          <w:color w:val="auto"/>
        </w:rPr>
      </w:pPr>
    </w:p>
    <w:p>
      <w:pPr>
        <w:ind w:left="1000" w:right="319" w:hanging="348"/>
        <w:spacing w:after="0" w:line="28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Class A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Rent the Runway, Inc. Additional legal matters may be passed upon for us or any underwriters, dealers or agents, by counsel that we will name in the applicable prospectus supplement.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January 31, 2024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Other Expenses of Issuance and Distribution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$5,904.00</w:t>
            </w: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Nasdaq Global Market supplemental listing fee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20"/>
              <w:spacing w:after="0" w:line="324" w:lineRule="exact"/>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257"/>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29"/>
                <w:szCs w:val="29"/>
                <w:color w:val="auto"/>
                <w:vertAlign w:val="subscript"/>
              </w:rPr>
              <w:t xml:space="preserve"> </w:t>
            </w:r>
            <w:r>
              <w:rPr>
                <w:rFonts w:ascii="Times New Roman" w:cs="Times New Roman" w:eastAsia="Times New Roman" w:hAnsi="Times New Roman"/>
                <w:sz w:val="13"/>
                <w:szCs w:val="13"/>
                <w:color w:val="auto"/>
              </w:rPr>
              <w:t xml:space="preserve"> (1)</w:t>
            </w:r>
          </w:p>
        </w:tc>
      </w:tr>
      <w:tr>
        <w:trPr>
          <w:trHeight w:val="61"/>
        </w:trPr>
        <w:tc>
          <w:tcPr>
            <w:tcW w:w="76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 xml:space="preserve"> </w:t>
            </w:r>
            <w:r>
              <w:rPr>
                <w:rFonts w:ascii="Times New Roman" w:cs="Times New Roman" w:eastAsia="Times New Roman" w:hAnsi="Times New Roman"/>
                <w:sz w:val="14"/>
                <w:szCs w:val="14"/>
                <w:color w:val="auto"/>
              </w:rPr>
              <w:t xml:space="preserve"> (1)</w:t>
            </w:r>
          </w:p>
        </w:tc>
      </w:tr>
      <w:tr>
        <w:trPr>
          <w:trHeight w:val="20"/>
        </w:trPr>
        <w:tc>
          <w:tcPr>
            <w:tcW w:w="7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04"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permits indemnification of our directors, officers, employees, and other agents to the maximum extent permitted by the Delaware General Corporation Law, and our Amended Bylaws provide that we will indemnify our directors and officers and permit us to indemnify our employees and other agents, in each case to the maximum extent permitted by the Delaware General Corporation Law.</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are we aware of any threatened litigation that may result in claims for indemnification.</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Item 16.</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67"/>
        </w:trPr>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680" w:type="dxa"/>
            <w:vAlign w:val="bottom"/>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Twelfth Amended &amp; Restated Certificate of Incorporation (incorporated by reference to Exhibit 3.1 of the</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Annual Report on Form 10-K filed on April 11, 2024).</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Amendment to Twelfth Amended &amp; Restated Certificate of Incorporation (incorporated by</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to Exhibit 3.2 of the Company’s Annual Report on Form 10-K filed on April 11, 2024).</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&amp; Restated Bylaws (incorporated by reference to Exhibit 3.3 of the Company’s Annual Report</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Form 10-K filed on April 11, 2024).</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Class A common stock certificate (incorporated by reference to Exhibit 4.1 of the Company’s</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Report on Form 10-K filed on April 11, 2024).</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Eighth Amended and Restated Investors’ Rights Agreement (the “IRA”) by and among the Company and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of its stockholders, dated April 30, 2020, as amended by that amendment No. 1 to the IRA, dated</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26, 2020 and that amendment No. 2 to the IRA, dated April 30, 2021 (incorporated by reference</w:t>
            </w:r>
          </w:p>
        </w:tc>
        <w:tc>
          <w:tcPr>
            <w:tcW w:w="0" w:type="dxa"/>
            <w:vAlign w:val="bottom"/>
          </w:tcPr>
          <w:p>
            <w:pPr>
              <w:spacing w:after="0"/>
              <w:rPr>
                <w:sz w:val="1"/>
                <w:szCs w:val="1"/>
                <w:color w:val="auto"/>
              </w:rPr>
            </w:pPr>
          </w:p>
        </w:tc>
      </w:tr>
      <w:tr>
        <w:trPr>
          <w:trHeight w:val="255"/>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Exhibit 4.2 of the Company’s Annual Report on Form 10-K filed on April 11, 2024).</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preferred stock certificate.</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Indenture.</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Latham &amp; Watkins LLP.</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of Attorney (incorporated by reference to the signature page hereto).</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 of 1939, as amended, of the trustee</w:t>
            </w:r>
          </w:p>
        </w:tc>
        <w:tc>
          <w:tcPr>
            <w:tcW w:w="0" w:type="dxa"/>
            <w:vAlign w:val="bottom"/>
          </w:tcPr>
          <w:p>
            <w:pPr>
              <w:spacing w:after="0"/>
              <w:rPr>
                <w:sz w:val="1"/>
                <w:szCs w:val="1"/>
                <w:color w:val="auto"/>
              </w:rPr>
            </w:pPr>
          </w:p>
        </w:tc>
      </w:tr>
      <w:tr>
        <w:trPr>
          <w:trHeight w:val="234"/>
        </w:trPr>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the indenture filed as Exhibit 4.4 above.</w:t>
            </w:r>
          </w:p>
        </w:tc>
        <w:tc>
          <w:tcPr>
            <w:tcW w:w="0" w:type="dxa"/>
            <w:vAlign w:val="bottom"/>
          </w:tcPr>
          <w:p>
            <w:pPr>
              <w:spacing w:after="0"/>
              <w:rPr>
                <w:sz w:val="1"/>
                <w:szCs w:val="1"/>
                <w:color w:val="auto"/>
              </w:rPr>
            </w:pPr>
          </w:p>
        </w:tc>
      </w:tr>
      <w:tr>
        <w:trPr>
          <w:trHeight w:val="41"/>
        </w:trPr>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349240" cy="19685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-7722870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1040" w:hanging="748"/>
        <w:spacing w:after="0"/>
        <w:tabs>
          <w:tab w:leader="none" w:pos="1040" w:val="left"/>
        </w:tabs>
        <w:numPr>
          <w:ilvl w:val="0"/>
          <w:numId w:val="2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822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36"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77"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319" w:hanging="348"/>
        <w:spacing w:after="0" w:line="266"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7" w:lineRule="exact"/>
        <w:rPr>
          <w:sz w:val="20"/>
          <w:szCs w:val="20"/>
          <w:color w:val="auto"/>
        </w:rPr>
      </w:pPr>
    </w:p>
    <w:p>
      <w:pPr>
        <w:jc w:val="both"/>
        <w:ind w:left="1360" w:right="319" w:hanging="348"/>
        <w:spacing w:after="0" w:line="261" w:lineRule="auto"/>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1360" w:hanging="348"/>
        <w:spacing w:after="0"/>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19" w:hanging="348"/>
        <w:spacing w:after="0" w:line="282" w:lineRule="auto"/>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53" w:lineRule="exact"/>
        <w:rPr>
          <w:rFonts w:ascii="Times New Roman" w:cs="Times New Roman" w:eastAsia="Times New Roman" w:hAnsi="Times New Roman"/>
          <w:sz w:val="18"/>
          <w:szCs w:val="18"/>
          <w:color w:val="auto"/>
        </w:rPr>
      </w:pPr>
    </w:p>
    <w:p>
      <w:pPr>
        <w:jc w:val="both"/>
        <w:ind w:left="138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communications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sz w:val="20"/>
          <w:szCs w:val="20"/>
          <w:color w:val="auto"/>
        </w:rPr>
      </w:pPr>
    </w:p>
    <w:p>
      <w:pPr>
        <w:jc w:val="both"/>
        <w:ind w:left="1000" w:right="299" w:hanging="348"/>
        <w:spacing w:after="0" w:line="253"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sz w:val="20"/>
          <w:szCs w:val="20"/>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Brooklyn, New York, on May 28, 2024.</w:t>
      </w:r>
    </w:p>
    <w:p>
      <w:pPr>
        <w:spacing w:after="0" w:line="2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3" w:lineRule="exact"/>
        <w:rPr>
          <w:sz w:val="20"/>
          <w:szCs w:val="20"/>
          <w:color w:val="auto"/>
        </w:rPr>
      </w:pPr>
    </w:p>
    <w:p>
      <w:pPr>
        <w:ind w:left="386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61595</wp:posOffset>
            </wp:positionV>
            <wp:extent cx="2786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36" w:lineRule="exact"/>
        <w:rPr>
          <w:sz w:val="20"/>
          <w:szCs w:val="20"/>
          <w:color w:val="auto"/>
        </w:rPr>
      </w:pPr>
    </w:p>
    <w:p>
      <w:pPr>
        <w:jc w:val="center"/>
        <w:ind w:left="3980"/>
        <w:spacing w:after="0"/>
        <w:rPr>
          <w:sz w:val="20"/>
          <w:szCs w:val="20"/>
          <w:color w:val="auto"/>
        </w:rPr>
      </w:pPr>
      <w:r>
        <w:rPr>
          <w:rFonts w:ascii="Times New Roman" w:cs="Times New Roman" w:eastAsia="Times New Roman" w:hAnsi="Times New Roman"/>
          <w:sz w:val="18"/>
          <w:szCs w:val="18"/>
          <w:b w:val="1"/>
          <w:bCs w:val="1"/>
          <w:color w:val="auto"/>
        </w:rPr>
        <w:t>Jennifer Y. Hyman</w:t>
      </w:r>
    </w:p>
    <w:p>
      <w:pPr>
        <w:spacing w:after="0" w:line="31"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Jennifer Y. Hyman and Siddharth Thacker,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96" w:lineRule="exact"/>
        <w:rPr>
          <w:sz w:val="20"/>
          <w:szCs w:val="20"/>
          <w:color w:val="auto"/>
        </w:rPr>
      </w:pPr>
    </w:p>
    <w:p>
      <w:pPr>
        <w:ind w:left="1380"/>
        <w:spacing w:after="0"/>
        <w:tabs>
          <w:tab w:leader="none" w:pos="5120" w:val="left"/>
          <w:tab w:leader="none" w:pos="78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Jennifer Y. Hyman</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88"/>
        </w:trPr>
        <w:tc>
          <w:tcPr>
            <w:tcW w:w="3020" w:type="dxa"/>
            <w:vAlign w:val="bottom"/>
            <w:tcBorders>
              <w:bottom w:val="single" w:sz="8" w:color="auto"/>
            </w:tcBorders>
          </w:tcPr>
          <w:p>
            <w:pPr>
              <w:spacing w:after="0"/>
              <w:rPr>
                <w:sz w:val="7"/>
                <w:szCs w:val="7"/>
                <w:color w:val="auto"/>
              </w:rPr>
            </w:pPr>
          </w:p>
        </w:tc>
        <w:tc>
          <w:tcPr>
            <w:tcW w:w="3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w:t>
            </w:r>
            <w:r>
              <w:rPr>
                <w:rFonts w:ascii="Times New Roman" w:cs="Times New Roman" w:eastAsia="Times New Roman" w:hAnsi="Times New Roman"/>
                <w:sz w:val="18"/>
                <w:szCs w:val="18"/>
                <w:b w:val="1"/>
                <w:bCs w:val="1"/>
                <w:color w:val="auto"/>
                <w:w w:val="97"/>
              </w:rPr>
              <w:t>ennifer Y. Hyman</w:t>
            </w:r>
          </w:p>
        </w:tc>
        <w:tc>
          <w:tcPr>
            <w:tcW w:w="36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Siddharth Thacker</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spacing w:after="0"/>
              <w:rPr>
                <w:sz w:val="11"/>
                <w:szCs w:val="11"/>
                <w:color w:val="auto"/>
              </w:rPr>
            </w:pPr>
          </w:p>
        </w:tc>
        <w:tc>
          <w:tcPr>
            <w:tcW w:w="3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Siddharth Thacker</w:t>
            </w:r>
          </w:p>
        </w:tc>
        <w:tc>
          <w:tcPr>
            <w:tcW w:w="36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020" w:type="dxa"/>
            <w:vAlign w:val="bottom"/>
            <w:vMerge w:val="continue"/>
          </w:tcPr>
          <w:p>
            <w:pPr>
              <w:spacing w:after="0"/>
              <w:rPr>
                <w:sz w:val="20"/>
                <w:szCs w:val="20"/>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Tim Bixby</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68"/>
        </w:trPr>
        <w:tc>
          <w:tcPr>
            <w:tcW w:w="3020" w:type="dxa"/>
            <w:vAlign w:val="bottom"/>
            <w:tcBorders>
              <w:bottom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 Bixby</w:t>
            </w:r>
          </w:p>
        </w:tc>
        <w:tc>
          <w:tcPr>
            <w:tcW w:w="3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Jennifer Fleiss</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68"/>
        </w:trPr>
        <w:tc>
          <w:tcPr>
            <w:tcW w:w="3020" w:type="dxa"/>
            <w:vAlign w:val="bottom"/>
            <w:tcBorders>
              <w:bottom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Jennifer Fleiss</w:t>
            </w:r>
          </w:p>
        </w:tc>
        <w:tc>
          <w:tcPr>
            <w:tcW w:w="3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Scott Friend</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68"/>
        </w:trPr>
        <w:tc>
          <w:tcPr>
            <w:tcW w:w="3020" w:type="dxa"/>
            <w:vAlign w:val="bottom"/>
            <w:tcBorders>
              <w:bottom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Scott Friend</w:t>
            </w:r>
          </w:p>
        </w:tc>
        <w:tc>
          <w:tcPr>
            <w:tcW w:w="3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Beth Kaplan</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68"/>
        </w:trPr>
        <w:tc>
          <w:tcPr>
            <w:tcW w:w="3020" w:type="dxa"/>
            <w:vAlign w:val="bottom"/>
            <w:tcBorders>
              <w:bottom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Beth Kaplan</w:t>
            </w:r>
          </w:p>
        </w:tc>
        <w:tc>
          <w:tcPr>
            <w:tcW w:w="3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Emil Michael</w:t>
            </w: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28, 2024</w:t>
            </w:r>
          </w:p>
        </w:tc>
        <w:tc>
          <w:tcPr>
            <w:tcW w:w="0" w:type="dxa"/>
            <w:vAlign w:val="bottom"/>
          </w:tcPr>
          <w:p>
            <w:pPr>
              <w:spacing w:after="0"/>
              <w:rPr>
                <w:sz w:val="1"/>
                <w:szCs w:val="1"/>
                <w:color w:val="auto"/>
              </w:rPr>
            </w:pPr>
          </w:p>
        </w:tc>
      </w:tr>
      <w:tr>
        <w:trPr>
          <w:trHeight w:val="68"/>
        </w:trPr>
        <w:tc>
          <w:tcPr>
            <w:tcW w:w="3020" w:type="dxa"/>
            <w:vAlign w:val="bottom"/>
            <w:tcBorders>
              <w:bottom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Emil Michael</w:t>
            </w:r>
          </w:p>
        </w:tc>
        <w:tc>
          <w:tcPr>
            <w:tcW w:w="3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879" w:gutter="0" w:footer="0" w:header="0"/>
        </w:sectPr>
      </w:pPr>
    </w:p>
    <w:bookmarkStart w:id="37" w:name="page38"/>
    <w:bookmarkEnd w:id="37"/>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402"/>
        </w:trPr>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24"/>
                <w:szCs w:val="24"/>
                <w:color w:val="auto"/>
              </w:rPr>
            </w:pPr>
          </w:p>
        </w:tc>
        <w:tc>
          <w:tcPr>
            <w:tcW w:w="37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24"/>
                <w:szCs w:val="24"/>
                <w:color w:val="auto"/>
              </w:rPr>
            </w:pPr>
          </w:p>
        </w:tc>
        <w:tc>
          <w:tcPr>
            <w:tcW w:w="13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50"/>
        </w:trPr>
        <w:tc>
          <w:tcPr>
            <w:tcW w:w="15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77"/>
        </w:trPr>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i w:val="1"/>
                <w:iCs w:val="1"/>
                <w:color w:val="auto"/>
                <w:w w:val="98"/>
              </w:rPr>
              <w:t>Gwyneth Paltrow</w:t>
            </w:r>
          </w:p>
        </w:tc>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28, 2024</w:t>
            </w:r>
          </w:p>
        </w:tc>
      </w:tr>
      <w:tr>
        <w:trPr>
          <w:trHeight w:val="68"/>
        </w:trPr>
        <w:tc>
          <w:tcPr>
            <w:tcW w:w="15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77"/>
        </w:trPr>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Gwyneth Paltrow</w:t>
            </w: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94"/>
        </w:trPr>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Mike Roth</w:t>
            </w:r>
          </w:p>
        </w:tc>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28, 2024</w:t>
            </w:r>
          </w:p>
        </w:tc>
      </w:tr>
      <w:tr>
        <w:trPr>
          <w:trHeight w:val="68"/>
        </w:trPr>
        <w:tc>
          <w:tcPr>
            <w:tcW w:w="15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77"/>
        </w:trPr>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Mike Roth</w:t>
            </w:r>
          </w:p>
        </w:tc>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9019"/>
          </w:cols>
          <w:pgMar w:left="1440" w:top="262"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268605</wp:posOffset>
            </wp:positionV>
            <wp:extent cx="1399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266065</wp:posOffset>
            </wp:positionV>
            <wp:extent cx="13423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591820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9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70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7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1.4.</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of Construction.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Issuable in Series.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Registrar, Paying Agent and Notice Agent.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 Lists.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and Exchange.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2.13.</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Defaulted 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CUSIP Numbers.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to Trustee.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3.6.</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Reports.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6.9.</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Holders.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6.13.   Waiver of Past Defaults.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6.14.</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7.5.</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7.6.</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7.7.</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7.8.</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of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7.9.</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7.10.</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8.4.</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 Defeasance.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8.5.</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to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8.6.</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Consent of Holders.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9.7.</w:t>
            </w: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Protected.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10.1.   Trust Indenture Act Controls.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Holidays.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10.8.</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10.9.</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10.10.</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10.11.  No Adverse Interpretation of Other Agreements.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10.12.</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10.13.</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10.14.  Table of Contents, Headings,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10.15.</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10.16.</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Judgment Currency.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10.17.</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10.18.</w:t>
            </w: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   Applicability of Article.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   Satisfaction of Sinking Fund Payments with Securities.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8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11.3.   Redemption of Securities for Sinking Fund.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tbl>
      <w:tblPr>
        <w:tblLayout w:type="fixed"/>
        <w:tblInd w:w="144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61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ent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unway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414"/>
        </w:trPr>
        <w:tc>
          <w:tcPr>
            <w:tcW w:w="1360" w:type="dxa"/>
            <w:vAlign w:val="bottom"/>
          </w:tcPr>
          <w:p>
            <w:pPr>
              <w:spacing w:after="0"/>
              <w:rPr>
                <w:sz w:val="24"/>
                <w:szCs w:val="24"/>
                <w:color w:val="auto"/>
              </w:rPr>
            </w:pPr>
          </w:p>
        </w:tc>
        <w:tc>
          <w:tcPr>
            <w:tcW w:w="6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Reconciliation and tie between Trust Indenture Act of 1939 and</w:t>
            </w:r>
          </w:p>
        </w:tc>
      </w:tr>
      <w:tr>
        <w:trPr>
          <w:trHeight w:val="234"/>
        </w:trPr>
        <w:tc>
          <w:tcPr>
            <w:tcW w:w="1360" w:type="dxa"/>
            <w:vAlign w:val="bottom"/>
          </w:tcPr>
          <w:p>
            <w:pPr>
              <w:spacing w:after="0"/>
              <w:rPr>
                <w:sz w:val="20"/>
                <w:szCs w:val="20"/>
                <w:color w:val="auto"/>
              </w:rPr>
            </w:pPr>
          </w:p>
        </w:tc>
        <w:tc>
          <w:tcPr>
            <w:tcW w:w="6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Indenture, dated as of ____________, 20__</w:t>
            </w:r>
          </w:p>
        </w:tc>
      </w:tr>
      <w:tr>
        <w:trPr>
          <w:trHeight w:val="432"/>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 310(a)(1)</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7.10</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(a)(2)</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7.10</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(a)(3)</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(a)(4)</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(a)(5)</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7.10</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7.10</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311(a)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7.11</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7.11</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312(a)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313(a)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(b)(1)</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(b)(2)</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(c)(1)</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314(a)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4.2, 10.5</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(c)(1)</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(c)(2)</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(c)(3)</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(e)</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315(a)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(e)</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316(a)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(a)(1)(A)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6.12</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(a)(1)(B)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 317(a)(1)</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(a)(2)</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318(a)</w:t>
            </w:r>
          </w:p>
        </w:tc>
        <w:tc>
          <w:tcPr>
            <w:tcW w:w="61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8"/>
          <w:szCs w:val="18"/>
          <w:color w:val="auto"/>
        </w:rPr>
        <w:t>Indenture dated as of __________, 20__ between Rent the Runway, Inc., a company incorporated under the laws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[________, a national banking association]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 and delivered to the Trustee.</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passage of time or both would be,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set forth in the opinions and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 on the Registrar’s books.</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5" w:name="page46"/>
    <w:bookmarkEnd w:id="45"/>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this Indenture.</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6" w:name="page47"/>
    <w:bookmarkEnd w:id="4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w:t>
            </w: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Definitions.</w:t>
            </w: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1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TERM</w:t>
            </w:r>
          </w:p>
        </w:tc>
        <w:tc>
          <w:tcPr>
            <w:tcW w:w="7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DEFINED IN SECTION</w:t>
            </w:r>
          </w:p>
        </w:tc>
      </w:tr>
      <w:tr>
        <w:trPr>
          <w:trHeight w:val="43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 Member</w:t>
            </w: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2.14.6</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10.10</w:t>
            </w:r>
          </w:p>
        </w:tc>
      </w:tr>
      <w:tr>
        <w:trPr>
          <w:trHeight w:val="236"/>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27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7"/>
              </w:rPr>
              <w:t>5.1</w:t>
            </w:r>
          </w:p>
        </w:tc>
      </w:tr>
      <w:tr>
        <w:trPr>
          <w:trHeight w:val="391"/>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w:t>
            </w: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900" w:hanging="596"/>
        <w:spacing w:after="0"/>
        <w:tabs>
          <w:tab w:leader="none" w:pos="1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3"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22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and the words “to” and “until” each mean “to but excluding”; and</w:t>
      </w:r>
    </w:p>
    <w:p>
      <w:pPr>
        <w:spacing w:after="0" w:line="161" w:lineRule="exact"/>
        <w:rPr>
          <w:rFonts w:ascii="Times New Roman" w:cs="Times New Roman" w:eastAsia="Times New Roman" w:hAnsi="Times New Roman"/>
          <w:sz w:val="18"/>
          <w:szCs w:val="18"/>
          <w:color w:val="auto"/>
        </w:rPr>
      </w:pPr>
    </w:p>
    <w:p>
      <w:pPr>
        <w:ind w:left="660" w:right="420" w:firstLine="644"/>
        <w:spacing w:after="0" w:line="282" w:lineRule="auto"/>
        <w:tabs>
          <w:tab w:leader="none" w:pos="19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“in writing” as used herein shall be deemed to include PDFs, e-mails and other electronic means of transmission, unless otherwise indicated.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Issuable in Series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8" w:name="page49"/>
    <w:bookmarkEnd w:id="48"/>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Establishment of Terms of Series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1300"/>
        <w:spacing w:after="0"/>
        <w:tabs>
          <w:tab w:leader="none" w:pos="21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 price or prices (expressed as a percentage of the principal amount thereof) at which the Securities of the Series will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2.2.10.</w:t>
        <w:tab/>
        <w:t>if other than denominations of $1,000 and any integral multiple thereof, the denominations in which the Securities of the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issuable;</w:t>
      </w:r>
    </w:p>
    <w:p>
      <w:pPr>
        <w:spacing w:after="0" w:line="207"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2.2.11.</w:t>
        <w:tab/>
        <w:t>the forms of the Securities of the Series and whether the Securities will be issuable as Global Securities;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2.2.17.</w:t>
        <w:tab/>
        <w:t>the provisions, if any, relating to any security provided for the Securities of the Series;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2.2.19.</w:t>
        <w:tab/>
        <w:t>any addition to, deletion of or change in the covenants applicable to Securities of the Series;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Execution and Authentication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10.4 and 10.5, and (c) an Opinion of Counsel complying with Sections 10.4 and 10.5.</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Registrar, Paying Agent and Notice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 may serve as Registrar or Paying Agent.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Paying Agent to Hold Money in Trust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9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Holder Lists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u w:val="single" w:color="auto"/>
          <w:color w:val="auto"/>
        </w:rPr>
        <w:t>Mutilated, Destroyed, Lost and Stolen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Outstanding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Treasury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Defaulted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83" w:lineRule="exact"/>
        <w:rPr>
          <w:sz w:val="20"/>
          <w:szCs w:val="20"/>
          <w:color w:val="auto"/>
        </w:rPr>
      </w:pPr>
    </w:p>
    <w:p>
      <w:pPr>
        <w:ind w:left="1300"/>
        <w:spacing w:after="0"/>
        <w:tabs>
          <w:tab w:leader="none" w:pos="2220" w:val="left"/>
        </w:tabs>
        <w:rPr>
          <w:sz w:val="20"/>
          <w:szCs w:val="20"/>
          <w:color w:val="auto"/>
        </w:rPr>
      </w:pPr>
      <w:r>
        <w:rPr>
          <w:rFonts w:ascii="Times New Roman" w:cs="Times New Roman" w:eastAsia="Times New Roman" w:hAnsi="Times New Roman"/>
          <w:sz w:val="18"/>
          <w:szCs w:val="18"/>
          <w:color w:val="auto"/>
        </w:rPr>
        <w:t>2.14.3.</w:t>
      </w:r>
      <w:r>
        <w:rPr>
          <w:sz w:val="20"/>
          <w:szCs w:val="20"/>
          <w:color w:val="auto"/>
        </w:rPr>
        <w:tab/>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addition, so long as the Depository Trust Company (“DTC”) is the Depositary, each Global Security registered in the name of DTC or its nominee shall bear a legend in substantially the following form:</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2.14.5.</w:t>
      </w:r>
      <w:r>
        <w:rPr>
          <w:sz w:val="20"/>
          <w:szCs w:val="20"/>
          <w:color w:val="auto"/>
        </w:rPr>
        <w:tab/>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payment of the principal of and interest, if any, on any Global Security shall be made to the Holder thereof.</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9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CUSIP Numbers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u w:val="single" w:color="auto"/>
          <w:color w:val="auto"/>
        </w:rPr>
        <w:t>Notice to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Selection of Securities to be Redeemed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900" w:hanging="596"/>
        <w:spacing w:after="0"/>
        <w:tabs>
          <w:tab w:leader="none" w:pos="1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1860" w:hanging="556"/>
        <w:spacing w:after="0"/>
        <w:tabs>
          <w:tab w:leader="none" w:pos="1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ten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Effect of Notice of 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u w:val="single" w:color="auto"/>
          <w:color w:val="auto"/>
        </w:rPr>
        <w:t>Deposit of Redemption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7"/>
          <w:szCs w:val="17"/>
          <w:u w:val="single" w:color="auto"/>
          <w:color w:val="auto"/>
        </w:rPr>
        <w:t>Securities Redeemed in Part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Payment of Principal and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u w:val="single" w:color="auto"/>
          <w:color w:val="auto"/>
        </w:rPr>
        <w:t>Stay, Extension and Usury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When Company May Merge,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jc w:val="both"/>
        <w:ind w:left="660" w:firstLine="644"/>
        <w:spacing w:after="0" w:line="266" w:lineRule="auto"/>
        <w:tabs>
          <w:tab w:leader="none" w:pos="20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u w:val="single" w:color="auto"/>
          <w:color w:val="auto"/>
        </w:rPr>
        <w:t>Successor Corporation Substituted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75" w:lineRule="exact"/>
        <w:rPr>
          <w:sz w:val="20"/>
          <w:szCs w:val="20"/>
          <w:color w:val="auto"/>
        </w:rPr>
      </w:pPr>
    </w:p>
    <w:p>
      <w:pPr>
        <w:jc w:val="both"/>
        <w:ind w:left="660" w:firstLine="644"/>
        <w:spacing w:after="0" w:line="270" w:lineRule="auto"/>
        <w:tabs>
          <w:tab w:leader="none" w:pos="19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such period);</w:t>
      </w:r>
    </w:p>
    <w:p>
      <w:pPr>
        <w:spacing w:after="0" w:line="2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8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660" w:right="20" w:firstLine="644"/>
        <w:spacing w:after="0" w:line="282" w:lineRule="auto"/>
        <w:tabs>
          <w:tab w:leader="none" w:pos="21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u w:val="single" w:color="auto"/>
          <w:color w:val="auto"/>
        </w:rPr>
        <w:t>Acceleration of Maturity; Rescission and Annulment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5" w:lineRule="exact"/>
        <w:rPr>
          <w:sz w:val="20"/>
          <w:szCs w:val="20"/>
          <w:color w:val="auto"/>
        </w:rPr>
      </w:pPr>
    </w:p>
    <w:p>
      <w:pPr>
        <w:ind w:firstLine="8"/>
        <w:spacing w:after="0" w:line="260" w:lineRule="auto"/>
        <w:tabs>
          <w:tab w:leader="none" w:pos="2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u w:val="single" w:color="auto"/>
          <w:color w:val="auto"/>
        </w:rPr>
        <w:t>Collection of Indebtedness and Suits for Enforcement by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660" w:firstLine="644"/>
        <w:spacing w:after="0" w:line="282" w:lineRule="auto"/>
        <w:tabs>
          <w:tab w:leader="none" w:pos="20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1920" w:hanging="616"/>
        <w:spacing w:after="0"/>
        <w:tabs>
          <w:tab w:leader="none" w:pos="1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u w:val="single" w:color="auto"/>
          <w:color w:val="auto"/>
        </w:rPr>
        <w:t>Trustee May File Proofs of Claim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left="660" w:firstLine="644"/>
        <w:spacing w:after="0" w:line="261" w:lineRule="auto"/>
        <w:tabs>
          <w:tab w:leader="none" w:pos="19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u w:val="single" w:color="auto"/>
          <w:color w:val="auto"/>
        </w:rPr>
        <w:t>Trustee May Enforce Claims Without Possession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u w:val="single" w:color="auto"/>
          <w:color w:val="auto"/>
        </w:rPr>
        <w:t>Application of Money Collected.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ectPr>
          <w:pgSz w:w="11900" w:h="16838" w:orient="portrait"/>
          <w:cols w:equalWidth="0" w:num="1">
            <w:col w:w="11240"/>
          </w:cols>
          <w:pgMar w:left="320" w:top="337" w:right="339" w:bottom="1440" w:gutter="0" w:footer="0" w:header="0"/>
        </w:sectPr>
      </w:pP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First: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payment of all amounts due the Trustee under Section 7.7; and</w:t>
      </w:r>
    </w:p>
    <w:p>
      <w:pPr>
        <w:spacing w:after="0" w:line="200" w:lineRule="exact"/>
        <w:rPr>
          <w:sz w:val="20"/>
          <w:szCs w:val="20"/>
          <w:color w:val="auto"/>
        </w:rPr>
      </w:pPr>
    </w:p>
    <w:p>
      <w:pPr>
        <w:sectPr>
          <w:pgSz w:w="11900" w:h="16838" w:orient="portrait"/>
          <w:cols w:equalWidth="0" w:num="2">
            <w:col w:w="1680" w:space="500"/>
            <w:col w:w="9060"/>
          </w:cols>
          <w:pgMar w:left="320" w:top="337" w:right="339" w:bottom="1440" w:gutter="0" w:footer="0" w:header="0"/>
          <w:type w:val="continuous"/>
        </w:sectPr>
      </w:pPr>
    </w:p>
    <w:p>
      <w:pPr>
        <w:spacing w:after="0" w:line="3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Second:</w:t>
      </w:r>
      <w:r>
        <w:rPr>
          <w:sz w:val="20"/>
          <w:szCs w:val="20"/>
          <w:color w:val="auto"/>
        </w:rPr>
        <w:tab/>
      </w:r>
      <w:r>
        <w:rPr>
          <w:rFonts w:ascii="Times New Roman" w:cs="Times New Roman" w:eastAsia="Times New Roman" w:hAnsi="Times New Roman"/>
          <w:sz w:val="18"/>
          <w:szCs w:val="18"/>
          <w:color w:val="auto"/>
        </w:rPr>
        <w:t>To the payment of the amounts then due and unpaid for principal of and interest on the Securities in respect of which or for</w:t>
      </w:r>
    </w:p>
    <w:p>
      <w:pPr>
        <w:sectPr>
          <w:pgSz w:w="11900" w:h="16838" w:orient="portrait"/>
          <w:cols w:equalWidth="0" w:num="1">
            <w:col w:w="11240"/>
          </w:cols>
          <w:pgMar w:left="320" w:top="337" w:right="339" w:bottom="1440" w:gutter="0" w:footer="0" w:header="0"/>
          <w:type w:val="continuous"/>
        </w:sectPr>
      </w:pP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Third:</w:t>
      </w:r>
      <w:r>
        <w:rPr>
          <w:sz w:val="20"/>
          <w:szCs w:val="20"/>
          <w:color w:val="auto"/>
        </w:rPr>
        <w:tab/>
      </w: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u w:val="single" w:color="auto"/>
          <w:color w:val="auto"/>
        </w:rPr>
        <w:t>Limitation on Suits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Series;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6" w:name="page67"/>
    <w:bookmarkEnd w:id="66"/>
    <w:p>
      <w:pPr>
        <w:ind w:left="660" w:firstLine="644"/>
        <w:spacing w:after="0" w:line="282" w:lineRule="auto"/>
        <w:tabs>
          <w:tab w:leader="none" w:pos="19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9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7"/>
          <w:szCs w:val="17"/>
          <w:u w:val="single" w:color="auto"/>
          <w:color w:val="auto"/>
        </w:rPr>
        <w:t>Unconditional Right of Holders to Receive Principal and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u w:val="single" w:color="auto"/>
          <w:color w:val="auto"/>
        </w:rPr>
        <w:t>Restoration of Rights and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Delay or Omission Not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7"/>
          <w:szCs w:val="17"/>
          <w:u w:val="single" w:color="auto"/>
          <w:color w:val="auto"/>
        </w:rPr>
        <w:t>Waiver of Past Defaults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6.14.</w:t>
      </w:r>
      <w:r>
        <w:rPr>
          <w:sz w:val="20"/>
          <w:szCs w:val="20"/>
          <w:color w:val="auto"/>
        </w:rPr>
        <w:tab/>
      </w:r>
      <w:r>
        <w:rPr>
          <w:rFonts w:ascii="Times New Roman" w:cs="Times New Roman" w:eastAsia="Times New Roman" w:hAnsi="Times New Roman"/>
          <w:sz w:val="17"/>
          <w:szCs w:val="17"/>
          <w:u w:val="single" w:color="auto"/>
          <w:color w:val="auto"/>
        </w:rPr>
        <w:t>Undertaking for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u w:val="single" w:color="auto"/>
          <w:color w:val="auto"/>
        </w:rPr>
        <w:t>Duties of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66" w:lineRule="auto"/>
        <w:tabs>
          <w:tab w:leader="none" w:pos="20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7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will be read into this Indenture against the Trustee.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20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640" w:right="20" w:firstLine="652"/>
        <w:spacing w:after="0" w:line="282" w:lineRule="auto"/>
        <w:tabs>
          <w:tab w:leader="none" w:pos="20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201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3" w:lineRule="exact"/>
        <w:rPr>
          <w:rFonts w:ascii="Times New Roman" w:cs="Times New Roman" w:eastAsia="Times New Roman" w:hAnsi="Times New Roman"/>
          <w:sz w:val="18"/>
          <w:szCs w:val="18"/>
          <w:color w:val="auto"/>
        </w:rPr>
      </w:pPr>
    </w:p>
    <w:p>
      <w:pPr>
        <w:ind w:left="1340" w:hanging="696"/>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right="20" w:firstLine="644"/>
        <w:spacing w:after="0" w:line="282" w:lineRule="auto"/>
        <w:tabs>
          <w:tab w:leader="none" w:pos="13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61" w:lineRule="exact"/>
        <w:rPr>
          <w:rFonts w:ascii="Times New Roman" w:cs="Times New Roman" w:eastAsia="Times New Roman" w:hAnsi="Times New Roman"/>
          <w:sz w:val="18"/>
          <w:szCs w:val="18"/>
          <w:color w:val="auto"/>
        </w:rPr>
      </w:pPr>
    </w:p>
    <w:p>
      <w:pPr>
        <w:ind w:right="20" w:firstLine="644"/>
        <w:spacing w:after="0" w:line="282" w:lineRule="auto"/>
        <w:tabs>
          <w:tab w:leader="none" w:pos="14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4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3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5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u w:val="single" w:color="auto"/>
          <w:color w:val="auto"/>
        </w:rPr>
        <w:t>Rights of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4"/>
        <w:spacing w:after="0" w:line="266" w:lineRule="auto"/>
        <w:tabs>
          <w:tab w:leader="none" w:pos="13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4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0" w:name="page71"/>
    <w:bookmarkEnd w:id="70"/>
    <w:p>
      <w:pPr>
        <w:jc w:val="both"/>
        <w:ind w:left="660" w:firstLine="644"/>
        <w:spacing w:after="0" w:line="266" w:lineRule="auto"/>
        <w:tabs>
          <w:tab w:leader="none" w:pos="20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so.</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of this Indenture or otherwise.</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u w:val="single" w:color="auto"/>
          <w:color w:val="auto"/>
        </w:rPr>
        <w:t>Individual Rights of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u w:val="single" w:color="auto"/>
          <w:color w:val="auto"/>
        </w:rPr>
        <w:t>Trustee’s Disclaimer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u w:val="single" w:color="auto"/>
          <w:color w:val="auto"/>
        </w:rPr>
        <w:t>Notice of Defaults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9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u w:val="single" w:color="auto"/>
          <w:color w:val="auto"/>
        </w:rPr>
        <w:t>Reports by Trustee to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Within 60 days after each [[ ] commencing [ ], [ ]], the Trustee shall transmit by mail to all Holders, as their names and addresses appear on the register kept by the Registrar, a brief report dated as of such anniversary date, in accordance with, and to the extent required under, TIA § 313.</w:t>
      </w:r>
    </w:p>
    <w:p>
      <w:pPr>
        <w:spacing w:after="0" w:line="3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u w:val="single" w:color="auto"/>
          <w:color w:val="auto"/>
        </w:rPr>
        <w:t>Compensation and 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u w:val="single" w:color="auto"/>
          <w:color w:val="auto"/>
        </w:rPr>
        <w:t>Replacement of Trustee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1960" w:hanging="656"/>
        <w:spacing w:after="0"/>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u w:val="single" w:color="auto"/>
          <w:color w:val="auto"/>
        </w:rPr>
        <w:t>Successor Trustee by Merger,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u w:val="single" w:color="auto"/>
          <w:color w:val="auto"/>
        </w:rPr>
        <w:t>Preferential Collection of Claims Against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Satisfaction and Discharge of Indenture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6" w:lineRule="exact"/>
        <w:rPr>
          <w:sz w:val="20"/>
          <w:szCs w:val="20"/>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61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3120" w:hanging="520"/>
        <w:spacing w:after="0"/>
        <w:tabs>
          <w:tab w:leader="none" w:pos="31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w:t>
      </w:r>
    </w:p>
    <w:p>
      <w:pPr>
        <w:spacing w:after="0" w:line="225" w:lineRule="exact"/>
        <w:rPr>
          <w:rFonts w:ascii="Times New Roman" w:cs="Times New Roman" w:eastAsia="Times New Roman" w:hAnsi="Times New Roman"/>
          <w:sz w:val="18"/>
          <w:szCs w:val="18"/>
          <w:color w:val="auto"/>
        </w:rPr>
      </w:pPr>
    </w:p>
    <w:p>
      <w:pPr>
        <w:ind w:left="3120" w:hanging="520"/>
        <w:spacing w:after="0"/>
        <w:tabs>
          <w:tab w:leader="none" w:pos="31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w:t>
      </w:r>
    </w:p>
    <w:p>
      <w:pPr>
        <w:spacing w:after="0" w:line="22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34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75" w:lineRule="exact"/>
        <w:rPr>
          <w:rFonts w:ascii="Times New Roman" w:cs="Times New Roman" w:eastAsia="Times New Roman" w:hAnsi="Times New Roman"/>
          <w:sz w:val="18"/>
          <w:szCs w:val="18"/>
          <w:color w:val="auto"/>
        </w:rPr>
      </w:pPr>
    </w:p>
    <w:p>
      <w:pPr>
        <w:ind w:left="3120" w:hanging="520"/>
        <w:spacing w:after="0"/>
        <w:tabs>
          <w:tab w:leader="none" w:pos="31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180" w:lineRule="exact"/>
        <w:rPr>
          <w:sz w:val="20"/>
          <w:szCs w:val="20"/>
          <w:color w:val="auto"/>
        </w:rPr>
      </w:pPr>
    </w:p>
    <w:p>
      <w:pPr>
        <w:ind w:left="1960" w:hanging="656"/>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u w:val="single" w:color="auto"/>
          <w:color w:val="auto"/>
        </w:rPr>
        <w:t>Application of Trust Funds;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5" w:lineRule="auto"/>
        <w:tabs>
          <w:tab w:leader="none" w:pos="21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u w:val="single" w:color="auto"/>
          <w:color w:val="auto"/>
        </w:rPr>
        <w:t>Legal Defeasance of Securities of any Series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83" w:lineRule="exact"/>
        <w:rPr>
          <w:sz w:val="20"/>
          <w:szCs w:val="20"/>
          <w:color w:val="auto"/>
        </w:rPr>
      </w:pPr>
    </w:p>
    <w:p>
      <w:pPr>
        <w:jc w:val="both"/>
        <w:ind w:left="660" w:firstLine="644"/>
        <w:spacing w:after="0" w:line="261" w:lineRule="auto"/>
        <w:tabs>
          <w:tab w:leader="none" w:pos="21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225" w:lineRule="exact"/>
        <w:rPr>
          <w:rFonts w:ascii="Times New Roman" w:cs="Times New Roman" w:eastAsia="Times New Roman" w:hAnsi="Times New Roman"/>
          <w:sz w:val="18"/>
          <w:szCs w:val="18"/>
          <w:color w:val="auto"/>
        </w:rPr>
      </w:pPr>
    </w:p>
    <w:p>
      <w:pPr>
        <w:ind w:right="540" w:firstLine="1304"/>
        <w:spacing w:after="0" w:line="500" w:lineRule="auto"/>
        <w:tabs>
          <w:tab w:leader="none" w:pos="19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 provided that, the following conditions shall have been satisfied:</w:t>
      </w:r>
    </w:p>
    <w:p>
      <w:pPr>
        <w:spacing w:after="0" w:line="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20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660" w:right="20" w:firstLine="644"/>
        <w:spacing w:after="0" w:line="282" w:lineRule="auto"/>
        <w:tabs>
          <w:tab w:leader="none" w:pos="19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92" w:lineRule="exact"/>
        <w:rPr>
          <w:sz w:val="20"/>
          <w:szCs w:val="20"/>
          <w:color w:val="auto"/>
        </w:rPr>
      </w:pPr>
    </w:p>
    <w:p>
      <w:pPr>
        <w:jc w:val="both"/>
        <w:ind w:left="660" w:firstLine="644"/>
        <w:spacing w:after="0" w:line="253" w:lineRule="auto"/>
        <w:tabs>
          <w:tab w:leader="none" w:pos="20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94" w:lineRule="exact"/>
        <w:rPr>
          <w:rFonts w:ascii="Times New Roman" w:cs="Times New Roman" w:eastAsia="Times New Roman" w:hAnsi="Times New Roman"/>
          <w:sz w:val="18"/>
          <w:szCs w:val="18"/>
          <w:color w:val="auto"/>
        </w:rPr>
      </w:pPr>
    </w:p>
    <w:p>
      <w:pPr>
        <w:ind w:left="660" w:firstLine="644"/>
        <w:spacing w:after="0" w:line="282" w:lineRule="auto"/>
        <w:tabs>
          <w:tab w:leader="none" w:pos="20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left="1900" w:hanging="596"/>
        <w:spacing w:after="0"/>
        <w:tabs>
          <w:tab w:leader="none" w:pos="1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7"/>
          <w:szCs w:val="17"/>
          <w:u w:val="single" w:color="auto"/>
          <w:color w:val="auto"/>
        </w:rPr>
        <w:t>Repayment to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7"/>
          <w:szCs w:val="17"/>
          <w:u w:val="single" w:color="auto"/>
          <w:color w:val="auto"/>
        </w:rPr>
        <w:t>Reinstatement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u w:val="single" w:color="auto"/>
          <w:color w:val="auto"/>
        </w:rPr>
        <w:t>Without Consent of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ind w:left="1900" w:hanging="596"/>
        <w:spacing w:after="0"/>
        <w:tabs>
          <w:tab w:leader="none" w:pos="1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u w:val="single" w:color="auto"/>
          <w:color w:val="auto"/>
        </w:rPr>
        <w:t>With Consent of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Without the consent of each Holder affected, an amendment or waiver may not:</w:t>
      </w:r>
    </w:p>
    <w:p>
      <w:pPr>
        <w:spacing w:after="0" w:line="225" w:lineRule="exact"/>
        <w:rPr>
          <w:sz w:val="20"/>
          <w:szCs w:val="20"/>
          <w:color w:val="auto"/>
        </w:rPr>
      </w:pPr>
    </w:p>
    <w:p>
      <w:pPr>
        <w:ind w:left="1900" w:hanging="596"/>
        <w:spacing w:after="0"/>
        <w:tabs>
          <w:tab w:leader="none" w:pos="1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9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9.4.</w:t>
      </w:r>
      <w:r>
        <w:rPr>
          <w:rFonts w:ascii="Times New Roman" w:cs="Times New Roman" w:eastAsia="Times New Roman" w:hAnsi="Times New Roman"/>
          <w:sz w:val="17"/>
          <w:szCs w:val="17"/>
          <w:u w:val="single" w:color="auto"/>
          <w:color w:val="auto"/>
        </w:rPr>
        <w:t>Compliance with Trust Indenture Act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7"/>
          <w:szCs w:val="17"/>
          <w:u w:val="single" w:color="auto"/>
          <w:color w:val="auto"/>
        </w:rPr>
        <w:t>Revocation and Effect of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7"/>
          <w:szCs w:val="17"/>
          <w:u w:val="single" w:color="auto"/>
          <w:color w:val="auto"/>
        </w:rPr>
        <w:t>Notation on or Exchange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9.7.</w:t>
      </w:r>
      <w:r>
        <w:rPr>
          <w:sz w:val="20"/>
          <w:szCs w:val="20"/>
          <w:color w:val="auto"/>
        </w:rPr>
        <w:tab/>
      </w:r>
      <w:r>
        <w:rPr>
          <w:rFonts w:ascii="Times New Roman" w:cs="Times New Roman" w:eastAsia="Times New Roman" w:hAnsi="Times New Roman"/>
          <w:sz w:val="17"/>
          <w:szCs w:val="17"/>
          <w:u w:val="single" w:color="auto"/>
          <w:color w:val="auto"/>
        </w:rPr>
        <w:t>Trustee Protected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Trust Indenture Act Controls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 &amp; Secretary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524-5860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Marc D. Jaffe, Esq. and Jenna B. Cooper,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906-1200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[____]</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[____]</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[____]</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Holder receives it.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Company sends a notice or communication to Holders, it shall send a copy to the Trustee and each Agent at the same time.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Communication by Holders with Other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0" w:firstLine="644"/>
        <w:spacing w:after="0" w:line="282" w:lineRule="auto"/>
        <w:tabs>
          <w:tab w:leader="none" w:pos="18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660" w:right="600" w:firstLine="644"/>
        <w:spacing w:after="0" w:line="500" w:lineRule="auto"/>
        <w:tabs>
          <w:tab w:leader="none" w:pos="18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62" w:lineRule="exact"/>
        <w:rPr>
          <w:sz w:val="20"/>
          <w:szCs w:val="20"/>
          <w:color w:val="auto"/>
        </w:rPr>
      </w:pPr>
    </w:p>
    <w:p>
      <w:pPr>
        <w:ind w:left="1820" w:hanging="516"/>
        <w:spacing w:after="0"/>
        <w:tabs>
          <w:tab w:leader="none" w:pos="1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8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660" w:firstLine="644"/>
        <w:spacing w:after="0" w:line="282" w:lineRule="auto"/>
        <w:tabs>
          <w:tab w:leader="none" w:pos="18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Rules by Trustee and Agents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Holders of one or more Series. Any Agent may make reasonable rules and set reasonable requirements for its functions.</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payment date for any payment made under this Indenture is not a Business Day, payment may be made on the next succeeding Business Day, and no interest shall accrue for the intervening period.</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Section 11.2. Each sinking fund payment shall be applied to the redemption of Securities of any Series as provided for by the terms of the Securities of such Series.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u w:val="single" w:color="auto"/>
          <w:color w:val="auto"/>
        </w:rPr>
        <w:t>Redemption of Securities for Sinking Fund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220" w:hanging="44"/>
        <w:spacing w:after="0" w:line="261" w:lineRule="auto"/>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 ‘</w:t>
      </w:r>
    </w:p>
    <w:p>
      <w:pPr>
        <w:ind w:left="448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34118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 as Trustee</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34118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440" w:top="121" w:right="59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214312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-168275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10020-1401</w:t>
      </w:r>
    </w:p>
    <w:p>
      <w:pPr>
        <w:spacing w:after="0" w:line="234" w:lineRule="auto"/>
        <w:rPr>
          <w:sz w:val="20"/>
          <w:szCs w:val="20"/>
          <w:color w:val="auto"/>
        </w:rPr>
      </w:pPr>
      <w:r>
        <w:rPr>
          <w:rFonts w:ascii="Arial" w:cs="Arial" w:eastAsia="Arial" w:hAnsi="Arial"/>
          <w:sz w:val="18"/>
          <w:szCs w:val="18"/>
          <w:color w:val="auto"/>
        </w:rPr>
        <w:t>Tel: +1.212.906.1200 Fax: +1.212.751.4864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www.lw.com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Austin</w:t>
      </w:r>
      <w:r>
        <w:rPr>
          <w:sz w:val="20"/>
          <w:szCs w:val="20"/>
          <w:color w:val="auto"/>
        </w:rPr>
        <w:tab/>
      </w:r>
      <w:r>
        <w:rPr>
          <w:rFonts w:ascii="Arial" w:cs="Arial" w:eastAsia="Arial" w:hAnsi="Arial"/>
          <w:sz w:val="18"/>
          <w:szCs w:val="18"/>
          <w:color w:val="auto"/>
        </w:rPr>
        <w:t>Milan</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Munich</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New York</w:t>
      </w:r>
    </w:p>
    <w:p>
      <w:pPr>
        <w:spacing w:after="0" w:line="2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Orange County</w:t>
      </w:r>
    </w:p>
    <w:p>
      <w:pPr>
        <w:spacing w:after="0" w:line="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8"/>
          <w:szCs w:val="18"/>
          <w:color w:val="auto"/>
        </w:rPr>
        <w:t>Paris</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Riyadh</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San Diego</w:t>
      </w:r>
    </w:p>
    <w:p>
      <w:pPr>
        <w:spacing w:after="0" w:line="2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Francisco</w:t>
      </w:r>
    </w:p>
    <w:p>
      <w:pPr>
        <w:spacing w:after="0" w:line="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Seoul</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Silicon Valley</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7"/>
          <w:szCs w:val="17"/>
          <w:color w:val="auto"/>
        </w:rPr>
        <w:t>Singapore</w:t>
      </w:r>
    </w:p>
    <w:p>
      <w:pPr>
        <w:spacing w:after="0" w:line="2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Tel Aviv</w:t>
      </w:r>
    </w:p>
    <w:p>
      <w:pPr>
        <w:spacing w:after="0" w:line="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Tokyo</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Washington, D.C.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Madrid</w:t>
      </w:r>
    </w:p>
    <w:p>
      <w:pPr>
        <w:spacing w:after="0" w:line="638" w:lineRule="exact"/>
        <w:rPr>
          <w:sz w:val="20"/>
          <w:szCs w:val="20"/>
          <w:color w:val="auto"/>
        </w:rPr>
      </w:pPr>
    </w:p>
    <w:p>
      <w:pPr>
        <w:sectPr>
          <w:pgSz w:w="11900" w:h="16838" w:orient="portrait"/>
          <w:cols w:equalWidth="0" w:num="2">
            <w:col w:w="6040" w:space="720"/>
            <w:col w:w="4480"/>
          </w:cols>
          <w:pgMar w:left="320" w:top="414"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special counsel to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S-3 (as amended, the “</w:t>
      </w:r>
      <w:r>
        <w:rPr>
          <w:rFonts w:ascii="Times New Roman" w:cs="Times New Roman" w:eastAsia="Times New Roman" w:hAnsi="Times New Roman"/>
          <w:sz w:val="18"/>
          <w:szCs w:val="18"/>
          <w:b w:val="1"/>
          <w:bCs w:val="1"/>
          <w:i w:val="1"/>
          <w:iCs w:val="1"/>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including a base prospectus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which provides that it will be supplemented by one or more prospectus supplements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prospectus supplement, together with the 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registration for issue and sale by the Company of up to $40,000,000 aggregate offering amount of (i) shares of the Company’s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one or more series of the Company’s preferred stock, $0.001 par value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(iii) one or more series of the Company’s debt securities (collectively,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to be issued under an indenture to be entered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between the Company, as issuer, and a trustee (a form of which is included as Exhibit 4.4 to the Registration Statement) and one or more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resolutions, supplements thereto or officer’s certificates thereunder (such indenture, together with the applicable board resolution, supplement or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pertaining to the applicable series of Debt Securities, the “</w:t>
      </w:r>
      <w:r>
        <w:rPr>
          <w:rFonts w:ascii="Times New Roman" w:cs="Times New Roman" w:eastAsia="Times New Roman" w:hAnsi="Times New Roman"/>
          <w:sz w:val="18"/>
          <w:szCs w:val="18"/>
          <w:b w:val="1"/>
          <w:bCs w:val="1"/>
          <w:i w:val="1"/>
          <w:iCs w:val="1"/>
          <w:color w:val="auto"/>
        </w:rPr>
        <w:t>Applicable Indenture</w:t>
      </w:r>
      <w:r>
        <w:rPr>
          <w:rFonts w:ascii="Times New Roman" w:cs="Times New Roman" w:eastAsia="Times New Roman" w:hAnsi="Times New Roman"/>
          <w:sz w:val="18"/>
          <w:szCs w:val="18"/>
          <w:color w:val="auto"/>
        </w:rPr>
        <w:t>”), (iv) warrants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(v) purchase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Contracts</w:t>
      </w:r>
      <w:r>
        <w:rPr>
          <w:rFonts w:ascii="Times New Roman" w:cs="Times New Roman" w:eastAsia="Times New Roman" w:hAnsi="Times New Roman"/>
          <w:sz w:val="18"/>
          <w:szCs w:val="18"/>
          <w:color w:val="auto"/>
        </w:rPr>
        <w:t>”), and (vi) units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The Common Stock, Preferred Stock, Debt Securities, Warrants, Purchase Contracts and Units, plus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Common Stock, Preferred Stock, Debt Securities, Warrants, Purchase Contracts and Units that may be registered pursuant to any subsequent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that the Company may hereafter file with the Commission pursuant to Rule 462(b) under the Act in connection with the offering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contemplated by the Registration Statement, are referred to herein collectively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May 28,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57325"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145732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with respect to the opinions set forth in paragraphs 3 through 6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left="660" w:right="100" w:hanging="652"/>
        <w:spacing w:after="0" w:line="255"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certificate of incorporation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and (b) authorized by the board of directors of the Company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spacing w:after="0" w:line="188" w:lineRule="exact"/>
        <w:rPr>
          <w:rFonts w:ascii="Times New Roman" w:cs="Times New Roman" w:eastAsia="Times New Roman" w:hAnsi="Times New Roman"/>
          <w:sz w:val="18"/>
          <w:szCs w:val="18"/>
          <w:color w:val="auto"/>
        </w:rPr>
      </w:pPr>
    </w:p>
    <w:p>
      <w:pPr>
        <w:ind w:left="660" w:right="100" w:hanging="652"/>
        <w:spacing w:after="0" w:line="255"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series of Preferred Stock has been duly established in accordance with the terms of the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w:t>
      </w:r>
    </w:p>
    <w:p>
      <w:pPr>
        <w:spacing w:after="0" w:line="188" w:lineRule="exact"/>
        <w:rPr>
          <w:rFonts w:ascii="Times New Roman" w:cs="Times New Roman" w:eastAsia="Times New Roman" w:hAnsi="Times New Roman"/>
          <w:sz w:val="18"/>
          <w:szCs w:val="18"/>
          <w:color w:val="auto"/>
        </w:rPr>
      </w:pPr>
    </w:p>
    <w:p>
      <w:pPr>
        <w:ind w:left="660" w:right="60" w:hanging="652"/>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May 28,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57325"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1457325" cy="10287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60" w:hanging="652"/>
        <w:spacing w:after="0" w:line="25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88" w:lineRule="exact"/>
        <w:rPr>
          <w:rFonts w:ascii="Times New Roman" w:cs="Times New Roman" w:eastAsia="Times New Roman" w:hAnsi="Times New Roman"/>
          <w:sz w:val="18"/>
          <w:szCs w:val="18"/>
          <w:color w:val="auto"/>
        </w:rPr>
      </w:pPr>
    </w:p>
    <w:p>
      <w:pPr>
        <w:ind w:left="660" w:right="40" w:hanging="652"/>
        <w:spacing w:after="0" w:line="25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purchase contract agreement has been duly authorized, executed and delivered by all necessary corporate action of the Company, and when the specific terms of a particular issue of Purchase Contracts have been duly authorized in accordance with the terms of the applicable purchase contract agreement and authorized by all necessary corporate action of the Company, and such Purchase Contracts have been duly executed, authenticated, issued and delivered against payment therefor in accordance with the terms of the applicable purchase contract agreement and in the manner contemplated by the applicable Prospectus and by such corporate action (assuming the securities issuable under such Purchase Contracts have been duly authorized and reserved for issuance by all necessary corporate action), such Purchase Contracts will be the legally valid and binding obligations of the Company, enforceable against the Company in accordance with their terms.</w:t>
      </w:r>
    </w:p>
    <w:p>
      <w:pPr>
        <w:spacing w:after="0" w:line="188" w:lineRule="exact"/>
        <w:rPr>
          <w:rFonts w:ascii="Times New Roman" w:cs="Times New Roman" w:eastAsia="Times New Roman" w:hAnsi="Times New Roman"/>
          <w:sz w:val="18"/>
          <w:szCs w:val="18"/>
          <w:color w:val="auto"/>
        </w:rPr>
      </w:pPr>
    </w:p>
    <w:p>
      <w:pPr>
        <w:ind w:left="660" w:right="20" w:hanging="652"/>
        <w:spacing w:after="0" w:line="25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89"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May 28,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57325"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145732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With your consent, we have assumed (a) that each of the Debt Securities, Warrants, Purchase Contracts and Units and the Applicable Indenture, warrant agreements, purchase contract agreements and unit agreements governing such Securities (collectively, the “</w:t>
      </w:r>
      <w:r>
        <w:rPr>
          <w:rFonts w:ascii="Times New Roman" w:cs="Times New Roman" w:eastAsia="Times New Roman" w:hAnsi="Times New Roman"/>
          <w:sz w:val="17"/>
          <w:szCs w:val="17"/>
          <w:b w:val="1"/>
          <w:bCs w:val="1"/>
          <w:i w:val="1"/>
          <w:iCs w:val="1"/>
          <w:color w:val="auto"/>
        </w:rPr>
        <w:t>Documents</w:t>
      </w:r>
      <w:r>
        <w:rPr>
          <w:rFonts w:ascii="Times New Roman" w:cs="Times New Roman" w:eastAsia="Times New Roman" w:hAnsi="Times New Roman"/>
          <w:sz w:val="17"/>
          <w:szCs w:val="17"/>
          <w:color w:val="auto"/>
        </w:rPr>
        <w:t>”) will be governed by the internal laws of the State of New York, (b) that each of the Documents has been or will be duly authorized, executed and delivered by the parties thereto,</w:t>
      </w:r>
    </w:p>
    <w:p>
      <w:pPr>
        <w:spacing w:after="0" w:line="2" w:lineRule="exact"/>
        <w:rPr>
          <w:sz w:val="20"/>
          <w:szCs w:val="20"/>
          <w:color w:val="auto"/>
        </w:rPr>
      </w:pPr>
    </w:p>
    <w:p>
      <w:pPr>
        <w:ind w:firstLine="8"/>
        <w:spacing w:after="0" w:line="253"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May 28,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57325"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145732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Rent the Runway, Inc. of our report dated April 11, 2024 relating to the financial statements, which appears in Rent the Runway, Inc.'s Annual Report on Form 10-K for the year ended January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6" w:name="page97"/>
    <w:bookmarkEnd w:id="96"/>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Calculation of Filing Fee Tables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1: Newly Registered and Carry Forward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 w:type="dxa"/>
            <w:vAlign w:val="bottom"/>
            <w:tcBorders>
              <w:right w:val="single" w:sz="8" w:color="auto"/>
            </w:tcBorders>
          </w:tcPr>
          <w:p>
            <w:pPr>
              <w:spacing w:after="0"/>
              <w:rPr>
                <w:sz w:val="23"/>
                <w:szCs w:val="23"/>
                <w:color w:val="auto"/>
              </w:rPr>
            </w:pPr>
          </w:p>
        </w:tc>
        <w:tc>
          <w:tcPr>
            <w:tcW w:w="132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spacing w:after="0"/>
              <w:rPr>
                <w:sz w:val="23"/>
                <w:szCs w:val="23"/>
                <w:color w:val="auto"/>
              </w:rPr>
            </w:pPr>
          </w:p>
        </w:tc>
        <w:tc>
          <w:tcPr>
            <w:tcW w:w="110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w:t>
            </w:r>
          </w:p>
        </w:tc>
        <w:tc>
          <w:tcPr>
            <w:tcW w:w="14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22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spacing w:after="0"/>
              <w:rPr>
                <w:sz w:val="23"/>
                <w:szCs w:val="23"/>
                <w:color w:val="auto"/>
              </w:rPr>
            </w:pPr>
          </w:p>
        </w:tc>
        <w:tc>
          <w:tcPr>
            <w:tcW w:w="12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Calculation</w:t>
            </w: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or Carry</w:t>
            </w: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Forward</w:t>
            </w: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Rule</w:t>
            </w: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Stock, $0.001</w:t>
            </w:r>
          </w:p>
        </w:tc>
        <w:tc>
          <w:tcPr>
            <w:tcW w:w="11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shd w:val="clear" w:color="auto" w:fill="000000"/>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par value per</w:t>
            </w:r>
          </w:p>
        </w:tc>
        <w:tc>
          <w:tcPr>
            <w:tcW w:w="11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shd w:val="clear" w:color="auto" w:fill="000000"/>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$0.001</w:t>
            </w: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shd w:val="clear" w:color="auto" w:fill="000000"/>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par value per</w:t>
            </w:r>
          </w:p>
        </w:tc>
        <w:tc>
          <w:tcPr>
            <w:tcW w:w="11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shd w:val="clear" w:color="auto" w:fill="000000"/>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1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11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11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12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$147.60 per</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240" w:type="dxa"/>
            <w:vAlign w:val="bottom"/>
            <w:tcBorders>
              <w:right w:val="single" w:sz="8" w:color="auto"/>
            </w:tcBorders>
          </w:tcPr>
          <w:p>
            <w:pPr>
              <w:spacing w:after="0"/>
              <w:rPr>
                <w:sz w:val="9"/>
                <w:szCs w:val="9"/>
                <w:color w:val="auto"/>
              </w:rPr>
            </w:pPr>
          </w:p>
        </w:tc>
        <w:tc>
          <w:tcPr>
            <w:tcW w:w="11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457(o)</w:t>
            </w: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$40,000,000</w:t>
            </w:r>
          </w:p>
        </w:tc>
        <w:tc>
          <w:tcPr>
            <w:tcW w:w="12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$5,904.00(4)</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shd w:val="clear" w:color="auto" w:fill="000000"/>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240" w:type="dxa"/>
            <w:vAlign w:val="bottom"/>
            <w:tcBorders>
              <w:right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$40,000,000</w:t>
            </w: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$5,904.00</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3"/>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$5,904.00</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160" w:hanging="492"/>
        <w:spacing w:after="0" w:line="255"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2" w:lineRule="exact"/>
        <w:rPr>
          <w:rFonts w:ascii="Times New Roman" w:cs="Times New Roman" w:eastAsia="Times New Roman" w:hAnsi="Times New Roman"/>
          <w:sz w:val="18"/>
          <w:szCs w:val="18"/>
          <w:color w:val="auto"/>
        </w:rPr>
      </w:pPr>
    </w:p>
    <w:p>
      <w:pPr>
        <w:ind w:left="500" w:right="140" w:hanging="492"/>
        <w:spacing w:after="0" w:line="250"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rights to acquire common stock or preferred stock of the Company under any shareholder rights plan then in effect, if applicable under the terms of any such plan.</w:t>
      </w:r>
    </w:p>
    <w:p>
      <w:pPr>
        <w:ind w:left="500" w:right="40" w:hanging="492"/>
        <w:spacing w:after="0" w:line="265" w:lineRule="auto"/>
        <w:tabs>
          <w:tab w:leader="none" w:pos="5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$40,000,000 (the “Maximum Offering Price”).</w:t>
      </w:r>
    </w:p>
    <w:p>
      <w:pPr>
        <w:ind w:left="500" w:hanging="492"/>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lowerRoman"/>
      <w:start w:val="3"/>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07"/>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4B588F54"/>
    <w:multiLevelType w:val="hybridMultilevel"/>
    <w:lvl w:ilvl="0">
      <w:lvlJc w:val="left"/>
      <w:lvlText w:val="(%1)"/>
      <w:numFmt w:val="decimal"/>
      <w:start w:val="2"/>
    </w:lvl>
  </w:abstractNum>
  <w:abstractNum w:abstractNumId="26">
    <w:nsid w:val="542289EC"/>
    <w:multiLevelType w:val="hybridMultilevel"/>
    <w:lvl w:ilvl="0">
      <w:lvlJc w:val="left"/>
      <w:lvlText w:val="(%1)"/>
      <w:numFmt w:val="decimal"/>
      <w:start w:val="5"/>
    </w:lvl>
    <w:lvl w:ilvl="1">
      <w:lvlJc w:val="left"/>
      <w:lvlText w:val="(%2)"/>
      <w:numFmt w:val="upperLetter"/>
      <w:start w:val="1"/>
    </w:lvl>
  </w:abstractNum>
  <w:abstractNum w:abstractNumId="27">
    <w:nsid w:val="6DE91B1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8">
    <w:nsid w:val="38437FD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9">
    <w:nsid w:val="7644A45C"/>
    <w:multiLevelType w:val="hybridMultilevel"/>
    <w:lvl w:ilvl="0">
      <w:lvlJc w:val="left"/>
      <w:lvlText w:val="(%1)"/>
      <w:numFmt w:val="lowerLetter"/>
      <w:start w:val="8"/>
    </w:lvl>
  </w:abstractNum>
  <w:abstractNum w:abstractNumId="30">
    <w:nsid w:val="32FFF902"/>
    <w:multiLevelType w:val="hybridMultilevel"/>
    <w:lvl w:ilvl="0">
      <w:lvlJc w:val="left"/>
      <w:lvlText w:val="(%1)"/>
      <w:numFmt w:val="lowerLetter"/>
      <w:start w:val="10"/>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5"/>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1"/>
    </w:lvl>
    <w:lvl w:ilvl="1">
      <w:lvlJc w:val="left"/>
      <w:lvlText w:val="(%2)"/>
      <w:numFmt w:val="lowerRoman"/>
      <w:start w:val="1"/>
    </w:lvl>
  </w:abstractNum>
  <w:abstractNum w:abstractNumId="36">
    <w:nsid w:val="79A1DEAA"/>
    <w:multiLevelType w:val="hybridMultilevel"/>
    <w:lvl w:ilvl="0">
      <w:lvlJc w:val="left"/>
      <w:lvlText w:val="(%1)"/>
      <w:numFmt w:val="lowerLetter"/>
      <w:start w:val="6"/>
    </w:lvl>
  </w:abstractNum>
  <w:abstractNum w:abstractNumId="37">
    <w:nsid w:val="75C6C33A"/>
    <w:multiLevelType w:val="hybridMultilevel"/>
    <w:lvl w:ilvl="0">
      <w:lvlJc w:val="left"/>
      <w:lvlText w:val="(%1)"/>
      <w:numFmt w:val="lowerLetter"/>
      <w:start w:val="5"/>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2"/>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2"/>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1"/>
    </w:lvl>
    <w:lvl w:ilvl="1">
      <w:lvlJc w:val="left"/>
      <w:lvlText w:val="(%2)"/>
      <w:numFmt w:val="lowerRoman"/>
      <w:start w:val="1"/>
    </w:lvl>
  </w:abstractNum>
  <w:abstractNum w:abstractNumId="45">
    <w:nsid w:val="275AC794"/>
    <w:multiLevelType w:val="hybridMultilevel"/>
    <w:lvl w:ilvl="0">
      <w:lvlJc w:val="left"/>
      <w:lvlText w:val="%1"/>
      <w:numFmt w:val="lowerLetter"/>
      <w:start w:val="1"/>
    </w:lvl>
    <w:lvl w:ilvl="1">
      <w:lvlJc w:val="left"/>
      <w:lvlText w:val="(%2)"/>
      <w:numFmt w:val="lowerRoman"/>
      <w:start w:val="2"/>
    </w:lvl>
  </w:abstractNum>
  <w:abstractNum w:abstractNumId="46">
    <w:nsid w:val="39386575"/>
    <w:multiLevelType w:val="hybridMultilevel"/>
    <w:lvl w:ilvl="0">
      <w:lvlJc w:val="left"/>
      <w:lvlText w:val="(%1)"/>
      <w:numFmt w:val="lowerLetter"/>
      <w:start w:val="4"/>
    </w:lvl>
    <w:lvl w:ilvl="1">
      <w:lvlJc w:val="left"/>
      <w:lvlText w:val="%2"/>
      <w:numFmt w:val="lowerRoman"/>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1">
    <w:nsid w:val="354FE9F9"/>
    <w:multiLevelType w:val="hybridMultilevel"/>
    <w:lvl w:ilvl="0">
      <w:lvlJc w:val="left"/>
      <w:lvlText w:val="(%1)"/>
      <w:numFmt w:val="lowerLetter"/>
      <w:start w:val="2"/>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lowerLetter"/>
      <w:start w:val="8"/>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3"/>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3"/>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4"/>
    </w:lvl>
  </w:abstractNum>
  <w:abstractNum w:abstractNumId="64">
    <w:nsid w:val="25A70BF7"/>
    <w:multiLevelType w:val="hybridMultilevel"/>
    <w:lvl w:ilvl="0">
      <w:lvlJc w:val="left"/>
      <w:lvlText w:val="(%1)"/>
      <w:numFmt w:val="lowerLetter"/>
      <w:start w:val="3"/>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jpe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jpeg"/><Relationship Id="rId133" Type="http://schemas.openxmlformats.org/officeDocument/2006/relationships/image" Target="media/image115.png"/><Relationship Id="rId134" Type="http://schemas.openxmlformats.org/officeDocument/2006/relationships/image" Target="media/image116.jpeg"/><Relationship Id="rId135" Type="http://schemas.openxmlformats.org/officeDocument/2006/relationships/image" Target="media/image117.png"/><Relationship Id="rId136" Type="http://schemas.openxmlformats.org/officeDocument/2006/relationships/image" Target="media/image118.jpeg"/><Relationship Id="rId137" Type="http://schemas.openxmlformats.org/officeDocument/2006/relationships/image" Target="media/image119.png"/><Relationship Id="rId138" Type="http://schemas.openxmlformats.org/officeDocument/2006/relationships/image" Target="media/image120.jpe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20" Type="http://schemas.openxmlformats.org/officeDocument/2006/relationships/hyperlink" Target="https://www.sec.gov/ix?doc=/Archives/edgar/data/1468327/000146832724000114/wdq-20240131.htm" TargetMode="External"/><Relationship Id="rId21" Type="http://schemas.openxmlformats.org/officeDocument/2006/relationships/hyperlink" Target="https://www.sec.gov/Archives/edgar/data/1468327/000114036124027298/ny20027500x1_def14a.htm" TargetMode="External"/><Relationship Id="rId22" Type="http://schemas.openxmlformats.org/officeDocument/2006/relationships/hyperlink" Target="https://www.sec.gov/ix?doc=/Archives/edgar/data/1468327/000146832724000094/wdq-20240321.htm" TargetMode="External"/><Relationship Id="rId23" Type="http://schemas.openxmlformats.org/officeDocument/2006/relationships/hyperlink" Target="https://www.sec.gov/ix?doc=/Archives/edgar/data/1468327/000146832724000100/wdq-20240327.htm" TargetMode="External"/><Relationship Id="rId24" Type="http://schemas.openxmlformats.org/officeDocument/2006/relationships/hyperlink" Target="https://www.sec.gov/ix?doc=/Archives/edgar/data/1468327/000146832724000160/wdq-20240515.htm" TargetMode="External"/><Relationship Id="rId25" Type="http://schemas.openxmlformats.org/officeDocument/2006/relationships/hyperlink" Target="https://www.sec.gov/Archives/edgar/data/1468327/000146832724000114/rent-fy202310xkxdescript.htm" TargetMode="External"/><Relationship Id="rId55" Type="http://schemas.openxmlformats.org/officeDocument/2006/relationships/hyperlink" Target="https://www.sec.gov/Archives/edgar/data/1468327/000119312521313321/d211519dex31.htm" TargetMode="External"/><Relationship Id="rId56" Type="http://schemas.openxmlformats.org/officeDocument/2006/relationships/hyperlink" Target="https://www.sec.gov/Archives/edgar/data/1468327/000146832724000100/exhibit31certificateofam.htm" TargetMode="External"/><Relationship Id="rId57" Type="http://schemas.openxmlformats.org/officeDocument/2006/relationships/hyperlink" Target="https://www.sec.gov/Archives/edgar/data/0001468327/000119312521313321/d211519dex32.htm" TargetMode="External"/><Relationship Id="rId58" Type="http://schemas.openxmlformats.org/officeDocument/2006/relationships/hyperlink" Target="https://www.sec.gov/Archives/edgar/data/0001468327/000119312521291103/d194411dex41.htm" TargetMode="External"/><Relationship Id="rId59" Type="http://schemas.openxmlformats.org/officeDocument/2006/relationships/hyperlink" Target="https://www.sec.gov/Archives/edgar/data/0001468327/000119312521291103/d19441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2024-05-28T17:18:11Z</dcterms:created>
  <dcterms:modified xsi:type="dcterms:W3CDTF">2024-05-28T17:18:11Z</dcterms:modified>
</cp:coreProperties>
</file>