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3740" w:right="1480" w:hanging="3708"/>
        <w:spacing w:after="0" w:line="423" w:lineRule="auto"/>
        <w:tabs>
          <w:tab w:leader="none" w:pos="54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2024</w:t>
      </w:r>
    </w:p>
    <w:p>
      <w:pPr>
        <w:jc w:val="center"/>
        <w:spacing w:after="0"/>
        <w:rPr>
          <w:sz w:val="20"/>
          <w:szCs w:val="20"/>
          <w:color w:val="auto"/>
        </w:rPr>
      </w:pPr>
      <w:r>
        <w:rPr>
          <w:rFonts w:ascii="Arial" w:cs="Arial" w:eastAsia="Arial" w:hAnsi="Arial"/>
          <w:sz w:val="14"/>
          <w:szCs w:val="14"/>
          <w:b w:val="1"/>
          <w:bCs w:val="1"/>
          <w:color w:val="auto"/>
        </w:rPr>
        <w:t>OR</w:t>
      </w:r>
    </w:p>
    <w:p>
      <w:pPr>
        <w:spacing w:after="0" w:line="329" w:lineRule="exact"/>
        <w:rPr>
          <w:sz w:val="24"/>
          <w:szCs w:val="24"/>
          <w:color w:val="auto"/>
        </w:rPr>
      </w:pPr>
    </w:p>
    <w:p>
      <w:pPr>
        <w:ind w:left="3440" w:right="1500" w:hanging="3408"/>
        <w:spacing w:after="0" w:line="417"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98"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243" w:right="319" w:bottom="1440" w:gutter="0" w:footer="0" w:header="0"/>
        </w:sectPr>
      </w:pPr>
    </w:p>
    <w:p>
      <w:pPr>
        <w:spacing w:after="0" w:line="27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31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4"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incorporation or organization)</w:t>
      </w:r>
    </w:p>
    <w:p>
      <w:pPr>
        <w:spacing w:after="0" w:line="11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9"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86360</wp:posOffset>
            </wp:positionV>
            <wp:extent cx="354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3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103505</wp:posOffset>
            </wp:positionV>
            <wp:extent cx="354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040" w:space="720"/>
            <w:col w:w="3500"/>
          </w:cols>
          <w:pgMar w:left="320" w:top="1243" w:right="319" w:bottom="1440" w:gutter="0" w:footer="0" w:header="0"/>
          <w:type w:val="continuous"/>
        </w:sectPr>
      </w:pP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Global Market</w:t>
            </w:r>
          </w:p>
        </w:tc>
      </w:tr>
    </w:tbl>
    <w:p>
      <w:pPr>
        <w:spacing w:after="0" w:line="251"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243" w:right="31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3" w:right="319" w:bottom="1440" w:gutter="0" w:footer="0" w:header="0"/>
          <w:type w:val="continuous"/>
        </w:sectPr>
      </w:pPr>
    </w:p>
    <w:bookmarkStart w:id="1" w:name="page2"/>
    <w:bookmarkEnd w:id="1"/>
    <w:p>
      <w:pPr>
        <w:ind w:right="26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line="242" w:lineRule="exact"/>
        <w:tabs>
          <w:tab w:leader="none" w:pos="2580" w:val="left"/>
          <w:tab w:leader="none" w:pos="332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6"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9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7"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06" w:right="339" w:bottom="1440" w:gutter="0" w:footer="0" w:header="0"/>
          <w:type w:val="continuous"/>
        </w:sectPr>
      </w:pPr>
    </w:p>
    <w:p>
      <w:pPr>
        <w:spacing w:after="0" w:line="343"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registrant had outstanding 3,652,722 shares of Class A common stock and 155,398 shares of Class B common stock as of August 30, 2024. The foregoing reflects the reverse stock split of the registrant’s Class A common stock and Class B common stock that became effective on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tcPr>
          <w:p>
            <w:pPr>
              <w:spacing w:after="0"/>
              <w:rPr>
                <w:sz w:val="16"/>
                <w:szCs w:val="16"/>
                <w:color w:val="auto"/>
              </w:rPr>
            </w:pP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tcBorders>
              <w:top w:val="single" w:sz="8" w:color="CCEEFF"/>
            </w:tcBorders>
            <w:gridSpan w:val="2"/>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8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tcBorders>
              <w:top w:val="single" w:sz="8" w:color="CCEEFF"/>
            </w:tcBorders>
            <w:gridSpan w:val="2"/>
          </w:tcPr>
          <w:p>
            <w:pPr>
              <w:spacing w:after="0"/>
              <w:rPr>
                <w:sz w:val="16"/>
                <w:szCs w:val="16"/>
                <w:color w:val="auto"/>
              </w:rPr>
            </w:pPr>
          </w:p>
        </w:tc>
        <w:tc>
          <w:tcPr>
            <w:tcW w:w="48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454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5.</w:t>
            </w:r>
          </w:p>
        </w:tc>
        <w:tc>
          <w:tcPr>
            <w:tcW w:w="460" w:type="dxa"/>
            <w:vAlign w:val="bottom"/>
            <w:tcBorders>
              <w:top w:val="single" w:sz="8" w:color="CCEEFF"/>
            </w:tcBorders>
            <w:gridSpan w:val="2"/>
          </w:tcPr>
          <w:p>
            <w:pPr>
              <w:spacing w:after="0"/>
              <w:rPr>
                <w:sz w:val="16"/>
                <w:szCs w:val="16"/>
                <w:color w:val="auto"/>
              </w:rPr>
            </w:pPr>
          </w:p>
        </w:tc>
        <w:tc>
          <w:tcPr>
            <w:tcW w:w="19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Other Information</w:t>
            </w:r>
          </w:p>
        </w:tc>
        <w:tc>
          <w:tcPr>
            <w:tcW w:w="74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7"/>
              </w:rPr>
              <w:t>Signatures</w:t>
            </w:r>
          </w:p>
        </w:tc>
        <w:tc>
          <w:tcPr>
            <w:tcW w:w="8520" w:type="dxa"/>
            <w:vAlign w:val="bottom"/>
            <w:gridSpan w:val="11"/>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consumer discretionary spending and have been, and may in the future be, adversely affected by economic downturns and other macroeconomic conditions or trends.</w:t>
      </w:r>
    </w:p>
    <w:p>
      <w:pPr>
        <w:spacing w:after="0" w:line="4"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acquire 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8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restructuring of our operations, which could adversely affect our financial condition, results of operations, cash flows, or business reputation.</w:t>
      </w:r>
    </w:p>
    <w:p>
      <w:pPr>
        <w:spacing w:after="0" w:line="1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4"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76"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experience and expertise of our Co-Founder and Chief Executive Officer, senior management team, key technical and strategic employees and hourly personnel.</w:t>
      </w:r>
    </w:p>
    <w:p>
      <w:pPr>
        <w:spacing w:after="0" w:line="17"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obtain, maintain, protect and enforce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and manufacturing partners from whom our products are sourced or co-manufactured.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 w:name="page5"/>
    <w:bookmarkEnd w:id="4"/>
    <w:p>
      <w:pPr>
        <w:ind w:left="660" w:right="1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7"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22"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8"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33"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had a material adverse impact on our business. Other future pandemics or public health crises may have a similar adverse impact on our business.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depth and availability initiatives, sustainability initiatives, business plans, promotional and marketing strategy and onboarding initiatives, impacts from our January 2024 restructuring plan, our 2023 transportation deal with a major national carrier and other cost-savings initiatives, anticipated future expenditures, product acquisition expectations, compliance with our debt covenants, market growth and our objectives for future operations.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July 31, 2024.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14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Balance Sheets - Unaudited as of July 31, 2024 and Audited as of January 31, 2024</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140" w:type="dxa"/>
            <w:vAlign w:val="bottom"/>
            <w:gridSpan w:val="21"/>
            <w:vMerge w:val="continue"/>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 Unaudited for the three and six months ended July 31, 2024 and 2023</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984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Condensed Consolidated Statements of Changes in Stockholders’ Equity (Deficit) - Unaudited for the three and six months</w:t>
            </w:r>
          </w:p>
        </w:tc>
        <w:tc>
          <w:tcPr>
            <w:tcW w:w="3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97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ended July 31, 2024 and 2023</w:t>
            </w:r>
          </w:p>
        </w:tc>
        <w:tc>
          <w:tcPr>
            <w:tcW w:w="380" w:type="dxa"/>
            <w:vAlign w:val="bottom"/>
            <w:gridSpan w:val="2"/>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Statements of Cash Flows - Unaudited for the six months ended July 31, 2024 and 2023</w:t>
            </w:r>
          </w:p>
        </w:tc>
        <w:tc>
          <w:tcPr>
            <w:tcW w:w="1040" w:type="dxa"/>
            <w:vAlign w:val="bottom"/>
            <w:gridSpan w:val="3"/>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10140" w:type="dxa"/>
            <w:vAlign w:val="bottom"/>
            <w:gridSpan w:val="21"/>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ind w:left="120"/>
              <w:spacing w:after="0" w:line="195" w:lineRule="exact"/>
              <w:rPr>
                <w:sz w:val="20"/>
                <w:szCs w:val="20"/>
                <w:color w:val="auto"/>
              </w:rPr>
            </w:pPr>
            <w:r>
              <w:rPr>
                <w:rFonts w:ascii="Arial" w:cs="Arial" w:eastAsia="Arial" w:hAnsi="Arial"/>
                <w:sz w:val="18"/>
                <w:szCs w:val="18"/>
                <w:color w:val="0000FF"/>
                <w:w w:val="92"/>
              </w:rPr>
              <w:t>1.</w:t>
            </w:r>
          </w:p>
        </w:tc>
        <w:tc>
          <w:tcPr>
            <w:tcW w:w="9860" w:type="dxa"/>
            <w:vAlign w:val="bottom"/>
            <w:gridSpan w:val="19"/>
          </w:tcPr>
          <w:p>
            <w:pPr>
              <w:ind w:left="40"/>
              <w:spacing w:after="0" w:line="195" w:lineRule="exact"/>
              <w:rPr>
                <w:sz w:val="20"/>
                <w:szCs w:val="20"/>
                <w:color w:val="auto"/>
              </w:rPr>
            </w:pPr>
            <w:r>
              <w:rPr>
                <w:rFonts w:ascii="Arial" w:cs="Arial" w:eastAsia="Arial" w:hAnsi="Arial"/>
                <w:sz w:val="18"/>
                <w:szCs w:val="18"/>
                <w:color w:val="0000FF"/>
              </w:rPr>
              <w:t>Business</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Liquidity</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Restructuring and Related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Leases - Lessee Accounting</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Rental Product, Net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8.</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60" w:type="dxa"/>
            <w:vAlign w:val="bottom"/>
            <w:gridSpan w:val="19"/>
          </w:tcPr>
          <w:p>
            <w:pPr>
              <w:ind w:left="40"/>
              <w:spacing w:after="0"/>
              <w:rPr>
                <w:sz w:val="20"/>
                <w:szCs w:val="20"/>
                <w:color w:val="auto"/>
              </w:rPr>
            </w:pPr>
            <w:r>
              <w:rPr>
                <w:rFonts w:ascii="Arial" w:cs="Arial" w:eastAsia="Arial" w:hAnsi="Arial"/>
                <w:sz w:val="18"/>
                <w:szCs w:val="18"/>
                <w:color w:val="0000FF"/>
              </w:rPr>
              <w:t>Accrued Expenses and Other 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9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10. Fair Value Measurements</w:t>
            </w:r>
          </w:p>
        </w:tc>
        <w:tc>
          <w:tcPr>
            <w:tcW w:w="6040" w:type="dxa"/>
            <w:vAlign w:val="bottom"/>
            <w:gridSpan w:val="6"/>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9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11. Stockholders’ Equity</w:t>
            </w:r>
          </w:p>
        </w:tc>
        <w:tc>
          <w:tcPr>
            <w:tcW w:w="420" w:type="dxa"/>
            <w:vAlign w:val="bottom"/>
            <w:tcBorders>
              <w:top w:val="single" w:sz="8" w:color="0000FF"/>
            </w:tcBorders>
            <w:gridSpan w:val="2"/>
          </w:tcPr>
          <w:p>
            <w:pPr>
              <w:spacing w:after="0"/>
              <w:rPr>
                <w:sz w:val="18"/>
                <w:szCs w:val="18"/>
                <w:color w:val="auto"/>
              </w:rPr>
            </w:pPr>
          </w:p>
        </w:tc>
        <w:tc>
          <w:tcPr>
            <w:tcW w:w="7680" w:type="dxa"/>
            <w:vAlign w:val="bottom"/>
            <w:gridSpan w:val="12"/>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0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12. Share-based Compensation Plans</w:t>
            </w:r>
          </w:p>
        </w:tc>
        <w:tc>
          <w:tcPr>
            <w:tcW w:w="6980" w:type="dxa"/>
            <w:vAlign w:val="bottom"/>
            <w:gridSpan w:val="8"/>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13. Net Loss per Share Attributable to Common Stockholders</w:t>
            </w:r>
          </w:p>
        </w:tc>
        <w:tc>
          <w:tcPr>
            <w:tcW w:w="5140" w:type="dxa"/>
            <w:vAlign w:val="bottom"/>
            <w:gridSpan w:val="5"/>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20" w:type="dxa"/>
            <w:vAlign w:val="bottom"/>
            <w:gridSpan w:val="20"/>
          </w:tcPr>
          <w:p>
            <w:pPr>
              <w:spacing w:after="0"/>
              <w:rPr>
                <w:sz w:val="20"/>
                <w:szCs w:val="20"/>
                <w:color w:val="auto"/>
              </w:rPr>
            </w:pPr>
            <w:r>
              <w:rPr>
                <w:rFonts w:ascii="Arial" w:cs="Arial" w:eastAsia="Arial" w:hAnsi="Arial"/>
                <w:sz w:val="18"/>
                <w:szCs w:val="18"/>
                <w:color w:val="0000FF"/>
              </w:rPr>
              <w:t>14. Commitments and Contingencies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2"/>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19"/>
        </w:trPr>
        <w:tc>
          <w:tcPr>
            <w:tcW w:w="83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6"/>
        </w:trPr>
        <w:tc>
          <w:tcPr>
            <w:tcW w:w="832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2"/>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832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8"/>
        </w:trPr>
        <w:tc>
          <w:tcPr>
            <w:tcW w:w="83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411.9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88"/>
        </w:trPr>
        <w:tc>
          <w:tcPr>
            <w:tcW w:w="83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 (deficit)</w:t>
            </w:r>
          </w:p>
        </w:tc>
        <w:tc>
          <w:tcPr>
            <w:tcW w:w="9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July 31, 2024 and January 31, 2024;</w:t>
            </w:r>
          </w:p>
        </w:tc>
        <w:tc>
          <w:tcPr>
            <w:tcW w:w="980" w:type="dxa"/>
            <w:vAlign w:val="bottom"/>
          </w:tcPr>
          <w:p>
            <w:pPr>
              <w:spacing w:after="0"/>
              <w:rPr>
                <w:sz w:val="13"/>
                <w:szCs w:val="13"/>
                <w:color w:val="auto"/>
              </w:rPr>
            </w:pPr>
          </w:p>
        </w:tc>
        <w:tc>
          <w:tcPr>
            <w:tcW w:w="52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320" w:type="dxa"/>
            <w:vAlign w:val="bottom"/>
          </w:tcPr>
          <w:p>
            <w:pPr>
              <w:ind w:left="520"/>
              <w:spacing w:after="0"/>
              <w:rPr>
                <w:sz w:val="20"/>
                <w:szCs w:val="20"/>
                <w:color w:val="auto"/>
              </w:rPr>
            </w:pPr>
            <w:r>
              <w:rPr>
                <w:rFonts w:ascii="Arial" w:cs="Arial" w:eastAsia="Arial" w:hAnsi="Arial"/>
                <w:sz w:val="14"/>
                <w:szCs w:val="14"/>
                <w:color w:val="auto"/>
              </w:rPr>
              <w:t>3,605,527 and 3,390,587 shares issued and outstanding as of July 31, 2024 and January 31, 2024, respectively</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520" w:right="180" w:hanging="161"/>
        <w:spacing w:after="0" w:line="242" w:lineRule="auto"/>
        <w:rPr>
          <w:sz w:val="20"/>
          <w:szCs w:val="20"/>
          <w:color w:val="auto"/>
        </w:rPr>
      </w:pPr>
      <w:r>
        <w:rPr>
          <w:rFonts w:ascii="Arial" w:cs="Arial" w:eastAsia="Arial" w:hAnsi="Arial"/>
          <w:sz w:val="14"/>
          <w:szCs w:val="14"/>
          <w:color w:val="auto"/>
        </w:rPr>
        <w:t>Class B common stock, $0.001 par value; 50,000,000 shares authorized as of July 31, 2024 and January 31, 2024; 155,333 and 154,928 shares issued and outstanding as of July 31, 2024 and January 31, 2024, respectively</w:t>
      </w:r>
    </w:p>
    <w:p>
      <w:pPr>
        <w:spacing w:after="0" w:line="11" w:lineRule="exact"/>
        <w:rPr>
          <w:sz w:val="20"/>
          <w:szCs w:val="20"/>
          <w:color w:val="auto"/>
        </w:rPr>
      </w:pPr>
    </w:p>
    <w:p>
      <w:pPr>
        <w:ind w:left="520" w:right="180" w:hanging="161"/>
        <w:spacing w:after="0" w:line="244" w:lineRule="auto"/>
        <w:rPr>
          <w:sz w:val="20"/>
          <w:szCs w:val="20"/>
          <w:color w:val="auto"/>
        </w:rPr>
      </w:pPr>
      <w:r>
        <w:rPr>
          <w:rFonts w:ascii="Arial" w:cs="Arial" w:eastAsia="Arial" w:hAnsi="Arial"/>
          <w:sz w:val="14"/>
          <w:szCs w:val="14"/>
          <w:color w:val="auto"/>
        </w:rPr>
        <w:t>Preferred stock, $0.001 par value; 10,000,000 shares authorized as of July 31, 2024 and January 31, 2024; 0 shares issued and outstanding as of July 31, 2024 and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Additional paid-in capital</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ind w:left="400"/>
        <w:spacing w:after="0"/>
        <w:tabs>
          <w:tab w:leader="none" w:pos="18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66"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64"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color w:val="auto"/>
        </w:rPr>
        <w:t>936.2</w:t>
      </w:r>
      <w:r>
        <w:rPr>
          <w:sz w:val="20"/>
          <w:szCs w:val="20"/>
          <w:color w:val="auto"/>
        </w:rPr>
        <w:tab/>
      </w:r>
      <w:r>
        <w:rPr>
          <w:rFonts w:ascii="Arial" w:cs="Arial" w:eastAsia="Arial" w:hAnsi="Arial"/>
          <w:sz w:val="14"/>
          <w:szCs w:val="14"/>
          <w:color w:val="auto"/>
        </w:rPr>
        <w:t>930.8</w:t>
      </w:r>
    </w:p>
    <w:p>
      <w:pPr>
        <w:spacing w:after="0" w:line="69"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(1,090.7)</w:t>
      </w:r>
      <w:r>
        <w:rPr>
          <w:sz w:val="20"/>
          <w:szCs w:val="20"/>
          <w:color w:val="auto"/>
        </w:rPr>
        <w:tab/>
      </w:r>
      <w:r>
        <w:rPr>
          <w:rFonts w:ascii="Arial" w:cs="Arial" w:eastAsia="Arial" w:hAnsi="Arial"/>
          <w:sz w:val="14"/>
          <w:szCs w:val="14"/>
          <w:color w:val="auto"/>
        </w:rPr>
        <w:t>(1,053.1)</w:t>
      </w:r>
    </w:p>
    <w:p>
      <w:pPr>
        <w:spacing w:after="0" w:line="42" w:lineRule="exact"/>
        <w:rPr>
          <w:sz w:val="20"/>
          <w:szCs w:val="20"/>
          <w:color w:val="auto"/>
        </w:rPr>
      </w:pPr>
    </w:p>
    <w:p>
      <w:pPr>
        <w:sectPr>
          <w:pgSz w:w="11900" w:h="16838" w:orient="portrait"/>
          <w:cols w:equalWidth="0" w:num="2">
            <w:col w:w="8400" w:space="720"/>
            <w:col w:w="21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r>
      <w:tr>
        <w:trPr>
          <w:trHeight w:val="223"/>
        </w:trPr>
        <w:tc>
          <w:tcPr>
            <w:tcW w:w="83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257.4</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278.5</w:t>
            </w: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18"/>
                <w:szCs w:val="18"/>
                <w:color w:val="auto"/>
              </w:rPr>
            </w:pPr>
          </w:p>
        </w:tc>
        <w:tc>
          <w:tcPr>
            <w:tcW w:w="236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2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5"/>
        </w:trPr>
        <w:tc>
          <w:tcPr>
            <w:tcW w:w="552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5"/>
        </w:trPr>
        <w:tc>
          <w:tcPr>
            <w:tcW w:w="552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22"/>
        </w:trPr>
        <w:tc>
          <w:tcPr>
            <w:tcW w:w="5520" w:type="dxa"/>
            <w:vAlign w:val="bottom"/>
          </w:tcPr>
          <w:p>
            <w:pPr>
              <w:ind w:left="1000"/>
              <w:spacing w:after="0"/>
              <w:rPr>
                <w:sz w:val="20"/>
                <w:szCs w:val="20"/>
                <w:color w:val="auto"/>
              </w:rPr>
            </w:pPr>
            <w:r>
              <w:rPr>
                <w:rFonts w:ascii="Arial" w:cs="Arial" w:eastAsia="Arial" w:hAnsi="Arial"/>
                <w:sz w:val="16"/>
                <w:szCs w:val="16"/>
                <w:color w:val="auto"/>
              </w:rPr>
              <w:t>Operating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44"/>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 (expense), net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income / (expense), net</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 (expense)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Net loss per share attributable to common stockholders, basic and diluted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Weighted-average shares used in computing net loss per share attributable</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3,736,953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3,380,413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3,692,025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3,337,535</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180"/>
              <w:spacing w:after="0" w:line="217" w:lineRule="exact"/>
              <w:rPr>
                <w:sz w:val="20"/>
                <w:szCs w:val="20"/>
                <w:color w:val="auto"/>
              </w:rPr>
            </w:pPr>
            <w:r>
              <w:rPr>
                <w:rFonts w:ascii="Arial" w:cs="Arial" w:eastAsia="Arial" w:hAnsi="Arial"/>
                <w:sz w:val="16"/>
                <w:szCs w:val="16"/>
                <w:color w:val="auto"/>
              </w:rPr>
              <w:t xml:space="preserve">to common stockholders, basic and diluted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00" w:firstLine="8"/>
        <w:spacing w:after="0" w:line="305" w:lineRule="auto"/>
        <w:tabs>
          <w:tab w:leader="none" w:pos="154" w:val="left"/>
        </w:tabs>
        <w:numPr>
          <w:ilvl w:val="0"/>
          <w:numId w:val="5"/>
        </w:numPr>
        <w:rPr>
          <w:rFonts w:ascii="Arial" w:cs="Arial" w:eastAsia="Arial" w:hAnsi="Arial"/>
          <w:sz w:val="9"/>
          <w:szCs w:val="9"/>
          <w:color w:val="auto"/>
        </w:rPr>
      </w:pPr>
      <w:r>
        <w:rPr>
          <w:rFonts w:ascii="Arial" w:cs="Arial" w:eastAsia="Arial" w:hAnsi="Arial"/>
          <w:sz w:val="14"/>
          <w:szCs w:val="14"/>
          <w:color w:val="auto"/>
        </w:rPr>
        <w:t>Amounts have been adjusted to reflect the 1-for-20 reverse stock split that became effective on April 2, 2024. See Note 2, “Summary of Significant Accounting Policies” and Note 11, “Stockholders’ Equity” for additional details.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7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line="108" w:lineRule="exact"/>
              <w:rPr>
                <w:sz w:val="20"/>
                <w:szCs w:val="20"/>
                <w:color w:val="auto"/>
              </w:rPr>
            </w:pPr>
            <w:r>
              <w:rPr>
                <w:rFonts w:ascii="Arial" w:cs="Arial" w:eastAsia="Arial" w:hAnsi="Arial"/>
                <w:sz w:val="11"/>
                <w:szCs w:val="11"/>
                <w:b w:val="1"/>
                <w:bCs w:val="1"/>
                <w:color w:val="auto"/>
                <w:w w:val="98"/>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99"/>
              <w:spacing w:after="0" w:line="108"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20" w:type="dxa"/>
            <w:vAlign w:val="bottom"/>
          </w:tcPr>
          <w:p>
            <w:pPr>
              <w:spacing w:after="0"/>
              <w:rPr>
                <w:sz w:val="2"/>
                <w:szCs w:val="2"/>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April 30, 2024</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3,675,322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(1,075.1)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85,538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July 31, 2024</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3,760,860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April 30, 2023</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3,334,045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88,309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July 31, 2023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3,422,354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80" w:firstLine="8"/>
        <w:spacing w:after="0" w:line="273"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Amounts have been adjusted to reflect the 1-for-20 reverse stock split that became effective on April 2, 2024. See Note 2, “Summary of Significant Accounting Policies” and Note 11, “Stockholders’ Equity” for additional details.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8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20" w:type="dxa"/>
            <w:vAlign w:val="bottom"/>
          </w:tcPr>
          <w:p>
            <w:pPr>
              <w:spacing w:after="0" w:line="20" w:lineRule="exact"/>
              <w:rPr>
                <w:sz w:val="1"/>
                <w:szCs w:val="1"/>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0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31, 2024</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3,545,515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215,345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July 31, 2024</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3,760,860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2023</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3,251,138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171,216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4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71"/>
        </w:trPr>
        <w:tc>
          <w:tcPr>
            <w:tcW w:w="548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9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July 31, 2023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3,422,354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(996.8)</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180" w:firstLine="8"/>
        <w:spacing w:after="0" w:line="273" w:lineRule="auto"/>
        <w:tabs>
          <w:tab w:leader="none" w:pos="15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Amounts have been adjusted to reflect the 1-for-20 reverse stock split that became effective on April 2, 2024. See Note 2, “Summary of Significant Accounting Policies” and Note 11, “Stockholders’ Equity” for additional details.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6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Six Months Ended</w:t>
      </w:r>
    </w:p>
    <w:p>
      <w:pPr>
        <w:jc w:val="center"/>
        <w:ind w:left="824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10795</wp:posOffset>
            </wp:positionV>
            <wp:extent cx="1894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Rental product depreciation and write-offs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rental product sold</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Other depreciation and amortization</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write-off of fixed and intangible assets and lease termination</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rental product sold</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liquidation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Accrual of paid-in-kind interest</w:t>
            </w:r>
          </w:p>
        </w:tc>
        <w:tc>
          <w:tcPr>
            <w:tcW w:w="9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5"/>
        </w:trPr>
        <w:tc>
          <w:tcPr>
            <w:tcW w:w="826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51"/>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right-of-use assets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8260" w:type="dxa"/>
            <w:vAlign w:val="bottom"/>
          </w:tcPr>
          <w:p>
            <w:pPr>
              <w:ind w:left="680"/>
              <w:spacing w:after="0"/>
              <w:rPr>
                <w:sz w:val="20"/>
                <w:szCs w:val="20"/>
                <w:color w:val="auto"/>
              </w:rPr>
            </w:pPr>
            <w:r>
              <w:rPr>
                <w:rFonts w:ascii="Arial" w:cs="Arial" w:eastAsia="Arial" w:hAnsi="Arial"/>
                <w:sz w:val="16"/>
                <w:szCs w:val="16"/>
                <w:color w:val="auto"/>
              </w:rPr>
              <w:t>Deferred revenue and customer credit liabilities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6"/>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liabilities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0"/>
        </w:trPr>
        <w:tc>
          <w:tcPr>
            <w:tcW w:w="8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Proceeds from liquidation of rental product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rental product</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Purchases of fixed and intangible assets</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8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196"/>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payments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82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Six Months Ended</w:t>
      </w:r>
    </w:p>
    <w:p>
      <w:pPr>
        <w:spacing w:after="0" w:line="21"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July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82"/>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4"/>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9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5"/>
        </w:trPr>
        <w:tc>
          <w:tcPr>
            <w:tcW w:w="826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 payments, net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5"/>
        </w:trPr>
        <w:tc>
          <w:tcPr>
            <w:tcW w:w="826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26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 right-of-use asset amortization</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5"/>
        </w:trPr>
        <w:tc>
          <w:tcPr>
            <w:tcW w:w="8260" w:type="dxa"/>
            <w:vAlign w:val="bottom"/>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1"/>
        </w:trPr>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5"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empower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74" w:lineRule="exact"/>
        <w:rPr>
          <w:rFonts w:ascii="Arial" w:cs="Arial" w:eastAsia="Arial" w:hAnsi="Arial"/>
          <w:sz w:val="18"/>
          <w:szCs w:val="18"/>
          <w:b w:val="1"/>
          <w:bCs w:val="1"/>
          <w:color w:val="auto"/>
        </w:rPr>
      </w:pPr>
    </w:p>
    <w:p>
      <w:pPr>
        <w:ind w:left="500" w:right="4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52" w:lineRule="exact"/>
        <w:rPr>
          <w:rFonts w:ascii="Arial" w:cs="Arial" w:eastAsia="Arial" w:hAnsi="Arial"/>
          <w:sz w:val="18"/>
          <w:szCs w:val="18"/>
          <w:b w:val="1"/>
          <w:bCs w:val="1"/>
          <w:color w:val="auto"/>
        </w:rPr>
      </w:pPr>
    </w:p>
    <w:p>
      <w:pPr>
        <w:ind w:left="500" w:right="6960" w:hanging="492"/>
        <w:spacing w:after="0" w:line="375" w:lineRule="auto"/>
        <w:tabs>
          <w:tab w:leader="none" w:pos="4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As further discussed in the Reverse Stock Split section below, all per share amounts and common shares amounts have been adjusted on a retroactive basis to reflect the Reverse Stock Split (as defined below).</w:t>
      </w:r>
    </w:p>
    <w:p>
      <w:pPr>
        <w:spacing w:after="0" w:line="71" w:lineRule="exact"/>
        <w:rPr>
          <w:rFonts w:ascii="Arial" w:cs="Arial" w:eastAsia="Arial" w:hAnsi="Arial"/>
          <w:sz w:val="18"/>
          <w:szCs w:val="18"/>
          <w:b w:val="1"/>
          <w:bCs w:val="1"/>
          <w:color w:val="auto"/>
        </w:rPr>
      </w:pPr>
    </w:p>
    <w:p>
      <w:pPr>
        <w:ind w:left="50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62"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and six months ended July 31, 2024 are not necessarily indicative of the operating results expected for the year ending January 31, 2025 or any future period. The condensed consolidated balance sheet as of January 31, 2024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2024, which can be found in the Company’s Annual Report on Form 10-K filed with the SEC on April 11,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Reverse Stock Split</w:t>
      </w:r>
    </w:p>
    <w:p>
      <w:pPr>
        <w:spacing w:after="0" w:line="117"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spacing w:after="0" w:line="63"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11 - Stockholders’ Equity for additional information.</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Fiscal Year</w:t>
      </w:r>
    </w:p>
    <w:p>
      <w:pPr>
        <w:spacing w:after="0" w:line="117" w:lineRule="exact"/>
        <w:rPr>
          <w:sz w:val="20"/>
          <w:szCs w:val="20"/>
          <w:color w:val="auto"/>
        </w:rPr>
      </w:pPr>
    </w:p>
    <w:p>
      <w:pPr>
        <w:ind w:left="500" w:right="380"/>
        <w:spacing w:after="0" w:line="287" w:lineRule="auto"/>
        <w:rPr>
          <w:sz w:val="20"/>
          <w:szCs w:val="20"/>
          <w:color w:val="auto"/>
        </w:rPr>
      </w:pPr>
      <w:r>
        <w:rPr>
          <w:rFonts w:ascii="Arial" w:cs="Arial" w:eastAsia="Arial" w:hAnsi="Arial"/>
          <w:sz w:val="18"/>
          <w:szCs w:val="18"/>
          <w:color w:val="auto"/>
        </w:rPr>
        <w:t>The Company’s fiscal year ends on January 31 of the next calendar year. For example, references to “fiscal year 2024” refer to the fiscal year ending January 31, 2025 and references to “fiscal year 2023” refer to the fiscal year ended January 31, 2024.</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74"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As of July 31, 2024,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4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right="300"/>
        <w:spacing w:after="0" w:line="287" w:lineRule="auto"/>
        <w:rPr>
          <w:sz w:val="20"/>
          <w:szCs w:val="20"/>
          <w:color w:val="auto"/>
        </w:rPr>
      </w:pPr>
      <w:r>
        <w:rPr>
          <w:rFonts w:ascii="Arial" w:cs="Arial" w:eastAsia="Arial" w:hAnsi="Arial"/>
          <w:sz w:val="18"/>
          <w:szCs w:val="18"/>
          <w:color w:val="auto"/>
        </w:rPr>
        <w:t>No single customer accounted for more than 5% of the Company’s revenue during the three or six months ended July 31, 2024 and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17" w:lineRule="exact"/>
        <w:rPr>
          <w:sz w:val="20"/>
          <w:szCs w:val="20"/>
          <w:color w:val="auto"/>
        </w:rPr>
      </w:pPr>
    </w:p>
    <w:p>
      <w:pPr>
        <w:ind w:left="500" w:right="600"/>
        <w:spacing w:after="0" w:line="287" w:lineRule="auto"/>
        <w:rPr>
          <w:sz w:val="20"/>
          <w:szCs w:val="20"/>
          <w:color w:val="auto"/>
        </w:rPr>
      </w:pPr>
      <w:r>
        <w:rPr>
          <w:rFonts w:ascii="Arial" w:cs="Arial" w:eastAsia="Arial" w:hAnsi="Arial"/>
          <w:sz w:val="18"/>
          <w:szCs w:val="18"/>
          <w:color w:val="auto"/>
        </w:rPr>
        <w:t>Prepaid expenses and other current assets consist primarily of accounts receivable, net, interest receivable, prepaid insurance, prepaid technology expenses and prepaid taxes.</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45"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0"/>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180" w:lineRule="exact"/>
        <w:rPr>
          <w:sz w:val="20"/>
          <w:szCs w:val="20"/>
          <w:color w:val="auto"/>
        </w:rPr>
      </w:pPr>
    </w:p>
    <w:p>
      <w:pPr>
        <w:ind w:left="500" w:right="44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4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July 31, 2024 and January 31, 2024 was $2.8 million and $3.0 million, respectively. The accelerated depreciation related to rental product held for sale was $1.3 million and $ 1.1 million for the three months ended July 31, 2024 and 2023, respectively, and $2.4 million and $2.0 million for the six months ended July 31, 2024 and 2023, respectively. The accelerated depreciation is presented on the condensed consolidated statements of operations within Rental product depreciation and revenue share.</w:t>
      </w:r>
    </w:p>
    <w:p>
      <w:pPr>
        <w:spacing w:after="0" w:line="74"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68"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$13.6 million and $ 10.8 million for the six months ended July 31, 2024 and 2023, respectively. Proceeds from the liquidation of rental product were $2.2 million and $2.2 million for the six months ended July 31, 2024 and 2023, respectively.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13% and 10% of total revenue for the three months ended July 31, 2024 and 2023, respectively, and 13% and 10% of total revenue for the six months ended July 31, 2024 and 2023, respectively.</w:t>
      </w:r>
    </w:p>
    <w:p>
      <w:pPr>
        <w:spacing w:after="0" w:line="71"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6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July 31, 2024 and 2023, $0.3 million and $0.4 million of credits included in the customer credit liability as of April 30, 2024 and 2023, respectively, were redeemed. During the six months ended July 31, 2024 and 2023, $0.7 million and $1.0 million of credits included in the customer credit liability as of January 31, 2024 and 2023, respectively,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 The Company did not issue any new gift cards during the three and six months ended July 31, 2024 and 2023.</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ind w:left="500" w:right="10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0"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71"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July 31, 2024 and January 31, 2024.</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July 31, 2024 and January 31, 2024.</w:t>
      </w:r>
    </w:p>
    <w:p>
      <w:pPr>
        <w:spacing w:after="0" w:line="74" w:lineRule="exact"/>
        <w:rPr>
          <w:sz w:val="20"/>
          <w:szCs w:val="20"/>
          <w:color w:val="auto"/>
        </w:rPr>
      </w:pPr>
    </w:p>
    <w:p>
      <w:pPr>
        <w:ind w:left="500" w:right="320"/>
        <w:spacing w:after="0" w:line="287" w:lineRule="auto"/>
        <w:rPr>
          <w:sz w:val="20"/>
          <w:szCs w:val="20"/>
          <w:color w:val="auto"/>
        </w:rPr>
      </w:pPr>
      <w:r>
        <w:rPr>
          <w:rFonts w:ascii="Arial" w:cs="Arial" w:eastAsia="Arial" w:hAnsi="Arial"/>
          <w:sz w:val="18"/>
          <w:szCs w:val="18"/>
          <w:color w:val="auto"/>
        </w:rPr>
        <w:t>From time to time, other revenue may include revenue generated from pilots and other growth initiatives which may cause quarterly fluctuations in the Other revenue line.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Nasdaq. Upon grant of awards, the Company also estimates an amount of forfeitures that will occur prior to vesting. There were no stock options granted during the three and six months ended July 31, 2024 and 2023.</w:t>
      </w:r>
    </w:p>
    <w:p>
      <w:pPr>
        <w:spacing w:after="0" w:line="18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has granted two types of restricted stock units (“RSUs”). Prior to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12 - Share-based Compensation Plans for a description of the accounting for share-based awards.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Income and Expense</w:t>
      </w:r>
    </w:p>
    <w:p>
      <w:pPr>
        <w:spacing w:after="0" w:line="117"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Interest income and expense consist primarily of interest on the Temasek debt facility, debt discount amortization, and financing lease interest expense offset by interest income earned. The Company recognized interest and debt discount amortization expense of $6.7 million and $10.9 million during the three months ended July 31, 2024 and 2023, respectively, and $13.2 million and $21.1 million during the six months ended July 31, 2024 and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Interim Impairment Evaluation</w:t>
      </w:r>
    </w:p>
    <w:p>
      <w:pPr>
        <w:spacing w:after="0" w:line="117"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During the year ended January 31, 2024, the Company concluded a triggering event had occurred during the third quarter of fiscal year 2023 due to a decline in the Company’s stock price. The Company performed a quantitative assessment and concluded the undiscounted cash flows expected to be generated by the use and eventual disposition of the Company’s long-lived assets exceeded their carrying values. Therefore, no impairment was recognized for the year ended January 31, 2024. The Company has concluded there were no triggering events as of July 31, 2024.</w:t>
      </w:r>
    </w:p>
    <w:p>
      <w:pPr>
        <w:spacing w:after="0" w:line="179" w:lineRule="exact"/>
        <w:rPr>
          <w:sz w:val="20"/>
          <w:szCs w:val="20"/>
          <w:color w:val="auto"/>
        </w:rPr>
      </w:pPr>
    </w:p>
    <w:p>
      <w:pPr>
        <w:ind w:left="500" w:right="4600"/>
        <w:spacing w:after="0" w:line="375" w:lineRule="auto"/>
        <w:rPr>
          <w:sz w:val="20"/>
          <w:szCs w:val="20"/>
          <w:color w:val="auto"/>
        </w:rPr>
      </w:pPr>
      <w:r>
        <w:rPr>
          <w:rFonts w:ascii="Arial" w:cs="Arial" w:eastAsia="Arial" w:hAnsi="Arial"/>
          <w:sz w:val="18"/>
          <w:szCs w:val="18"/>
          <w:b w:val="1"/>
          <w:bCs w:val="1"/>
          <w:color w:val="auto"/>
        </w:rPr>
        <w:t xml:space="preserve">Recently Issued and Adopted Accounting Pronouncements </w:t>
      </w:r>
      <w:r>
        <w:rPr>
          <w:rFonts w:ascii="Arial" w:cs="Arial" w:eastAsia="Arial" w:hAnsi="Arial"/>
          <w:sz w:val="18"/>
          <w:szCs w:val="18"/>
          <w:i w:val="1"/>
          <w:iCs w:val="1"/>
          <w:u w:val="single" w:color="auto"/>
          <w:color w:val="auto"/>
        </w:rPr>
        <w:t xml:space="preserve">Recently Adopted Accounting Pronouncements </w:t>
      </w:r>
      <w:r>
        <w:rPr>
          <w:rFonts w:ascii="Arial" w:cs="Arial" w:eastAsia="Arial" w:hAnsi="Arial"/>
          <w:sz w:val="18"/>
          <w:szCs w:val="18"/>
          <w:i w:val="1"/>
          <w:iCs w:val="1"/>
          <w:color w:val="auto"/>
        </w:rPr>
        <w:t>Debt - Debt with Conversion and Other Options and Derivatives and Hedging</w:t>
      </w:r>
    </w:p>
    <w:p>
      <w:pPr>
        <w:spacing w:after="0" w:line="2"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Company adopted this standard on February 1, 2024, and the adoption of this standard did not have a material impact on the condensed consolidated financial statements.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 (Topic 740): Improvements to Income Tax Disclosures</w:t>
      </w:r>
    </w:p>
    <w:p>
      <w:pPr>
        <w:spacing w:after="0" w:line="115"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Segment Reporting (Topic 280): Improvements to Reportable Segment Disclosures</w:t>
      </w:r>
    </w:p>
    <w:p>
      <w:pPr>
        <w:spacing w:after="0" w:line="115"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to improve reportable segment disclosure requirements primarily through enhanced disclosures about significant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This standard is effective for fiscal years beginning after December 15, 2023, and interim periods in fiscal years beginning after December 15, 2024. The ASU must be applied retrospectively for all periods presented in the financial statements. Early adoption is permitted. The Company is currently evaluating the impact that the adoption of this standard will have on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1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net losses from operations since inception and has historically relied upon debt and equity financing to fund its operations. The Company has experienced year-over-year revenue growth and a reduction in net losses during the three and six months ended July 31, 2024 and in fiscal year 2023 and is making progress towards achieving a break-even position after consideration of cash flows from operations plus cash flows generated (used) in investing during the year ending January 31, 2025 as a result of the restructuring actions described below and the Company’s plans to reduce rental product spend in fiscal year 2024 due to rental product depth adjustments in fiscal year 2023 and other investments to align with the overall growth of the business and to comply with the Company’s debt covenants that were amended in December 2023. To the extent the Company is impacted by macroeconomic trends, or other factors, including, but not limited to, lower demand for our business, the Company plans to further reduce fixed and variable costs accordingly and has established plans to preserve existing cash liquidity, which includes additional reductions to labor, operating expenses, and/or capital expenditures.</w:t>
      </w:r>
    </w:p>
    <w:p>
      <w:pPr>
        <w:spacing w:after="0" w:line="7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 history of successfully implementing restructuring plans. The September 2022 restructuring plan generated annual operating expense savings of approximately $27 million (relative to the second quarter of fiscal year 2022 run rate). In January 2024, the Company announced an additional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Actual savings may differ from these estimates. Refer to Note 4, Restructuring and Related Charges, for discussion of the restructuring plans.</w:t>
      </w:r>
    </w:p>
    <w:p>
      <w:pPr>
        <w:spacing w:after="0" w:line="74"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December 1, 2023, the Company entered into a Tenth Amendment to Credit Agreement with Double Helix Pte Ltd. as administrative agent for Temasek Holdings (the “Credit Facility Amendment”) to the 2022 Amended Temasek Facility (as amended by the 2023 Amendment, the “2023 Amended Temasek Facility”). The 2023 Amended Temasek Facility, among other things, modifies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under the 2023 Amended Temasek Facility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w:t>
      </w:r>
    </w:p>
    <w:p>
      <w:pPr>
        <w:spacing w:after="0" w:line="77"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July 31, 2024 and January 31, 2024, the Company held cash and cash equivalents of $76.6 million and $84.0 million, respectively, and long-term debt of $319.8 million and $306.7 million, respectively, with a maturity date of October 2026. In the event that the Company fails to comply with the covenants specified in the 2023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satisfy the $30 million minimum liquidity maintenance covenant and comply with the maximum expenditure covenants under the 2023 Amended Temasek Facility for at least the next twelve months from the date these financial statements are issued.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7740" w:hanging="492"/>
        <w:spacing w:after="0" w:line="389" w:lineRule="auto"/>
        <w:tabs>
          <w:tab w:leader="none" w:pos="48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and Related Charges </w:t>
      </w:r>
      <w:r>
        <w:rPr>
          <w:rFonts w:ascii="Arial" w:cs="Arial" w:eastAsia="Arial" w:hAnsi="Arial"/>
          <w:sz w:val="17"/>
          <w:szCs w:val="17"/>
          <w:b w:val="1"/>
          <w:bCs w:val="1"/>
          <w:i w:val="1"/>
          <w:iCs w:val="1"/>
          <w:color w:val="auto"/>
        </w:rPr>
        <w:t>January 2024 Restructuring Plan</w:t>
      </w:r>
    </w:p>
    <w:p>
      <w:pPr>
        <w:ind w:left="500" w:right="6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68" w:lineRule="exact"/>
        <w:rPr>
          <w:rFonts w:ascii="Arial" w:cs="Arial" w:eastAsia="Arial" w:hAnsi="Arial"/>
          <w:sz w:val="17"/>
          <w:szCs w:val="17"/>
          <w:b w:val="1"/>
          <w:bCs w:val="1"/>
          <w:color w:val="auto"/>
        </w:rPr>
      </w:pPr>
    </w:p>
    <w:p>
      <w:pPr>
        <w:ind w:left="500" w:right="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Restructuring charges of $0.2 million for severance and related costs were recognized during the six months ended July 31, 2024 and are reflected in Restructuring charges on the Company’s Condensed Consolidated Statements of Operations. No restructuring charges were recognized during the three months ended July 31, 2024. Restructuring charges of $2.0 million for severance and related costs were recognized during the year ended January 31, 2024 and were reflected in Restructuring charges on the Company’s Consolidated Statements of Operations. Cumulative charges related to severance and related costs incurred to date in connection with the January 2024 restructuring plan were $2.2 million.</w:t>
      </w:r>
    </w:p>
    <w:p>
      <w:pPr>
        <w:spacing w:after="0" w:line="74" w:lineRule="exact"/>
        <w:rPr>
          <w:rFonts w:ascii="Arial" w:cs="Arial" w:eastAsia="Arial" w:hAnsi="Arial"/>
          <w:sz w:val="17"/>
          <w:szCs w:val="17"/>
          <w:b w:val="1"/>
          <w:bCs w:val="1"/>
          <w:color w:val="auto"/>
        </w:rPr>
      </w:pPr>
    </w:p>
    <w:p>
      <w:pPr>
        <w:ind w:left="500" w:right="2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Accrued restructuring charges were $0.2 million and $0.7 million as of July 31, 2024 and January 31, 2024, respectively. The Company may incur additional restructuring charges in the future. The restructuring plan was substantially completed by the end of the second quarter of fiscal year 2024 and is expected to be fully completed by the end of the third quarter of fiscal year 2024.</w:t>
      </w:r>
    </w:p>
    <w:p>
      <w:pPr>
        <w:spacing w:after="0" w:line="62" w:lineRule="exact"/>
        <w:rPr>
          <w:rFonts w:ascii="Arial" w:cs="Arial" w:eastAsia="Arial" w:hAnsi="Arial"/>
          <w:sz w:val="17"/>
          <w:szCs w:val="17"/>
          <w:b w:val="1"/>
          <w:bCs w:val="1"/>
          <w:color w:val="auto"/>
        </w:rPr>
      </w:pPr>
    </w:p>
    <w:p>
      <w:pPr>
        <w:ind w:left="500" w:right="12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 Company recorded asset impairment charges of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w:t>
      </w:r>
    </w:p>
    <w:p>
      <w:pPr>
        <w:spacing w:after="0" w:line="278" w:lineRule="exact"/>
        <w:rPr>
          <w:rFonts w:ascii="Arial" w:cs="Arial" w:eastAsia="Arial" w:hAnsi="Arial"/>
          <w:sz w:val="17"/>
          <w:szCs w:val="17"/>
          <w:b w:val="1"/>
          <w:bCs w:val="1"/>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52" w:lineRule="exact"/>
        <w:rPr>
          <w:rFonts w:ascii="Arial" w:cs="Arial" w:eastAsia="Arial" w:hAnsi="Arial"/>
          <w:sz w:val="18"/>
          <w:szCs w:val="18"/>
          <w:b w:val="1"/>
          <w:bCs w:val="1"/>
          <w:color w:val="auto"/>
        </w:rPr>
      </w:pPr>
    </w:p>
    <w:p>
      <w:pPr>
        <w:ind w:left="500" w:right="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During the year ended January 31, 2024, the Company amended the operating lease for its fulfillment center at 100 Metro Way in Secaucus, NJ, the terms of which extended the lease for an additional five years to August 31, 2029. The lease modification resulted in an adjustment of $9.9 million to lease liabilities and right-of-use assets. The Company did not exercise its renewal option with respect to its lease for 55 Metro Way in Secaucus, NJ, which is anticipated to expire in accordance with its terms on August 31, 2024.</w:t>
      </w:r>
    </w:p>
    <w:p>
      <w:pPr>
        <w:spacing w:after="0" w:line="176" w:lineRule="exact"/>
        <w:rPr>
          <w:rFonts w:ascii="Arial" w:cs="Arial" w:eastAsia="Arial" w:hAnsi="Arial"/>
          <w:sz w:val="18"/>
          <w:szCs w:val="18"/>
          <w:b w:val="1"/>
          <w:bCs w:val="1"/>
          <w:color w:val="auto"/>
        </w:rPr>
      </w:pPr>
    </w:p>
    <w:p>
      <w:pPr>
        <w:ind w:left="500" w:right="3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July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2024</w:t>
            </w:r>
          </w:p>
        </w:tc>
        <w:tc>
          <w:tcPr>
            <w:tcW w:w="3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3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2026</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2027</w:t>
            </w:r>
          </w:p>
        </w:tc>
        <w:tc>
          <w:tcPr>
            <w:tcW w:w="3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2028</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95"/>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3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Lease liabilities as of July 31, 2024</w:t>
            </w:r>
          </w:p>
        </w:tc>
        <w:tc>
          <w:tcPr>
            <w:tcW w:w="34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40" w:type="dxa"/>
            <w:vAlign w:val="bottom"/>
            <w:vMerge w:val="restart"/>
          </w:tcPr>
          <w:p>
            <w:pPr>
              <w:jc w:val="right"/>
              <w:ind w:right="221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net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80"/>
        <w:spacing w:after="0" w:line="268"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$16.2 million and $12.8 million for the three months ended July 31, 2024 and 2023, respectively, and $31.1 million and $24.9 million for the six months ended July 31, 2024 and 2023, respectively.</w:t>
      </w:r>
    </w:p>
    <w:p>
      <w:pPr>
        <w:spacing w:after="0" w:line="279" w:lineRule="exact"/>
        <w:rPr>
          <w:sz w:val="20"/>
          <w:szCs w:val="20"/>
          <w:color w:val="auto"/>
        </w:rPr>
      </w:pPr>
    </w:p>
    <w:p>
      <w:pPr>
        <w:ind w:left="500" w:right="9360" w:hanging="492"/>
        <w:spacing w:after="0" w:line="375" w:lineRule="auto"/>
        <w:tabs>
          <w:tab w:leader="none" w:pos="48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long-term debt outstanding as of July 31, 2024 and January 31, 2024:</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468"/>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(Less): unamortized debt premium (discount)</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70"/>
        </w:trPr>
        <w:tc>
          <w:tcPr>
            <w:tcW w:w="718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noncurrent long-term debt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2"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84" w:lineRule="exact"/>
        <w:rPr>
          <w:sz w:val="20"/>
          <w:szCs w:val="20"/>
          <w:color w:val="auto"/>
        </w:rPr>
      </w:pPr>
    </w:p>
    <w:p>
      <w:pPr>
        <w:ind w:left="500"/>
        <w:spacing w:after="0" w:line="252" w:lineRule="auto"/>
        <w:rPr>
          <w:sz w:val="20"/>
          <w:szCs w:val="20"/>
          <w:color w:val="auto"/>
        </w:rPr>
      </w:pPr>
      <w:r>
        <w:rPr>
          <w:rFonts w:ascii="Arial" w:cs="Arial" w:eastAsia="Arial" w:hAnsi="Arial"/>
          <w:sz w:val="17"/>
          <w:szCs w:val="17"/>
          <w:color w:val="auto"/>
        </w:rPr>
        <w:t>In December 2023, the Company entered into an amendment to the 2022 Amended Temasek Facility (the “2023 Temasek Facility Amendment”). The 2022 Amended Temasek Facility as further amended by the 2023 Temasek Facility Amendment is referred to as the “2023 Amended Temasek Facility”. 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under the 2023 Amended Temasek Facility from $50 million to $30 million; and (iii) additional covenants requiring the Company to comply with mutually</w:t>
      </w:r>
    </w:p>
    <w:p>
      <w:pPr>
        <w:spacing w:after="0" w:line="2" w:lineRule="exact"/>
        <w:rPr>
          <w:sz w:val="20"/>
          <w:szCs w:val="20"/>
          <w:color w:val="auto"/>
        </w:rPr>
      </w:pPr>
    </w:p>
    <w:p>
      <w:pPr>
        <w:ind w:left="500" w:right="260"/>
        <w:spacing w:after="0"/>
        <w:rPr>
          <w:sz w:val="20"/>
          <w:szCs w:val="20"/>
          <w:color w:val="auto"/>
        </w:rPr>
      </w:pPr>
      <w:r>
        <w:rPr>
          <w:rFonts w:ascii="Arial" w:cs="Arial" w:eastAsia="Arial" w:hAnsi="Arial"/>
          <w:sz w:val="17"/>
          <w:szCs w:val="17"/>
          <w:color w:val="auto"/>
        </w:rPr>
        <w:t>agreed upon quarterly and annual spend levels for rental product capital expenditures, fixed operating expenditures and marketing expenditures during fiscal year 2024 of $51 million, $100 million (excluding $10 million of specified permitted expenditures), and $30</w:t>
      </w:r>
    </w:p>
    <w:p>
      <w:pPr>
        <w:spacing w:after="0" w:line="1" w:lineRule="exact"/>
        <w:rPr>
          <w:sz w:val="20"/>
          <w:szCs w:val="20"/>
          <w:color w:val="auto"/>
        </w:rPr>
      </w:pPr>
    </w:p>
    <w:p>
      <w:pPr>
        <w:ind w:left="500" w:right="120"/>
        <w:spacing w:after="0" w:line="238" w:lineRule="auto"/>
        <w:rPr>
          <w:sz w:val="20"/>
          <w:szCs w:val="20"/>
          <w:color w:val="auto"/>
        </w:rPr>
      </w:pPr>
      <w:r>
        <w:rPr>
          <w:rFonts w:ascii="Arial" w:cs="Arial" w:eastAsia="Arial" w:hAnsi="Arial"/>
          <w:sz w:val="18"/>
          <w:szCs w:val="18"/>
          <w:color w:val="auto"/>
        </w:rPr>
        <w:t>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or premium using the effective interest method over the remaining term of the facility including the six full fiscal quarters during which payment-in-kind and cash interest were eliminated.</w:t>
      </w:r>
    </w:p>
    <w:p>
      <w:pPr>
        <w:spacing w:after="0" w:line="22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82" w:lineRule="exact"/>
        <w:rPr>
          <w:sz w:val="20"/>
          <w:szCs w:val="20"/>
          <w:color w:val="auto"/>
        </w:rPr>
      </w:pPr>
    </w:p>
    <w:p>
      <w:pPr>
        <w:jc w:val="both"/>
        <w:ind w:left="500" w:right="100"/>
        <w:spacing w:after="0" w:line="291" w:lineRule="auto"/>
        <w:rPr>
          <w:sz w:val="20"/>
          <w:szCs w:val="20"/>
          <w:color w:val="auto"/>
        </w:rPr>
      </w:pPr>
      <w:r>
        <w:rPr>
          <w:rFonts w:ascii="Arial" w:cs="Arial" w:eastAsia="Arial" w:hAnsi="Arial"/>
          <w:sz w:val="17"/>
          <w:szCs w:val="17"/>
          <w:color w:val="auto"/>
        </w:rPr>
        <w:t>The Company determined that all of the embedded features of the Temasek Facility, 2021 Amended Temasek Facility, 2022 Amended Temasek Facility, and 2023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covenants as of July 31, 2024 and through the date of this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rFonts w:ascii="Arial" w:cs="Arial" w:eastAsia="Arial" w:hAnsi="Arial"/>
          <w:sz w:val="18"/>
          <w:szCs w:val="18"/>
          <w:b w:val="1"/>
          <w:bCs w:val="1"/>
          <w:color w:val="auto"/>
        </w:rPr>
      </w:pPr>
    </w:p>
    <w:p>
      <w:pPr>
        <w:ind w:left="5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117" w:lineRule="exact"/>
        <w:rPr>
          <w:rFonts w:ascii="Arial" w:cs="Arial" w:eastAsia="Arial" w:hAnsi="Arial"/>
          <w:sz w:val="18"/>
          <w:szCs w:val="18"/>
          <w:b w:val="1"/>
          <w:bCs w:val="1"/>
          <w:color w:val="auto"/>
        </w:rPr>
      </w:pPr>
    </w:p>
    <w:p>
      <w:pPr>
        <w:ind w:left="50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July 31, 2024 and January 31, 2024 was $1.3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77" w:lineRule="exact"/>
        <w:rPr>
          <w:rFonts w:ascii="Arial" w:cs="Arial" w:eastAsia="Arial" w:hAnsi="Arial"/>
          <w:sz w:val="18"/>
          <w:szCs w:val="18"/>
          <w:b w:val="1"/>
          <w:bCs w:val="1"/>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6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52"/>
        </w:trPr>
        <w:tc>
          <w:tcPr>
            <w:tcW w:w="7160" w:type="dxa"/>
            <w:vAlign w:val="bottom"/>
          </w:tcPr>
          <w:p>
            <w:pPr>
              <w:ind w:left="20"/>
              <w:spacing w:after="0"/>
              <w:rPr>
                <w:sz w:val="20"/>
                <w:szCs w:val="20"/>
                <w:color w:val="auto"/>
              </w:rPr>
            </w:pPr>
            <w:r>
              <w:rPr>
                <w:rFonts w:ascii="Arial" w:cs="Arial" w:eastAsia="Arial" w:hAnsi="Arial"/>
                <w:sz w:val="18"/>
                <w:szCs w:val="18"/>
                <w:color w:val="auto"/>
              </w:rPr>
              <w:t>Accrued operating and general expenses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share payable</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financing</w:t>
            </w:r>
          </w:p>
        </w:tc>
        <w:tc>
          <w:tcPr>
            <w:tcW w:w="10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10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7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borrowing rate for the short-term financing obligation was 8.80% as of January 31, 2024.</w:t>
      </w:r>
    </w:p>
    <w:p>
      <w:pPr>
        <w:spacing w:after="0" w:line="225"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5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July 31, 2024 and January 31, 2024,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62"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long-term debt is reported at carrying value on the Company’s Condensed Consolidated Balance Sheets. Refer to Note 7 — Long-Term Debt. The Company estimates the fair value of its long-term debt using a discounted cash flow approach based on the Company’s implied credit spread using the median of option adjusted spreads for similar financial instruments with similar credit ratings, and, as such, long-term debt is classified as Level 3 within the fair value hierarchy. As of July 31, 2024, the estimated fair value of the Company’s long-term debt was $318.4 million.</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right="8940" w:hanging="492"/>
        <w:spacing w:after="0" w:line="397" w:lineRule="auto"/>
        <w:tabs>
          <w:tab w:leader="none" w:pos="484"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Reverse Stock Split</w:t>
      </w:r>
    </w:p>
    <w:p>
      <w:pPr>
        <w:spacing w:after="0" w:line="1"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par value per share of Class A common stock and Class B common stock remained at $0.001. The Company filed an Amendment to the Twelfth Amended and Restated Certificate of Incorporation with the Secretary of State of the State of Delaware on April 2, 2024 to implement the Reverse Stock Split. All per share amounts and common shares amounts have been adjusted on a retroactive basis to reflect the Reverse Stock Split for all periods. In addition, Class A common stock and Class B common stock decreased by $0.1 million and additional paid-in capital increased by $0.1 million, respectively, in the Condensed Consolidated Statements of Changes in Stockholders’ Equity (Deficit) as of July 31, 2023 and January 31, 2023.</w:t>
      </w:r>
    </w:p>
    <w:p>
      <w:pPr>
        <w:spacing w:after="0" w:line="79" w:lineRule="exact"/>
        <w:rPr>
          <w:rFonts w:ascii="Arial" w:cs="Arial" w:eastAsia="Arial" w:hAnsi="Arial"/>
          <w:sz w:val="17"/>
          <w:szCs w:val="17"/>
          <w:b w:val="1"/>
          <w:bCs w:val="1"/>
          <w:color w:val="auto"/>
        </w:rPr>
      </w:pPr>
    </w:p>
    <w:p>
      <w:pPr>
        <w:ind w:left="500" w:right="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74"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Common Stock</w:t>
      </w:r>
    </w:p>
    <w:p>
      <w:pPr>
        <w:spacing w:after="0" w:line="115"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7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Preferred Stock</w:t>
      </w:r>
    </w:p>
    <w:p>
      <w:pPr>
        <w:spacing w:after="0" w:line="115" w:lineRule="exact"/>
        <w:rPr>
          <w:rFonts w:ascii="Arial" w:cs="Arial" w:eastAsia="Arial" w:hAnsi="Arial"/>
          <w:sz w:val="17"/>
          <w:szCs w:val="17"/>
          <w:b w:val="1"/>
          <w:bCs w:val="1"/>
          <w:color w:val="auto"/>
        </w:rPr>
      </w:pPr>
    </w:p>
    <w:p>
      <w:pPr>
        <w:ind w:left="500" w:right="24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July 31,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right="280"/>
        <w:spacing w:after="0" w:line="287" w:lineRule="auto"/>
        <w:rPr>
          <w:sz w:val="20"/>
          <w:szCs w:val="20"/>
          <w:color w:val="auto"/>
        </w:rPr>
      </w:pPr>
      <w:r>
        <w:rPr>
          <w:rFonts w:ascii="Arial" w:cs="Arial" w:eastAsia="Arial" w:hAnsi="Arial"/>
          <w:sz w:val="18"/>
          <w:szCs w:val="18"/>
          <w:color w:val="auto"/>
        </w:rPr>
        <w:t>As of July 31, 2024 and January 31, 2024, the Company had the following outstanding warrants, adjusted on a retroactive basis to reflect the Reverse Stock Split as discussed above:</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80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Date</w:t>
            </w: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Class of</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2800" w:type="dxa"/>
            <w:vAlign w:val="bottom"/>
          </w:tcPr>
          <w:p>
            <w:pPr>
              <w:ind w:left="72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Issued</w:t>
            </w:r>
          </w:p>
        </w:tc>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 Warrant)</w:t>
            </w:r>
          </w:p>
        </w:tc>
        <w:tc>
          <w:tcPr>
            <w:tcW w:w="22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rPr>
              <w:t>at Issuance</w:t>
            </w:r>
          </w:p>
        </w:tc>
      </w:tr>
      <w:tr>
        <w:trPr>
          <w:trHeight w:val="265"/>
        </w:trPr>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Nov-16</w:t>
            </w:r>
          </w:p>
        </w:tc>
        <w:tc>
          <w:tcPr>
            <w:tcW w:w="134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Jun-17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Sep-17</w:t>
            </w:r>
          </w:p>
        </w:tc>
        <w:tc>
          <w:tcPr>
            <w:tcW w:w="134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Apr-18</w:t>
            </w:r>
          </w:p>
        </w:tc>
        <w:tc>
          <w:tcPr>
            <w:tcW w:w="13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Jun-16</w:t>
            </w:r>
          </w:p>
        </w:tc>
        <w:tc>
          <w:tcPr>
            <w:tcW w:w="134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3"/>
                <w:szCs w:val="23"/>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340.77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80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Oct-21</w:t>
            </w:r>
          </w:p>
        </w:tc>
        <w:tc>
          <w:tcPr>
            <w:tcW w:w="1340" w:type="dxa"/>
            <w:vAlign w:val="bottom"/>
          </w:tcPr>
          <w:p>
            <w:pPr>
              <w:jc w:val="right"/>
              <w:spacing w:after="0"/>
              <w:rPr>
                <w:sz w:val="20"/>
                <w:szCs w:val="20"/>
                <w:color w:val="auto"/>
              </w:rPr>
            </w:pPr>
            <w:r>
              <w:rPr>
                <w:rFonts w:ascii="Arial" w:cs="Arial" w:eastAsia="Arial" w:hAnsi="Arial"/>
                <w:sz w:val="18"/>
                <w:szCs w:val="18"/>
                <w:color w:val="auto"/>
              </w:rPr>
              <w:t>19,717</w:t>
            </w:r>
          </w:p>
        </w:tc>
        <w:tc>
          <w:tcPr>
            <w:tcW w:w="100" w:type="dxa"/>
            <w:vAlign w:val="bottom"/>
          </w:tcPr>
          <w:p>
            <w:pPr>
              <w:spacing w:after="0"/>
              <w:rPr>
                <w:sz w:val="21"/>
                <w:szCs w:val="21"/>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Common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1"/>
        </w:trPr>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131,574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
        </w:trPr>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July 31, 2024 and January 31, 2024, all outstanding warrants were equity-classified and recorded as additional paid-in capital.</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Equity-classified contracts are not subsequently remeasured unless reclassification is required from equity to liability classification.</w:t>
      </w:r>
    </w:p>
    <w:p>
      <w:pPr>
        <w:spacing w:after="0" w:line="99" w:lineRule="exact"/>
        <w:rPr>
          <w:sz w:val="20"/>
          <w:szCs w:val="20"/>
          <w:color w:val="auto"/>
        </w:rPr>
      </w:pPr>
    </w:p>
    <w:p>
      <w:pPr>
        <w:jc w:val="both"/>
        <w:ind w:left="500" w:right="60"/>
        <w:spacing w:after="0" w:line="268"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7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3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11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74"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Amended and Restated 2021 Incentive Award Plan</w:t>
      </w:r>
    </w:p>
    <w:p>
      <w:pPr>
        <w:spacing w:after="0" w:line="115"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six months ended July 31, 2024 and years ended January 31, 2024 and 2023 have a shorter vesting period of one to two years. As of July 31, 2024, there were 226,409 shares of Class A common stock available for issuance under the 2021 Plan. There will not be any further equity grants of Class B common stock.</w:t>
      </w:r>
    </w:p>
    <w:p>
      <w:pPr>
        <w:spacing w:after="0" w:line="7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six months ended July 31, 2024 or year ended January 31, 2024.</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500" w:right="520"/>
        <w:spacing w:after="0" w:line="287" w:lineRule="auto"/>
        <w:rPr>
          <w:sz w:val="20"/>
          <w:szCs w:val="20"/>
          <w:color w:val="auto"/>
        </w:rPr>
      </w:pPr>
      <w:r>
        <w:rPr>
          <w:rFonts w:ascii="Arial" w:cs="Arial" w:eastAsia="Arial" w:hAnsi="Arial"/>
          <w:sz w:val="18"/>
          <w:szCs w:val="18"/>
          <w:color w:val="auto"/>
        </w:rPr>
        <w:t>Stock option activity during the period indicated is as follows, adjusted on a retroactive basis to reflect the Reverse Stock Split as discussed in Note 11, Stockholders’ Equity:</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Weighted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3780" w:type="dxa"/>
            <w:vAlign w:val="bottom"/>
          </w:tcPr>
          <w:p>
            <w:pPr>
              <w:spacing w:after="0"/>
              <w:rPr>
                <w:sz w:val="15"/>
                <w:szCs w:val="15"/>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5"/>
                <w:szCs w:val="15"/>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r>
      <w:tr>
        <w:trPr>
          <w:trHeight w:val="211"/>
        </w:trPr>
        <w:tc>
          <w:tcPr>
            <w:tcW w:w="37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Value</w:t>
            </w: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2024</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42,613</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70"/>
        </w:trPr>
        <w:tc>
          <w:tcPr>
            <w:tcW w:w="3780" w:type="dxa"/>
            <w:vAlign w:val="bottom"/>
          </w:tcPr>
          <w:p>
            <w:pPr>
              <w:ind w:left="4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3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(7,288)</w:t>
            </w:r>
          </w:p>
        </w:tc>
        <w:tc>
          <w:tcPr>
            <w:tcW w:w="66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162.83</w:t>
            </w:r>
          </w:p>
        </w:tc>
        <w:tc>
          <w:tcPr>
            <w:tcW w:w="2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July 31, 2024</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35,325</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48"/>
        </w:trPr>
        <w:tc>
          <w:tcPr>
            <w:tcW w:w="3780" w:type="dxa"/>
            <w:vAlign w:val="bottom"/>
          </w:tcPr>
          <w:p>
            <w:pPr>
              <w:ind w:left="20"/>
              <w:spacing w:after="0"/>
              <w:rPr>
                <w:sz w:val="20"/>
                <w:szCs w:val="20"/>
                <w:color w:val="auto"/>
              </w:rPr>
            </w:pPr>
            <w:r>
              <w:rPr>
                <w:rFonts w:ascii="Arial" w:cs="Arial" w:eastAsia="Arial" w:hAnsi="Arial"/>
                <w:sz w:val="18"/>
                <w:szCs w:val="18"/>
                <w:color w:val="auto"/>
              </w:rPr>
              <w:t>Exercisable as of July 31, 2024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33,938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157.47</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ind w:left="500" w:right="180"/>
        <w:spacing w:after="0" w:line="287" w:lineRule="auto"/>
        <w:rPr>
          <w:sz w:val="20"/>
          <w:szCs w:val="20"/>
          <w:color w:val="auto"/>
        </w:rPr>
      </w:pPr>
      <w:r>
        <w:rPr>
          <w:rFonts w:ascii="Arial" w:cs="Arial" w:eastAsia="Arial" w:hAnsi="Arial"/>
          <w:sz w:val="18"/>
          <w:szCs w:val="18"/>
          <w:color w:val="auto"/>
        </w:rPr>
        <w:t>As of July 31, 2024, there was $0.1 million of unrecognized compensation cost related to stock options granted that is expected to be recognized over a weighted average period of 1.06 years.</w:t>
      </w:r>
    </w:p>
    <w:p>
      <w:pPr>
        <w:spacing w:after="0" w:line="166" w:lineRule="exact"/>
        <w:rPr>
          <w:sz w:val="20"/>
          <w:szCs w:val="20"/>
          <w:color w:val="auto"/>
        </w:rPr>
      </w:pPr>
    </w:p>
    <w:p>
      <w:pPr>
        <w:ind w:left="500" w:right="160"/>
        <w:spacing w:after="0" w:line="259" w:lineRule="auto"/>
        <w:rPr>
          <w:sz w:val="20"/>
          <w:szCs w:val="20"/>
          <w:color w:val="auto"/>
        </w:rPr>
      </w:pPr>
      <w:r>
        <w:rPr>
          <w:rFonts w:ascii="Arial" w:cs="Arial" w:eastAsia="Arial" w:hAnsi="Arial"/>
          <w:sz w:val="17"/>
          <w:szCs w:val="17"/>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w:t>
      </w:r>
    </w:p>
    <w:p>
      <w:pPr>
        <w:spacing w:after="0" w:line="1" w:lineRule="exact"/>
        <w:rPr>
          <w:sz w:val="20"/>
          <w:szCs w:val="20"/>
          <w:color w:val="auto"/>
        </w:rPr>
      </w:pPr>
    </w:p>
    <w:p>
      <w:pPr>
        <w:ind w:left="500" w:right="540"/>
        <w:spacing w:after="0"/>
        <w:rPr>
          <w:sz w:val="20"/>
          <w:szCs w:val="20"/>
          <w:color w:val="auto"/>
        </w:rPr>
      </w:pPr>
      <w:r>
        <w:rPr>
          <w:rFonts w:ascii="Arial" w:cs="Arial" w:eastAsia="Arial" w:hAnsi="Arial"/>
          <w:sz w:val="17"/>
          <w:szCs w:val="17"/>
          <w:color w:val="auto"/>
        </w:rPr>
        <w:t>receive Class A common stock. Stock options relating to 331,370 shares of Class A and Class B common stock were forfeited in exchange for 132,546 RSUs which generally vest over two years. The Company will recognize $0.8 million of incremental stock</w:t>
      </w:r>
    </w:p>
    <w:p>
      <w:pPr>
        <w:spacing w:after="0" w:line="1" w:lineRule="exact"/>
        <w:rPr>
          <w:sz w:val="20"/>
          <w:szCs w:val="20"/>
          <w:color w:val="auto"/>
        </w:rPr>
      </w:pPr>
    </w:p>
    <w:p>
      <w:pPr>
        <w:ind w:left="500" w:right="220"/>
        <w:spacing w:after="0" w:line="250" w:lineRule="auto"/>
        <w:rPr>
          <w:sz w:val="20"/>
          <w:szCs w:val="20"/>
          <w:color w:val="auto"/>
        </w:rPr>
      </w:pPr>
      <w:r>
        <w:rPr>
          <w:rFonts w:ascii="Arial" w:cs="Arial" w:eastAsia="Arial" w:hAnsi="Arial"/>
          <w:sz w:val="18"/>
          <w:szCs w:val="18"/>
          <w:color w:val="auto"/>
        </w:rPr>
        <w:t>compensation expense from the RSUs granted as a result of the option exchange which will be recognized over the two year vesting period.</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RSUs activity during the period indicated is as follows, adjusted on a retroactive basis to reflect the Reverse Stock Split as discussed in</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 11, Stockholders’ Equity:</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7220" w:type="dxa"/>
            <w:vAlign w:val="bottom"/>
          </w:tcPr>
          <w:p>
            <w:pPr>
              <w:spacing w:after="0"/>
              <w:rPr>
                <w:sz w:val="15"/>
                <w:szCs w:val="15"/>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72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315,327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Vested/Released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(43,463)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July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right="320"/>
        <w:spacing w:after="0" w:line="268" w:lineRule="auto"/>
        <w:rPr>
          <w:sz w:val="20"/>
          <w:szCs w:val="20"/>
          <w:color w:val="auto"/>
        </w:rPr>
      </w:pPr>
      <w:r>
        <w:rPr>
          <w:rFonts w:ascii="Arial" w:cs="Arial" w:eastAsia="Arial" w:hAnsi="Arial"/>
          <w:sz w:val="18"/>
          <w:szCs w:val="18"/>
          <w:color w:val="auto"/>
        </w:rPr>
        <w:t>As of July 31, 2024, there was $7.7 million of unrecognized compensation cost related to RSUs granted that is expected to be recognized over a weighted average period of 1.3 years. Of the total unrecognized compensation cost, $1.4 million related to RSUs granted as a result of the option exchange.</w:t>
      </w:r>
    </w:p>
    <w:p>
      <w:pPr>
        <w:spacing w:after="0" w:line="171" w:lineRule="exact"/>
        <w:rPr>
          <w:sz w:val="20"/>
          <w:szCs w:val="20"/>
          <w:color w:val="auto"/>
        </w:rPr>
      </w:pPr>
    </w:p>
    <w:p>
      <w:pPr>
        <w:ind w:left="500" w:right="560"/>
        <w:spacing w:after="0" w:line="287" w:lineRule="auto"/>
        <w:rPr>
          <w:sz w:val="20"/>
          <w:szCs w:val="20"/>
          <w:color w:val="auto"/>
        </w:rPr>
      </w:pPr>
      <w:r>
        <w:rPr>
          <w:rFonts w:ascii="Arial" w:cs="Arial" w:eastAsia="Arial" w:hAnsi="Arial"/>
          <w:sz w:val="18"/>
          <w:szCs w:val="18"/>
          <w:color w:val="auto"/>
        </w:rPr>
        <w:t>As of July 31, 2024 and January 31, 2024, there were 4,219 and 43,518 vested and unreleased shares, respectively, included in unvested and outstanding shares in the table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56"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The classification of share-based compensation for the three and six months ended July 31, 2024 and 2023, respectively, presented within each line item of the Condensed Consolidated Statements of Operations is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4120" w:type="dxa"/>
            <w:vAlign w:val="bottom"/>
            <w:tcBorders>
              <w:bottom w:val="single" w:sz="8" w:color="CCEEFF"/>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July 31,</w:t>
            </w:r>
          </w:p>
        </w:tc>
        <w:tc>
          <w:tcPr>
            <w:tcW w:w="480" w:type="dxa"/>
            <w:vAlign w:val="bottom"/>
            <w:tcBorders>
              <w:bottom w:val="single" w:sz="8" w:color="auto"/>
            </w:tcBorders>
          </w:tcPr>
          <w:p>
            <w:pPr>
              <w:spacing w:after="0"/>
              <w:rPr>
                <w:sz w:val="17"/>
                <w:szCs w:val="17"/>
                <w:color w:val="auto"/>
              </w:rPr>
            </w:pPr>
          </w:p>
        </w:tc>
      </w:tr>
      <w:tr>
        <w:trPr>
          <w:trHeight w:val="201"/>
        </w:trPr>
        <w:tc>
          <w:tcPr>
            <w:tcW w:w="4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shd w:val="clear" w:color="auto" w:fill="CCEEFF"/>
          </w:tcPr>
          <w:p>
            <w:pPr>
              <w:spacing w:after="0"/>
              <w:rPr>
                <w:sz w:val="17"/>
                <w:szCs w:val="17"/>
                <w:color w:val="auto"/>
              </w:rPr>
            </w:pPr>
          </w:p>
        </w:tc>
      </w:tr>
      <w:tr>
        <w:trPr>
          <w:trHeight w:val="265"/>
        </w:trPr>
        <w:tc>
          <w:tcPr>
            <w:tcW w:w="41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9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88"/>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Company recognized $0.5 million and $2.4 million of incremental share-based compensation expense in General and administrative expenses during the three and six months ended July 31, 2023, respectively, due to equity award modifications related to the transition of the Chief Financial Officer role.</w:t>
      </w:r>
    </w:p>
    <w:p>
      <w:pPr>
        <w:spacing w:after="0" w:line="196" w:lineRule="exact"/>
        <w:rPr>
          <w:sz w:val="20"/>
          <w:szCs w:val="20"/>
          <w:color w:val="auto"/>
        </w:rPr>
      </w:pPr>
    </w:p>
    <w:p>
      <w:pPr>
        <w:ind w:left="500" w:right="140"/>
        <w:spacing w:after="0" w:line="271" w:lineRule="auto"/>
        <w:rPr>
          <w:sz w:val="20"/>
          <w:szCs w:val="20"/>
          <w:color w:val="auto"/>
        </w:rPr>
      </w:pPr>
      <w:r>
        <w:rPr>
          <w:rFonts w:ascii="Arial" w:cs="Arial" w:eastAsia="Arial" w:hAnsi="Arial"/>
          <w:sz w:val="18"/>
          <w:szCs w:val="18"/>
          <w:color w:val="auto"/>
        </w:rPr>
        <w:t>The Company recognized $0.4 million and $0.8 million of share-based compensation expense during the three and six months ended July 31, 2024, including incremental share-based compensation expense as a result of the option exchange discussed above.</w:t>
      </w:r>
    </w:p>
    <w:p>
      <w:pPr>
        <w:spacing w:after="0" w:line="262"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4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68" w:lineRule="exact"/>
        <w:rPr>
          <w:rFonts w:ascii="Arial" w:cs="Arial" w:eastAsia="Arial" w:hAnsi="Arial"/>
          <w:sz w:val="18"/>
          <w:szCs w:val="18"/>
          <w:b w:val="1"/>
          <w:bCs w:val="1"/>
          <w:color w:val="auto"/>
        </w:rPr>
      </w:pPr>
    </w:p>
    <w:p>
      <w:pPr>
        <w:ind w:left="50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adjusted on a retroactive basis to reflect the Reverse Stock Split as discussed in Note 11, Stockholders’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7"/>
                <w:szCs w:val="17"/>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500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5000" w:type="dxa"/>
            <w:vAlign w:val="bottom"/>
          </w:tcPr>
          <w:p>
            <w:pPr>
              <w:ind w:left="440"/>
              <w:spacing w:after="0"/>
              <w:rPr>
                <w:sz w:val="20"/>
                <w:szCs w:val="20"/>
                <w:color w:val="auto"/>
              </w:rPr>
            </w:pPr>
            <w:r>
              <w:rPr>
                <w:rFonts w:ascii="Arial" w:cs="Arial" w:eastAsia="Arial" w:hAnsi="Arial"/>
                <w:sz w:val="18"/>
                <w:szCs w:val="18"/>
                <w:color w:val="auto"/>
                <w:w w:val="99"/>
              </w:rPr>
              <w:t>Weighted-average shares used in computing net loss per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0" w:type="dxa"/>
            <w:vAlign w:val="bottom"/>
          </w:tcPr>
          <w:p>
            <w:pPr>
              <w:ind w:left="660"/>
              <w:spacing w:after="0"/>
              <w:rPr>
                <w:sz w:val="20"/>
                <w:szCs w:val="20"/>
                <w:color w:val="auto"/>
              </w:rPr>
            </w:pPr>
            <w:r>
              <w:rPr>
                <w:rFonts w:ascii="Arial" w:cs="Arial" w:eastAsia="Arial" w:hAnsi="Arial"/>
                <w:sz w:val="18"/>
                <w:szCs w:val="18"/>
                <w:color w:val="auto"/>
              </w:rPr>
              <w:t>share attributable to common stockholders, basic and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5000" w:type="dxa"/>
            <w:vAlign w:val="bottom"/>
          </w:tcPr>
          <w:p>
            <w:pPr>
              <w:ind w:left="6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3,736,953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3,380,413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3,337,535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5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00" w:type="dxa"/>
            <w:vAlign w:val="bottom"/>
          </w:tcPr>
          <w:p>
            <w:pPr>
              <w:spacing w:after="0"/>
              <w:rPr>
                <w:sz w:val="22"/>
                <w:szCs w:val="22"/>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360" w:type="dxa"/>
            <w:vAlign w:val="bottom"/>
            <w:gridSpan w:val="2"/>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both"/>
        <w:ind w:left="500" w:right="220"/>
        <w:spacing w:after="0" w:line="268" w:lineRule="auto"/>
        <w:rPr>
          <w:sz w:val="20"/>
          <w:szCs w:val="20"/>
          <w:color w:val="auto"/>
        </w:rPr>
      </w:pPr>
      <w:r>
        <w:rPr>
          <w:rFonts w:ascii="Arial" w:cs="Arial" w:eastAsia="Arial" w:hAnsi="Arial"/>
          <w:sz w:val="18"/>
          <w:szCs w:val="18"/>
          <w:color w:val="auto"/>
        </w:rPr>
        <w:t>The following potentially dilutive outstanding securities based on amounts outstanding at each period end, adjusted on a retroactive basis to reflect the Reverse Stock Split as discussed in Note 11, Stockholders’ Equity, were excluded from the computation of diluted loss per share attributable to common stockholders because including them would have been anti-dilutive:</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33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Six Months Ended July 31,</w:t>
            </w:r>
          </w:p>
        </w:tc>
      </w:tr>
      <w:tr>
        <w:trPr>
          <w:trHeight w:val="223"/>
        </w:trPr>
        <w:tc>
          <w:tcPr>
            <w:tcW w:w="68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35,325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53,839</w:t>
            </w: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131,574</w:t>
            </w:r>
          </w:p>
        </w:tc>
      </w:tr>
      <w:tr>
        <w:trPr>
          <w:trHeight w:val="23"/>
        </w:trPr>
        <w:tc>
          <w:tcPr>
            <w:tcW w:w="6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461,484</w:t>
            </w:r>
          </w:p>
        </w:tc>
        <w:tc>
          <w:tcPr>
            <w:tcW w:w="8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530,191</w:t>
            </w:r>
          </w:p>
        </w:tc>
      </w:tr>
      <w:tr>
        <w:trPr>
          <w:trHeight w:val="263"/>
        </w:trPr>
        <w:tc>
          <w:tcPr>
            <w:tcW w:w="6820" w:type="dxa"/>
            <w:vAlign w:val="bottom"/>
          </w:tcPr>
          <w:p>
            <w:pPr>
              <w:ind w:left="4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628,383</w:t>
            </w:r>
          </w:p>
        </w:tc>
        <w:tc>
          <w:tcPr>
            <w:tcW w:w="80" w:type="dxa"/>
            <w:vAlign w:val="bottom"/>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715,604</w:t>
            </w:r>
          </w:p>
        </w:tc>
      </w:tr>
      <w:tr>
        <w:trPr>
          <w:trHeight w:val="20"/>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50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July 31, 2024 and January 31, 2024 of $10.0 million and $10.0 million, respectively, primarily to satisfy security deposit requirements on its leases. The restricted cash balances also consisted of letters of credit for rental product purchases and credit card transactions.</w:t>
      </w:r>
    </w:p>
    <w:p>
      <w:pPr>
        <w:spacing w:after="0" w:line="19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15"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74"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8"/>
          <w:szCs w:val="18"/>
          <w:i w:val="1"/>
          <w:iCs w:val="1"/>
          <w:color w:val="auto"/>
        </w:rPr>
        <w:t>inter alia</w:t>
      </w:r>
      <w:r>
        <w:rPr>
          <w:rFonts w:ascii="Arial" w:cs="Arial" w:eastAsia="Arial" w:hAnsi="Arial"/>
          <w:sz w:val="18"/>
          <w:szCs w:val="18"/>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have moved to dismiss the amended complaint and that motion, which was fully submitted on February 23, 2024, remains pending.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2024 and the related Management’s Discussion and Analysis of Financial Condition and Results of Operations in our Annual Report on Form 10-K for the fiscal year ended January 31, 2024 (the “2023 Annual Report on Form 10-K”).</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175,087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July 31, 2024. We had 129,073 active subscribers as of July 31, 2024. The majority of our revenue is highly recurring and is generated by our subscribers. For the six months ended July 31, 2024 and 2023, respectively, 89% and 88% of our total revenue (including Reserve and Resale revenue) was generated by subscribers while they were active or paused.</w:t>
      </w:r>
    </w:p>
    <w:p>
      <w:pPr>
        <w:spacing w:after="0" w:line="8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ind w:right="300" w:firstLine="8"/>
        <w:spacing w:after="0" w:line="195" w:lineRule="auto"/>
        <w:tabs>
          <w:tab w:leader="none" w:pos="138" w:val="left"/>
        </w:tabs>
        <w:numPr>
          <w:ilvl w:val="0"/>
          <w:numId w:val="19"/>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period.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Restructuring Plan</w:t>
      </w:r>
      <w:r>
        <w:rPr>
          <w:rFonts w:ascii="Arial" w:cs="Arial" w:eastAsia="Arial" w:hAnsi="Arial"/>
          <w:sz w:val="18"/>
          <w:szCs w:val="18"/>
          <w:color w:val="auto"/>
        </w:rPr>
        <w:t>.</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Restructuring charges for severance and related costs of $0.2 million were recognized during the six months ended July 31, 2024. No restructuring charges were recognized during the three months ended July 31, 2024. Restructuring charges of $2.0 million were recognized during the year ended January 31, 2024 and are reflected in Restructuring charges on our Condensed Consolidated Statements of Operations. We may incur additional restructuring charges in the future.</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recorded asset impairment charges of $ 1.1 million during the quarter and year ended January 31, 2024 related to the discontinuation of a software implementation project in connection with the January 2024 restructuring plan. The charge was reflected in Loss on asset impairment related to restructuring on the Company’s Consolidated Statements of Operations.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January 2024 restructuring plan is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The restructuring plan was substantially completed by the end of the second quarter of fiscal year 2024 and is expected to be fully completed by the end of the third quarter of fiscal year 2024.</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See Note 4, “Restructuring and Related Charges” in the Notes to the Condensed Consolidated Financial Statements for more details on these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2024, our stockholders approved, and our Board of Directors selected a 1-for-20 reverse stock split of our outstanding shares of Class A common stock and Class B common stock (the “Reverse Stock Split”). The Reverse Stock Split became effective on April 2, 2024 and began trading on a post-split basis on April 3, 2024. Accordingly, all share and per share amounts for all periods presented in the accompanying financial statements and notes thereto have been retroactively adjusted, where applicable, to reflect the Reverse Stock Split. Shares of Class A common stock and Class B common stock underlying outstanding warrants, stock options, and restricted stock units were proportionately decreased and the respective per share value and exercise prices, if applicable, were proportionately adjusted.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Key Fiscal Second Quarter and Recent Business Highlights:</w:t>
      </w:r>
    </w:p>
    <w:p>
      <w:pPr>
        <w:spacing w:after="0" w:line="115" w:lineRule="exact"/>
        <w:rPr>
          <w:sz w:val="20"/>
          <w:szCs w:val="20"/>
          <w:color w:val="auto"/>
        </w:rPr>
      </w:pPr>
    </w:p>
    <w:p>
      <w:pPr>
        <w:ind w:left="500" w:right="60" w:hanging="330"/>
        <w:spacing w:after="0" w:line="257" w:lineRule="auto"/>
        <w:tabs>
          <w:tab w:leader="none" w:pos="49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Improved consumption of cash flows from operations plus cash flows generated (used) in investing of $6 million for the six months ending July 31, 2024, </w:t>
      </w:r>
      <w:r>
        <w:rPr>
          <w:rFonts w:ascii="Arial" w:cs="Arial" w:eastAsia="Arial" w:hAnsi="Arial"/>
          <w:sz w:val="18"/>
          <w:szCs w:val="18"/>
          <w:color w:val="auto"/>
        </w:rPr>
        <w:t>which is $24 million lower than the six months ending July 31, 2023 and $48 million lower than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ending July 31, 2022.</w:t>
      </w:r>
    </w:p>
    <w:p>
      <w:pPr>
        <w:spacing w:after="0" w:line="1" w:lineRule="exact"/>
        <w:rPr>
          <w:rFonts w:ascii="Arial" w:cs="Arial" w:eastAsia="Arial" w:hAnsi="Arial"/>
          <w:sz w:val="18"/>
          <w:szCs w:val="18"/>
          <w:b w:val="1"/>
          <w:bCs w:val="1"/>
          <w:i w:val="1"/>
          <w:iCs w:val="1"/>
          <w:color w:val="auto"/>
        </w:rPr>
      </w:pPr>
    </w:p>
    <w:p>
      <w:pPr>
        <w:ind w:left="500" w:right="1080" w:hanging="330"/>
        <w:spacing w:after="0" w:line="250" w:lineRule="auto"/>
        <w:tabs>
          <w:tab w:leader="none" w:pos="4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Strong momentum in the Reserve offering </w:t>
      </w:r>
      <w:r>
        <w:rPr>
          <w:rFonts w:ascii="Arial" w:cs="Arial" w:eastAsia="Arial" w:hAnsi="Arial"/>
          <w:sz w:val="18"/>
          <w:szCs w:val="18"/>
          <w:color w:val="auto"/>
        </w:rPr>
        <w:t>as a result of increased focus and operational, product, and merchandising</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that resulted in an improved customer experience.</w:t>
      </w: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Strong rejoin rates of former customers </w:t>
      </w:r>
      <w:r>
        <w:rPr>
          <w:rFonts w:ascii="Arial" w:cs="Arial" w:eastAsia="Arial" w:hAnsi="Arial"/>
          <w:sz w:val="18"/>
          <w:szCs w:val="18"/>
          <w:color w:val="auto"/>
        </w:rPr>
        <w:t>driven by improved marketing, rental product, merchandising, and product experience.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Significantly improved checkout experience </w:t>
      </w:r>
      <w:r>
        <w:rPr>
          <w:rFonts w:ascii="Arial" w:cs="Arial" w:eastAsia="Arial" w:hAnsi="Arial"/>
          <w:sz w:val="18"/>
          <w:szCs w:val="18"/>
          <w:color w:val="auto"/>
        </w:rPr>
        <w:t>driving higher checkout completion rates.</w:t>
      </w:r>
    </w:p>
    <w:p>
      <w:pPr>
        <w:spacing w:after="0" w:line="9" w:lineRule="exact"/>
        <w:rPr>
          <w:rFonts w:ascii="Arial" w:cs="Arial" w:eastAsia="Arial" w:hAnsi="Arial"/>
          <w:sz w:val="18"/>
          <w:szCs w:val="18"/>
          <w:b w:val="1"/>
          <w:bCs w:val="1"/>
          <w:color w:val="auto"/>
        </w:rPr>
      </w:pPr>
    </w:p>
    <w:p>
      <w:pPr>
        <w:ind w:left="500" w:right="160" w:hanging="330"/>
        <w:spacing w:after="0" w:line="250" w:lineRule="auto"/>
        <w:tabs>
          <w:tab w:leader="none" w:pos="4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Improved Site Performance </w:t>
      </w:r>
      <w:r>
        <w:rPr>
          <w:rFonts w:ascii="Arial" w:cs="Arial" w:eastAsia="Arial" w:hAnsi="Arial"/>
          <w:sz w:val="18"/>
          <w:szCs w:val="18"/>
          <w:color w:val="auto"/>
        </w:rPr>
        <w:t>to improve customer experience and to realize potential to drive significantly higher organic traffic from</w:t>
      </w:r>
      <w:r>
        <w:rPr>
          <w:rFonts w:ascii="Arial" w:cs="Arial" w:eastAsia="Arial" w:hAnsi="Arial"/>
          <w:sz w:val="18"/>
          <w:szCs w:val="18"/>
          <w:b w:val="1"/>
          <w:bCs w:val="1"/>
          <w:color w:val="auto"/>
        </w:rPr>
        <w:t xml:space="preserve"> </w:t>
      </w:r>
      <w:r>
        <w:rPr>
          <w:rFonts w:ascii="Arial" w:cs="Arial" w:eastAsia="Arial" w:hAnsi="Arial"/>
          <w:sz w:val="18"/>
          <w:szCs w:val="18"/>
          <w:color w:val="auto"/>
        </w:rPr>
        <w:t>search engine optimization initiatives. Site enhancements drove faster load times and lower bounce rates.</w:t>
      </w:r>
    </w:p>
    <w:p>
      <w:pPr>
        <w:ind w:left="500" w:right="200" w:hanging="330"/>
        <w:spacing w:after="0" w:line="266"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Continued focus on full cycle and brand marketing </w:t>
      </w:r>
      <w:r>
        <w:rPr>
          <w:rFonts w:ascii="Arial" w:cs="Arial" w:eastAsia="Arial" w:hAnsi="Arial"/>
          <w:sz w:val="18"/>
          <w:szCs w:val="18"/>
          <w:color w:val="auto"/>
        </w:rPr>
        <w:t>with RTR College Tour in Fall 2024 and enhancements to lifecycle and email</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during the quarter.</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 July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and 2023, respectively:</w:t>
      </w:r>
    </w:p>
    <w:p>
      <w:pPr>
        <w:spacing w:after="0" w:line="180" w:lineRule="exact"/>
        <w:rPr>
          <w:sz w:val="20"/>
          <w:szCs w:val="20"/>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was $78.9 million and $75.7 million, respectively, representing 4.2% growth year-over-year;</w:t>
      </w:r>
    </w:p>
    <w:p>
      <w:pPr>
        <w:spacing w:after="0" w:line="114" w:lineRule="exact"/>
        <w:rPr>
          <w:rFonts w:ascii="Arial" w:cs="Arial" w:eastAsia="Arial" w:hAnsi="Arial"/>
          <w:sz w:val="18"/>
          <w:szCs w:val="18"/>
          <w:color w:val="auto"/>
        </w:rPr>
      </w:pPr>
    </w:p>
    <w:p>
      <w:pPr>
        <w:ind w:left="740" w:hanging="246"/>
        <w:spacing w:after="0" w:line="232"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129,073 and 137,566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a change of (6)% year-over-year;</w:t>
      </w:r>
    </w:p>
    <w:p>
      <w:pPr>
        <w:spacing w:after="0" w:line="84"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137,455 and 141,393 Average Active Subscribers</w:t>
      </w:r>
      <w:r>
        <w:rPr>
          <w:rFonts w:ascii="Arial" w:cs="Arial" w:eastAsia="Arial" w:hAnsi="Arial"/>
          <w:sz w:val="23"/>
          <w:szCs w:val="23"/>
          <w:color w:val="auto"/>
          <w:vertAlign w:val="superscript"/>
        </w:rPr>
        <w:t>3</w:t>
      </w:r>
      <w:r>
        <w:rPr>
          <w:rFonts w:ascii="Arial" w:cs="Arial" w:eastAsia="Arial" w:hAnsi="Arial"/>
          <w:sz w:val="18"/>
          <w:szCs w:val="18"/>
          <w:color w:val="auto"/>
        </w:rPr>
        <w:t>, respectively, representing a change of (3)% year-over-year;</w:t>
      </w:r>
    </w:p>
    <w:p>
      <w:pPr>
        <w:spacing w:after="0" w:line="61"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175,087 and 184,389 ending Total Subscribers (including paused subscribers), respectively, representing a change of (5)% year-over-year;</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Profit was $32.4 million and $33.2 million, respectively, representing a gross margin of 41.1% and 43.9%, respectively;</w:t>
      </w:r>
    </w:p>
    <w:p>
      <w:pPr>
        <w:spacing w:after="0" w:line="117"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Loss was $(15.6) million and $(26.8) million, respectively. Net Loss as a percentage of revenue was (19.8)% and (35.4)%, respectively; and</w:t>
      </w:r>
    </w:p>
    <w:p>
      <w:pPr>
        <w:spacing w:after="0" w:line="44"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was $13.7 million and $7.7 million, respectively, representing an Adjusted EBITDA Margin of 17.4% and 10.2%,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achieved the following operating and financial results for the six months ended July 31, 2024 and 2023, respectively:</w:t>
      </w:r>
    </w:p>
    <w:p>
      <w:pPr>
        <w:spacing w:after="0" w:line="252"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was $153.9 million and $149.9 million, respectively, representing 2.7% growth year-over-year;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was $60.8 million and $64.6 million, respectively, representing a gross margin of 39.5% and 43.1%, respectively;</w:t>
      </w:r>
    </w:p>
    <w:p>
      <w:pPr>
        <w:spacing w:after="0" w:line="117"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Loss was $(37.6) million and $(56.9) million, respectively. Net Loss as a percentage of revenue was (24.4)% and (38.0)%, respectively, and included $0.2 million of restructuring and related charges for the six months ended July 31, 2024;</w:t>
      </w:r>
    </w:p>
    <w:p>
      <w:pPr>
        <w:spacing w:after="0" w:line="44"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was $20.2 million and $12.2 million, respectively, representing an Adjusted EBITDA margin of 13.1% and 8.1%, respectively;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$(5.9) million and $(29.6) million, respectively;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(3.8)% and (19.7)%, respectively;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and Cash Equivalents was $76.6 million and $123.7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generally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4"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9"/>
          <w:szCs w:val="9"/>
          <w:color w:val="auto"/>
        </w:rPr>
      </w:pPr>
      <w:r>
        <w:rPr>
          <w:rFonts w:ascii="Arial" w:cs="Arial" w:eastAsia="Arial" w:hAnsi="Arial"/>
          <w:sz w:val="14"/>
          <w:szCs w:val="14"/>
          <w:color w:val="auto"/>
        </w:rPr>
        <w:t>Active Subscribers is defined as ending total subscribers as of period end, excluding paused subscribers.</w:t>
      </w:r>
    </w:p>
    <w:p>
      <w:pPr>
        <w:spacing w:after="0" w:line="42" w:lineRule="exact"/>
        <w:rPr>
          <w:sz w:val="20"/>
          <w:szCs w:val="20"/>
          <w:color w:val="auto"/>
        </w:rPr>
      </w:pPr>
    </w:p>
    <w:p>
      <w:pPr>
        <w:ind w:right="20" w:firstLine="8"/>
        <w:spacing w:after="0" w:line="222" w:lineRule="auto"/>
        <w:tabs>
          <w:tab w:leader="none" w:pos="92"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year 2023, 39% of new items were acquired through Wholesale, 33% through Share by RTR and 28% through Exclusive Designs, compared to 42% Wholesale, 27% Share by RTR and 31% Exclusive Designs in fiscal year 2022. In total, approximately 61% of new items were acquired through Share by RTR and Exclusive Designs, our more capital-efficient channels in fiscal year 2023 and approximately 58% in fiscal year 2022.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 We expect to incur considerably lower Purchases of Rental Product in fiscal year 2024 relative to fiscal year 2023 due to fiscal year 2023 being impacted by the need to make rental product depth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2023 Annual Report on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 xml:space="preserve">Ability to Attract and Retain Subscribers and Customers. </w:t>
      </w:r>
      <w:r>
        <w:rPr>
          <w:rFonts w:ascii="Arial" w:cs="Arial" w:eastAsia="Arial" w:hAnsi="Arial"/>
          <w:sz w:val="18"/>
          <w:szCs w:val="18"/>
          <w:color w:val="auto"/>
        </w:rPr>
        <w:t>We believe that we have a significant market opportunity to increase our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subscribers and customers, and that our long-term growth depends in large part on our continued ability to acquire and retain subscribers and customers.</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Customer acquisition is dependent on organic growth, the effectiveness of our paid marketing strategy and the availability of and satisfaction with our rental product. During fiscal year 2024, we anticipate focusing on increasing customer awareness of the Rent the Runway brand through brand campaigns, live events, and other initiatives. We are also focused on improving the efficiency of our paid marketing through channel diversification, improved creative content, and other optimizations. Our acquisitions are also reliant on new customer promotions. We expect our promotional spending to be below historical averages in the near to medium term, which is anticipated to reduce subscriber acquisition in the near-term, but support the health of the business over the longer-term. Our promotional strategy is subject to change depending on business and market conditions. In fiscal year 2024, we have focused, and plan to continue to focus, on improving both the availability of and satisfaction with our rental product for our Reserve and Subscription customers.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depth of our rental product purchases to improve rental product in-stock levels. We currently expect to continue to improve rental product in-stock levels through our depth strategy in fiscal year 2024. In addition, we are focused on improving the availability of and satisfaction with our rental product by focusing on improved logistics and merchandising. We are also focused on new product features as well as more personal customer service and styling. As a result of these initiatives, we have seen better customer retention in recent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Ability to Acquire, Manage and Monetize Products Efficiently. </w:t>
      </w:r>
      <w:r>
        <w:rPr>
          <w:rFonts w:ascii="Arial" w:cs="Arial" w:eastAsia="Arial" w:hAnsi="Arial"/>
          <w:sz w:val="18"/>
          <w:szCs w:val="18"/>
          <w:color w:val="auto"/>
        </w:rPr>
        <w:t>Our ability to deliver an elevated experience for our subscribers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that keeps them loyal to RTR depends on us having the right assortment. For example, beginning in fiscal year 2023, we focused on enhancing the availability of rental product on our site by increasing the depths of our buys (i.e. acquiring more units of particular styles) and expect to continue to pursue this strategy in fiscal year 2024.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2023, approximately 61% of new items were acquired through our more capital efficient non-Wholesale channels, compared to 58% in fiscal year 2022 and 55% in fiscal year 2021. We plan to further increase the percentage of units acquired through Exclusive Designs and Share by RTR in fiscal year 2024. We continuously evaluate our product acquisition mix to maximize our strategic priorities.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2023 was 26% as a result of lower sales and the impact of the adjustment to our rental product depth in fiscal year 2023. Purchases of rental product as a percentage of revenue was 21% and 15% in fiscal year 2022 and 2021, respectively. We anticipate this percentage to decrease in fiscal year 2024 compared with fiscal year 2023 due to higher sales projections and the impact of increasing rental product depth in fiscal year 2023. Due to seasonality factors, we track our progress on purchases of rental product as a percentage of revenue on a full year basis, as quarterly expenditures are not necessarily reflective of full year trends. In addition, we intend to comply with the mutually agreed upon quarterly and annual spend levels for rental product capital expenditures during fiscal year 2024 in our 2023 Amended Temasek Facility.</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increasing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certain of our operating 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Though we anticipate quarterly fluctuations in operating leverage, with these reductions and continuous improvements to our cost structure, we expect our fixed costs to decrease as a percentage of total revenue in fiscal year 2024, and over time we anticipate that our operating costs will grow more slowly than our total revenue on an annual basis. In addition, we intend to comply with the mutually agreed upon quarterly and annual spend levels relating to our operating costs (i.e., fixed operating expenditures and marketing expenditures) during fiscal year 2024 in our 2023 Amended Temasek Facility.</w:t>
      </w:r>
    </w:p>
    <w:p>
      <w:pPr>
        <w:spacing w:after="0" w:line="8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2023 Amended Temasek Facility reduces our cash interest payments during fiscal years 2024 and 2025 relative to the original agreement, which we expect to improve our overall liquidity.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offering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changes in rental product in-stock levels and changes to promotional prices also disrupted typical seasonality. Given continued business changes, our future seasonality may not resemble historical trends.</w:t>
      </w:r>
    </w:p>
    <w:p>
      <w:pPr>
        <w:spacing w:after="0" w:line="7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 and Consumer Environment on Our Business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remains significant uncertainty in the current macroeconomic and consumer environment, driven by several factors, including inflationary pressures, higher interest rates, potential risk of recession, ongoing industry-wide supply chain issues, instability in the financial system, the wars in Ukraine and the Middle East and COVID-19. These factors have impacted, and are expected to continue to impact, consumer discretionary spending and purchasing behavior, price sensitivity, wage rates, transportation costs, and other costs associated with our business.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6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fiscal year 2023 and the first quarter of fiscal year 2024 to attract and retain talent at our fulfillment centers and we expect to continue to be impacted by rising labor costs in the future. We also expect transportation costs to decrease as a percentage of sales in fiscal year 2024 due to transportation efficiencies and the impact of our new transportation contract with a major national carrier, effective in September 2023. While we expect to be able to reduce transportation costs as a percentage of sales in fiscal year 2024,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For additional details about key factors affecting our performance, see our 2023 Annual Report on Form 10-K and Part II, Item 1A, “Risk Factors” of this Quarterly Report on Form 10-Q.</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considered in conjunction with other metrics and components of our results of operations, such as each of the other key business and financial metrics, and our revenue and net loss.</w:t>
      </w:r>
    </w:p>
    <w:p>
      <w:pPr>
        <w:sectPr>
          <w:pgSz w:w="11900" w:h="16838" w:orient="portrait"/>
          <w:cols w:equalWidth="0" w:num="1">
            <w:col w:w="11240"/>
          </w:cols>
          <w:pgMar w:left="320" w:top="117" w:right="339" w:bottom="1440" w:gutter="0" w:footer="0" w:header="0"/>
        </w:sectPr>
      </w:pPr>
    </w:p>
    <w:p>
      <w:pPr>
        <w:spacing w:after="0" w:line="244"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1945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4700"/>
        <w:spacing w:after="0"/>
        <w:tabs>
          <w:tab w:leader="none" w:pos="62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1945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19627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23495</wp:posOffset>
            </wp:positionV>
            <wp:extent cx="19627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in millions)</w:t>
      </w:r>
    </w:p>
    <w:p>
      <w:pPr>
        <w:spacing w:after="0" w:line="55" w:lineRule="exact"/>
        <w:rPr>
          <w:sz w:val="20"/>
          <w:szCs w:val="20"/>
          <w:color w:val="auto"/>
        </w:rPr>
      </w:pPr>
    </w:p>
    <w:p>
      <w:pPr>
        <w:sectPr>
          <w:pgSz w:w="11900" w:h="16838" w:orient="portrait"/>
          <w:cols w:equalWidth="0" w:num="2">
            <w:col w:w="7140" w:space="720"/>
            <w:col w:w="33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129,073</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137,566</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129,073</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137,566</w:t>
            </w: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Average Active Subscribers</w:t>
            </w:r>
          </w:p>
        </w:tc>
        <w:tc>
          <w:tcPr>
            <w:tcW w:w="13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137,455</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141,393</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137,455</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141,393</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Adjusted EBITDA (1)</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440" w:hanging="332"/>
        <w:spacing w:after="0" w:line="285"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July 31, 2024, we had 129,073 Active Subscribers, down from 137,566 as of July 31, 2023. The decline in active subscribers was driven by lower acquisitions due primarily to the change in our promotional strategy during the second quarter of fiscal year 2024 versus the same quarter last year. This decline was partially offset by improved subscriber retention during the quarter compared to the same quarter last year.</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Average Active Subscribers: </w:t>
      </w:r>
      <w:r>
        <w:rPr>
          <w:rFonts w:ascii="Arial" w:cs="Arial" w:eastAsia="Arial" w:hAnsi="Arial"/>
          <w:sz w:val="18"/>
          <w:szCs w:val="18"/>
          <w:color w:val="auto"/>
        </w:rPr>
        <w:t>Average Active Subscribers represents the mean of the beginning of quarter and end of quarter Active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for a quarterly period; and for other periods, represents the mean of the Average Active Subscribers of every quarter within that period. As of July 31, 2024, we had 137,455 Average Active Subscribers, down from 141,393 as of July 31, 2023. The decline in active subscribers was driven by lower acquisitions due primarily to the change in promotional strategy during the second quarter of fiscal year 2024 versus the same quarter last year. This decline was partially offset by improved subscriber retention during the quarter compared to the same quarter last year.</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costs related to activities to fulfill customer orders and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acquisition costs, presented as 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was $32.4 million for the three months ended July 31, 2024 compared to $33.2 million for the three months ended July 31, 2023, representing Gross Margins of 41.1% and 43.9%, respectively. Gross Profit was $60.8 million for the six months ended July 31, 2024 compared to $64.6 million for the six months ended July 31, 2023 representing Gross Margins of 39.5% and 43.1%, respectively. Gross Profit and Gross Margin for the three and six months ended July 31, 2024 decreased due to the impact of higher rental product depreciation and revenue share costs as a percentage of sales, partially offset by lower fulfillment costs as a percentage of sales. We will seek to continue to drive fulfillment and operational efficiency gains over time and strategically evolve our mix of revenue and product acquisition to offset cost increases.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assets, non-recurring adjustments, restructuring charges, income tax (benefit) expense, other income and expense, and other gains / losses. Adjusted EBITDA margin is defined as Adjusted EBITDA calculated as a percentage of total revenue, net for a period.</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was $13.7 million for the three months ended July 31, 2024 compared to $7.7 million for the three months ended July 31, 2023, representing margins of 17.4% and 10.2%, respectively. Adjusted EBITDA was $20.2 million for the six months ended July 31, 2024 compared to $12.2 million for the six months ended July 31, 2023, representing margins of 13.1% and 8.1%, respectively. Adjusted EBITDA Margin improved year over year due to our fixed cost reduction efforts, higher revenue and lower fulfillment costs partially offset by higher revenue share payments due to a greater proportion of revenue share units.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we have the opportunity to improve Adjusted EBITDA and offset cost increases as we increase revenue and drive fulfillment and operational efficiency gains and operating expense leverage. In particular, we expect our January 2024 restructuring plan to significantly reduce fixed costs and improve operating expense leverage in fiscal year 2024 compared to fiscal year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Our total revenue, net consists of Subscription and Reserve rental revenue and Other revenue. Total revenue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promotional discounts, credits and refunds and taxes.</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 xml:space="preserve">Fulfillment. </w:t>
      </w:r>
      <w:r>
        <w:rPr>
          <w:rFonts w:ascii="Arial" w:cs="Arial" w:eastAsia="Arial" w:hAnsi="Arial"/>
          <w:sz w:val="17"/>
          <w:szCs w:val="17"/>
          <w:color w:val="auto"/>
        </w:rPr>
        <w:t>Fulfillment expenses consist of all costs to receive, process and fulfill customer orders. This primarily includes shipping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market which could lead to continued higher wage rates. We expect to continue to invest in automation and other process improvements to support and drive efficiencies in our operations. To the extent we are successful in becoming more efficient in fulfilling orders, and at a</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magnitude that is able to offset long-term increases in shipping costs, wage rates and cleaning/packing supply price increases, we would expect these expenses to decrease as a percentage of total revenue over the longer term.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2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Marketing expenses unrelated to personnel costs may increase if we increase marketing spend to drive the growth of our business and increase our brand awareness.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consist of all other personnel and related costs for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expense dollars and as a percentage of total revenue in the short term as a result of our restructuring plan.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consist of severance and related costs associated with the January 2024 restructuring plan.</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amortization associated with our 2023 Amended Temasek Facility going forward. The 2023 Amended Temasek Facility eliminates all interest (both payment-in-kind and cash interest) for a period of six full fiscal quarters beginning with the fourth quarter of fiscal year 2023.</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w:t>
      </w:r>
      <w:r>
        <w:rPr>
          <w:rFonts w:ascii="Arial" w:cs="Arial" w:eastAsia="Arial" w:hAnsi="Arial"/>
          <w:sz w:val="18"/>
          <w:szCs w:val="18"/>
          <w:color w:val="auto"/>
        </w:rPr>
        <w:t>Other income / (expense) consists primarily of proceeds from monetizing tax credits associated with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Irish refundable tax credits.</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and foreign taxes. We have established a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ectPr>
          <w:pgSz w:w="11900" w:h="16838" w:orient="portrait"/>
          <w:cols w:equalWidth="0" w:num="1">
            <w:col w:w="11240"/>
          </w:cols>
          <w:pgMar w:left="320" w:top="117" w:right="339" w:bottom="1440" w:gutter="0" w:footer="0" w:header="0"/>
        </w:sectPr>
      </w:pPr>
    </w:p>
    <w:p>
      <w:pPr>
        <w:spacing w:after="0" w:line="234"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32385</wp:posOffset>
            </wp:positionV>
            <wp:extent cx="1791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49" w:lineRule="exact"/>
        <w:rPr>
          <w:sz w:val="20"/>
          <w:szCs w:val="20"/>
          <w:color w:val="auto"/>
        </w:rPr>
      </w:pPr>
    </w:p>
    <w:p>
      <w:pPr>
        <w:ind w:left="6300"/>
        <w:spacing w:after="0"/>
        <w:tabs>
          <w:tab w:leader="none" w:pos="77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17913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32385</wp:posOffset>
            </wp:positionV>
            <wp:extent cx="1619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49"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23495</wp:posOffset>
            </wp:positionV>
            <wp:extent cx="16198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millions)</w:t>
      </w:r>
    </w:p>
    <w:p>
      <w:pPr>
        <w:spacing w:after="0" w:line="35" w:lineRule="exact"/>
        <w:rPr>
          <w:sz w:val="20"/>
          <w:szCs w:val="20"/>
          <w:color w:val="auto"/>
        </w:rPr>
      </w:pPr>
    </w:p>
    <w:p>
      <w:pPr>
        <w:sectPr>
          <w:pgSz w:w="11900" w:h="16838" w:orient="portrait"/>
          <w:cols w:equalWidth="0" w:num="2">
            <w:col w:w="8340" w:space="720"/>
            <w:col w:w="21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78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3"/>
        </w:trPr>
        <w:tc>
          <w:tcPr>
            <w:tcW w:w="5780" w:type="dxa"/>
            <w:vAlign w:val="bottom"/>
          </w:tcPr>
          <w:p>
            <w:pPr>
              <w:ind w:left="1000"/>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 (expense), net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 (expense), net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7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 (expense)</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7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July 31, 2024 and 2023</w:t>
      </w:r>
    </w:p>
    <w:p>
      <w:pPr>
        <w:spacing w:after="0" w:line="115"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$78.9 million for the three months ended July 31, 2024, an increase of $3.2 million, or 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$75.7 million for the three months ended July 31, 2023. This increase was primarily driven by the increase in units purchased per subscriber. In fiscal year 2024, we expect revenue to increase as we work towards growing our customer base, improving the customer experience and continuing to focus on our resale revenue.</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$68.5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31, 2024, an increase of $0.5 million, or 0.7%, compared to $ 68.0 million for the three months ended July 31, 2023. This increase was driven by higher revenue per subscriber driven by changes in our promotional strategy and also due to higher reserve revenue compared to the same period last year.</w:t>
      </w:r>
    </w:p>
    <w:p>
      <w:pPr>
        <w:spacing w:after="0" w:line="17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$10.4 million for the three months ended July 31, 2024, an increase of $2.7 million, or 35.1%,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$7.7 million for the three months ended July 31, 2023. This increase was primarily driven by an increase in the items purchased per subscriber. Other revenue represented 13.2% of total revenue, up from 10.2% in the same period last year.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$88.5 million for the three months ended July 31, 2024, a decrease of $(4.7)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(5.0)%, compared to $93.2 million for the three months ended July 31, 2023. This decrease was primarily driven by lower share-based compensation expense, cost savings from the January 2024 restructuring plan, the implementation of our new transportation contract in September 2023 and improvement in warehouse labor productivity, which reduced costs compared to the same period last year, offset by higher rental product depreciation and revenue share.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$ 20.6 million for the three months ended July 31, 2024, a decrease of $(1.9) million, or (8.4)%,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26.1% of revenue, compared to $22.5 million for the three months ended July 31, 2023, representing 29.7% of revenue. The decrease in fulfillment dollars and as a percentage of revenue was primarily driven by transportation and processing cost efficiencies and higher revenue per shipment that offset an increase in wage rates during the first quarter of fiscal year 2024.</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fiscal year 2024, we expect fulfillment expenses as a percentage of total revenue to decrease as a result of anticipated higher revenue per order and continued transportation and processing efficiencies.</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$8.7 million for the three months ended July 31, 2024, a decrease of $(4.2) million, or (32.6)%,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$12.9 million for the three months ended July 31, 2023. This decrease was driven by cost savings from the January 2024 restructuring plan, other cost saving initiatives and lower share-based compensation expense. We were able to realize these benefits while supporting growth initiatives including enhanced checkout completion and search, fit and discovery experience for the consumer. Technology expenses were 11.0% of revenue for the three months ended July 31, 2024 compared to 17.0% for the same period last year as we saw increased operating leverage with higher revenue and a lower cost base post-restructuring. Technology related share-based compensation expense was $0.5 million for the three months ended July 31, 2024 and was $1.8 million for the same period last year.</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fiscal year 2024, we expect technology expenses to decrease in dollars and as a percentage of total revenue compared to fiscal year 2023 as a result of our January 2024 restructuring plan and our continued focus on managing costs.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$7.8 million for the three months ended July 31, 2024, a decrease of $(0.4) million, or (4.9)%,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$8.2 million for the three months ended July 31, 2023. This decrease was driven by the timing of our marketing campaigns. Marketing expenses unrelated to personnel costs were $7.1 million in the three months ended July 31, 2024 and 9.0% of revenue, compared to $7.5 million and 9.9% of total revenue for the same period last year.</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fiscal year 2024, we expect marketing expenses to remain roughly flat in dollars compared to fiscal year 2023. The timing of our marketing expenses during the year will depend in part on the timing of marketing campaigns.</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$22.2 million for the three months ended July 31,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$(3.7) million, or (14.3)%, compared to $25.9 million for the three months ended July 31, 2023. This decrease was driven by lower share-based compensation expense and cost savings from the January 2024 restructuring plan. G&amp;A expenses as a percentage of revenue were 28.1%, compared to 34.2% last year, as we saw increased operating leverage with higher revenue and a lower cost base post-restructuring. G&amp;A related share-based compensation expense was $1.9 million for the three months ended July 31, 2024 and was $5.6 million for the three months ended July 31, 2023. The decrease was primarily due to reduced share-based compensation in the current quarter.</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fiscal year 2024, we expect G&amp;A expenses to decrease in dollars and as a percentage of revenue compared to fiscal year 2023 as a result of lower share-based compensation expense and cost savings from the January 2024 restructuring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$25.9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31, 2024, an increase of $5.9 million, or 29.5%, compared to $20.0 million for the three months ended July 31, 2023. The increase was primarily driven by higher Share by RTR units acquired, higher base of rental product and an increase in other revenue. Rental product depreciation and revenue share was 32.8% of revenue in the three months ended July 31, 2024, up from 26.4% in the same period last year primarily due to the factors discussed above.</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$3.3 million for the three months ended July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$(0.4) million, or (10.8)%, compared to $3.7 million for the three months ended July 31, 2023. This decrease was primarily driven by lower depreciation associated with reusable packaging and machinery and equipment.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There were no restructuring charges for the three months ended July 31, 2024 for severance and related costs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January 2024 restructuring plan.</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$(6.0) million for the three months ended July 31, 2024,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$3.5 million, or (36.8)%, compared to $ (9.5) million for the three months ended July 31, 2023. This decrease was driven by lowered paid-in-kind (“PIK”) and cash interest from the 2023 Amended Temasek Facility, partially offset by higher debt discount amortization. Of the $(6.0) million total interest expense in the three months ended July 31, 2024, $0.7 million was the net of cash interest earned, financing lease and other interest and $(6.7) million was debt discount amortization, compared to $(7.6) million of PIK interest, $(0.1) million net of cash interest, financing lease and other interest and $(1.8) million of debt discount amortization in the three months ended July 31, 2023.</w:t>
      </w:r>
    </w:p>
    <w:p>
      <w:pPr>
        <w:spacing w:after="0" w:line="2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fiscal year 2024, we expect interest expense related to the 2023 Amended Temasek Facility to decrease and cash interest expense to be zero.</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$0.1 million for the three months ended July 31, 2024 compared to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July 31, 2023.</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July 31, 2024 and 2023</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$153.9 million for the six months ended July 31, 2024, an increase of $4.0 million, or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$149.9 million for the six months ended July 31, 2023. This increase was primarily driven by the increase in units purchased per subscriber.</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fiscal year 2024, we expect revenue to increase as we work towards growing our customer base, improving the customer experience and continuing to focus on our resale revenue.</w:t>
      </w:r>
    </w:p>
    <w:p>
      <w:pPr>
        <w:spacing w:after="0" w:line="15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b w:val="1"/>
          <w:bCs w:val="1"/>
          <w:i w:val="1"/>
          <w:iCs w:val="1"/>
          <w:color w:val="auto"/>
        </w:rPr>
        <w:t>Subscription and Reserve Rental Revenue.</w:t>
      </w:r>
      <w:r>
        <w:rPr>
          <w:sz w:val="20"/>
          <w:szCs w:val="20"/>
          <w:color w:val="auto"/>
        </w:rPr>
        <w:tab/>
      </w:r>
      <w:r>
        <w:rPr>
          <w:rFonts w:ascii="Arial" w:cs="Arial" w:eastAsia="Arial" w:hAnsi="Arial"/>
          <w:sz w:val="17"/>
          <w:szCs w:val="17"/>
          <w:color w:val="auto"/>
        </w:rPr>
        <w:t>Subscription and Reserve rental revenue was $134.6 million for the six months ended</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July 31, 2024, a decrease of $(0.2) million, or (0.1)%, compared to $134.8 million for the six months ended July 31, 2023. This decrease was driven by lower reserve revenue compared to the same period last year and partially offset by higher revenue per subscriber driven by changes in our promotional strategy.</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$19.3 million for the six months ended July 31, 2024, an increase of $4.2 million, or 27.8%,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$15.1 million for the six months ended July 31, 2023. This increase was primarily driven by an increase in the items purchased per subscriber. Other revenue represented 12.5% of total revenue, up from 10.1% in the same period last year.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$180.0 million for the six months ended July 31, 2024, a decrease of $(8.7)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(4.6)%, compared to $188.7 million for the six months ended July 31, 2023. This decrease was primarily driven by lower share-based compensation expense, cost savings from the January 2024 restructuring plan, the implementation of our new transportation contract in September 2023 and improvement in warehouse labor productivity, which reduced costs compared to the same period last year, offset by higher rental product depreciation and revenue share.</w:t>
      </w:r>
    </w:p>
    <w:p>
      <w:pPr>
        <w:spacing w:after="0" w:line="17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$ 41.2 million for the six months ended July 31, 2024, a decrease of $(3.2) million, or (7.2)%,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26.8% of revenue, compared to $44.4 million for the six months ended July 31, 2023, representing 29.6% of revenue. The decrease in fulfillment dollars and as a percentage of revenue was primarily driven by transportation and processing cost efficiencies and higher revenue per shipment that offset an increase in wage rates during the first quarter of fiscal year 2024.</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fiscal year 2024, we expect fulfillment expenses as a percentage of total revenue to decrease as a result of anticipated higher revenue per order and continued transportation and processing efficiencies.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$ 18.3 million for the six months ended July 31, 2024, a decrease of $(7.7) million, or (29.6)%,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$26.0 million for the six months ended July 31, 2023. This decrease was driven by cost savings from the January 2024 restructuring plan, other cost saving initiatives and lower share-based compensation expense. We were able to realize these benefits while supporting growth initiatives including enhanced checkout completion and search, fit and discovery experience for the consumer. Technology expenses were 11.9% of revenue for the six months ended July 31, 2024 compared to 17.3% for the same period last year as we saw increased operating leverage with higher revenue and a lower cost base post-restructuring. Technology related share-based compensation expense was $1.1 million for the six months ended July 31, 2024 and was $3.7 million for the same period last year.</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fiscal year 2024, we expect technology expenses to decrease in dollars and as a percentage of total revenue compared to fiscal year 2023 as a result of our January 2024 restructuring plan and our continued focus on managing costs.</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$16.8 million for the six months ended July 31, 2024, a decrease of $(0.4) million, or (4.9)%,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$17.5 million for the six months ended July 31, 2023. This decrease was driven by the timing of our marketing campaigns. Marketing expenses unrelated to personnel costs were $ 15.3 million in the six months ended July 31, 2024 and 9.9% of revenue, compared to $16.0 million and 10.7% of total revenue for the same period last year.</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fiscal year 2024, we expect marketing expenses to remain roughly flat in dollars compared to fiscal year 2023. The timing of our marketing expenses during the year will depend in part on the timing of marketing campaigns.</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$45.0 million for the six months ended July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$(3.7) million, or (14.3)%, compared to $52.4 million for the six months ended July 31, 2023. This decrease was driven by lower share-based compensation expense and cost savings from the January 2024 restructuring plan. G&amp;A expenses as a percentage of revenue were 29.2%, compared to 35.0% last year, as we saw increased operating leverage with higher revenue and a lower cost base post-restructuring. G&amp;A related share-based compensation expense was $4.3 million for the six months ended July 31, 2024 and was $12.4 million for the six months ended July 31, 2023. The decrease was primarily due to incremental share-based compensation expense due to</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equity award modifications related to the transition of the Chief Financial Officer role in the first quarter of fiscal year 2023 and reduced share-based compensation in the current quarter.</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fiscal year 2024, we expect G&amp;A expenses to decrease in dollars and as a percentage of revenue compared to fiscal year 2023 as a result of lower share-based compensation expense and cost savings from the January 2024 restructuring plan.</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$51.9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31, 2024, an increase of $11.0 million, or 26.9%, compared to $40.9 million for the six months ended July 31, 2023. The increase was primarily driven by higher Share by RTR units acquired, higher base of rental product and an increase in other revenue. Rental product depreciation and revenue share was 33.7% of revenue in the six months ended July 31, 2024, up from 27.3% in the same period last year primarily due to the factors discussed above.</w:t>
      </w:r>
    </w:p>
    <w:p>
      <w:pPr>
        <w:spacing w:after="0" w:line="17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$6.6 million for the six months ended July 31,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$(0.9) million, or (12.0)%, compared to $7.5 million for the six months ended July 31, 2023. This decrease was primarily driven by lower depreciation and amortization associated with reusable packaging and capitalized software.</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Restructuring Charges</w:t>
      </w:r>
      <w:r>
        <w:rPr>
          <w:rFonts w:ascii="Arial" w:cs="Arial" w:eastAsia="Arial" w:hAnsi="Arial"/>
          <w:sz w:val="18"/>
          <w:szCs w:val="18"/>
          <w:color w:val="auto"/>
        </w:rPr>
        <w:t>. Restructuring charges were $0.2 million for the six months ended July 31, 2024 for severance and related costs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January 2024 restructuring plan.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 (11.6) million for the six months ended July 31, 2024,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$(6.7) million, or (36.6)%, compared to $(18.3) million for the six months ended July 31, 2023. This decrease was driven by lowered paid-in-kind (“PIK”) and cash interest from the 2023 Amended Temasek Facility, partially offset by higher debt discount amortization. Of the $(11.6) million total interest expense in the six months ended July 31, 2024, $1.5 million was the net of interest earned, financing lease and other interest and ($13.1) million was debt discount amortization, compared to ($14.7) million of PIK interest, ($0.2) million net of cash interest paid, cash interest earned, financing lease and other interest and ($3.4) million of debt discount amortization in the six months ended July 31, 2023.</w:t>
      </w:r>
    </w:p>
    <w:p>
      <w:pPr>
        <w:spacing w:after="0" w:line="21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fiscal year 2024, we expect interest expense related to the 2023 Amended Temasek Facility to decrease and cash interest expense to be zero.</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$0.2 million for the six months ended July 31, 2024, an increase of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$0.1 million for the six months ended July 31,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8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0"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was $13.7 million for the three months ended July 31, 2024 compared to $7.7 million for the three months ended July 31, 2023, representing margins of 17.4% and 10.2%, respectively. Our Adjusted EBITDA was $20.2 million for the six months ended July 31, 2024 compared to $12.2 million for the six months ended July 31, 2023, representing margins of 13.1% and 8.1%, respectively. Adjusted EBITDA Margin significantly improved for the three and six months ended July 31, 2024 due to lower fulfillment costs and the impact of our fixed cost reduction efforts partially offset by higher revenue share payments due to a greater proportion of revenue share units.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23495</wp:posOffset>
            </wp:positionV>
            <wp:extent cx="1997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5" w:lineRule="exact"/>
        <w:rPr>
          <w:sz w:val="20"/>
          <w:szCs w:val="20"/>
          <w:color w:val="auto"/>
        </w:rPr>
      </w:pPr>
    </w:p>
    <w:p>
      <w:pPr>
        <w:ind w:left="4740"/>
        <w:spacing w:after="0"/>
        <w:tabs>
          <w:tab w:leader="none" w:pos="63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23495</wp:posOffset>
            </wp:positionV>
            <wp:extent cx="1997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23495</wp:posOffset>
            </wp:positionV>
            <wp:extent cx="20059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23495</wp:posOffset>
            </wp:positionV>
            <wp:extent cx="20059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(in millions)</w:t>
      </w:r>
    </w:p>
    <w:p>
      <w:pPr>
        <w:spacing w:after="0" w:line="55" w:lineRule="exact"/>
        <w:rPr>
          <w:sz w:val="20"/>
          <w:szCs w:val="20"/>
          <w:color w:val="auto"/>
        </w:rPr>
      </w:pPr>
    </w:p>
    <w:p>
      <w:pPr>
        <w:sectPr>
          <w:pgSz w:w="11900" w:h="16838" w:orient="portrait"/>
          <w:cols w:equalWidth="0" w:num="2">
            <w:col w:w="7260" w:space="720"/>
            <w:col w:w="32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(56.9)</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18.3</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24.9</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7.5</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Restructuring charges (6)</w:t>
            </w:r>
          </w:p>
        </w:tc>
        <w:tc>
          <w:tcPr>
            <w:tcW w:w="5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Other (income) / expense, net (7)</w:t>
            </w:r>
          </w:p>
        </w:tc>
        <w:tc>
          <w:tcPr>
            <w:tcW w:w="5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 losses (8)</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307"/>
        </w:trPr>
        <w:tc>
          <w:tcPr>
            <w:tcW w:w="4140" w:type="dxa"/>
            <w:vAlign w:val="bottom"/>
          </w:tcPr>
          <w:p>
            <w:pPr>
              <w:spacing w:after="0"/>
              <w:rPr>
                <w:sz w:val="20"/>
                <w:szCs w:val="20"/>
                <w:color w:val="auto"/>
              </w:rPr>
            </w:pPr>
            <w:r>
              <w:rPr>
                <w:rFonts w:ascii="Arial" w:cs="Arial" w:eastAsia="Arial" w:hAnsi="Arial"/>
                <w:sz w:val="18"/>
                <w:szCs w:val="18"/>
                <w:color w:val="auto"/>
              </w:rPr>
              <w:t>__________</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ind w:left="340" w:right="220" w:hanging="332"/>
        <w:spacing w:after="0" w:line="219" w:lineRule="auto"/>
        <w:tabs>
          <w:tab w:leader="none" w:pos="333"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$6.7 million in the three months ended July 31, 2024, $1.8 million in the three months ended July 31, 2023, $13.1 million in the six months ended July 31, 2024 and $3.4 million in the six months ended July 31, 2023.</w:t>
      </w:r>
    </w:p>
    <w:p>
      <w:pPr>
        <w:spacing w:after="0" w:line="9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6"/>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94" w:lineRule="exact"/>
        <w:rPr>
          <w:rFonts w:ascii="Arial" w:cs="Arial" w:eastAsia="Arial" w:hAnsi="Arial"/>
          <w:sz w:val="9"/>
          <w:szCs w:val="9"/>
          <w:color w:val="auto"/>
        </w:rPr>
      </w:pPr>
    </w:p>
    <w:p>
      <w:pPr>
        <w:ind w:left="320" w:hanging="312"/>
        <w:spacing w:after="0"/>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and six months ended July 31, 2023 includes $0.5 million of costs related to the option exchange.</w:t>
      </w:r>
    </w:p>
    <w:p>
      <w:pPr>
        <w:spacing w:after="0" w:line="79"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6"/>
        </w:numPr>
        <w:rPr>
          <w:rFonts w:ascii="Arial" w:cs="Arial" w:eastAsia="Arial" w:hAnsi="Arial"/>
          <w:sz w:val="9"/>
          <w:szCs w:val="9"/>
          <w:color w:val="auto"/>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122" w:lineRule="exact"/>
        <w:rPr>
          <w:rFonts w:ascii="Arial" w:cs="Arial" w:eastAsia="Arial" w:hAnsi="Arial"/>
          <w:sz w:val="9"/>
          <w:szCs w:val="9"/>
          <w:color w:val="auto"/>
        </w:rPr>
      </w:pPr>
    </w:p>
    <w:p>
      <w:pPr>
        <w:ind w:left="320" w:hanging="312"/>
        <w:spacing w:after="0"/>
        <w:tabs>
          <w:tab w:leader="none" w:pos="320"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other (income) / expense recognized in the period.</w:t>
      </w:r>
    </w:p>
    <w:p>
      <w:pPr>
        <w:spacing w:after="0" w:line="122" w:lineRule="exact"/>
        <w:rPr>
          <w:rFonts w:ascii="Arial" w:cs="Arial" w:eastAsia="Arial" w:hAnsi="Arial"/>
          <w:sz w:val="9"/>
          <w:szCs w:val="9"/>
          <w:color w:val="auto"/>
        </w:rPr>
      </w:pPr>
    </w:p>
    <w:p>
      <w:pPr>
        <w:ind w:left="340" w:right="200" w:hanging="332"/>
        <w:spacing w:after="0" w:line="231" w:lineRule="auto"/>
        <w:tabs>
          <w:tab w:leader="none" w:pos="333"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July 31, 2024, we had cash and cash equivalents of $76.6 million and restricted cash of $10.0 million ($5.2 million current and $4.8 million noncurrent), and an accumulated deficit of $(1,090.7) million.</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October 29, 2021, we closed our IPO, in which we issued and sold 850,000 shares at a public offering price of $420.00 per share. We received net proceeds of $327.3 million after deducting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is a borrower under a loan agreement with Double Helix Pte Ltd., as administrative agent for Temasek Holdings. In January 2023, we entered into an amendment and restatement of such facility (the “2022 Amended Temasek Facility”). The 2022 Amended Temasek Facility extended the maturity date from October 2024 to October 2026, reduced cash interest payments by over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w:t>
      </w:r>
    </w:p>
    <w:p>
      <w:pPr>
        <w:spacing w:after="0" w:line="1"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Temasek Facility. The 2023 Amended Temasek Facility eliminated all interest (payment-in-kind and cash interest) for six full fiscal quarters beginning with the fourth quarter of fiscal year 2023, reduced the minimum liquidity maintenance covenant from $50 million to $30 million,</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and provided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Our total indebtedness as of July 31, 2024 was $319.8 million. For a description of the terms of our current and prior credit agreements, see “Note 7 – Long-Term Debt” in the Notes to the Condensed Consolidated Financial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While we have experienced operating losses and negative cash flow historically, we expect to achieve cash flows from operations plus cash flows generated (used) in investing break-even in fiscal year 2024. We believe our existing cash and cash equivalents, and cash generated from our operations, will be sufficient to sustain our business operations and satisfy the $30 million minimum liquidity maintenance covenant for at least the next twelve months. We also plan to comply with the maximum expenditure covenants under the 2023 Amended Temasek Facility for at least the next twelve months from the date the accompanying financial statements included elsewhere in this Quarterly Report are issued. As noted above, our 2023 Amended Temasek Facility eliminates all interest (both payment-in-kind and cash interest) for a period</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six full fiscal quarters beginning with the fourth quarter of fiscal year 2023. In September 2022, we announced a restructuring plan to reduce costs, streamline our organizational structure and drive operational efficiencies, which generated annual operating expense savings</w:t>
      </w:r>
    </w:p>
    <w:p>
      <w:pPr>
        <w:spacing w:after="0" w:line="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of approximately $27 million (relative to the second quarter of fiscal year 2022 run rate) in the four quarters following the September 2022 restructuring.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w:t>
      </w:r>
    </w:p>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future capital requirements will depend on many factors, including, but not limited to, demand for our business, rental product spend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or if we fail to comply with the covenants specified in the 2023 Amended Temasek Facility, inclusive of the $30 million minimum liquidity maintenance covenant, we may be required to seek additional capital or restructure or refinance our indebtedness.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On May 28, 2024, we filed a “shelf” registration statement on Form S-3 (Reg. No. 333 -279757) with the SEC, which was declared effective on June 6, 2024. This shelf registration statement, which includes a base prospectus, allows us at any time to offer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 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we will be able to raise additional capital which could negatively affect our liquidity in the future. In the event that additional financing is required from outside sources, we may not be able to negotiate terms acceptable to us or at all. If this occurs, our repayment obligations</w:t>
      </w:r>
    </w:p>
    <w:p>
      <w:pPr>
        <w:spacing w:after="0" w:line="2" w:lineRule="exact"/>
        <w:rPr>
          <w:sz w:val="20"/>
          <w:szCs w:val="20"/>
          <w:color w:val="auto"/>
        </w:rPr>
      </w:pPr>
    </w:p>
    <w:p>
      <w:pPr>
        <w:jc w:val="both"/>
        <w:ind w:right="320"/>
        <w:spacing w:after="0" w:line="242" w:lineRule="auto"/>
        <w:rPr>
          <w:sz w:val="20"/>
          <w:szCs w:val="20"/>
          <w:color w:val="auto"/>
        </w:rPr>
      </w:pPr>
      <w:r>
        <w:rPr>
          <w:rFonts w:ascii="Arial" w:cs="Arial" w:eastAsia="Arial" w:hAnsi="Arial"/>
          <w:sz w:val="18"/>
          <w:szCs w:val="18"/>
          <w:color w:val="auto"/>
        </w:rPr>
        <w:t>under the 2023 Amended Temasek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July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195"/>
        </w:trPr>
        <w:tc>
          <w:tcPr>
            <w:tcW w:w="8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was $(5.9) million for the six months ended July 31, 2024 and $(29.6) million for the six months ended July 31, 2023. The cash consumption of the business was lower in the first and second quarters of fiscal year 2024 compared with the same period of fiscal year 2023 primarily due to lower purchases of rental product and improvements in net loss, Adjusted EBITDA and working capital compared to the prior period. The sum of net cash used in operating activities and net cash used in investing activities, as a percentage of revenue, was (3.8)% for the six months ended July 31, 2024 and (19.7)% for the six months ended July 31, 2023.</w:t>
      </w:r>
    </w:p>
    <w:p>
      <w:pPr>
        <w:spacing w:after="0" w:line="19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color w:val="auto"/>
        </w:rPr>
        <w:t>Net cash (used in) provided by operating activities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six months ended July 31, 2024, net cash provided by operating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was $6.8 million, which consisted of a net loss of $ (37.6) million, offset by non-cash charges of $57.0 million, reclassification of the proceeds from the sale of rental product of $13.6 million and a net change of $1.0 million in our operating assets and liabilities. The non-cash charges</w:t>
      </w:r>
    </w:p>
    <w:p>
      <w:pPr>
        <w:spacing w:after="0" w:line="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were primarily comprised of $ 31.7 million of rental product depreciation and write-off expenses, $5.4 million of share-based compensation, $13.1 million of debt discount amortization, and $6.8 million of other fixed and intangible asset depreciation.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July 31, 2023, net cash used in operating activities was $(4.1) million, which consisted of a net loss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$(56.9) million, partially offset by non-cash charges of $66.4 million, reclassification of the proceeds from the sale of rental product of</w:t>
      </w:r>
    </w:p>
    <w:p>
      <w:pPr>
        <w:spacing w:after="0" w:line="9" w:lineRule="exact"/>
        <w:rPr>
          <w:sz w:val="20"/>
          <w:szCs w:val="20"/>
          <w:color w:val="auto"/>
        </w:rPr>
      </w:pPr>
    </w:p>
    <w:p>
      <w:pPr>
        <w:jc w:val="both"/>
        <w:ind w:right="340"/>
        <w:spacing w:after="0" w:line="258" w:lineRule="auto"/>
        <w:rPr>
          <w:sz w:val="20"/>
          <w:szCs w:val="20"/>
          <w:color w:val="auto"/>
        </w:rPr>
      </w:pPr>
      <w:r>
        <w:rPr>
          <w:rFonts w:ascii="Arial" w:cs="Arial" w:eastAsia="Arial" w:hAnsi="Arial"/>
          <w:sz w:val="18"/>
          <w:szCs w:val="18"/>
          <w:color w:val="auto"/>
        </w:rPr>
        <w:t>$10.8 million and a net change of $(2.8) million in our operating assets and liabilities. The non-cash charges were primarily comprised of $24.5 million of rental product depreciation and write-off expenses, $14.7 million of payment-in-kind interest, $16.2 million of share-based compensation, $3.4 million of debt discount amortization and $7.6 million of other fixed and intangible asset depreciation.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six months ended July 31, 2024, net cash used in investing activities was</w:t>
      </w:r>
      <w:r>
        <w:rPr>
          <w:rFonts w:ascii="Arial" w:cs="Arial" w:eastAsia="Arial" w:hAnsi="Arial"/>
          <w:sz w:val="18"/>
          <w:szCs w:val="18"/>
          <w:b w:val="1"/>
          <w:bCs w:val="1"/>
          <w:color w:val="auto"/>
        </w:rPr>
        <w:t xml:space="preserve"> </w:t>
      </w:r>
      <w:r>
        <w:rPr>
          <w:rFonts w:ascii="Arial" w:cs="Arial" w:eastAsia="Arial" w:hAnsi="Arial"/>
          <w:sz w:val="18"/>
          <w:szCs w:val="18"/>
          <w:color w:val="auto"/>
        </w:rPr>
        <w:t>$(12.7) million, primarily consisting of $(26.3) million of purchases of rental product incurred in the period and $(2.2) million of purchases of fixed and intangible assets. The investment in rental product does not include an additional $(0.9) million of cost for units received in the current period but not yet paid for, but does include $1.4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leasehold improvements. The cash used in investing activities was partially offset by $13.6 million of proceeds from the sale of owned rental product and $2.2 million of proceeds from the liquidation of rental product.</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the six months ended July 31, 2023, net cash used in investing activities was $(25.5) million, primarily consisting of $(36.3) million of purchases of rental product incurred in the period and $(2.2) million of purchases of fixed and intangible assets. The investment in rental product did not include the additional $(5.0) million of cost for units received in the current period but not yet paid for, but did include $5.4 million of cost for units paid for in the current period but received in the prior period (see Supplemental Cash Flow Information in Part I, Item</w:t>
      </w:r>
    </w:p>
    <w:p>
      <w:pPr>
        <w:spacing w:after="0" w:line="2" w:lineRule="exact"/>
        <w:rPr>
          <w:sz w:val="20"/>
          <w:szCs w:val="20"/>
          <w:color w:val="auto"/>
        </w:rPr>
      </w:pPr>
    </w:p>
    <w:p>
      <w:pPr>
        <w:ind w:right="40" w:firstLine="8"/>
        <w:spacing w:after="0" w:line="255"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(Unaudited)”). The investment in rental product was to support growth in customer demand. The majority of the investment in fixed and intangible assets was related to investments in capitalized technology labor. The cash used in investing activities was partially offset by $10.8 million of proceeds from sales of owned rental products and $2.2 million of proceeds from the liquidation of rental product.</w:t>
      </w:r>
    </w:p>
    <w:p>
      <w:pPr>
        <w:spacing w:after="0" w:line="18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six months ended July 31, 2024, net cash used in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$(1.5) million, consisting of other financing payments.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July 31, 2023, net cash used in financing activities was $(0.3) million, consisting of other financing payments.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See Note 7 — Long-Term Debt in the Notes to the Condensed Consolidated Financial Statements for more information. As of July 31, 2024, we had approximately $ 319.8 million of total debt outstanding, none of which matures within the next 12 months. See “Note 7 — Long-Term Debt” in the Notes to the Condensed Consolidated Financial Statements for more information. See “Note 5 – Leases – Lessee Accounting” in the Notes to the Condensed Consolidated Financial Statements for our minimum fixed lease obligations under existing lease agreements as of July 31, 2024, including the discussion of the recent extension of our Secaucus lease.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critical accounting estimates are described under the heading “Management’s Discussion and Analysis of Financial Condition and Results of Operations-Critical Accounting Estimates” in our 2023 Annual Report on Form 10-K. In the six months ended July 31, 2024, there were no material changes to our critical accounting estimates from those discussed in our 2023 Annual Report on Form 10-K except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Impairment Evaluation</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 -lived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 Company’s stock price decline during the third quarter of fiscal year 2023, the Company concluded a triggering event had occurred and performed an impairment analysis of its long-lived assets as of October 31, 2023. Based on the quantitative assessment performed, undiscounted cash flows expected to be generated by the use and eventual disposition of the Company’s long-lived assets exceeded their carrying values and therefore no impairment was recognized for the year ended January 31, 2024. The Company has concluded there were no triggering events as of July 31,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quantitative and qualitative disclosures about market risk are described under the heading “Quantitative and Qualitative Disclosures About Market Risk” in our 2023 Annual Report on Form 10-K. In the three months ended July 31, 2024, there were no material changes to our quantitative and qualitative disclosures about market risk from those discussed in our 2023 Annual Report on Form 10-K.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July 31, 2024 because of the material weaknesses in our internal control over financial reporting described below.</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July 31, 2024, these material weaknesses are still in the process of being 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July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The information contained in “Note 14 — Commitments and Contingencies” in the Notes to the Condensed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8"/>
          <w:szCs w:val="18"/>
          <w:color w:val="auto"/>
        </w:rPr>
        <w:t>.</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grown rapidly in the last several years, due in large part to the growth in demand for our Subscription offerings; however, our historical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decreased year over year in fiscal year 2023 and, although we are focused on growth initiatives, may continue to decline in the future. In addition, our annual revenue was roughly flat year-over-year in fiscal year 2023. We presently anticipate a modest increase in our year-over-year revenue growth rate in fiscal year 2024; however, if our growth rates continue to decline, the perception of our business, financial condition and results of operations by investors and our third-party service providers and brand partners may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subscription, rental and resale;</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customer demand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customers with a high-quality, seamless user experience and order fulfillment, as well as customer service and support that meets their needs;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customers into varying levels of subscription programs at different price points;</w:t>
      </w:r>
    </w:p>
    <w:p>
      <w:pPr>
        <w:spacing w:after="0" w:line="117" w:lineRule="exact"/>
        <w:rPr>
          <w:rFonts w:ascii="Arial" w:cs="Arial" w:eastAsia="Arial" w:hAnsi="Arial"/>
          <w:sz w:val="18"/>
          <w:szCs w:val="18"/>
          <w:color w:val="auto"/>
        </w:rPr>
      </w:pPr>
    </w:p>
    <w:p>
      <w:pPr>
        <w:ind w:left="740" w:right="42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improve our website and app performance and successfully identify and acquire, partner or invest in products, technologies, or businesses that we believe could complement or expand our business;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maintain and grow our Share by RTR and Exclusive Design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effective and efficient in our paid marketing;</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 and</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effectively differentiated our offerings, customer experience and value proposition are from those of our competitors;</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Reserve and Resale offerings and attract and retain customers;</w:t>
      </w:r>
    </w:p>
    <w:p>
      <w:pPr>
        <w:spacing w:after="0" w:line="44" w:lineRule="exact"/>
        <w:rPr>
          <w:rFonts w:ascii="Arial" w:cs="Arial" w:eastAsia="Arial" w:hAnsi="Arial"/>
          <w:sz w:val="18"/>
          <w:szCs w:val="18"/>
          <w:color w:val="auto"/>
        </w:rPr>
      </w:pPr>
    </w:p>
    <w:p>
      <w:pPr>
        <w:ind w:left="740" w:right="4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 and to merchandise it effectively;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acquire products on favorable and efficient terms, including our ability to attract new brand partners and retain existing brand partners in our Share by RTR and Exclusive Design programs;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right="62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our brand, including maintaining favorable brand recognition and effectively marketing our services and value proposition to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8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81"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recent volatile macroeconomic environment and have seen negative impacts on customer demand at varying levels as a result.</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92"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current marketing initiatives are focused on re-engaging lapsed and paused customers, retaining existing customers and growing our base of new customers. In addition, in fiscal year 2024, we are focused on growing traffic and conversion rates and refreshing our lifecycle marketing engine. Although we expect to make significant investments in these areas going forward, these investments may not result in an increase in customer loyalty or higher customer engagement. As a result, our levels of paid and organic growth may continue to fluctuate and/or overall growth may decline.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Paid marketing is a key part of our growth strategy and we are currently focused on enhancing our current processes and approach, including by continuing to leverage technology to measure our effectiveness and efficiency. We also utilize promotional pricing to attract customers and subscribers who may have heightened price sensitivity and not be willing to pay full price for our offering when the promotion period expires. In recent quarters, we have reduced promotional pricing for Subscription, which we believe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In addition, it is likely that we will conduct additional experiments and may make changes to our promotions strategy in the future, depending on market conditions and other factors.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experienced recent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5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 and changes in the macroeconomic environment;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 including the effectiveness of our search and discovery tools, merchandising, and rental product availability;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performance of our website and mobile app, including site speed and reliability;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unpredictable nature of the continued impact of COVID-19 or a future outbreak of disease or similar public health concern;</w:t>
      </w:r>
    </w:p>
    <w:p>
      <w:pPr>
        <w:spacing w:after="0" w:line="117" w:lineRule="exact"/>
        <w:rPr>
          <w:rFonts w:ascii="Arial" w:cs="Arial" w:eastAsia="Arial" w:hAnsi="Arial"/>
          <w:sz w:val="18"/>
          <w:szCs w:val="18"/>
          <w:color w:val="auto"/>
        </w:rPr>
      </w:pPr>
    </w:p>
    <w:p>
      <w:pPr>
        <w:ind w:left="740" w:right="600" w:hanging="246"/>
        <w:spacing w:after="0" w:line="287"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since the first quarter of fiscal year 2023, increasing the depth of our rental product selection, and emphasizing the value proposition of our offering in our marketing</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materials, among other initiatives; however these or other initiatives to retain customers may not be successful at improving customer satisfaction, subscriber retention and/or revenues and may require additional costs or lead to unanticipated consequences. Even if our</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had a net loss of $ (37.6) million and $ (113.2) million for the six months ended July 31, 2024 and year ended January 31, 2024, respectively, and have in the past had net losses. As of July 31, 2024, we had an accumulated deficit of $(1,090.7)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generate profit depends on our ability to grow customers and revenue and drive operational efficiencies in our business to generate better margins. In fiscal years 2022 and 2023,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68"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rental product, which impacts rental product depreciation and revenue share expenses;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fulfill customer orders and provide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engagement, enhance retention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 in technology, including to enhance our website and mobile offerings and functionality;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motivate and retain our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new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support a larger customer base; and</w:t>
      </w:r>
    </w:p>
    <w:p>
      <w:pPr>
        <w:spacing w:after="0" w:line="117" w:lineRule="exact"/>
        <w:rPr>
          <w:rFonts w:ascii="Arial" w:cs="Arial" w:eastAsia="Arial" w:hAnsi="Arial"/>
          <w:sz w:val="18"/>
          <w:szCs w:val="18"/>
          <w:color w:val="auto"/>
        </w:rPr>
      </w:pPr>
    </w:p>
    <w:p>
      <w:pPr>
        <w:ind w:left="740" w:right="560" w:hanging="246"/>
        <w:spacing w:after="0" w:line="287" w:lineRule="auto"/>
        <w:tabs>
          <w:tab w:leader="none" w:pos="7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capacity and footprint, and other capital expenditures to support the growth in our business.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not always predicted our customers’ preferences and acceptance levels of our products with accuracy. We have observed that our customers live, work, socialize and travel differently than they did prior to the COVID-19 pandemic and that these behaviors continue to evolve, which influences what they wear and has made trend predictions challenging. We may misjudge demand and over or under purchase rental product. In addition, external events may disrupt or change customer preferences and behaviors in ways we are not able to anticipate. During the second quarter of 2023, lower rental product depth levels negatively impacted active subscribers, particularly new subscribers, and, since then we have focused our efforts on improving rental product depth levels. Any future decreases in our rental product depth levels, including in connection with other business objectives, may negatively impact active subscribers.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86"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15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relying on a single national carrier may impact customer sentiment and satisfaction, which could lead to unanticipated costs and/or have a material adverse effect on our business and financial condition.</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in their prices. We have</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experienced increased shipping costs in recent years, and these costs may increase in the future. In addition, although we have achieved efficiencies in our supply chain operations in recent years, these efficiencies may not be sustainable or meet our broader business</w:t>
      </w:r>
    </w:p>
    <w:p>
      <w:pPr>
        <w:spacing w:after="0" w:line="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offering the ability to return products by dropping off items with third-party shipping vendors, we offer at-home pickup for customers located in multiple markets. We believe at-home pickup is more convenient for many customers. Although we have had positive customer feedback and adoption to date, at-home pickup is a newer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89"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If we are unable to acquire and manage our products effectively and plan for future expenses, our operating results could be adversely affected.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operating, financial,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by our brand partners and/or their financing partners or factoring companies, including as a result of our Nasdaq listing compliance and status,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wars between Russia and Ukraine and Hamas and Israel,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w:t>
      </w:r>
    </w:p>
    <w:p>
      <w:pPr>
        <w:spacing w:after="0" w:line="2"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If we are not able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8"/>
          <w:szCs w:val="18"/>
          <w:color w:val="auto"/>
        </w:rPr>
        <w:t>.</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beta launch), augmented reality, machine learning, or robotics or more generally evolving trends in e-commerce.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99"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and fulfillment operations,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30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7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diverse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8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have recently renewed our lease in Secaucus, NJ,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provide a delightful and effective search and discovery experience for our customers;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44" w:lineRule="exact"/>
        <w:rPr>
          <w:rFonts w:ascii="Arial" w:cs="Arial" w:eastAsia="Arial" w:hAnsi="Arial"/>
          <w:sz w:val="18"/>
          <w:szCs w:val="18"/>
          <w:color w:val="auto"/>
        </w:rPr>
      </w:pPr>
    </w:p>
    <w:p>
      <w:pPr>
        <w:ind w:left="740" w:right="460" w:hanging="246"/>
        <w:spacing w:after="0" w:line="268"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claims related to our e-commerce operations and fulfillment, including liability for online content;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4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pricing changes,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2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economic and market conditions and other adverse global events that negatively impact commerce and consumer behavior and that could lead to inflationary pressures and supply chain disruptions;</w:t>
      </w:r>
    </w:p>
    <w:p>
      <w:pPr>
        <w:spacing w:after="0" w:line="44" w:lineRule="exact"/>
        <w:rPr>
          <w:rFonts w:ascii="Arial" w:cs="Arial" w:eastAsia="Arial" w:hAnsi="Arial"/>
          <w:sz w:val="18"/>
          <w:szCs w:val="18"/>
          <w:color w:val="auto"/>
        </w:rPr>
      </w:pPr>
    </w:p>
    <w:p>
      <w:pPr>
        <w:ind w:left="740" w:right="52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We face risks arising from the restructuring of our operations, which could adversely affect our financial condition, results of operations, cash flows, or business reputation.</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taken and plan to continue to take actions intended to further reduce our cost structure.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68"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to achieve targeted cost savings and efficiency, and growth, cash flow and profitability goals;</w:t>
      </w:r>
    </w:p>
    <w:p>
      <w:pPr>
        <w:spacing w:after="0" w:line="117" w:lineRule="exact"/>
        <w:rPr>
          <w:rFonts w:ascii="Arial" w:cs="Arial" w:eastAsia="Arial" w:hAnsi="Arial"/>
          <w:sz w:val="18"/>
          <w:szCs w:val="18"/>
          <w:color w:val="auto"/>
        </w:rPr>
      </w:pPr>
    </w:p>
    <w:p>
      <w:pPr>
        <w:ind w:left="740" w:right="8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in employee morale, a negative impact to our corporate culture, and heightened regrettable attrition, including by critical employees, each of which we’ve observed to some extent and are focused on addressing;</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employment claims;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perceived disruption of service or reduction in service standards to customers;</w:t>
      </w:r>
    </w:p>
    <w:p>
      <w:pPr>
        <w:spacing w:after="0" w:line="117" w:lineRule="exact"/>
        <w:rPr>
          <w:rFonts w:ascii="Arial" w:cs="Arial" w:eastAsia="Arial" w:hAnsi="Arial"/>
          <w:sz w:val="18"/>
          <w:szCs w:val="18"/>
          <w:color w:val="auto"/>
        </w:rPr>
      </w:pPr>
    </w:p>
    <w:p>
      <w:pPr>
        <w:ind w:left="740" w:right="32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institutional knowledge and/or employee expertise, which could lead to inefficiencies or business disruptions, some of which may be significant and our efforts to address may not be successful; and</w:t>
      </w:r>
    </w:p>
    <w:p>
      <w:pPr>
        <w:spacing w:after="0" w:line="44" w:lineRule="exact"/>
        <w:rPr>
          <w:rFonts w:ascii="Arial" w:cs="Arial" w:eastAsia="Arial" w:hAnsi="Arial"/>
          <w:sz w:val="18"/>
          <w:szCs w:val="18"/>
          <w:color w:val="auto"/>
        </w:rPr>
      </w:pPr>
    </w:p>
    <w:p>
      <w:pPr>
        <w:ind w:left="740" w:right="20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delay or failure to meet our operational standards, needs, or goals due to fewer employees, including potential single points of failure, or due to reduced or reallocated resources generally.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adversely impact our business and reputation.</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ESG matters generally and with regard to the fashion industry specifically. We expect that this increased focus on ESG considerations will affect some aspects of our operations. For example, we expect to be subject to various disclosure requirements (such as information on greenhouse gas emissions, climate risks, use of offsets, and emissions reduction claims) from the SEC’s climate disclosure rule and the State of California, among other regulations or requirements. These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any failure by us to meet our Impact Strategy goals for any reason, including due to the potential changes to the prioritization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or complying with ESG-related disclosure requirements may result in increased costs in our supply chain, fulfillment and/or corporate business operations, and could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deviate from our initial estimates and have a material adverse effect on our business and financial condition. Furthermore, if our competitors’ corporate responsibility performance is perceived to be greater than ours, we may lose potential or current customers, we may be unable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recruit and retain employees effectively, and potential or current investors may elect to invest with our competitors instead.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Voluntary or required standards and research regarding environmental, social and governance initiatives could change and become more onerous for both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industry, which could have a negative impact on our access to and costs of capital. In light of investors’ and other stakeholders’ increased focus on ESG matters, there can be no certainty that we will manage such issues successfully, or that we will successfully meet our</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climate change and related regulatory, customer and investor responses may adversely impact our business.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300"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our success and future growth depend largely upon the continued services of our senior management team, including our Co-Founder, Chief Executive Officer, President and Chair,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levels could increase attrition and make recruiting more difficult. Alternatively, we may be required to increase current compensation levels to attract and retain employees, which could negatively impact our profitability goals. In addition, prospective and existing employees often</w:t>
      </w:r>
    </w:p>
    <w:p>
      <w:pPr>
        <w:spacing w:after="0" w:line="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Additionally, in May 2024, the Board approved the Rent the Runway, Inc. Transaction Bonus Plan, which is intended to incentivize performance of key executives and encourage the realization of a qualifying transaction (as defined in the plan). The option exchange and Transaction Bonus Plan, however,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Since then, we have reopened our offices and moved to a hybrid working model for New York City and Galway. We have continued to shift to a more office-centric model in New York City.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90"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w:t>
      </w:r>
    </w:p>
    <w:p>
      <w:pPr>
        <w:jc w:val="both"/>
        <w:ind w:right="80"/>
        <w:spacing w:after="0"/>
        <w:rPr>
          <w:sz w:val="20"/>
          <w:szCs w:val="20"/>
          <w:color w:val="auto"/>
        </w:rPr>
      </w:pPr>
      <w:r>
        <w:rPr>
          <w:rFonts w:ascii="Arial" w:cs="Arial" w:eastAsia="Arial" w:hAnsi="Arial"/>
          <w:sz w:val="17"/>
          <w:szCs w:val="17"/>
          <w:color w:val="auto"/>
        </w:rPr>
        <w:t>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particularly for the key roles described above, our ability to achieve our strategic objectives will be adversely impacted, and our business and future growth prospects will be harmed.</w:t>
      </w:r>
    </w:p>
    <w:p>
      <w:pPr>
        <w:spacing w:after="0" w:line="295"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140" w:hanging="246"/>
        <w:spacing w:after="0" w:line="268"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maintain and/or improve employee morale and engagement in light of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identify, attract, reward, and retain employees who share and further our culture, values, and mission;</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evolving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hybrid working model for employees in Galway and the remote working model for customer service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increasing need to develop expertise in new areas of business that affect 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167"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satisfy our debt obligations, and this capital might not be available on acceptable terms, if at all.</w:t>
      </w:r>
    </w:p>
    <w:p>
      <w:pPr>
        <w:spacing w:after="0" w:line="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 performance and/or current level of indebtedness may adversely impact efforts to raise additional capital. If we are unable to obtain adequate financing or financing on terms satisfactory to us, our ability to support our business growth, and respond to business challenges</w:t>
      </w:r>
    </w:p>
    <w:p>
      <w:pPr>
        <w:spacing w:after="0" w:line="2"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22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9" w:lineRule="exact"/>
        <w:rPr>
          <w:sz w:val="20"/>
          <w:szCs w:val="20"/>
          <w:color w:val="auto"/>
        </w:rPr>
      </w:pPr>
    </w:p>
    <w:p>
      <w:pPr>
        <w:ind w:right="340"/>
        <w:spacing w:after="0" w:line="32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July 31, 2024, we had $319.8 million aggregate principal amount of borrowings under a credit facility with Double Helix Pte Ltd. as administrative agent for Temasek Holdings (as subsequently amended, the “2023 Amended Temasek Facility”). The 2023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7 —Long-Term Debt” in the Notes to the Condensed Consolidated Financial Statements for more information on our indebtedness.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60"/>
        <w:spacing w:after="0" w:line="294" w:lineRule="auto"/>
        <w:rPr>
          <w:sz w:val="20"/>
          <w:szCs w:val="20"/>
          <w:color w:val="auto"/>
        </w:rPr>
      </w:pPr>
      <w:r>
        <w:rPr>
          <w:rFonts w:ascii="Arial" w:cs="Arial" w:eastAsia="Arial" w:hAnsi="Arial"/>
          <w:sz w:val="18"/>
          <w:szCs w:val="18"/>
          <w:b w:val="1"/>
          <w:bCs w:val="1"/>
          <w:i w:val="1"/>
          <w:iCs w:val="1"/>
          <w:color w:val="auto"/>
        </w:rPr>
        <w:t>Our 2023 Amended Temasek Facility contains financial covenants and other restrictions on our actions that may limit our operational flexibility or otherwise adversely affect our business, financial condition and results of operations.</w:t>
      </w:r>
    </w:p>
    <w:p>
      <w:pPr>
        <w:spacing w:after="0" w:line="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terms of our 2023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2023 Amended Temasek Facility includes a minimum liquidity maintenance covenant of $30 million and provides that the Company may not exceed mutually agreed upon quarterly and annual spend levels for rental product capital, fixed operating, and marketing expenditures during fiscal year 2024 of $51 million, $ 100 million (excluding $10 million of specified permitted expenditures), and $30 million, respectively, on an annual basis, and to-be-agreed levels for fiscal years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2025 and 2026, subject to the debt holders’ consent and certain exceptions. The terms of our 2023 Amended Temasek Facility may restrict our current and future operations and could adversely affect our ability to finance our future operations or capital needs. In addition,</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complying with these covenants may make it more difficult for us to successfully execute our business strategy and compete against companies which are not subject to such restrictions.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2023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r>
        <w:rPr>
          <w:rFonts w:ascii="Arial" w:cs="Arial" w:eastAsia="Arial" w:hAnsi="Arial"/>
          <w:sz w:val="18"/>
          <w:szCs w:val="18"/>
          <w:color w:val="auto"/>
        </w:rPr>
        <w:t>.</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as of January 31, 2021, we identified material weaknesses in our internal control over financial reporting, as described below. As of July 31, 2024,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w:t>
      </w:r>
    </w:p>
    <w:p>
      <w:pPr>
        <w:ind w:right="80"/>
        <w:spacing w:after="0" w:line="237" w:lineRule="auto"/>
        <w:rPr>
          <w:sz w:val="20"/>
          <w:szCs w:val="20"/>
          <w:color w:val="auto"/>
        </w:rPr>
      </w:pPr>
      <w:r>
        <w:rPr>
          <w:rFonts w:ascii="Arial" w:cs="Arial" w:eastAsia="Arial" w:hAnsi="Arial"/>
          <w:sz w:val="18"/>
          <w:szCs w:val="18"/>
          <w:color w:val="auto"/>
        </w:rPr>
        <w:t>that could result in a restatement of our financial statements, and could cause us to fail to meet our reporting obligations, any of which could diminish investor confidence in us and cause a decline in the price of our Class A common stock.</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89"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720" w:hanging="246"/>
        <w:spacing w:after="0" w:line="287"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44" w:lineRule="exact"/>
        <w:rPr>
          <w:rFonts w:ascii="Arial" w:cs="Arial" w:eastAsia="Arial" w:hAnsi="Arial"/>
          <w:sz w:val="18"/>
          <w:szCs w:val="18"/>
          <w:color w:val="auto"/>
        </w:rPr>
      </w:pPr>
    </w:p>
    <w:p>
      <w:pPr>
        <w:ind w:left="740" w:hanging="246"/>
        <w:spacing w:after="0" w:line="268"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$1.235 billion or more;</w:t>
      </w:r>
    </w:p>
    <w:p>
      <w:pPr>
        <w:spacing w:after="0" w:line="117" w:lineRule="exact"/>
        <w:rPr>
          <w:rFonts w:ascii="Arial" w:cs="Arial" w:eastAsia="Arial" w:hAnsi="Arial"/>
          <w:sz w:val="18"/>
          <w:szCs w:val="18"/>
          <w:color w:val="auto"/>
        </w:rPr>
      </w:pPr>
    </w:p>
    <w:p>
      <w:pPr>
        <w:ind w:left="740" w:right="620" w:hanging="246"/>
        <w:spacing w:after="0" w:line="287" w:lineRule="auto"/>
        <w:tabs>
          <w:tab w:leader="none" w:pos="7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52" w:lineRule="exact"/>
        <w:rPr>
          <w:sz w:val="20"/>
          <w:szCs w:val="20"/>
          <w:color w:val="auto"/>
        </w:rPr>
      </w:pPr>
    </w:p>
    <w:p>
      <w:pPr>
        <w:ind w:left="80" w:right="120"/>
        <w:spacing w:after="0" w:line="268" w:lineRule="auto"/>
        <w:rPr>
          <w:sz w:val="20"/>
          <w:szCs w:val="20"/>
          <w:color w:val="auto"/>
        </w:rPr>
      </w:pPr>
      <w:r>
        <w:rPr>
          <w:rFonts w:ascii="Arial" w:cs="Arial" w:eastAsia="Arial" w:hAnsi="Arial"/>
          <w:sz w:val="18"/>
          <w:szCs w:val="18"/>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i w:val="1"/>
          <w:iCs w:val="1"/>
          <w:color w:val="auto"/>
        </w:rPr>
        <w:t>The COVID-19 pandemic had a material adverse impact on our business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future pandemics or public health crises may have a similar adverse impact on our business.</w:t>
      </w:r>
    </w:p>
    <w:p>
      <w:pPr>
        <w:spacing w:after="0" w:line="151"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such as COVID-19, and will continue to reassess our strategy and operational structure on a regular, ongoing basis as the situation evolves.</w:t>
      </w:r>
    </w:p>
    <w:p>
      <w:pPr>
        <w:spacing w:after="0" w:line="302"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 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5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8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30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 Statements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13"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22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Third parties may assert claims against us alleging that we infringe upon, misappropriate, dilute or otherwise violate their intellectual property rights, particularly as we expand our business. For example, third parties have sent us cease and desist letters in connection with our use of marketing and advertising assets,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If</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these claims are resolved against us, we could incur significant monetary liability, or we could be prevented from renting or selling some of our products or using some of our technology. In addition, a finding of liability or other resolution of claims may require us to change our</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payment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CCPA are now in effect and enforceable in Virginia, Colorado, Connecticut, and Utah, and will soon be enforceable in several other states as well. The enactment of such laws could have potentially conflicting requirements that would make compliance challenging, resulting in further</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to communicate with our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1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300"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January 31, 2024, we had federal net operating loss carryforwards of $ 631.1 million, $ 152.0 million of which will expire at various times through 2038. Furthermore, we had state net operating loss carryforwards of $ 598.0 million, which will expire at various times through 2041.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since March 2021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0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their interpretation;</w:t>
      </w:r>
    </w:p>
    <w:p>
      <w:pPr>
        <w:spacing w:after="0" w:line="117" w:lineRule="exact"/>
        <w:rPr>
          <w:rFonts w:ascii="Arial" w:cs="Arial" w:eastAsia="Arial" w:hAnsi="Arial"/>
          <w:sz w:val="18"/>
          <w:szCs w:val="18"/>
          <w:color w:val="auto"/>
        </w:rPr>
      </w:pPr>
    </w:p>
    <w:p>
      <w:pPr>
        <w:ind w:left="740" w:right="80" w:hanging="246"/>
        <w:spacing w:after="0" w:line="318" w:lineRule="auto"/>
        <w:tabs>
          <w:tab w:leader="none" w:pos="7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18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view our brand or financial profile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 missed entirely;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to provide payment processing infrastructure, to accept card payments from customers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Outages or other failures of our payment processors could harm our business and cause customers to lose trust in our payment operations and cause them to discontinue use of our products and services. If the quality or convenience of our payment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93" w:lineRule="exact"/>
        <w:rPr>
          <w:sz w:val="20"/>
          <w:szCs w:val="20"/>
          <w:color w:val="auto"/>
        </w:rPr>
      </w:pPr>
    </w:p>
    <w:p>
      <w:pPr>
        <w:ind w:right="126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providers. In addition, our third-party cloud providers’ facilities may be vulnerable to damage or interruption from earthquakes, hurricanes, floods, fires, cybersecurity attacks, terrorist attacks, power losses, telecommunications failures and other events beyond our control. In the</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8"/>
          <w:szCs w:val="18"/>
          <w:color w:val="auto"/>
        </w:rPr>
        <w:t>.</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products, and APIs, and introduce new advertising products.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heavily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Furthermore, we depend on the Apple App Store to distribute our mobile application, and because many of our customers access our</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products through our mobile application, any changes to the Apple App Store terms and conditions or how the Apple App Store functions in connection with our mobile application could adversely affect our business. Apple has broad discretion to change its respective terms and</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 -application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w:t>
      </w:r>
    </w:p>
    <w:p>
      <w:pPr>
        <w:ind w:right="20"/>
        <w:spacing w:after="0"/>
        <w:rPr>
          <w:sz w:val="20"/>
          <w:szCs w:val="20"/>
          <w:color w:val="auto"/>
        </w:rPr>
      </w:pPr>
      <w:r>
        <w:rPr>
          <w:rFonts w:ascii="Arial" w:cs="Arial" w:eastAsia="Arial" w:hAnsi="Arial"/>
          <w:sz w:val="17"/>
          <w:szCs w:val="17"/>
          <w:color w:val="auto"/>
        </w:rPr>
        <w:t>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failure to adequately prevent fraudulent transactions could damage our reputation, result in litigation or regulatory action, and lead to costs, fees, and expenses that could substantially impact our operating results.</w:t>
      </w:r>
    </w:p>
    <w:p>
      <w:pPr>
        <w:spacing w:after="0" w:line="295" w:lineRule="exact"/>
        <w:rPr>
          <w:sz w:val="20"/>
          <w:szCs w:val="20"/>
          <w:color w:val="auto"/>
        </w:rPr>
      </w:pPr>
    </w:p>
    <w:p>
      <w:pPr>
        <w:ind w:right="84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18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the stockholders’ agreement among us and certain stockholders have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Co-Founder, President and Chair,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322"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required to meet the continued listing requirements of the Nasdaq Global Market and other Nasdaq rules, including those regarding director independence and independent committee requirements, minimum share price and certain other corporate governance requirements. If we do not meet these continued listing requirements, our Class A common stock could be delisted.</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spacing w:after="0" w:line="19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on March 27, 2024, we received a letter from Nasdaq indicating that we were no longer in compliance with the minimum market value of listed securities of $35,000,000 required for continued listing on The Nasdaq Capital Market (the “Minimum Market Value Rule”). On April 25, 2024, Nasdaq confirmed our transfer to the Nasdaq Global Market and removed the deficiency under the Minimum Market Value Rule.</w:t>
      </w:r>
    </w:p>
    <w:p>
      <w:pPr>
        <w:spacing w:after="0" w:line="2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While we are currently in compliance with the continued listing requirements of The Nasdaq Global Market, there can be no guarantee that we will be able to maintain compliance with these requirements in the future.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63" w:lineRule="exact"/>
        <w:rPr>
          <w:sz w:val="20"/>
          <w:szCs w:val="20"/>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44"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COVID-19 or future pandemics on our business or the fashion industry and sharing economy generally;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securities or industry analysts publish research about our business, or if they publish unfavorable research;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executive officers, directors, and stockholders party to our stockholders’ agreement entered into in connection with our IPO, in the aggregate, beneficially own over 50% of the voting power of our outstanding common stock as of July 31, 2024.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management has broad discretion, subject to our 2023 Amended Temasek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9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These factors could also make it more difficult for us to raise additional funds through future offerings of our shares of Class A common stock or other securities.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100" w:hanging="246"/>
        <w:spacing w:after="0" w:line="262"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44" w:lineRule="exact"/>
        <w:rPr>
          <w:rFonts w:ascii="Arial" w:cs="Arial" w:eastAsia="Arial" w:hAnsi="Arial"/>
          <w:sz w:val="18"/>
          <w:szCs w:val="18"/>
          <w:color w:val="auto"/>
        </w:rPr>
      </w:pPr>
    </w:p>
    <w:p>
      <w:pPr>
        <w:ind w:left="740" w:right="102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 w:lineRule="exact"/>
        <w:rPr>
          <w:rFonts w:ascii="Arial" w:cs="Arial" w:eastAsia="Arial" w:hAnsi="Arial"/>
          <w:sz w:val="18"/>
          <w:szCs w:val="18"/>
          <w:color w:val="auto"/>
        </w:rPr>
      </w:pPr>
    </w:p>
    <w:p>
      <w:pPr>
        <w:ind w:left="280" w:hanging="272"/>
        <w:spacing w:after="0" w:line="234"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ind w:firstLine="8"/>
        <w:spacing w:after="0" w:line="250"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three months ended July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7" w:right="10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0" w:lineRule="exact"/>
        <w:rPr>
          <w:sz w:val="20"/>
          <w:szCs w:val="20"/>
          <w:color w:val="auto"/>
        </w:rPr>
      </w:pPr>
    </w:p>
    <w:p>
      <w:pPr>
        <w:ind w:left="740" w:hanging="246"/>
        <w:spacing w:after="0"/>
        <w:tabs>
          <w:tab w:leader="none" w:pos="740" w:val="left"/>
        </w:tabs>
        <w:numPr>
          <w:ilvl w:val="0"/>
          <w:numId w:val="48"/>
        </w:numPr>
        <w:rPr>
          <w:rFonts w:ascii="Calibri" w:cs="Calibri" w:eastAsia="Calibri" w:hAnsi="Calibri"/>
          <w:sz w:val="20"/>
          <w:szCs w:val="20"/>
          <w:color w:val="auto"/>
        </w:rPr>
      </w:pPr>
      <w:r>
        <w:rPr>
          <w:rFonts w:ascii="Arial" w:cs="Arial" w:eastAsia="Arial" w:hAnsi="Arial"/>
          <w:sz w:val="18"/>
          <w:szCs w:val="18"/>
          <w:color w:val="auto"/>
        </w:rPr>
        <w:t>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34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2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Filed / Furnished</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7"/>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Amended &amp; Restated Certificate of Incorporation</w:t>
              </w:r>
            </w:hyperlink>
          </w:p>
        </w:tc>
        <w:tc>
          <w:tcPr>
            <w:tcW w:w="540" w:type="dxa"/>
            <w:vAlign w:val="bottom"/>
            <w:gridSpan w:val="6"/>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rFonts w:ascii="Arial" w:cs="Arial" w:eastAsia="Arial" w:hAnsi="Arial"/>
                <w:sz w:val="18"/>
                <w:szCs w:val="18"/>
                <w:color w:val="0000FF"/>
              </w:rPr>
            </w:pPr>
            <w:hyperlink r:id="rId155">
              <w:r>
                <w:rPr>
                  <w:rFonts w:ascii="Arial" w:cs="Arial" w:eastAsia="Arial" w:hAnsi="Arial"/>
                  <w:sz w:val="18"/>
                  <w:szCs w:val="18"/>
                  <w:color w:val="0000FF"/>
                </w:rPr>
                <w:t>Certificate of Amendment to Twelfth Amended &amp;</w:t>
              </w:r>
            </w:hyperlink>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04/02/2024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Restated Certificate of Incorporation</w:t>
              </w:r>
            </w:hyperlink>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Amended &amp; Restated Bylaws</w:t>
              </w:r>
            </w:hyperlink>
          </w:p>
        </w:tc>
        <w:tc>
          <w:tcPr>
            <w:tcW w:w="540" w:type="dxa"/>
            <w:vAlign w:val="bottom"/>
            <w:tcBorders>
              <w:top w:val="single" w:sz="8" w:color="0000FF"/>
            </w:tcBorders>
          </w:tcPr>
          <w:p>
            <w:pPr>
              <w:spacing w:after="0"/>
              <w:rPr>
                <w:sz w:val="24"/>
                <w:szCs w:val="24"/>
                <w:color w:val="auto"/>
              </w:rPr>
            </w:pPr>
          </w:p>
        </w:tc>
        <w:tc>
          <w:tcPr>
            <w:tcW w:w="1540" w:type="dxa"/>
            <w:vAlign w:val="bottom"/>
            <w:gridSpan w:val="9"/>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5"/>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Rent the Runway, Inc. Transaction Bonus Plan</w:t>
              </w:r>
            </w:hyperlink>
          </w:p>
        </w:tc>
        <w:tc>
          <w:tcPr>
            <w:tcW w:w="700" w:type="dxa"/>
            <w:vAlign w:val="bottom"/>
            <w:gridSpan w:val="8"/>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4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5/21/2024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940" w:type="dxa"/>
            <w:vAlign w:val="bottom"/>
            <w:tcBorders>
              <w:top w:val="single" w:sz="8" w:color="0000FF"/>
            </w:tcBorders>
            <w:gridSpan w:val="7"/>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Rule 13a-14(a)/15d-14(a)</w:t>
            </w:r>
          </w:p>
        </w:tc>
        <w:tc>
          <w:tcPr>
            <w:tcW w:w="1880" w:type="dxa"/>
            <w:vAlign w:val="bottom"/>
            <w:tcBorders>
              <w:top w:val="single" w:sz="8" w:color="0000FF"/>
            </w:tcBorders>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600" w:type="dxa"/>
            <w:vAlign w:val="bottom"/>
            <w:tcBorders>
              <w:top w:val="single" w:sz="8" w:color="0000FF"/>
            </w:tcBorders>
            <w:gridSpan w:val="10"/>
          </w:tcPr>
          <w:p>
            <w:pPr>
              <w:spacing w:after="0"/>
              <w:rPr>
                <w:sz w:val="15"/>
                <w:szCs w:val="15"/>
                <w:color w:val="auto"/>
              </w:rPr>
            </w:pPr>
          </w:p>
        </w:tc>
        <w:tc>
          <w:tcPr>
            <w:tcW w:w="1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 18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U.S.C. Section 1350</w:t>
            </w:r>
          </w:p>
        </w:tc>
        <w:tc>
          <w:tcPr>
            <w:tcW w:w="2540" w:type="dxa"/>
            <w:vAlign w:val="bottom"/>
            <w:tcBorders>
              <w:top w:val="single" w:sz="8" w:color="0000FF"/>
            </w:tcBorders>
            <w:gridSpan w:val="9"/>
          </w:tcPr>
          <w:p>
            <w:pPr>
              <w:spacing w:after="0"/>
              <w:rPr>
                <w:sz w:val="15"/>
                <w:szCs w:val="15"/>
                <w:color w:val="auto"/>
              </w:rPr>
            </w:pPr>
          </w:p>
        </w:tc>
        <w:tc>
          <w:tcPr>
            <w:tcW w:w="24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Instance Document - the instance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13"/>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3"/>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13"/>
          </w:tcPr>
          <w:p>
            <w:pPr>
              <w:spacing w:after="0"/>
              <w:rPr>
                <w:sz w:val="20"/>
                <w:szCs w:val="20"/>
                <w:color w:val="auto"/>
              </w:rPr>
            </w:pPr>
            <w:r>
              <w:rPr>
                <w:rFonts w:ascii="Arial" w:cs="Arial" w:eastAsia="Arial" w:hAnsi="Arial"/>
                <w:sz w:val="18"/>
                <w:szCs w:val="18"/>
                <w:color w:val="auto"/>
              </w:rPr>
              <w:t>XBRL and contained in Exhibit 101)</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97" w:name="page98"/>
    <w:bookmarkEnd w:id="97"/>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September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Siddharth Thacker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0"/>
          </w:cols>
          <w:pgMar w:left="320" w:top="1255" w:right="7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740" w:val="left"/>
        </w:tabs>
        <w:rPr>
          <w:sz w:val="20"/>
          <w:szCs w:val="20"/>
          <w:color w:val="auto"/>
        </w:rPr>
      </w:pPr>
      <w:r>
        <w:rPr>
          <w:rFonts w:ascii="Arial" w:cs="Arial" w:eastAsia="Arial" w:hAnsi="Arial"/>
          <w:sz w:val="18"/>
          <w:szCs w:val="18"/>
          <w:color w:val="auto"/>
        </w:rPr>
        <w:t>Date: September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36195</wp:posOffset>
            </wp:positionV>
            <wp:extent cx="3711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20"/>
          </w:cols>
          <w:pgMar w:left="34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Siddharth Thacker, certify that:</w:t>
      </w:r>
    </w:p>
    <w:p>
      <w:pPr>
        <w:spacing w:after="0" w:line="239" w:lineRule="exact"/>
        <w:rPr>
          <w:sz w:val="20"/>
          <w:szCs w:val="20"/>
          <w:color w:val="auto"/>
        </w:rPr>
      </w:pPr>
    </w:p>
    <w:p>
      <w:pPr>
        <w:ind w:left="700" w:hanging="36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53"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1300" w:right="300" w:hanging="320"/>
        <w:spacing w:after="0" w:line="245" w:lineRule="auto"/>
        <w:tabs>
          <w:tab w:leader="none" w:pos="12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8"/>
          <w:szCs w:val="18"/>
          <w:color w:val="auto"/>
        </w:rPr>
      </w:pPr>
    </w:p>
    <w:p>
      <w:pPr>
        <w:ind w:left="1300" w:right="60" w:hanging="320"/>
        <w:spacing w:after="0" w:line="25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220" w:val="left"/>
          <w:tab w:leader="none" w:pos="6820" w:val="left"/>
        </w:tabs>
        <w:rPr>
          <w:sz w:val="20"/>
          <w:szCs w:val="20"/>
          <w:color w:val="auto"/>
        </w:rPr>
      </w:pPr>
      <w:r>
        <w:rPr>
          <w:rFonts w:ascii="Arial" w:cs="Arial" w:eastAsia="Arial" w:hAnsi="Arial"/>
          <w:sz w:val="18"/>
          <w:szCs w:val="18"/>
          <w:color w:val="auto"/>
        </w:rPr>
        <w:t>Date: September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34925</wp:posOffset>
            </wp:positionV>
            <wp:extent cx="3711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20"/>
          </w:cols>
          <w:pgMar w:left="34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July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900" w:val="left"/>
        </w:tabs>
        <w:rPr>
          <w:sz w:val="20"/>
          <w:szCs w:val="20"/>
          <w:color w:val="auto"/>
        </w:rPr>
      </w:pPr>
      <w:r>
        <w:rPr>
          <w:rFonts w:ascii="Times New Roman" w:cs="Times New Roman" w:eastAsia="Times New Roman" w:hAnsi="Times New Roman"/>
          <w:sz w:val="18"/>
          <w:szCs w:val="18"/>
          <w:color w:val="auto"/>
        </w:rPr>
        <w:t>Date: September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July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920" w:val="left"/>
        </w:tabs>
        <w:rPr>
          <w:sz w:val="20"/>
          <w:szCs w:val="20"/>
          <w:color w:val="auto"/>
        </w:rPr>
      </w:pPr>
      <w:r>
        <w:rPr>
          <w:rFonts w:ascii="Times New Roman" w:cs="Times New Roman" w:eastAsia="Times New Roman" w:hAnsi="Times New Roman"/>
          <w:sz w:val="18"/>
          <w:szCs w:val="18"/>
          <w:color w:val="auto"/>
        </w:rPr>
        <w:t>Date: September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37115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Siddharth Thacker</w:t>
      </w:r>
    </w:p>
    <w:p>
      <w:pPr>
        <w:spacing w:after="0" w:line="5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3"/>
    </w:lvl>
  </w:abstractNum>
  <w:abstractNum w:abstractNumId="9">
    <w:nsid w:val="8138641"/>
    <w:multiLevelType w:val="hybridMultilevel"/>
    <w:lvl w:ilvl="0">
      <w:lvlJc w:val="left"/>
      <w:lvlText w:val="%1."/>
      <w:numFmt w:val="decimal"/>
      <w:start w:val="4"/>
    </w:lvl>
  </w:abstractNum>
  <w:abstractNum w:abstractNumId="10">
    <w:nsid w:val="1E7FF521"/>
    <w:multiLevelType w:val="hybridMultilevel"/>
    <w:lvl w:ilvl="0">
      <w:lvlJc w:val="left"/>
      <w:lvlText w:val="%1."/>
      <w:numFmt w:val="decimal"/>
      <w:start w:val="6"/>
    </w:lvl>
  </w:abstractNum>
  <w:abstractNum w:abstractNumId="11">
    <w:nsid w:val="7C3DBD3D"/>
    <w:multiLevelType w:val="hybridMultilevel"/>
    <w:lvl w:ilvl="0">
      <w:lvlJc w:val="left"/>
      <w:lvlText w:val="%1."/>
      <w:numFmt w:val="decimal"/>
      <w:start w:val="7"/>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2"/>
    </w:lvl>
  </w:abstractNum>
  <w:abstractNum w:abstractNumId="16">
    <w:nsid w:val="3006C83E"/>
    <w:multiLevelType w:val="hybridMultilevel"/>
    <w:lvl w:ilvl="0">
      <w:lvlJc w:val="left"/>
      <w:lvlText w:val="%1."/>
      <w:numFmt w:val="decimal"/>
      <w:start w:val="13"/>
    </w:lvl>
  </w:abstractNum>
  <w:abstractNum w:abstractNumId="17">
    <w:nsid w:val="614FD4A1"/>
    <w:multiLevelType w:val="hybridMultilevel"/>
    <w:lvl w:ilvl="0">
      <w:lvlJc w:val="left"/>
      <w:lvlText w:val="%1."/>
      <w:numFmt w:val="decimal"/>
      <w:start w:val="14"/>
    </w:lvl>
  </w:abstractNum>
  <w:abstractNum w:abstractNumId="18">
    <w:nsid w:val="419AC241"/>
    <w:multiLevelType w:val="hybridMultilevel"/>
    <w:lvl w:ilvl="0">
      <w:lvlJc w:val="left"/>
      <w:lvlText w:val="1"/>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2"/>
      <w:numFmt w:val="bullet"/>
      <w:start w:val="1"/>
    </w:lvl>
  </w:abstractNum>
  <w:abstractNum w:abstractNumId="23">
    <w:nsid w:val="77465F01"/>
    <w:multiLevelType w:val="hybridMultilevel"/>
    <w:lvl w:ilvl="0">
      <w:lvlJc w:val="left"/>
      <w:lvlText w:val="3"/>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54" Type="http://schemas.openxmlformats.org/officeDocument/2006/relationships/hyperlink" Target="https://www.sec.gov/Archives/edgar/data/0001468327/000119312521313321/d211519dex31.htm" TargetMode="External"/><Relationship Id="rId155" Type="http://schemas.openxmlformats.org/officeDocument/2006/relationships/hyperlink" Target="https://www.sec.gov/Archives/edgar/data/1468327/000146832724000100/exhibit31certificateofam.htm" TargetMode="External"/><Relationship Id="rId156" Type="http://schemas.openxmlformats.org/officeDocument/2006/relationships/hyperlink" Target="https://www.sec.gov/Archives/edgar/data/0001468327/000119312521313321/d211519dex32.htm" TargetMode="External"/><Relationship Id="rId157" Type="http://schemas.openxmlformats.org/officeDocument/2006/relationships/hyperlink" Target="https://www.sec.gov/Archives/edgar/data/1468327/000146832724000160/rtr-transactionbonu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2024-09-06T15:20:37Z</dcterms:created>
  <dcterms:modified xsi:type="dcterms:W3CDTF">2024-09-06T15:20:37Z</dcterms:modified>
</cp:coreProperties>
</file>