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SEC Form 3</w:t>
            </w: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760"/>
              <w:spacing w:after="0" w:line="201" w:lineRule="exact"/>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12"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2200" w:type="dxa"/>
            <w:vAlign w:val="bottom"/>
          </w:tcPr>
          <w:p>
            <w:pPr>
              <w:spacing w:after="0"/>
              <w:rPr>
                <w:sz w:val="6"/>
                <w:szCs w:val="6"/>
                <w:color w:val="auto"/>
              </w:rPr>
            </w:pPr>
          </w:p>
        </w:tc>
        <w:tc>
          <w:tcPr>
            <w:tcW w:w="6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0"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15875</wp:posOffset>
            </wp:positionV>
            <wp:extent cx="7023100" cy="28663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2866390"/>
                    </a:xfrm>
                    <a:prstGeom prst="rect">
                      <a:avLst/>
                    </a:prstGeom>
                    <a:noFill/>
                  </pic:spPr>
                </pic:pic>
              </a:graphicData>
            </a:graphic>
          </wp:anchor>
        </w:drawing>
      </w:r>
    </w:p>
    <w:p>
      <w:pPr>
        <w:sectPr>
          <w:pgSz w:w="11900" w:h="16838" w:orient="portrait"/>
          <w:cols w:equalWidth="0" w:num="1">
            <w:col w:w="11020"/>
          </w:cols>
          <w:pgMar w:left="440" w:top="199" w:right="439" w:bottom="1440" w:gutter="0" w:footer="0" w:header="0"/>
        </w:sectPr>
      </w:pPr>
    </w:p>
    <w:p>
      <w:pPr>
        <w:spacing w:after="0" w:line="41"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restart"/>
          </w:tcPr>
          <w:p>
            <w:pPr>
              <w:spacing w:after="0" w:line="181" w:lineRule="exact"/>
              <w:rPr>
                <w:rFonts w:ascii="Times New Roman" w:cs="Times New Roman" w:eastAsia="Times New Roman" w:hAnsi="Times New Roman"/>
                <w:sz w:val="16"/>
                <w:szCs w:val="16"/>
                <w:color w:val="0000EE"/>
                <w:w w:val="95"/>
              </w:rPr>
            </w:pPr>
            <w:hyperlink r:id="rId11">
              <w:r>
                <w:rPr>
                  <w:rFonts w:ascii="Times New Roman" w:cs="Times New Roman" w:eastAsia="Times New Roman" w:hAnsi="Times New Roman"/>
                  <w:sz w:val="16"/>
                  <w:szCs w:val="16"/>
                  <w:color w:val="0000EE"/>
                  <w:w w:val="95"/>
                </w:rPr>
                <w:t>Rau Andrew</w:t>
              </w:r>
            </w:hyperlink>
          </w:p>
        </w:tc>
        <w:tc>
          <w:tcPr>
            <w:tcW w:w="1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380" w:type="dxa"/>
            <w:vAlign w:val="bottom"/>
          </w:tcPr>
          <w:p>
            <w:pPr>
              <w:ind w:left="120"/>
              <w:spacing w:after="0" w:line="91"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0000EE"/>
            </w:tcBorders>
            <w:vMerge w:val="continue"/>
          </w:tcPr>
          <w:p>
            <w:pPr>
              <w:spacing w:after="0"/>
              <w:rPr>
                <w:sz w:val="9"/>
                <w:szCs w:val="9"/>
                <w:color w:val="auto"/>
              </w:rPr>
            </w:pPr>
          </w:p>
        </w:tc>
        <w:tc>
          <w:tcPr>
            <w:tcW w:w="1200" w:type="dxa"/>
            <w:vAlign w:val="bottom"/>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Times New Roman" w:cs="Times New Roman" w:eastAsia="Times New Roman" w:hAnsi="Times New Roman"/>
                <w:sz w:val="13"/>
                <w:szCs w:val="13"/>
                <w:color w:val="0000FF"/>
              </w:rPr>
              <w:t>01/16/2023</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r>
              <w:rPr>
                <w:rFonts w:ascii="Arial" w:cs="Arial" w:eastAsia="Arial" w:hAnsi="Arial"/>
                <w:sz w:val="10"/>
                <w:szCs w:val="10"/>
                <w:color w:val="auto"/>
              </w:rPr>
              <w:t>(Last)</w:t>
            </w:r>
          </w:p>
        </w:tc>
        <w:tc>
          <w:tcPr>
            <w:tcW w:w="1200" w:type="dxa"/>
            <w:vAlign w:val="bottom"/>
          </w:tcPr>
          <w:p>
            <w:pPr>
              <w:ind w:left="24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C/O RENT THE RUNWAY, INC.</w:t>
            </w: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840" w:type="dxa"/>
            <w:vAlign w:val="bottom"/>
            <w:gridSpan w:val="3"/>
          </w:tcPr>
          <w:p>
            <w:pPr>
              <w:spacing w:after="0"/>
              <w:rPr>
                <w:sz w:val="20"/>
                <w:szCs w:val="20"/>
                <w:color w:val="auto"/>
              </w:rPr>
            </w:pPr>
            <w:r>
              <w:rPr>
                <w:rFonts w:ascii="Arial" w:cs="Arial" w:eastAsia="Arial" w:hAnsi="Arial"/>
                <w:sz w:val="10"/>
                <w:szCs w:val="10"/>
                <w:color w:val="auto"/>
              </w:rPr>
              <w:t>(Street)</w:t>
            </w: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3"/>
                <w:szCs w:val="13"/>
                <w:color w:val="0000FF"/>
              </w:rPr>
              <w:t>BROOKLYN</w:t>
            </w:r>
          </w:p>
        </w:tc>
        <w:tc>
          <w:tcPr>
            <w:tcW w:w="120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NY</w:t>
            </w:r>
          </w:p>
        </w:tc>
        <w:tc>
          <w:tcPr>
            <w:tcW w:w="11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11201</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16"/>
          <w:szCs w:val="16"/>
          <w:color w:val="0000EE"/>
        </w:rPr>
      </w:pPr>
      <w:hyperlink r:id="rId12">
        <w:r>
          <w:rPr>
            <w:rFonts w:ascii="Times New Roman" w:cs="Times New Roman" w:eastAsia="Times New Roman" w:hAnsi="Times New Roman"/>
            <w:sz w:val="16"/>
            <w:szCs w:val="16"/>
            <w:u w:val="single" w:color="auto"/>
            <w:color w:val="0000EE"/>
          </w:rPr>
          <w:t>Rent the Runway, Inc.</w:t>
        </w:r>
        <w:r>
          <w:rPr>
            <w:rFonts w:ascii="Times New Roman" w:cs="Times New Roman" w:eastAsia="Times New Roman" w:hAnsi="Times New Roman"/>
            <w:sz w:val="16"/>
            <w:szCs w:val="16"/>
            <w:color w:val="0000EE"/>
          </w:rPr>
          <w:t xml:space="preserv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RENT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p>
      <w:pPr>
        <w:spacing w:after="0" w:line="284"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3240" w:type="dxa"/>
            <w:vAlign w:val="bottom"/>
            <w:gridSpan w:val="3"/>
          </w:tcPr>
          <w:p>
            <w:pPr>
              <w:spacing w:after="0"/>
              <w:rPr>
                <w:sz w:val="20"/>
                <w:szCs w:val="20"/>
                <w:color w:val="auto"/>
              </w:rPr>
            </w:pPr>
            <w:r>
              <w:rPr>
                <w:rFonts w:ascii="Arial" w:cs="Arial" w:eastAsia="Arial" w:hAnsi="Arial"/>
                <w:sz w:val="10"/>
                <w:szCs w:val="10"/>
                <w:color w:val="auto"/>
              </w:rPr>
              <w:t>4. Relationship of Reporting Person(s) to Issuer</w:t>
            </w:r>
          </w:p>
        </w:tc>
        <w:tc>
          <w:tcPr>
            <w:tcW w:w="140" w:type="dxa"/>
            <w:vAlign w:val="bottom"/>
          </w:tcPr>
          <w:p>
            <w:pPr>
              <w:jc w:val="right"/>
              <w:spacing w:after="0"/>
              <w:rPr>
                <w:sz w:val="20"/>
                <w:szCs w:val="20"/>
                <w:color w:val="auto"/>
              </w:rPr>
            </w:pPr>
            <w:r>
              <w:rPr>
                <w:rFonts w:ascii="Arial" w:cs="Arial" w:eastAsia="Arial" w:hAnsi="Arial"/>
                <w:sz w:val="10"/>
                <w:szCs w:val="10"/>
                <w:color w:val="auto"/>
              </w:rPr>
              <w:t>5.</w:t>
            </w:r>
          </w:p>
        </w:tc>
        <w:tc>
          <w:tcPr>
            <w:tcW w:w="2620" w:type="dxa"/>
            <w:vAlign w:val="bottom"/>
            <w:gridSpan w:val="2"/>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0" w:type="dxa"/>
            <w:vAlign w:val="bottom"/>
          </w:tcPr>
          <w:p>
            <w:pPr>
              <w:spacing w:after="0"/>
              <w:rPr>
                <w:sz w:val="1"/>
                <w:szCs w:val="1"/>
                <w:color w:val="auto"/>
              </w:rPr>
            </w:pPr>
          </w:p>
        </w:tc>
      </w:tr>
      <w:tr>
        <w:trPr>
          <w:trHeight w:val="133"/>
        </w:trPr>
        <w:tc>
          <w:tcPr>
            <w:tcW w:w="1820" w:type="dxa"/>
            <w:vAlign w:val="bottom"/>
            <w:gridSpan w:val="2"/>
          </w:tcPr>
          <w:p>
            <w:pPr>
              <w:spacing w:after="0"/>
              <w:rPr>
                <w:sz w:val="20"/>
                <w:szCs w:val="20"/>
                <w:color w:val="auto"/>
              </w:rPr>
            </w:pPr>
            <w:r>
              <w:rPr>
                <w:rFonts w:ascii="Arial" w:cs="Arial" w:eastAsia="Arial" w:hAnsi="Arial"/>
                <w:sz w:val="10"/>
                <w:szCs w:val="10"/>
                <w:color w:val="auto"/>
              </w:rPr>
              <w:t>(Check all applicable)</w:t>
            </w:r>
          </w:p>
        </w:tc>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400" w:type="dxa"/>
            <w:vAlign w:val="bottom"/>
          </w:tcPr>
          <w:p>
            <w:pPr>
              <w:spacing w:after="0"/>
              <w:rPr>
                <w:sz w:val="5"/>
                <w:szCs w:val="5"/>
                <w:color w:val="auto"/>
              </w:rPr>
            </w:pPr>
          </w:p>
        </w:tc>
        <w:tc>
          <w:tcPr>
            <w:tcW w:w="1420" w:type="dxa"/>
            <w:vAlign w:val="bottom"/>
            <w:vMerge w:val="restart"/>
          </w:tcPr>
          <w:p>
            <w:pPr>
              <w:ind w:left="120"/>
              <w:spacing w:after="0"/>
              <w:rPr>
                <w:sz w:val="20"/>
                <w:szCs w:val="20"/>
                <w:color w:val="auto"/>
              </w:rPr>
            </w:pPr>
            <w:r>
              <w:rPr>
                <w:rFonts w:ascii="Arial" w:cs="Arial" w:eastAsia="Arial" w:hAnsi="Arial"/>
                <w:sz w:val="10"/>
                <w:szCs w:val="10"/>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0"/>
                <w:szCs w:val="10"/>
                <w:color w:val="auto"/>
              </w:rPr>
              <w:t>10% Owner</w:t>
            </w:r>
          </w:p>
        </w:tc>
        <w:tc>
          <w:tcPr>
            <w:tcW w:w="1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4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X</w:t>
            </w:r>
          </w:p>
        </w:tc>
        <w:tc>
          <w:tcPr>
            <w:tcW w:w="142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color w:val="auto"/>
              </w:rPr>
              <w:t>6.</w:t>
            </w:r>
          </w:p>
        </w:tc>
        <w:tc>
          <w:tcPr>
            <w:tcW w:w="2620" w:type="dxa"/>
            <w:vAlign w:val="bottom"/>
            <w:gridSpan w:val="2"/>
            <w:vMerge w:val="restart"/>
          </w:tcPr>
          <w:p>
            <w:pPr>
              <w:ind w:left="20"/>
              <w:spacing w:after="0"/>
              <w:rPr>
                <w:sz w:val="20"/>
                <w:szCs w:val="20"/>
                <w:color w:val="auto"/>
              </w:rPr>
            </w:pPr>
            <w:r>
              <w:rPr>
                <w:rFonts w:ascii="Arial" w:cs="Arial" w:eastAsia="Arial" w:hAnsi="Arial"/>
                <w:sz w:val="10"/>
                <w:szCs w:val="10"/>
                <w:color w:val="auto"/>
              </w:rPr>
              <w:t>Individual or Joint/Group Filing (Check Applicable Line)</w:t>
            </w:r>
          </w:p>
        </w:tc>
        <w:tc>
          <w:tcPr>
            <w:tcW w:w="0" w:type="dxa"/>
            <w:vAlign w:val="bottom"/>
          </w:tcPr>
          <w:p>
            <w:pPr>
              <w:spacing w:after="0"/>
              <w:rPr>
                <w:sz w:val="1"/>
                <w:szCs w:val="1"/>
                <w:color w:val="auto"/>
              </w:rPr>
            </w:pPr>
          </w:p>
        </w:tc>
      </w:tr>
      <w:tr>
        <w:trPr>
          <w:trHeight w:val="100"/>
        </w:trPr>
        <w:tc>
          <w:tcPr>
            <w:tcW w:w="400" w:type="dxa"/>
            <w:vAlign w:val="bottom"/>
            <w:vMerge w:val="continue"/>
          </w:tcPr>
          <w:p>
            <w:pPr>
              <w:spacing w:after="0"/>
              <w:rPr>
                <w:sz w:val="8"/>
                <w:szCs w:val="8"/>
                <w:color w:val="auto"/>
              </w:rPr>
            </w:pPr>
          </w:p>
        </w:tc>
        <w:tc>
          <w:tcPr>
            <w:tcW w:w="1420" w:type="dxa"/>
            <w:vAlign w:val="bottom"/>
            <w:vMerge w:val="restart"/>
          </w:tcPr>
          <w:p>
            <w:pPr>
              <w:ind w:left="120"/>
              <w:spacing w:after="0"/>
              <w:rPr>
                <w:sz w:val="20"/>
                <w:szCs w:val="20"/>
                <w:color w:val="auto"/>
              </w:rPr>
            </w:pPr>
            <w:r>
              <w:rPr>
                <w:rFonts w:ascii="Arial" w:cs="Arial" w:eastAsia="Arial" w:hAnsi="Arial"/>
                <w:sz w:val="10"/>
                <w:szCs w:val="10"/>
                <w:color w:val="auto"/>
              </w:rPr>
              <w:t>Officer (give title below)</w:t>
            </w:r>
          </w:p>
        </w:tc>
        <w:tc>
          <w:tcPr>
            <w:tcW w:w="1420" w:type="dxa"/>
            <w:vAlign w:val="bottom"/>
            <w:vMerge w:val="restart"/>
          </w:tcPr>
          <w:p>
            <w:pPr>
              <w:ind w:left="280"/>
              <w:spacing w:after="0"/>
              <w:rPr>
                <w:sz w:val="20"/>
                <w:szCs w:val="20"/>
                <w:color w:val="auto"/>
              </w:rPr>
            </w:pPr>
            <w:r>
              <w:rPr>
                <w:rFonts w:ascii="Arial" w:cs="Arial" w:eastAsia="Arial" w:hAnsi="Arial"/>
                <w:sz w:val="10"/>
                <w:szCs w:val="10"/>
                <w:color w:val="auto"/>
              </w:rPr>
              <w:t>Other (specify below)</w:t>
            </w:r>
          </w:p>
        </w:tc>
        <w:tc>
          <w:tcPr>
            <w:tcW w:w="140" w:type="dxa"/>
            <w:vAlign w:val="bottom"/>
            <w:vMerge w:val="continue"/>
          </w:tcPr>
          <w:p>
            <w:pPr>
              <w:spacing w:after="0"/>
              <w:rPr>
                <w:sz w:val="8"/>
                <w:szCs w:val="8"/>
                <w:color w:val="auto"/>
              </w:rPr>
            </w:pPr>
          </w:p>
        </w:tc>
        <w:tc>
          <w:tcPr>
            <w:tcW w:w="26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40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X</w:t>
            </w:r>
          </w:p>
        </w:tc>
        <w:tc>
          <w:tcPr>
            <w:tcW w:w="2360" w:type="dxa"/>
            <w:vAlign w:val="bottom"/>
            <w:vMerge w:val="restart"/>
          </w:tcPr>
          <w:p>
            <w:pPr>
              <w:ind w:left="10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90"/>
        </w:trPr>
        <w:tc>
          <w:tcPr>
            <w:tcW w:w="400" w:type="dxa"/>
            <w:vAlign w:val="bottom"/>
          </w:tcPr>
          <w:p>
            <w:pPr>
              <w:spacing w:after="0"/>
              <w:rPr>
                <w:sz w:val="7"/>
                <w:szCs w:val="7"/>
                <w:color w:val="auto"/>
              </w:rPr>
            </w:pPr>
          </w:p>
        </w:tc>
        <w:tc>
          <w:tcPr>
            <w:tcW w:w="28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3"/>
                <w:szCs w:val="13"/>
                <w:color w:val="0000FF"/>
              </w:rPr>
              <w:t>SVP, Supply Chain &amp; Inventory</w:t>
            </w:r>
          </w:p>
        </w:tc>
        <w:tc>
          <w:tcPr>
            <w:tcW w:w="14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2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400" w:type="dxa"/>
            <w:vAlign w:val="bottom"/>
          </w:tcPr>
          <w:p>
            <w:pPr>
              <w:spacing w:after="0"/>
              <w:rPr>
                <w:sz w:val="9"/>
                <w:szCs w:val="9"/>
                <w:color w:val="auto"/>
              </w:rPr>
            </w:pPr>
          </w:p>
        </w:tc>
        <w:tc>
          <w:tcPr>
            <w:tcW w:w="28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360" w:type="dxa"/>
            <w:vAlign w:val="bottom"/>
            <w:vMerge w:val="restart"/>
          </w:tcPr>
          <w:p>
            <w:pPr>
              <w:ind w:left="10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54"/>
        </w:trPr>
        <w:tc>
          <w:tcPr>
            <w:tcW w:w="4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66" w:lineRule="exact"/>
        <w:rPr>
          <w:sz w:val="24"/>
          <w:szCs w:val="24"/>
          <w:color w:val="auto"/>
        </w:rPr>
      </w:pPr>
    </w:p>
    <w:p>
      <w:pPr>
        <w:sectPr>
          <w:pgSz w:w="11900" w:h="16838" w:orient="portrait"/>
          <w:cols w:equalWidth="0" w:num="2">
            <w:col w:w="4620" w:space="380"/>
            <w:col w:w="6020"/>
          </w:cols>
          <w:pgMar w:left="440" w:top="199" w:right="439" w:bottom="1440" w:gutter="0" w:footer="0" w:header="0"/>
          <w:type w:val="continuous"/>
        </w:sectPr>
      </w:pPr>
    </w:p>
    <w:p>
      <w:pPr>
        <w:spacing w:after="0" w:line="3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5"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37"/>
        </w:trPr>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r>
      <w:tr>
        <w:trPr>
          <w:trHeight w:val="24"/>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20" w:type="dxa"/>
            <w:vAlign w:val="bottom"/>
            <w:tcBorders>
              <w:bottom w:val="single" w:sz="8" w:color="2C2C2C"/>
            </w:tcBorders>
          </w:tcPr>
          <w:p>
            <w:pPr>
              <w:spacing w:after="0"/>
              <w:rPr>
                <w:sz w:val="21"/>
                <w:szCs w:val="21"/>
                <w:color w:val="auto"/>
              </w:rPr>
            </w:pPr>
          </w:p>
        </w:tc>
        <w:tc>
          <w:tcPr>
            <w:tcW w:w="27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94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2120" w:type="dxa"/>
            <w:vAlign w:val="bottom"/>
            <w:tcBorders>
              <w:bottom w:val="single" w:sz="8" w:color="2C2C2C"/>
            </w:tcBorders>
          </w:tcPr>
          <w:p>
            <w:pPr>
              <w:jc w:val="right"/>
              <w:ind w:right="924"/>
              <w:spacing w:after="0"/>
              <w:rPr>
                <w:sz w:val="20"/>
                <w:szCs w:val="20"/>
                <w:color w:val="auto"/>
              </w:rPr>
            </w:pPr>
            <w:r>
              <w:rPr>
                <w:rFonts w:ascii="Times New Roman" w:cs="Times New Roman" w:eastAsia="Times New Roman" w:hAnsi="Times New Roman"/>
                <w:sz w:val="13"/>
                <w:szCs w:val="13"/>
                <w:color w:val="0000FF"/>
              </w:rPr>
              <w:t>69,412</w:t>
            </w:r>
            <w:r>
              <w:rPr>
                <w:rFonts w:ascii="Times New Roman" w:cs="Times New Roman" w:eastAsia="Times New Roman" w:hAnsi="Times New Roman"/>
                <w:sz w:val="16"/>
                <w:szCs w:val="16"/>
                <w:color w:val="008000"/>
                <w:vertAlign w:val="superscript"/>
              </w:rPr>
              <w:t>(1)</w:t>
            </w:r>
          </w:p>
        </w:tc>
        <w:tc>
          <w:tcPr>
            <w:tcW w:w="66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16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Borders>
              <w:top w:val="single" w:sz="8" w:color="808080"/>
            </w:tcBorders>
          </w:tcPr>
          <w:p>
            <w:pPr>
              <w:spacing w:after="0"/>
              <w:rPr>
                <w:sz w:val="13"/>
                <w:szCs w:val="13"/>
                <w:color w:val="auto"/>
              </w:rPr>
            </w:pPr>
          </w:p>
        </w:tc>
        <w:tc>
          <w:tcPr>
            <w:tcW w:w="2760" w:type="dxa"/>
            <w:vAlign w:val="bottom"/>
            <w:tcBorders>
              <w:top w:val="single" w:sz="8" w:color="2C2C2C"/>
            </w:tcBorders>
          </w:tcPr>
          <w:p>
            <w:pPr>
              <w:spacing w:after="0"/>
              <w:rPr>
                <w:sz w:val="13"/>
                <w:szCs w:val="13"/>
                <w:color w:val="auto"/>
              </w:rPr>
            </w:pPr>
          </w:p>
        </w:tc>
        <w:tc>
          <w:tcPr>
            <w:tcW w:w="940" w:type="dxa"/>
            <w:vAlign w:val="bottom"/>
            <w:tcBorders>
              <w:top w:val="single" w:sz="8" w:color="2C2C2C"/>
            </w:tcBorders>
          </w:tcPr>
          <w:p>
            <w:pPr>
              <w:spacing w:after="0"/>
              <w:rPr>
                <w:sz w:val="13"/>
                <w:szCs w:val="13"/>
                <w:color w:val="auto"/>
              </w:rPr>
            </w:pPr>
          </w:p>
        </w:tc>
        <w:tc>
          <w:tcPr>
            <w:tcW w:w="3380" w:type="dxa"/>
            <w:vAlign w:val="bottom"/>
            <w:tcBorders>
              <w:top w:val="single" w:sz="8" w:color="2C2C2C"/>
            </w:tcBorders>
            <w:gridSpan w:val="3"/>
          </w:tcPr>
          <w:p>
            <w:pPr>
              <w:ind w:left="26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60" w:type="dxa"/>
            <w:vAlign w:val="bottom"/>
            <w:tcBorders>
              <w:top w:val="single" w:sz="8" w:color="2C2C2C"/>
            </w:tcBorders>
          </w:tcPr>
          <w:p>
            <w:pPr>
              <w:spacing w:after="0"/>
              <w:rPr>
                <w:sz w:val="13"/>
                <w:szCs w:val="13"/>
                <w:color w:val="auto"/>
              </w:rPr>
            </w:pPr>
          </w:p>
        </w:tc>
        <w:tc>
          <w:tcPr>
            <w:tcW w:w="72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168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4980" w:type="dxa"/>
            <w:vAlign w:val="bottom"/>
            <w:gridSpan w:val="5"/>
          </w:tcPr>
          <w:p>
            <w:pPr>
              <w:jc w:val="right"/>
              <w:ind w:right="404"/>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760" w:type="dxa"/>
            <w:vAlign w:val="bottom"/>
            <w:tcBorders>
              <w:bottom w:val="single" w:sz="8" w:color="2C2C2C"/>
            </w:tcBorders>
          </w:tcPr>
          <w:p>
            <w:pPr>
              <w:spacing w:after="0" w:line="20" w:lineRule="exact"/>
              <w:rPr>
                <w:sz w:val="1"/>
                <w:szCs w:val="1"/>
                <w:color w:val="auto"/>
              </w:rPr>
            </w:pPr>
          </w:p>
        </w:tc>
        <w:tc>
          <w:tcPr>
            <w:tcW w:w="9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gridSpan w:val="2"/>
          </w:tcPr>
          <w:p>
            <w:pPr>
              <w:spacing w:after="0" w:line="20" w:lineRule="exact"/>
              <w:rPr>
                <w:sz w:val="1"/>
                <w:szCs w:val="1"/>
                <w:color w:val="auto"/>
              </w:rPr>
            </w:pPr>
          </w:p>
        </w:tc>
        <w:tc>
          <w:tcPr>
            <w:tcW w:w="2780" w:type="dxa"/>
            <w:vAlign w:val="bottom"/>
            <w:tcBorders>
              <w:bottom w:val="single" w:sz="8" w:color="2C2C2C"/>
            </w:tcBorders>
            <w:gridSpan w:val="2"/>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16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76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940" w:type="dxa"/>
            <w:vAlign w:val="bottom"/>
          </w:tcPr>
          <w:p>
            <w:pPr>
              <w:spacing w:after="0"/>
              <w:rPr>
                <w:sz w:val="12"/>
                <w:szCs w:val="12"/>
                <w:color w:val="auto"/>
              </w:rPr>
            </w:pPr>
          </w:p>
        </w:tc>
        <w:tc>
          <w:tcPr>
            <w:tcW w:w="1260" w:type="dxa"/>
            <w:vAlign w:val="bottom"/>
            <w:gridSpan w:val="2"/>
          </w:tcPr>
          <w:p>
            <w:pPr>
              <w:ind w:left="6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4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700" w:type="dxa"/>
            <w:vAlign w:val="bottom"/>
            <w:gridSpan w:val="2"/>
          </w:tcPr>
          <w:p>
            <w:pPr>
              <w:ind w:left="12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6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Expiration Date</w:t>
            </w:r>
          </w:p>
        </w:tc>
        <w:tc>
          <w:tcPr>
            <w:tcW w:w="212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Security (Instr. 4)</w:t>
            </w: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6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(Month/Day/Year)</w:t>
            </w:r>
          </w:p>
        </w:tc>
        <w:tc>
          <w:tcPr>
            <w:tcW w:w="2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6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6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720" w:type="dxa"/>
            <w:vAlign w:val="bottom"/>
          </w:tcPr>
          <w:p>
            <w:pPr>
              <w:ind w:left="60"/>
              <w:spacing w:after="0" w:line="101"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6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Date</w:t>
            </w:r>
          </w:p>
        </w:tc>
        <w:tc>
          <w:tcPr>
            <w:tcW w:w="60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Expiration</w:t>
            </w:r>
          </w:p>
        </w:tc>
        <w:tc>
          <w:tcPr>
            <w:tcW w:w="212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Title</w:t>
            </w:r>
          </w:p>
        </w:tc>
        <w:tc>
          <w:tcPr>
            <w:tcW w:w="6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Exercisable</w:t>
            </w:r>
          </w:p>
        </w:tc>
        <w:tc>
          <w:tcPr>
            <w:tcW w:w="60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2120" w:type="dxa"/>
            <w:vAlign w:val="bottom"/>
            <w:vMerge w:val="continue"/>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Stock Option (Right to Buy)</w:t>
            </w:r>
          </w:p>
        </w:tc>
        <w:tc>
          <w:tcPr>
            <w:tcW w:w="1600" w:type="dxa"/>
            <w:vAlign w:val="bottom"/>
            <w:gridSpan w:val="2"/>
          </w:tcPr>
          <w:p>
            <w:pPr>
              <w:jc w:val="right"/>
              <w:ind w:right="227"/>
              <w:spacing w:after="0"/>
              <w:rPr>
                <w:sz w:val="20"/>
                <w:szCs w:val="20"/>
                <w:color w:val="auto"/>
              </w:rPr>
            </w:pPr>
            <w:r>
              <w:rPr>
                <w:rFonts w:ascii="Times New Roman" w:cs="Times New Roman" w:eastAsia="Times New Roman" w:hAnsi="Times New Roman"/>
                <w:sz w:val="8"/>
                <w:szCs w:val="8"/>
                <w:color w:val="008000"/>
              </w:rPr>
              <w:t>(2)</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0"/>
                <w:szCs w:val="10"/>
                <w:color w:val="0000FF"/>
              </w:rPr>
              <w:t>10/25/2031</w:t>
            </w:r>
          </w:p>
        </w:tc>
        <w:tc>
          <w:tcPr>
            <w:tcW w:w="212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Class A Common Stock</w:t>
            </w:r>
          </w:p>
        </w:tc>
        <w:tc>
          <w:tcPr>
            <w:tcW w:w="660" w:type="dxa"/>
            <w:vAlign w:val="bottom"/>
          </w:tcPr>
          <w:p>
            <w:pPr>
              <w:jc w:val="right"/>
              <w:ind w:right="84"/>
              <w:spacing w:after="0"/>
              <w:rPr>
                <w:sz w:val="20"/>
                <w:szCs w:val="20"/>
                <w:color w:val="auto"/>
              </w:rPr>
            </w:pPr>
            <w:r>
              <w:rPr>
                <w:rFonts w:ascii="Times New Roman" w:cs="Times New Roman" w:eastAsia="Times New Roman" w:hAnsi="Times New Roman"/>
                <w:sz w:val="13"/>
                <w:szCs w:val="13"/>
                <w:color w:val="0000FF"/>
              </w:rPr>
              <w:t>24,423</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21</w:t>
            </w:r>
          </w:p>
        </w:tc>
        <w:tc>
          <w:tcPr>
            <w:tcW w:w="84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40" w:right="120" w:hanging="10"/>
        <w:spacing w:after="0" w:line="244"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Includes 57,111 restricted stock units ("RSUs"). 9,159 RSUs will vest in 12 approximately equal installments on each quarterly anniversary of October 28, 2022, 27,952 RSUs will vest in 5 approximately equal installments on each three month anniversary of December 1, 2022, and an award of 20,000 RSUs will vest as to 10,000 RSUs on March 15, 2023 and the remainder in two approximately equal installments on each three month anniversary of March 15, 2023, in each case subject to the Reporting Person's continued employment with the Issuer. Each RSU represents a contingent right to receive one share of the Issuer's Class A Common Stock.</w:t>
      </w:r>
    </w:p>
    <w:p>
      <w:pPr>
        <w:spacing w:after="0" w:line="19" w:lineRule="exact"/>
        <w:rPr>
          <w:rFonts w:ascii="Times New Roman" w:cs="Times New Roman" w:eastAsia="Times New Roman" w:hAnsi="Times New Roman"/>
          <w:sz w:val="10"/>
          <w:szCs w:val="10"/>
          <w:color w:val="008000"/>
        </w:rPr>
      </w:pPr>
    </w:p>
    <w:p>
      <w:pPr>
        <w:ind w:left="140" w:hanging="110"/>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option has vested or will vest and become exercisable as to 25% of the underlying shares on the first anniversary of October 26, 2021 and the remainder in 36 monthly installments thereafter, subject to the Reporting Person's continued employment with the Issuer.</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0"/>
          <w:szCs w:val="10"/>
          <w:color w:val="008000"/>
        </w:rPr>
        <w:t>Exhibit List: Exhibit 24 - Power of Attorney</w:t>
      </w:r>
    </w:p>
    <w:p>
      <w:pPr>
        <w:ind w:left="6620"/>
        <w:spacing w:after="0" w:line="183" w:lineRule="auto"/>
        <w:rPr>
          <w:sz w:val="20"/>
          <w:szCs w:val="20"/>
          <w:color w:val="auto"/>
        </w:rPr>
      </w:pPr>
      <w:r>
        <w:rPr>
          <w:rFonts w:ascii="Times New Roman" w:cs="Times New Roman" w:eastAsia="Times New Roman" w:hAnsi="Times New Roman"/>
          <w:sz w:val="13"/>
          <w:szCs w:val="13"/>
          <w:color w:val="0000FF"/>
        </w:rPr>
        <w:t xml:space="preserve">/s/ Cara Schembri as Attorney in-fact for  </w:t>
      </w:r>
      <w:r>
        <w:rPr>
          <w:rFonts w:ascii="Times New Roman" w:cs="Times New Roman" w:eastAsia="Times New Roman" w:hAnsi="Times New Roman"/>
          <w:sz w:val="26"/>
          <w:szCs w:val="26"/>
          <w:color w:val="0000FF"/>
          <w:vertAlign w:val="subscript"/>
        </w:rPr>
        <w:t>01/23/2023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4201160</wp:posOffset>
            </wp:positionH>
            <wp:positionV relativeFrom="paragraph">
              <wp:posOffset>-20955</wp:posOffset>
            </wp:positionV>
            <wp:extent cx="134937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49375" cy="635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3"/>
          <w:szCs w:val="13"/>
          <w:color w:val="0000FF"/>
        </w:rPr>
        <w:t>Andrew Rau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4201160</wp:posOffset>
            </wp:positionH>
            <wp:positionV relativeFrom="paragraph">
              <wp:posOffset>-14605</wp:posOffset>
            </wp:positionV>
            <wp:extent cx="41973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419735" cy="6350"/>
                    </a:xfrm>
                    <a:prstGeom prst="rect">
                      <a:avLst/>
                    </a:prstGeom>
                    <a:noFill/>
                  </pic:spPr>
                </pic:pic>
              </a:graphicData>
            </a:graphic>
          </wp:anchor>
        </w:drawing>
        <w:drawing>
          <wp:anchor simplePos="0" relativeHeight="251657728" behindDoc="1" locked="0" layoutInCell="0" allowOverlap="1">
            <wp:simplePos x="0" y="0"/>
            <wp:positionH relativeFrom="column">
              <wp:posOffset>5605780</wp:posOffset>
            </wp:positionH>
            <wp:positionV relativeFrom="paragraph">
              <wp:posOffset>-65405</wp:posOffset>
            </wp:positionV>
            <wp:extent cx="37655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76555" cy="6350"/>
                    </a:xfrm>
                    <a:prstGeom prst="rect">
                      <a:avLst/>
                    </a:prstGeom>
                    <a:noFill/>
                  </pic:spPr>
                </pic:pic>
              </a:graphicData>
            </a:graphic>
          </wp:anchor>
        </w:drawing>
      </w:r>
    </w:p>
    <w:p>
      <w:pPr>
        <w:spacing w:after="0" w:line="16" w:lineRule="exact"/>
        <w:rPr>
          <w:sz w:val="24"/>
          <w:szCs w:val="24"/>
          <w:color w:val="auto"/>
        </w:rPr>
      </w:pPr>
    </w:p>
    <w:p>
      <w:pPr>
        <w:ind w:left="6620"/>
        <w:spacing w:after="0"/>
        <w:tabs>
          <w:tab w:leader="none" w:pos="8800" w:val="left"/>
        </w:tabs>
        <w:rPr>
          <w:sz w:val="20"/>
          <w:szCs w:val="20"/>
          <w:color w:val="auto"/>
        </w:rPr>
      </w:pPr>
      <w:r>
        <w:rPr>
          <w:rFonts w:ascii="Arial" w:cs="Arial" w:eastAsia="Arial" w:hAnsi="Arial"/>
          <w:sz w:val="10"/>
          <w:szCs w:val="10"/>
          <w:color w:val="auto"/>
        </w:rPr>
        <w:t>** Signature of Reporting Person</w:t>
      </w:r>
      <w:r>
        <w:rPr>
          <w:sz w:val="20"/>
          <w:szCs w:val="20"/>
          <w:color w:val="auto"/>
        </w:rPr>
        <w:tab/>
      </w:r>
      <w:r>
        <w:rPr>
          <w:rFonts w:ascii="Arial" w:cs="Arial" w:eastAsia="Arial" w:hAnsi="Arial"/>
          <w:sz w:val="10"/>
          <w:szCs w:val="10"/>
          <w:color w:val="auto"/>
        </w:rPr>
        <w:t>Date</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5220" w:hanging="10"/>
        <w:spacing w:after="0" w:line="348" w:lineRule="auto"/>
        <w:tabs>
          <w:tab w:leader="none" w:pos="146" w:val="left"/>
        </w:tabs>
        <w:numPr>
          <w:ilvl w:val="0"/>
          <w:numId w:val="2"/>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ind w:left="540"/>
        <w:spacing w:after="0"/>
        <w:rPr>
          <w:sz w:val="20"/>
          <w:szCs w:val="20"/>
          <w:color w:val="auto"/>
        </w:rPr>
      </w:pPr>
      <w:r>
        <w:rPr>
          <w:rFonts w:ascii="Courier New" w:cs="Courier New" w:eastAsia="Courier New" w:hAnsi="Courier New"/>
          <w:sz w:val="13"/>
          <w:szCs w:val="13"/>
          <w:color w:val="auto"/>
        </w:rPr>
        <w:t>With respect to holdings of and transactions in securities issued by Rent the Runway, Inc. (the Company), the undersigned hereby consti</w:t>
      </w:r>
    </w:p>
    <w:p>
      <w:pPr>
        <w:spacing w:after="0" w:line="153" w:lineRule="exact"/>
        <w:rPr>
          <w:sz w:val="20"/>
          <w:szCs w:val="20"/>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execute for and on behalf of the undersigned, Schedules 13D and 13G in accordance with Section 13 of the Securities Exchange Act of 1934, a</w:t>
      </w:r>
    </w:p>
    <w:p>
      <w:pPr>
        <w:spacing w:after="0" w:line="164"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which may be necessary or desirable to complete and execute any such S</w:t>
      </w:r>
    </w:p>
    <w:p>
      <w:pPr>
        <w:spacing w:after="0" w:line="164" w:lineRule="exact"/>
        <w:rPr>
          <w:rFonts w:ascii="Courier New" w:cs="Courier New" w:eastAsia="Courier New" w:hAnsi="Courier New"/>
          <w:sz w:val="12"/>
          <w:szCs w:val="12"/>
          <w:color w:val="auto"/>
        </w:rPr>
      </w:pPr>
    </w:p>
    <w:p>
      <w:pPr>
        <w:jc w:val="right"/>
        <w:ind w:left="320" w:hanging="320"/>
        <w:spacing w:after="0" w:line="530" w:lineRule="auto"/>
        <w:tabs>
          <w:tab w:leader="none" w:pos="242"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of ben The undersigned hereby grants to each such attorney-in-fact full power and authority to do and perform any and every act and thing whatsoe The undersigned acknowledges that the foregoing attorneys-in-fact, in serving in such capacity at the request of the undersigned, are n This Power of Attorney shall remain in full force and effect until the undersigned is no longer required to file Schedule 13D and 13G a</w:t>
      </w:r>
    </w:p>
    <w:p>
      <w:pPr>
        <w:ind w:left="320"/>
        <w:spacing w:after="0"/>
        <w:rPr>
          <w:rFonts w:ascii="Courier New" w:cs="Courier New" w:eastAsia="Courier New" w:hAnsi="Courier New"/>
          <w:sz w:val="12"/>
          <w:szCs w:val="12"/>
          <w:color w:val="auto"/>
        </w:rPr>
      </w:pPr>
      <w:r>
        <w:rPr>
          <w:rFonts w:ascii="Courier New" w:cs="Courier New" w:eastAsia="Courier New" w:hAnsi="Courier New"/>
          <w:sz w:val="13"/>
          <w:szCs w:val="13"/>
          <w:color w:val="auto"/>
        </w:rPr>
        <w:t>IN WITNESS WHEREOF, the undersigned has caused this Power of Attorney to be executed as of Jan. 9, 2023.</w:t>
      </w: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By: Andrew Rau</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Name: Andrew Rau</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Schedule A</w:t>
      </w:r>
    </w:p>
    <w:p>
      <w:pPr>
        <w:spacing w:after="0" w:line="153" w:lineRule="exact"/>
        <w:rPr>
          <w:sz w:val="20"/>
          <w:szCs w:val="20"/>
          <w:color w:val="auto"/>
        </w:rPr>
      </w:pPr>
    </w:p>
    <w:p>
      <w:pPr>
        <w:ind w:right="3900"/>
        <w:spacing w:after="0" w:line="608" w:lineRule="auto"/>
        <w:rPr>
          <w:sz w:val="20"/>
          <w:szCs w:val="20"/>
          <w:color w:val="auto"/>
        </w:rPr>
      </w:pPr>
      <w:r>
        <w:rPr>
          <w:rFonts w:ascii="Courier New" w:cs="Courier New" w:eastAsia="Courier New" w:hAnsi="Courier New"/>
          <w:sz w:val="13"/>
          <w:szCs w:val="13"/>
          <w:color w:val="auto"/>
        </w:rPr>
        <w:t>Individuals Appointed as Attorney-in-Fact with Full Power of Substitution and Resubstitution 1. Cara Schembri</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961707" TargetMode="External"/><Relationship Id="rId12"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2023-01-23T16:30:52Z</dcterms:created>
  <dcterms:modified xsi:type="dcterms:W3CDTF">2023-01-23T16:30:52Z</dcterms:modified>
</cp:coreProperties>
</file>