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Rent the Runway,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76010Y202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Clay Krebs</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1580 N Logan St., Suite 660, PMB 43072</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Denver, CO, 80203-1942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(310) 425-3000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10/28/2025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76010Y202</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S3 RR Aggregator, LLC</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866" w:right="339" w:bottom="0" w:gutter="0" w:footer="0" w:header="0"/>
        </w:sectPr>
      </w:pPr>
    </w:p>
    <w:bookmarkStart w:id="1" w:name="page2"/>
    <w:bookmarkEnd w:id="1"/>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4,274,394.00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76010Y202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STORY3 Capital Partners,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CALIFORNIA</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0099"/>
          </w:cols>
          <w:pgMar w:left="360" w:top="111" w:right="1440" w:bottom="0" w:gutter="0" w:footer="0" w:header="0"/>
          <w:type w:val="continuous"/>
        </w:sectPr>
      </w:pPr>
    </w:p>
    <w:bookmarkStart w:id="2" w:name="page3"/>
    <w:bookmarkEnd w:id="2"/>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4,274,394.00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4,274,394.00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4,274,394.00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12.8 %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76010Y202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Rising Sons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CALIFORNIA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4,274,394.00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12.8 %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76010Y202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Peter Comisar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4,274,394.00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4,274,394.00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4" w:name="page5"/>
    <w:bookmarkEnd w:id="4"/>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Class A Common Stock, $0.001 par value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Rent the Runway,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10 Jay Street, Brooklyn, NEW YORK , 11201.</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This Schedule 13D is being filed by the following (each a "Reporting Person," and collectively the "Reporting</w:t>
      </w:r>
    </w:p>
    <w:p>
      <w:pPr>
        <w:spacing w:after="0" w:line="14" w:lineRule="exact"/>
        <w:rPr>
          <w:sz w:val="20"/>
          <w:szCs w:val="20"/>
          <w:color w:val="auto"/>
        </w:rPr>
      </w:pPr>
    </w:p>
    <w:p>
      <w:pPr>
        <w:ind w:left="940" w:right="100" w:hanging="932"/>
        <w:spacing w:after="0" w:line="184" w:lineRule="auto"/>
        <w:tabs>
          <w:tab w:leader="none" w:pos="94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Persons"): (i) S3 RR Aggregator, LLC ("S3 RR"); (ii) STORY3 Capital Partners, LLC ("STORY3 Capital Partners"); (iii) Rising Sons Capital, LLC ("Rising Sons"); and (iv) Peter Comisar. The Reporting Persons have entered into a joint filing agreement, a copy of which is attached hereto as Exhibit 99.1.</w:t>
      </w:r>
    </w:p>
    <w:p>
      <w:pPr>
        <w:spacing w:after="0" w:line="18" w:lineRule="exact"/>
        <w:rPr>
          <w:rFonts w:ascii="Times New Roman" w:cs="Times New Roman" w:eastAsia="Times New Roman" w:hAnsi="Times New Roman"/>
          <w:sz w:val="42"/>
          <w:szCs w:val="42"/>
          <w:color w:val="auto"/>
          <w:vertAlign w:val="subscript"/>
        </w:rPr>
      </w:pPr>
    </w:p>
    <w:p>
      <w:pPr>
        <w:ind w:left="940" w:right="340" w:hanging="932"/>
        <w:spacing w:after="0" w:line="185" w:lineRule="auto"/>
        <w:tabs>
          <w:tab w:leader="none" w:pos="94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business address and and principal office address of each of the Reporting Persons is 1580 N. Logan St., Suite 660, PMB 43072, Denver, CO 80203.</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of each of the Reporting Persons is investment holding.</w:t>
      </w:r>
    </w:p>
    <w:p>
      <w:pPr>
        <w:spacing w:after="0" w:line="44" w:lineRule="exact"/>
        <w:rPr>
          <w:rFonts w:ascii="Times New Roman" w:cs="Times New Roman" w:eastAsia="Times New Roman" w:hAnsi="Times New Roman"/>
          <w:sz w:val="22"/>
          <w:szCs w:val="22"/>
          <w:color w:val="auto"/>
        </w:rPr>
      </w:pPr>
    </w:p>
    <w:p>
      <w:pPr>
        <w:ind w:left="940" w:right="480" w:hanging="932"/>
        <w:spacing w:after="0" w:line="185" w:lineRule="auto"/>
        <w:tabs>
          <w:tab w:leader="none" w:pos="94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has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has been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jc w:val="both"/>
        <w:ind w:left="940" w:right="260" w:hanging="932"/>
        <w:spacing w:after="0" w:line="184" w:lineRule="auto"/>
        <w:tabs>
          <w:tab w:leader="none" w:pos="94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were or is subject to a judgement, decree or final order enjoining future violations of, or prohibiting or mandating activities subject to, federal or state securities laws or finding any violation with respect to such laws.</w:t>
      </w:r>
    </w:p>
    <w:p>
      <w:pPr>
        <w:sectPr>
          <w:pgSz w:w="11900" w:h="16838" w:orient="portrait"/>
          <w:cols w:equalWidth="0" w:num="1">
            <w:col w:w="11160"/>
          </w:cols>
          <w:pgMar w:left="360" w:top="193" w:right="379" w:bottom="0" w:gutter="0" w:footer="0" w:header="0"/>
        </w:sectPr>
      </w:pP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ind w:right="400"/>
        <w:spacing w:after="0" w:line="256" w:lineRule="auto"/>
        <w:rPr>
          <w:sz w:val="20"/>
          <w:szCs w:val="20"/>
          <w:color w:val="auto"/>
        </w:rPr>
      </w:pPr>
      <w:r>
        <w:rPr>
          <w:rFonts w:ascii="Times New Roman" w:cs="Times New Roman" w:eastAsia="Times New Roman" w:hAnsi="Times New Roman"/>
          <w:sz w:val="22"/>
          <w:szCs w:val="22"/>
          <w:color w:val="auto"/>
        </w:rPr>
        <w:t>S3 RR is a Delaware limited liability company. Each of STORY3 Capital Partners and Rising Sons is a California limited liability company. Peter Comisar is a United States citizen.</w:t>
      </w:r>
    </w:p>
    <w:p>
      <w:pPr>
        <w:spacing w:after="0"/>
        <w:rPr>
          <w:sz w:val="20"/>
          <w:szCs w:val="20"/>
          <w:color w:val="auto"/>
        </w:rPr>
      </w:pPr>
      <w:r>
        <w:rPr>
          <w:rFonts w:ascii="Times New Roman" w:cs="Times New Roman" w:eastAsia="Times New Roman" w:hAnsi="Times New Roman"/>
          <w:sz w:val="22"/>
          <w:szCs w:val="22"/>
          <w:color w:val="auto"/>
        </w:rPr>
        <w:t>Source and Amount of Funds or Other Consideration</w:t>
      </w:r>
    </w:p>
    <w:p>
      <w:pPr>
        <w:spacing w:after="0" w:line="44"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The information set forth in Item 4 of this Schedule 13D is incorporated by reference into this Item 3. The funds used to acquire the shares of Class A Common Stock issued pursuant to the Rights Offering Backstop Agreement (as defined in item 4 hereof) and the Debt and Equity Purchase Agreement (as defined in Item 4 hereof) were obtained from the working capital of S3 RR.</w:t>
      </w:r>
    </w:p>
    <w:p>
      <w:pPr>
        <w:spacing w:after="0" w:line="18" w:lineRule="exact"/>
        <w:rPr>
          <w:sz w:val="20"/>
          <w:szCs w:val="20"/>
          <w:color w:val="auto"/>
        </w:rPr>
      </w:pPr>
    </w:p>
    <w:p>
      <w:pPr>
        <w:sectPr>
          <w:pgSz w:w="11900" w:h="16838" w:orient="portrait"/>
          <w:cols w:equalWidth="0" w:num="2">
            <w:col w:w="620" w:space="320"/>
            <w:col w:w="10220"/>
          </w:cols>
          <w:pgMar w:left="360" w:top="193" w:right="379" w:bottom="0" w:gutter="0" w:footer="0" w:header="0"/>
          <w:type w:val="continuous"/>
        </w:sect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Exchange Agreement On July 23, 2018, Rent the Runway, Inc. (the "Issuer") entered into a credit agreement with</w:t>
      </w:r>
    </w:p>
    <w:p>
      <w:pPr>
        <w:spacing w:after="0" w:line="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CHS (US) Management, LLC (as successor-in-interest to Double Helix Pte Ltd.) ("CHS US Management") as</w:t>
      </w:r>
    </w:p>
    <w:p>
      <w:pPr>
        <w:ind w:left="940"/>
        <w:spacing w:after="0" w:line="230" w:lineRule="auto"/>
        <w:rPr>
          <w:sz w:val="20"/>
          <w:szCs w:val="20"/>
          <w:color w:val="auto"/>
        </w:rPr>
      </w:pPr>
      <w:r>
        <w:rPr>
          <w:rFonts w:ascii="Times New Roman" w:cs="Times New Roman" w:eastAsia="Times New Roman" w:hAnsi="Times New Roman"/>
          <w:sz w:val="22"/>
          <w:szCs w:val="22"/>
          <w:color w:val="auto"/>
        </w:rPr>
        <w:t>administrative agent and the lenders from time to time party thereto (the "Existing Credit Agreement"). On August</w:t>
      </w:r>
    </w:p>
    <w:p>
      <w:pPr>
        <w:ind w:left="940"/>
        <w:spacing w:after="0" w:line="231" w:lineRule="auto"/>
        <w:rPr>
          <w:sz w:val="20"/>
          <w:szCs w:val="20"/>
          <w:color w:val="auto"/>
        </w:rPr>
      </w:pPr>
      <w:r>
        <w:rPr>
          <w:rFonts w:ascii="Times New Roman" w:cs="Times New Roman" w:eastAsia="Times New Roman" w:hAnsi="Times New Roman"/>
          <w:sz w:val="22"/>
          <w:szCs w:val="22"/>
          <w:color w:val="auto"/>
        </w:rPr>
        <w:t>20, 2025, CHS US Investments LLC ("CHS US Investments") entered into an exchange agreement (the "Exchange</w:t>
      </w:r>
    </w:p>
    <w:p>
      <w:pPr>
        <w:ind w:left="940"/>
        <w:spacing w:after="0" w:line="230" w:lineRule="auto"/>
        <w:rPr>
          <w:sz w:val="20"/>
          <w:szCs w:val="20"/>
          <w:color w:val="auto"/>
        </w:rPr>
      </w:pPr>
      <w:r>
        <w:rPr>
          <w:rFonts w:ascii="Times New Roman" w:cs="Times New Roman" w:eastAsia="Times New Roman" w:hAnsi="Times New Roman"/>
          <w:sz w:val="22"/>
          <w:szCs w:val="22"/>
          <w:color w:val="auto"/>
        </w:rPr>
        <w:t>Agreement") with the Issuer in connection with the Issuer's proposed recapitalization transactions. Pursuant to the</w:t>
      </w:r>
    </w:p>
    <w:p>
      <w:pPr>
        <w:ind w:left="940"/>
        <w:spacing w:after="0" w:line="231" w:lineRule="auto"/>
        <w:rPr>
          <w:sz w:val="20"/>
          <w:szCs w:val="20"/>
          <w:color w:val="auto"/>
        </w:rPr>
      </w:pPr>
      <w:r>
        <w:rPr>
          <w:rFonts w:ascii="Times New Roman" w:cs="Times New Roman" w:eastAsia="Times New Roman" w:hAnsi="Times New Roman"/>
          <w:sz w:val="22"/>
          <w:szCs w:val="22"/>
          <w:color w:val="auto"/>
        </w:rPr>
        <w:t>Exchange Agreement, CHS US Investments, as lender under the Existing Credit Agreement, agreed to (i) exchange</w:t>
      </w:r>
    </w:p>
    <w:p>
      <w:pPr>
        <w:ind w:left="940"/>
        <w:spacing w:after="0" w:line="230" w:lineRule="auto"/>
        <w:rPr>
          <w:sz w:val="20"/>
          <w:szCs w:val="20"/>
          <w:color w:val="auto"/>
        </w:rPr>
      </w:pPr>
      <w:r>
        <w:rPr>
          <w:rFonts w:ascii="Times New Roman" w:cs="Times New Roman" w:eastAsia="Times New Roman" w:hAnsi="Times New Roman"/>
          <w:sz w:val="22"/>
          <w:szCs w:val="22"/>
          <w:color w:val="auto"/>
        </w:rPr>
        <w:t>$100 million of existing outstanding indebtedness owed to it under the Existing Credit Agreement on a dollar-for-</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dollar cashless basis for new term loans (the "Exchange Consideration Term Loans") under an amended and restated</w:t>
      </w:r>
    </w:p>
    <w:p>
      <w:pPr>
        <w:ind w:left="940"/>
        <w:spacing w:after="0" w:line="231" w:lineRule="auto"/>
        <w:rPr>
          <w:sz w:val="20"/>
          <w:szCs w:val="20"/>
          <w:color w:val="auto"/>
        </w:rPr>
      </w:pPr>
      <w:r>
        <w:rPr>
          <w:rFonts w:ascii="Times New Roman" w:cs="Times New Roman" w:eastAsia="Times New Roman" w:hAnsi="Times New Roman"/>
          <w:sz w:val="22"/>
          <w:szCs w:val="22"/>
          <w:color w:val="auto"/>
        </w:rPr>
        <w:t>credit agreement (the "New Credit Agreement") by and among the Issuer, CHS US Management, CHS US</w:t>
      </w:r>
    </w:p>
    <w:p>
      <w:pPr>
        <w:ind w:left="940"/>
        <w:spacing w:after="0" w:line="231" w:lineRule="auto"/>
        <w:rPr>
          <w:sz w:val="20"/>
          <w:szCs w:val="20"/>
          <w:color w:val="auto"/>
        </w:rPr>
      </w:pPr>
      <w:r>
        <w:rPr>
          <w:rFonts w:ascii="Times New Roman" w:cs="Times New Roman" w:eastAsia="Times New Roman" w:hAnsi="Times New Roman"/>
          <w:sz w:val="22"/>
          <w:szCs w:val="22"/>
          <w:color w:val="auto"/>
        </w:rPr>
        <w:t>Investments, Gateway Runway, LLC ("Nexus"), and S3 RR (together with CHS US Investments and Nexus, the</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"Investor Group") and (ii) contribute all outstanding indebtedness owing to it under the Existing Credit Agreement in</w:t>
      </w:r>
    </w:p>
    <w:p>
      <w:pPr>
        <w:ind w:left="940"/>
        <w:spacing w:after="0" w:line="231" w:lineRule="auto"/>
        <w:rPr>
          <w:sz w:val="20"/>
          <w:szCs w:val="20"/>
          <w:color w:val="auto"/>
        </w:rPr>
      </w:pPr>
      <w:r>
        <w:rPr>
          <w:rFonts w:ascii="Times New Roman" w:cs="Times New Roman" w:eastAsia="Times New Roman" w:hAnsi="Times New Roman"/>
          <w:sz w:val="22"/>
          <w:szCs w:val="22"/>
          <w:color w:val="auto"/>
        </w:rPr>
        <w:t>excess thereof to the Issuer in exchange for newly issued shares of the Issuer's Class A Common Stock, par value</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$0.001 per share (the "Class A Common Stock," and such consideration, the "Exchange Stock"), equal to 86% of the</w:t>
      </w:r>
    </w:p>
    <w:p>
      <w:pPr>
        <w:ind w:left="940"/>
        <w:spacing w:after="0" w:line="231" w:lineRule="auto"/>
        <w:rPr>
          <w:sz w:val="20"/>
          <w:szCs w:val="20"/>
          <w:color w:val="auto"/>
        </w:rPr>
      </w:pPr>
      <w:r>
        <w:rPr>
          <w:rFonts w:ascii="Times New Roman" w:cs="Times New Roman" w:eastAsia="Times New Roman" w:hAnsi="Times New Roman"/>
          <w:sz w:val="22"/>
          <w:szCs w:val="22"/>
          <w:color w:val="auto"/>
        </w:rPr>
        <w:t>number of outstanding shares of Class A Common Stock following the closing of the transactions contemplated by</w:t>
      </w:r>
    </w:p>
    <w:p>
      <w:pPr>
        <w:ind w:left="940"/>
        <w:spacing w:after="0" w:line="231" w:lineRule="auto"/>
        <w:rPr>
          <w:sz w:val="20"/>
          <w:szCs w:val="20"/>
          <w:color w:val="auto"/>
        </w:rPr>
      </w:pPr>
      <w:r>
        <w:rPr>
          <w:rFonts w:ascii="Times New Roman" w:cs="Times New Roman" w:eastAsia="Times New Roman" w:hAnsi="Times New Roman"/>
          <w:sz w:val="22"/>
          <w:szCs w:val="22"/>
          <w:color w:val="auto"/>
        </w:rPr>
        <w:t>the Exchange Agreement and related agreements (the "Closing"), after giving effect to the conversion by holders of</w:t>
      </w:r>
    </w:p>
    <w:p>
      <w:pPr>
        <w:ind w:left="940"/>
        <w:spacing w:after="0" w:line="231" w:lineRule="auto"/>
        <w:rPr>
          <w:sz w:val="20"/>
          <w:szCs w:val="20"/>
          <w:color w:val="auto"/>
        </w:rPr>
      </w:pPr>
      <w:r>
        <w:rPr>
          <w:rFonts w:ascii="Times New Roman" w:cs="Times New Roman" w:eastAsia="Times New Roman" w:hAnsi="Times New Roman"/>
          <w:sz w:val="22"/>
          <w:szCs w:val="22"/>
          <w:color w:val="auto"/>
        </w:rPr>
        <w:t>the Issuer's Class B Common Stock, par value $0.001 per share into shares of Class A Common Stock, but before</w:t>
      </w:r>
    </w:p>
    <w:p>
      <w:pPr>
        <w:ind w:left="940"/>
        <w:spacing w:after="0"/>
        <w:rPr>
          <w:sz w:val="20"/>
          <w:szCs w:val="20"/>
          <w:color w:val="auto"/>
        </w:rPr>
      </w:pPr>
      <w:r>
        <w:rPr>
          <w:rFonts w:ascii="Times New Roman" w:cs="Times New Roman" w:eastAsia="Times New Roman" w:hAnsi="Times New Roman"/>
          <w:sz w:val="21"/>
          <w:szCs w:val="21"/>
          <w:color w:val="auto"/>
        </w:rPr>
        <w:t>giving effect to the Rights Offering (as defined below) and an increase in the maximum number of shares of Class A</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Common Stock authorized for issuance under the Issuer's Amended and Restated 2021 Incentive Award Plan. Further,</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pursuant to the Exchange Agreement and the Investor Rights Agreement (described below), the Issuer agreed to take</w:t>
      </w:r>
    </w:p>
    <w:p>
      <w:pPr>
        <w:ind w:left="940"/>
        <w:spacing w:after="0" w:line="231" w:lineRule="auto"/>
        <w:rPr>
          <w:sz w:val="20"/>
          <w:szCs w:val="20"/>
          <w:color w:val="auto"/>
        </w:rPr>
      </w:pPr>
      <w:r>
        <w:rPr>
          <w:rFonts w:ascii="Times New Roman" w:cs="Times New Roman" w:eastAsia="Times New Roman" w:hAnsi="Times New Roman"/>
          <w:sz w:val="22"/>
          <w:szCs w:val="22"/>
          <w:color w:val="auto"/>
        </w:rPr>
        <w:t>all commercially reasonable actions as may be necessary to cause upon the Closing its board of directors (the</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"Board") to consist of seven members, including Jennifer Hyman, a director selected by Ms. Hyman and approved by</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the Investor Group, a director designated by Nexus, a director designated by S3 RR, and three directors designated by</w:t>
      </w:r>
    </w:p>
    <w:p>
      <w:pPr>
        <w:ind w:left="940"/>
        <w:spacing w:after="0" w:line="231" w:lineRule="auto"/>
        <w:rPr>
          <w:sz w:val="20"/>
          <w:szCs w:val="20"/>
          <w:color w:val="auto"/>
        </w:rPr>
      </w:pPr>
      <w:r>
        <w:rPr>
          <w:rFonts w:ascii="Times New Roman" w:cs="Times New Roman" w:eastAsia="Times New Roman" w:hAnsi="Times New Roman"/>
          <w:sz w:val="22"/>
          <w:szCs w:val="22"/>
          <w:color w:val="auto"/>
        </w:rPr>
        <w:t>the Board and subject to the approval of the Investor Majority (as defined in the Investor Rights Agreement). The</w:t>
      </w:r>
    </w:p>
    <w:p>
      <w:pPr>
        <w:ind w:left="940"/>
        <w:spacing w:after="0" w:line="231" w:lineRule="auto"/>
        <w:rPr>
          <w:sz w:val="20"/>
          <w:szCs w:val="20"/>
          <w:color w:val="auto"/>
        </w:rPr>
      </w:pPr>
      <w:r>
        <w:rPr>
          <w:rFonts w:ascii="Times New Roman" w:cs="Times New Roman" w:eastAsia="Times New Roman" w:hAnsi="Times New Roman"/>
          <w:sz w:val="22"/>
          <w:szCs w:val="22"/>
          <w:color w:val="auto"/>
        </w:rPr>
        <w:t>Reporting Persons nominated Peter Comisar to serve on the Board pursuant to the terms of the Investor Rights</w:t>
      </w:r>
    </w:p>
    <w:p>
      <w:pPr>
        <w:ind w:left="940"/>
        <w:spacing w:after="0" w:line="231" w:lineRule="auto"/>
        <w:rPr>
          <w:sz w:val="20"/>
          <w:szCs w:val="20"/>
          <w:color w:val="auto"/>
        </w:rPr>
      </w:pPr>
      <w:r>
        <w:rPr>
          <w:rFonts w:ascii="Times New Roman" w:cs="Times New Roman" w:eastAsia="Times New Roman" w:hAnsi="Times New Roman"/>
          <w:sz w:val="22"/>
          <w:szCs w:val="22"/>
          <w:color w:val="auto"/>
        </w:rPr>
        <w:t>Agreement and the Exchange Agreement. On October 28, 2025, Mr. Comisar was appointed to Board. The</w:t>
      </w:r>
    </w:p>
    <w:p>
      <w:pPr>
        <w:ind w:left="940"/>
        <w:spacing w:after="0"/>
        <w:rPr>
          <w:sz w:val="20"/>
          <w:szCs w:val="20"/>
          <w:color w:val="auto"/>
        </w:rPr>
      </w:pPr>
      <w:r>
        <w:rPr>
          <w:rFonts w:ascii="Times New Roman" w:cs="Times New Roman" w:eastAsia="Times New Roman" w:hAnsi="Times New Roman"/>
          <w:sz w:val="21"/>
          <w:szCs w:val="21"/>
          <w:color w:val="auto"/>
        </w:rPr>
        <w:t>transactions contemplated by the Exchange Agreement closed on October 28, 2025. S3 RR received 3,926,279 shares</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of Exchange Stock pursuant to the Debt and Equity Purchase Agreement described below. The foregoing description</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of the Exchange Agreement is qualified in its entirety by reference to the full text thereof, a copy of which is attached</w:t>
      </w:r>
    </w:p>
    <w:p>
      <w:pPr>
        <w:ind w:left="940"/>
        <w:spacing w:after="0" w:line="231" w:lineRule="auto"/>
        <w:rPr>
          <w:sz w:val="20"/>
          <w:szCs w:val="20"/>
          <w:color w:val="auto"/>
        </w:rPr>
      </w:pPr>
      <w:r>
        <w:rPr>
          <w:rFonts w:ascii="Times New Roman" w:cs="Times New Roman" w:eastAsia="Times New Roman" w:hAnsi="Times New Roman"/>
          <w:sz w:val="22"/>
          <w:szCs w:val="22"/>
          <w:color w:val="auto"/>
        </w:rPr>
        <w:t>hereto as Exhibit 99.2 and incorporated herein by reference. New Credit Agreement On October 28, 2025, the</w:t>
      </w:r>
    </w:p>
    <w:p>
      <w:pPr>
        <w:ind w:left="940"/>
        <w:spacing w:after="0" w:line="231" w:lineRule="auto"/>
        <w:rPr>
          <w:sz w:val="20"/>
          <w:szCs w:val="20"/>
          <w:color w:val="auto"/>
        </w:rPr>
      </w:pPr>
      <w:r>
        <w:rPr>
          <w:rFonts w:ascii="Times New Roman" w:cs="Times New Roman" w:eastAsia="Times New Roman" w:hAnsi="Times New Roman"/>
          <w:sz w:val="22"/>
          <w:szCs w:val="22"/>
          <w:color w:val="auto"/>
        </w:rPr>
        <w:t>Investor Group, CHS US Management, and the Issuer entered into the New Credit Agreement, which amended and</w:t>
      </w:r>
    </w:p>
    <w:p>
      <w:pPr>
        <w:ind w:left="940"/>
        <w:spacing w:after="0" w:line="231" w:lineRule="auto"/>
        <w:rPr>
          <w:sz w:val="20"/>
          <w:szCs w:val="20"/>
          <w:color w:val="auto"/>
        </w:rPr>
      </w:pPr>
      <w:r>
        <w:rPr>
          <w:rFonts w:ascii="Times New Roman" w:cs="Times New Roman" w:eastAsia="Times New Roman" w:hAnsi="Times New Roman"/>
          <w:sz w:val="22"/>
          <w:szCs w:val="22"/>
          <w:color w:val="auto"/>
        </w:rPr>
        <w:t>restated the Existing Credit Agreement and provides for $120 million in aggregate principal amount of term loans</w:t>
      </w:r>
    </w:p>
    <w:p>
      <w:pPr>
        <w:ind w:left="940"/>
        <w:spacing w:after="0"/>
        <w:rPr>
          <w:sz w:val="20"/>
          <w:szCs w:val="20"/>
          <w:color w:val="auto"/>
        </w:rPr>
      </w:pPr>
      <w:r>
        <w:rPr>
          <w:rFonts w:ascii="Times New Roman" w:cs="Times New Roman" w:eastAsia="Times New Roman" w:hAnsi="Times New Roman"/>
          <w:sz w:val="21"/>
          <w:szCs w:val="21"/>
          <w:color w:val="auto"/>
        </w:rPr>
        <w:t>comprised of (x) $100 million of Exchange Consideration Term Loans and (y) $20 million of new money term loans</w:t>
      </w:r>
    </w:p>
    <w:p>
      <w:pPr>
        <w:sectPr>
          <w:pgSz w:w="11900" w:h="16838" w:orient="portrait"/>
          <w:cols w:equalWidth="0" w:num="1">
            <w:col w:w="11160"/>
          </w:cols>
          <w:pgMar w:left="360" w:top="193" w:right="379" w:bottom="0" w:gutter="0" w:footer="0" w:header="0"/>
          <w:type w:val="continuous"/>
        </w:sectPr>
      </w:pPr>
    </w:p>
    <w:bookmarkStart w:id="5" w:name="page6"/>
    <w:bookmarkEnd w:id="5"/>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provided by the Investor Group (the "New Money Term Loans"). All such term loans mature on the fourth</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anniversary of the Closing and bear interest, at the Issuer's option, at either (i) a bank reference rate, plus 4.00% or (ii)</w:t>
      </w:r>
    </w:p>
    <w:p>
      <w:pPr>
        <w:spacing w:after="0" w:line="231" w:lineRule="auto"/>
        <w:rPr>
          <w:sz w:val="20"/>
          <w:szCs w:val="20"/>
          <w:color w:val="auto"/>
        </w:rPr>
      </w:pPr>
      <w:r>
        <w:rPr>
          <w:rFonts w:ascii="Times New Roman" w:cs="Times New Roman" w:eastAsia="Times New Roman" w:hAnsi="Times New Roman"/>
          <w:sz w:val="22"/>
          <w:szCs w:val="22"/>
          <w:color w:val="auto"/>
        </w:rPr>
        <w:t>term SOFR plus 5.00%, in each case per annum. The New Credit Agreement also modifies the Existing Credit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Agreement in certain other respects, including by temporarily reducing the minimum liquidity maintenance covenant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from $30 million to $15 million during the period from the date of the Closing until February 20, 2027, which reverts</w:t>
      </w:r>
    </w:p>
    <w:p>
      <w:pPr>
        <w:spacing w:after="0" w:line="231" w:lineRule="auto"/>
        <w:rPr>
          <w:sz w:val="20"/>
          <w:szCs w:val="20"/>
          <w:color w:val="auto"/>
        </w:rPr>
      </w:pPr>
      <w:r>
        <w:rPr>
          <w:rFonts w:ascii="Times New Roman" w:cs="Times New Roman" w:eastAsia="Times New Roman" w:hAnsi="Times New Roman"/>
          <w:sz w:val="22"/>
          <w:szCs w:val="22"/>
          <w:color w:val="auto"/>
        </w:rPr>
        <w:t>thereafter to $30 million. The foregoing description of the New Credit Agreement is qualified in its entirety by</w:t>
      </w:r>
    </w:p>
    <w:p>
      <w:pPr>
        <w:spacing w:after="0" w:line="231" w:lineRule="auto"/>
        <w:rPr>
          <w:sz w:val="20"/>
          <w:szCs w:val="20"/>
          <w:color w:val="auto"/>
        </w:rPr>
      </w:pPr>
      <w:r>
        <w:rPr>
          <w:rFonts w:ascii="Times New Roman" w:cs="Times New Roman" w:eastAsia="Times New Roman" w:hAnsi="Times New Roman"/>
          <w:sz w:val="22"/>
          <w:szCs w:val="22"/>
          <w:color w:val="auto"/>
        </w:rPr>
        <w:t>reference to the full text thereof, a copy of which is attached hereto as Exhibit 99.3 and incorporated herein by</w:t>
      </w:r>
    </w:p>
    <w:p>
      <w:pPr>
        <w:spacing w:after="0" w:line="231" w:lineRule="auto"/>
        <w:rPr>
          <w:sz w:val="20"/>
          <w:szCs w:val="20"/>
          <w:color w:val="auto"/>
        </w:rPr>
      </w:pPr>
      <w:r>
        <w:rPr>
          <w:rFonts w:ascii="Times New Roman" w:cs="Times New Roman" w:eastAsia="Times New Roman" w:hAnsi="Times New Roman"/>
          <w:sz w:val="22"/>
          <w:szCs w:val="22"/>
          <w:color w:val="auto"/>
        </w:rPr>
        <w:t>reference. Debt and Equity Purchase Agreement In connection with the Exchange Agreement, the Investor Group</w:t>
      </w:r>
    </w:p>
    <w:p>
      <w:pPr>
        <w:spacing w:after="0" w:line="230" w:lineRule="auto"/>
        <w:rPr>
          <w:sz w:val="20"/>
          <w:szCs w:val="20"/>
          <w:color w:val="auto"/>
        </w:rPr>
      </w:pPr>
      <w:r>
        <w:rPr>
          <w:rFonts w:ascii="Times New Roman" w:cs="Times New Roman" w:eastAsia="Times New Roman" w:hAnsi="Times New Roman"/>
          <w:sz w:val="22"/>
          <w:szCs w:val="22"/>
          <w:color w:val="auto"/>
        </w:rPr>
        <w:t>entered into a Debt and Equity Purchase Agreement (the "Debt and Equity Purchase Agreement") with the Issuer,</w:t>
      </w:r>
    </w:p>
    <w:p>
      <w:pPr>
        <w:spacing w:after="0" w:line="231" w:lineRule="auto"/>
        <w:rPr>
          <w:sz w:val="20"/>
          <w:szCs w:val="20"/>
          <w:color w:val="auto"/>
        </w:rPr>
      </w:pPr>
      <w:r>
        <w:rPr>
          <w:rFonts w:ascii="Times New Roman" w:cs="Times New Roman" w:eastAsia="Times New Roman" w:hAnsi="Times New Roman"/>
          <w:sz w:val="22"/>
          <w:szCs w:val="22"/>
          <w:color w:val="auto"/>
        </w:rPr>
        <w:t>pursuant to which each of S3 RR and Nexus agreed to enter into the New Credit Agreement, to provide its share of</w:t>
      </w:r>
    </w:p>
    <w:p>
      <w:pPr>
        <w:spacing w:after="0"/>
        <w:rPr>
          <w:sz w:val="20"/>
          <w:szCs w:val="20"/>
          <w:color w:val="auto"/>
        </w:rPr>
      </w:pPr>
      <w:r>
        <w:rPr>
          <w:rFonts w:ascii="Times New Roman" w:cs="Times New Roman" w:eastAsia="Times New Roman" w:hAnsi="Times New Roman"/>
          <w:sz w:val="21"/>
          <w:szCs w:val="21"/>
          <w:color w:val="auto"/>
        </w:rPr>
        <w:t>the New Money Term Loans, and to purchase (i) $15 million of the Exchange Consideration Term Loans from CHS</w:t>
      </w:r>
    </w:p>
    <w:p>
      <w:pPr>
        <w:spacing w:after="0" w:line="231" w:lineRule="auto"/>
        <w:rPr>
          <w:sz w:val="20"/>
          <w:szCs w:val="20"/>
          <w:color w:val="auto"/>
        </w:rPr>
      </w:pPr>
      <w:r>
        <w:rPr>
          <w:rFonts w:ascii="Times New Roman" w:cs="Times New Roman" w:eastAsia="Times New Roman" w:hAnsi="Times New Roman"/>
          <w:sz w:val="22"/>
          <w:szCs w:val="22"/>
          <w:color w:val="auto"/>
        </w:rPr>
        <w:t>US Investments and (ii) 15% of the Exchange Stock from CHS US Investments for an aggregate purchase price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 million. The transactions contemplated by the Debt and Equity Purchase Agreement closed on October 28, 2025,</w:t>
      </w:r>
    </w:p>
    <w:p>
      <w:pPr>
        <w:spacing w:after="0" w:line="231" w:lineRule="auto"/>
        <w:rPr>
          <w:sz w:val="20"/>
          <w:szCs w:val="20"/>
          <w:color w:val="auto"/>
        </w:rPr>
      </w:pPr>
      <w:r>
        <w:rPr>
          <w:rFonts w:ascii="Times New Roman" w:cs="Times New Roman" w:eastAsia="Times New Roman" w:hAnsi="Times New Roman"/>
          <w:sz w:val="22"/>
          <w:szCs w:val="22"/>
          <w:color w:val="auto"/>
        </w:rPr>
        <w:t>and S3 RR purchased an aggregate of 3,926,279 shares of Class A Common Stock from CHS US Investments.</w:t>
      </w:r>
    </w:p>
    <w:p>
      <w:pPr>
        <w:spacing w:after="0" w:line="231" w:lineRule="auto"/>
        <w:rPr>
          <w:sz w:val="20"/>
          <w:szCs w:val="20"/>
          <w:color w:val="auto"/>
        </w:rPr>
      </w:pPr>
      <w:r>
        <w:rPr>
          <w:rFonts w:ascii="Times New Roman" w:cs="Times New Roman" w:eastAsia="Times New Roman" w:hAnsi="Times New Roman"/>
          <w:sz w:val="22"/>
          <w:szCs w:val="22"/>
          <w:color w:val="auto"/>
        </w:rPr>
        <w:t>Investor Rights Agreement In connection with the Exchange Agreement, on August 20, 2025, the Investor Group</w:t>
      </w:r>
    </w:p>
    <w:p>
      <w:pPr>
        <w:spacing w:after="0" w:line="231" w:lineRule="auto"/>
        <w:rPr>
          <w:sz w:val="20"/>
          <w:szCs w:val="20"/>
          <w:color w:val="auto"/>
        </w:rPr>
      </w:pPr>
      <w:r>
        <w:rPr>
          <w:rFonts w:ascii="Times New Roman" w:cs="Times New Roman" w:eastAsia="Times New Roman" w:hAnsi="Times New Roman"/>
          <w:sz w:val="22"/>
          <w:szCs w:val="22"/>
          <w:color w:val="auto"/>
        </w:rPr>
        <w:t>entered into an investor rights agreement (the "Investor Rights Agreement") with the Issuer and certain entities</w:t>
      </w:r>
    </w:p>
    <w:p>
      <w:pPr>
        <w:spacing w:after="0" w:line="230" w:lineRule="auto"/>
        <w:rPr>
          <w:sz w:val="20"/>
          <w:szCs w:val="20"/>
          <w:color w:val="auto"/>
        </w:rPr>
      </w:pPr>
      <w:r>
        <w:rPr>
          <w:rFonts w:ascii="Times New Roman" w:cs="Times New Roman" w:eastAsia="Times New Roman" w:hAnsi="Times New Roman"/>
          <w:sz w:val="22"/>
          <w:szCs w:val="22"/>
          <w:color w:val="auto"/>
        </w:rPr>
        <w:t>affiliated with Jennifer Hyman, which such Investor Rights Agreement took effect at the Closing. Pursuant to the</w:t>
      </w:r>
    </w:p>
    <w:p>
      <w:pPr>
        <w:spacing w:after="0" w:line="231" w:lineRule="auto"/>
        <w:rPr>
          <w:sz w:val="20"/>
          <w:szCs w:val="20"/>
          <w:color w:val="auto"/>
        </w:rPr>
      </w:pPr>
      <w:r>
        <w:rPr>
          <w:rFonts w:ascii="Times New Roman" w:cs="Times New Roman" w:eastAsia="Times New Roman" w:hAnsi="Times New Roman"/>
          <w:sz w:val="22"/>
          <w:szCs w:val="22"/>
          <w:color w:val="auto"/>
        </w:rPr>
        <w:t>Investor Rights Agreement, the Issuer is required to file with the Securities and Exchange Commission within 20</w:t>
      </w:r>
    </w:p>
    <w:p>
      <w:pPr>
        <w:spacing w:after="0"/>
        <w:rPr>
          <w:sz w:val="20"/>
          <w:szCs w:val="20"/>
          <w:color w:val="auto"/>
        </w:rPr>
      </w:pPr>
      <w:r>
        <w:rPr>
          <w:rFonts w:ascii="Times New Roman" w:cs="Times New Roman" w:eastAsia="Times New Roman" w:hAnsi="Times New Roman"/>
          <w:sz w:val="21"/>
          <w:szCs w:val="21"/>
          <w:color w:val="auto"/>
        </w:rPr>
        <w:t>days of the Closing a shelf registration statement registering the resale of Class A Common Stock held by the Investor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Group and Ms. Hyman, and grants certain demand, piggyback and shelf registration rights to the Investor Group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Ms. Hyman. The Investor Rights Agreement also provides for certain board designation rights of the Investor Group</w:t>
      </w:r>
    </w:p>
    <w:p>
      <w:pPr>
        <w:spacing w:after="0" w:line="231" w:lineRule="auto"/>
        <w:rPr>
          <w:sz w:val="20"/>
          <w:szCs w:val="20"/>
          <w:color w:val="auto"/>
        </w:rPr>
      </w:pPr>
      <w:r>
        <w:rPr>
          <w:rFonts w:ascii="Times New Roman" w:cs="Times New Roman" w:eastAsia="Times New Roman" w:hAnsi="Times New Roman"/>
          <w:sz w:val="22"/>
          <w:szCs w:val="22"/>
          <w:color w:val="auto"/>
        </w:rPr>
        <w:t>and Ms. Hyman following the Closing. Pursuant to the Investor Rights Agreement, for so long as they meet certain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minimum ownership thresholds, each of S3 RR and Nexus will be entitled to designate one director to the Board, and</w:t>
      </w:r>
    </w:p>
    <w:p>
      <w:pPr>
        <w:spacing w:after="0" w:line="231" w:lineRule="auto"/>
        <w:rPr>
          <w:sz w:val="20"/>
          <w:szCs w:val="20"/>
          <w:color w:val="auto"/>
        </w:rPr>
      </w:pPr>
      <w:r>
        <w:rPr>
          <w:rFonts w:ascii="Times New Roman" w:cs="Times New Roman" w:eastAsia="Times New Roman" w:hAnsi="Times New Roman"/>
          <w:sz w:val="22"/>
          <w:szCs w:val="22"/>
          <w:color w:val="auto"/>
        </w:rPr>
        <w:t>the Board will designate three directors to the Board, subject to the approval of the Investor Majority and after</w:t>
      </w:r>
    </w:p>
    <w:p>
      <w:pPr>
        <w:spacing w:after="0" w:line="231" w:lineRule="auto"/>
        <w:rPr>
          <w:sz w:val="20"/>
          <w:szCs w:val="20"/>
          <w:color w:val="auto"/>
        </w:rPr>
      </w:pPr>
      <w:r>
        <w:rPr>
          <w:rFonts w:ascii="Times New Roman" w:cs="Times New Roman" w:eastAsia="Times New Roman" w:hAnsi="Times New Roman"/>
          <w:sz w:val="22"/>
          <w:szCs w:val="22"/>
          <w:color w:val="auto"/>
        </w:rPr>
        <w:t>considering in good faith Ms. Hyman's views in connection therewith. In addition, the Investor Rights Agreement</w:t>
      </w:r>
    </w:p>
    <w:p>
      <w:pPr>
        <w:spacing w:after="0" w:line="231" w:lineRule="auto"/>
        <w:rPr>
          <w:sz w:val="20"/>
          <w:szCs w:val="20"/>
          <w:color w:val="auto"/>
        </w:rPr>
      </w:pPr>
      <w:r>
        <w:rPr>
          <w:rFonts w:ascii="Times New Roman" w:cs="Times New Roman" w:eastAsia="Times New Roman" w:hAnsi="Times New Roman"/>
          <w:sz w:val="22"/>
          <w:szCs w:val="22"/>
          <w:color w:val="auto"/>
        </w:rPr>
        <w:t>provides that, so long as Ms. Hyman serves as Chief Executive Officer of the Issuer, she will be designated as a</w:t>
      </w:r>
    </w:p>
    <w:p>
      <w:pPr>
        <w:spacing w:after="0" w:line="230" w:lineRule="auto"/>
        <w:rPr>
          <w:sz w:val="20"/>
          <w:szCs w:val="20"/>
          <w:color w:val="auto"/>
        </w:rPr>
      </w:pPr>
      <w:r>
        <w:rPr>
          <w:rFonts w:ascii="Times New Roman" w:cs="Times New Roman" w:eastAsia="Times New Roman" w:hAnsi="Times New Roman"/>
          <w:sz w:val="22"/>
          <w:szCs w:val="22"/>
          <w:color w:val="auto"/>
        </w:rPr>
        <w:t>member of the Board, and, for so long as she continues to own a specified minimum number of Class A Common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Stock, Ms. Hyman will be entitled to appoint one additional director to the Board, subject to the reasonable approval</w:t>
      </w:r>
    </w:p>
    <w:p>
      <w:pPr>
        <w:spacing w:after="0" w:line="231" w:lineRule="auto"/>
        <w:rPr>
          <w:sz w:val="20"/>
          <w:szCs w:val="20"/>
          <w:color w:val="auto"/>
        </w:rPr>
      </w:pPr>
      <w:r>
        <w:rPr>
          <w:rFonts w:ascii="Times New Roman" w:cs="Times New Roman" w:eastAsia="Times New Roman" w:hAnsi="Times New Roman"/>
          <w:sz w:val="22"/>
          <w:szCs w:val="22"/>
          <w:color w:val="auto"/>
        </w:rPr>
        <w:t>of the Investor Majority. Subject to certain minimum ownership thresholds, each of Ms. Hyman, Nexus and S3 RR</w:t>
      </w:r>
    </w:p>
    <w:p>
      <w:pPr>
        <w:spacing w:after="0" w:line="231" w:lineRule="auto"/>
        <w:rPr>
          <w:sz w:val="20"/>
          <w:szCs w:val="20"/>
          <w:color w:val="auto"/>
        </w:rPr>
      </w:pPr>
      <w:r>
        <w:rPr>
          <w:rFonts w:ascii="Times New Roman" w:cs="Times New Roman" w:eastAsia="Times New Roman" w:hAnsi="Times New Roman"/>
          <w:sz w:val="22"/>
          <w:szCs w:val="22"/>
          <w:color w:val="auto"/>
        </w:rPr>
        <w:t>are also entitled to appoint a non-voting Board observer, and CHS US Investments is entitled to appoint two non-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voting Board observers; provided, that (i) each of S3 RR and Nexus have the right to designate one Board observer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total pursuant to the Investor Rights Agreement and the New Credit Agreement and (ii) CHS US Investments has the</w:t>
      </w:r>
    </w:p>
    <w:p>
      <w:pPr>
        <w:spacing w:after="0" w:line="231" w:lineRule="auto"/>
        <w:rPr>
          <w:sz w:val="20"/>
          <w:szCs w:val="20"/>
          <w:color w:val="auto"/>
        </w:rPr>
      </w:pPr>
      <w:r>
        <w:rPr>
          <w:rFonts w:ascii="Times New Roman" w:cs="Times New Roman" w:eastAsia="Times New Roman" w:hAnsi="Times New Roman"/>
          <w:sz w:val="22"/>
          <w:szCs w:val="22"/>
          <w:color w:val="auto"/>
        </w:rPr>
        <w:t>right to designate two Board observers in total pursuant to the Investor Rights Agreement and the New Credit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Agreement. The foregoing description of the Investor Rights Agreement is qualified in its entirety by reference to the</w:t>
      </w:r>
    </w:p>
    <w:p>
      <w:pPr>
        <w:spacing w:after="0" w:line="231" w:lineRule="auto"/>
        <w:rPr>
          <w:sz w:val="20"/>
          <w:szCs w:val="20"/>
          <w:color w:val="auto"/>
        </w:rPr>
      </w:pPr>
      <w:r>
        <w:rPr>
          <w:rFonts w:ascii="Times New Roman" w:cs="Times New Roman" w:eastAsia="Times New Roman" w:hAnsi="Times New Roman"/>
          <w:sz w:val="22"/>
          <w:szCs w:val="22"/>
          <w:color w:val="auto"/>
        </w:rPr>
        <w:t>full text thereof, a copy of which is attached hereto as Exhibit 99.4 and incorporated herein by reference. Rights</w:t>
      </w:r>
    </w:p>
    <w:p>
      <w:pPr>
        <w:spacing w:after="0" w:line="231" w:lineRule="auto"/>
        <w:rPr>
          <w:sz w:val="20"/>
          <w:szCs w:val="20"/>
          <w:color w:val="auto"/>
        </w:rPr>
      </w:pPr>
      <w:r>
        <w:rPr>
          <w:rFonts w:ascii="Times New Roman" w:cs="Times New Roman" w:eastAsia="Times New Roman" w:hAnsi="Times New Roman"/>
          <w:sz w:val="22"/>
          <w:szCs w:val="22"/>
          <w:color w:val="auto"/>
        </w:rPr>
        <w:t>Offering Backstop Agreement Pursuant to the Exchange Agreement, the Issuer conducted a $12,500,000 rights</w:t>
      </w:r>
    </w:p>
    <w:p>
      <w:pPr>
        <w:spacing w:after="0" w:line="231" w:lineRule="auto"/>
        <w:rPr>
          <w:sz w:val="20"/>
          <w:szCs w:val="20"/>
          <w:color w:val="auto"/>
        </w:rPr>
      </w:pPr>
      <w:r>
        <w:rPr>
          <w:rFonts w:ascii="Times New Roman" w:cs="Times New Roman" w:eastAsia="Times New Roman" w:hAnsi="Times New Roman"/>
          <w:sz w:val="22"/>
          <w:szCs w:val="22"/>
          <w:color w:val="auto"/>
        </w:rPr>
        <w:t>offering (the "Rights Offering") which closed on October 21, 2025. In connection with the Rights Offering, the</w:t>
      </w:r>
    </w:p>
    <w:p>
      <w:pPr>
        <w:spacing w:after="0" w:line="230" w:lineRule="auto"/>
        <w:rPr>
          <w:sz w:val="20"/>
          <w:szCs w:val="20"/>
          <w:color w:val="auto"/>
        </w:rPr>
      </w:pPr>
      <w:r>
        <w:rPr>
          <w:rFonts w:ascii="Times New Roman" w:cs="Times New Roman" w:eastAsia="Times New Roman" w:hAnsi="Times New Roman"/>
          <w:sz w:val="22"/>
          <w:szCs w:val="22"/>
          <w:color w:val="auto"/>
        </w:rPr>
        <w:t>Investor Group entered into the Rights Offering Backstop Agreement, dated August 20, 2025 (the "Rights Offering</w:t>
      </w:r>
    </w:p>
    <w:p>
      <w:pPr>
        <w:spacing w:after="0" w:line="231" w:lineRule="auto"/>
        <w:rPr>
          <w:sz w:val="20"/>
          <w:szCs w:val="20"/>
          <w:color w:val="auto"/>
        </w:rPr>
      </w:pPr>
      <w:r>
        <w:rPr>
          <w:rFonts w:ascii="Times New Roman" w:cs="Times New Roman" w:eastAsia="Times New Roman" w:hAnsi="Times New Roman"/>
          <w:sz w:val="22"/>
          <w:szCs w:val="22"/>
          <w:color w:val="auto"/>
        </w:rPr>
        <w:t>Backstop Agreement"), pursuant to which the Investor Group agreed to purchase from the Issuer, at a price of $4.08</w:t>
      </w:r>
    </w:p>
    <w:p>
      <w:pPr>
        <w:spacing w:after="0"/>
        <w:rPr>
          <w:sz w:val="20"/>
          <w:szCs w:val="20"/>
          <w:color w:val="auto"/>
        </w:rPr>
      </w:pPr>
      <w:r>
        <w:rPr>
          <w:rFonts w:ascii="Times New Roman" w:cs="Times New Roman" w:eastAsia="Times New Roman" w:hAnsi="Times New Roman"/>
          <w:sz w:val="21"/>
          <w:szCs w:val="21"/>
          <w:color w:val="auto"/>
        </w:rPr>
        <w:t>per share, all unsubscribed shares of Class A Common Stock to be issued in connection with the Rights Offering, 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terms and subject to the conditions set forth in the Rights Offering Backstop Agreement. On October 23, 2025,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 delivered to S3 RR a subscription notice with respect to its portion of the unsubscribed shares from the Rights</w:t>
      </w:r>
    </w:p>
    <w:p>
      <w:pPr>
        <w:spacing w:after="0" w:line="231" w:lineRule="auto"/>
        <w:rPr>
          <w:sz w:val="20"/>
          <w:szCs w:val="20"/>
          <w:color w:val="auto"/>
        </w:rPr>
      </w:pPr>
      <w:r>
        <w:rPr>
          <w:rFonts w:ascii="Times New Roman" w:cs="Times New Roman" w:eastAsia="Times New Roman" w:hAnsi="Times New Roman"/>
          <w:sz w:val="22"/>
          <w:szCs w:val="22"/>
          <w:color w:val="auto"/>
        </w:rPr>
        <w:t>Offering. As a result of the subscription notice, and pursuant to the Rights Offering Backstop Agreement, S3 RR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purchased 348,115 shares of Class A Common Stock at a purchase price of $4.08 per share. The foregoing description</w:t>
      </w:r>
    </w:p>
    <w:p>
      <w:pPr>
        <w:spacing w:after="0" w:line="231" w:lineRule="auto"/>
        <w:rPr>
          <w:sz w:val="20"/>
          <w:szCs w:val="20"/>
          <w:color w:val="auto"/>
        </w:rPr>
      </w:pPr>
      <w:r>
        <w:rPr>
          <w:rFonts w:ascii="Times New Roman" w:cs="Times New Roman" w:eastAsia="Times New Roman" w:hAnsi="Times New Roman"/>
          <w:sz w:val="22"/>
          <w:szCs w:val="22"/>
          <w:color w:val="auto"/>
        </w:rPr>
        <w:t>of the Investor Rights Agreement is qualified in its entirety by reference to the full text thereof, a copy of which is</w:t>
      </w:r>
    </w:p>
    <w:p>
      <w:pPr>
        <w:spacing w:after="0" w:line="231" w:lineRule="auto"/>
        <w:rPr>
          <w:sz w:val="20"/>
          <w:szCs w:val="20"/>
          <w:color w:val="auto"/>
        </w:rPr>
      </w:pPr>
      <w:r>
        <w:rPr>
          <w:rFonts w:ascii="Times New Roman" w:cs="Times New Roman" w:eastAsia="Times New Roman" w:hAnsi="Times New Roman"/>
          <w:sz w:val="22"/>
          <w:szCs w:val="22"/>
          <w:color w:val="auto"/>
        </w:rPr>
        <w:t>attached hereto as Exhibit 99.5 and incorporated herein by reference. General The Reporting Persons acquired the</w:t>
      </w:r>
    </w:p>
    <w:p>
      <w:pPr>
        <w:spacing w:after="0" w:line="231" w:lineRule="auto"/>
        <w:rPr>
          <w:sz w:val="20"/>
          <w:szCs w:val="20"/>
          <w:color w:val="auto"/>
        </w:rPr>
      </w:pPr>
      <w:r>
        <w:rPr>
          <w:rFonts w:ascii="Times New Roman" w:cs="Times New Roman" w:eastAsia="Times New Roman" w:hAnsi="Times New Roman"/>
          <w:sz w:val="22"/>
          <w:szCs w:val="22"/>
          <w:color w:val="auto"/>
        </w:rPr>
        <w:t>securities described in this Schedule 13D for investment purposes and they intend to review their investments in the</w:t>
      </w:r>
    </w:p>
    <w:p>
      <w:pPr>
        <w:spacing w:after="0" w:line="230" w:lineRule="auto"/>
        <w:rPr>
          <w:sz w:val="20"/>
          <w:szCs w:val="20"/>
          <w:color w:val="auto"/>
        </w:rPr>
      </w:pPr>
      <w:r>
        <w:rPr>
          <w:rFonts w:ascii="Times New Roman" w:cs="Times New Roman" w:eastAsia="Times New Roman" w:hAnsi="Times New Roman"/>
          <w:sz w:val="22"/>
          <w:szCs w:val="22"/>
          <w:color w:val="auto"/>
        </w:rPr>
        <w:t>Issuer on a continuing basis. Any actions the Reporting Persons might undertake will be dependent upon the</w:t>
      </w:r>
    </w:p>
    <w:p>
      <w:pPr>
        <w:spacing w:after="0" w:line="231" w:lineRule="auto"/>
        <w:rPr>
          <w:sz w:val="20"/>
          <w:szCs w:val="20"/>
          <w:color w:val="auto"/>
        </w:rPr>
      </w:pPr>
      <w:r>
        <w:rPr>
          <w:rFonts w:ascii="Times New Roman" w:cs="Times New Roman" w:eastAsia="Times New Roman" w:hAnsi="Times New Roman"/>
          <w:sz w:val="22"/>
          <w:szCs w:val="22"/>
          <w:color w:val="auto"/>
        </w:rPr>
        <w:t>Reporting Persons' review of numerous factors, including, but not limited to: an ongoing evaluation of the Issuer's</w:t>
      </w:r>
    </w:p>
    <w:p>
      <w:pPr>
        <w:spacing w:after="0"/>
        <w:rPr>
          <w:sz w:val="20"/>
          <w:szCs w:val="20"/>
          <w:color w:val="auto"/>
        </w:rPr>
      </w:pPr>
      <w:r>
        <w:rPr>
          <w:rFonts w:ascii="Times New Roman" w:cs="Times New Roman" w:eastAsia="Times New Roman" w:hAnsi="Times New Roman"/>
          <w:sz w:val="21"/>
          <w:szCs w:val="21"/>
          <w:color w:val="auto"/>
        </w:rPr>
        <w:t>business, financial condition, operations and prospects; price levels of the Issuer's securities; general market, industry</w:t>
      </w:r>
    </w:p>
    <w:p>
      <w:pPr>
        <w:spacing w:after="0" w:line="231" w:lineRule="auto"/>
        <w:rPr>
          <w:sz w:val="20"/>
          <w:szCs w:val="20"/>
          <w:color w:val="auto"/>
        </w:rPr>
      </w:pPr>
      <w:r>
        <w:rPr>
          <w:rFonts w:ascii="Times New Roman" w:cs="Times New Roman" w:eastAsia="Times New Roman" w:hAnsi="Times New Roman"/>
          <w:sz w:val="22"/>
          <w:szCs w:val="22"/>
          <w:color w:val="auto"/>
        </w:rPr>
        <w:t>and economic conditions; the relative attractiveness of alternative business and investment opportunities; and other</w:t>
      </w:r>
    </w:p>
    <w:p>
      <w:pPr>
        <w:spacing w:after="0" w:line="231" w:lineRule="auto"/>
        <w:rPr>
          <w:sz w:val="20"/>
          <w:szCs w:val="20"/>
          <w:color w:val="auto"/>
        </w:rPr>
      </w:pPr>
      <w:r>
        <w:rPr>
          <w:rFonts w:ascii="Times New Roman" w:cs="Times New Roman" w:eastAsia="Times New Roman" w:hAnsi="Times New Roman"/>
          <w:sz w:val="22"/>
          <w:szCs w:val="22"/>
          <w:color w:val="auto"/>
        </w:rPr>
        <w:t>future developments. The Reporting Persons may acquire additional securities of the Issuer, or retain or sell all or a</w:t>
      </w:r>
    </w:p>
    <w:p>
      <w:pPr>
        <w:spacing w:after="0" w:line="231" w:lineRule="auto"/>
        <w:rPr>
          <w:sz w:val="20"/>
          <w:szCs w:val="20"/>
          <w:color w:val="auto"/>
        </w:rPr>
      </w:pPr>
      <w:r>
        <w:rPr>
          <w:rFonts w:ascii="Times New Roman" w:cs="Times New Roman" w:eastAsia="Times New Roman" w:hAnsi="Times New Roman"/>
          <w:sz w:val="22"/>
          <w:szCs w:val="22"/>
          <w:color w:val="auto"/>
        </w:rPr>
        <w:t>portion of the securities then held, in the open market or in privately negotiated transactions. In addition, the</w:t>
      </w:r>
    </w:p>
    <w:p>
      <w:pPr>
        <w:spacing w:after="0" w:line="230" w:lineRule="auto"/>
        <w:rPr>
          <w:sz w:val="20"/>
          <w:szCs w:val="20"/>
          <w:color w:val="auto"/>
        </w:rPr>
      </w:pPr>
      <w:r>
        <w:rPr>
          <w:rFonts w:ascii="Times New Roman" w:cs="Times New Roman" w:eastAsia="Times New Roman" w:hAnsi="Times New Roman"/>
          <w:sz w:val="22"/>
          <w:szCs w:val="22"/>
          <w:color w:val="auto"/>
        </w:rPr>
        <w:t>Reporting Persons may engage in discussions with management, the Board, and other securityholders of the Issuer</w:t>
      </w:r>
    </w:p>
    <w:p>
      <w:pPr>
        <w:spacing w:after="0" w:line="231" w:lineRule="auto"/>
        <w:rPr>
          <w:sz w:val="20"/>
          <w:szCs w:val="20"/>
          <w:color w:val="auto"/>
        </w:rPr>
      </w:pPr>
      <w:r>
        <w:rPr>
          <w:rFonts w:ascii="Times New Roman" w:cs="Times New Roman" w:eastAsia="Times New Roman" w:hAnsi="Times New Roman"/>
          <w:sz w:val="22"/>
          <w:szCs w:val="22"/>
          <w:color w:val="auto"/>
        </w:rPr>
        <w:t>and other relevant parties or encourage, cause or seek to cause the Issuer or such persons to consider or explore</w:t>
      </w:r>
    </w:p>
    <w:p>
      <w:pPr>
        <w:spacing w:after="0"/>
        <w:rPr>
          <w:sz w:val="20"/>
          <w:szCs w:val="20"/>
          <w:color w:val="auto"/>
        </w:rPr>
      </w:pPr>
      <w:r>
        <w:rPr>
          <w:rFonts w:ascii="Times New Roman" w:cs="Times New Roman" w:eastAsia="Times New Roman" w:hAnsi="Times New Roman"/>
          <w:sz w:val="21"/>
          <w:szCs w:val="21"/>
          <w:color w:val="auto"/>
        </w:rPr>
        <w:t>extraordinary corporate transactions, such as: a merger, reorganization or take-private transaction that could result in</w:t>
      </w:r>
    </w:p>
    <w:p>
      <w:pPr>
        <w:spacing w:after="0" w:line="231" w:lineRule="auto"/>
        <w:rPr>
          <w:sz w:val="20"/>
          <w:szCs w:val="20"/>
          <w:color w:val="auto"/>
        </w:rPr>
      </w:pPr>
      <w:r>
        <w:rPr>
          <w:rFonts w:ascii="Times New Roman" w:cs="Times New Roman" w:eastAsia="Times New Roman" w:hAnsi="Times New Roman"/>
          <w:sz w:val="22"/>
          <w:szCs w:val="22"/>
          <w:color w:val="auto"/>
        </w:rPr>
        <w:t>the de-listing or de-registration of the Class A Common Stock; security offerings and/or stock repurchases by the</w:t>
      </w:r>
    </w:p>
    <w:p>
      <w:pPr>
        <w:spacing w:after="0" w:line="231" w:lineRule="auto"/>
        <w:rPr>
          <w:sz w:val="20"/>
          <w:szCs w:val="20"/>
          <w:color w:val="auto"/>
        </w:rPr>
      </w:pPr>
      <w:r>
        <w:rPr>
          <w:rFonts w:ascii="Times New Roman" w:cs="Times New Roman" w:eastAsia="Times New Roman" w:hAnsi="Times New Roman"/>
          <w:sz w:val="22"/>
          <w:szCs w:val="22"/>
          <w:color w:val="auto"/>
        </w:rPr>
        <w:t>Issuer; sales or acquisitions of assets or businesses; changes to the capitalization or dividend policy of the Issuer; or</w:t>
      </w:r>
    </w:p>
    <w:p>
      <w:pPr>
        <w:spacing w:after="0" w:line="231" w:lineRule="auto"/>
        <w:rPr>
          <w:sz w:val="20"/>
          <w:szCs w:val="20"/>
          <w:color w:val="auto"/>
        </w:rPr>
      </w:pPr>
      <w:r>
        <w:rPr>
          <w:rFonts w:ascii="Times New Roman" w:cs="Times New Roman" w:eastAsia="Times New Roman" w:hAnsi="Times New Roman"/>
          <w:sz w:val="22"/>
          <w:szCs w:val="22"/>
          <w:color w:val="auto"/>
        </w:rPr>
        <w:t>other material changes to the Issuer's business or corporate structure, including changes in management or the</w:t>
      </w:r>
    </w:p>
    <w:p>
      <w:pPr>
        <w:spacing w:after="0" w:line="230" w:lineRule="auto"/>
        <w:rPr>
          <w:sz w:val="20"/>
          <w:szCs w:val="20"/>
          <w:color w:val="auto"/>
        </w:rPr>
      </w:pPr>
      <w:r>
        <w:rPr>
          <w:rFonts w:ascii="Times New Roman" w:cs="Times New Roman" w:eastAsia="Times New Roman" w:hAnsi="Times New Roman"/>
          <w:sz w:val="22"/>
          <w:szCs w:val="22"/>
          <w:color w:val="auto"/>
        </w:rPr>
        <w:t>composition of the Board. To facilitate their consideration of such matters, the Reporting Persons may retain</w:t>
      </w:r>
    </w:p>
    <w:p>
      <w:pPr>
        <w:spacing w:after="0" w:line="231" w:lineRule="auto"/>
        <w:rPr>
          <w:sz w:val="20"/>
          <w:szCs w:val="20"/>
          <w:color w:val="auto"/>
        </w:rPr>
      </w:pPr>
      <w:r>
        <w:rPr>
          <w:rFonts w:ascii="Times New Roman" w:cs="Times New Roman" w:eastAsia="Times New Roman" w:hAnsi="Times New Roman"/>
          <w:sz w:val="22"/>
          <w:szCs w:val="22"/>
          <w:color w:val="auto"/>
        </w:rPr>
        <w:t>consultants and advisors and may enter into discussions with potential sources of capital and other third parties. The</w:t>
      </w:r>
    </w:p>
    <w:p>
      <w:pPr>
        <w:spacing w:after="0"/>
        <w:rPr>
          <w:sz w:val="20"/>
          <w:szCs w:val="20"/>
          <w:color w:val="auto"/>
        </w:rPr>
      </w:pPr>
      <w:r>
        <w:rPr>
          <w:rFonts w:ascii="Times New Roman" w:cs="Times New Roman" w:eastAsia="Times New Roman" w:hAnsi="Times New Roman"/>
          <w:sz w:val="21"/>
          <w:szCs w:val="21"/>
          <w:color w:val="auto"/>
        </w:rPr>
        <w:t>Reporting Persons may exchange information with any such persons pursuant to appropriate confidentiality or similar</w:t>
      </w:r>
    </w:p>
    <w:p>
      <w:pPr>
        <w:spacing w:after="0" w:line="231" w:lineRule="auto"/>
        <w:rPr>
          <w:sz w:val="20"/>
          <w:szCs w:val="20"/>
          <w:color w:val="auto"/>
        </w:rPr>
      </w:pPr>
      <w:r>
        <w:rPr>
          <w:rFonts w:ascii="Times New Roman" w:cs="Times New Roman" w:eastAsia="Times New Roman" w:hAnsi="Times New Roman"/>
          <w:sz w:val="22"/>
          <w:szCs w:val="22"/>
          <w:color w:val="auto"/>
        </w:rPr>
        <w:t>agreements. The Reporting Persons will likely take some or all of the foregoing steps at preliminary stages in their</w:t>
      </w:r>
    </w:p>
    <w:p>
      <w:pPr>
        <w:spacing w:after="0" w:line="231" w:lineRule="auto"/>
        <w:rPr>
          <w:sz w:val="20"/>
          <w:szCs w:val="20"/>
          <w:color w:val="auto"/>
        </w:rPr>
      </w:pPr>
      <w:r>
        <w:rPr>
          <w:rFonts w:ascii="Times New Roman" w:cs="Times New Roman" w:eastAsia="Times New Roman" w:hAnsi="Times New Roman"/>
          <w:sz w:val="22"/>
          <w:szCs w:val="22"/>
          <w:color w:val="auto"/>
        </w:rPr>
        <w:t>consideration of various possible courses of action before forming any intention to pursue any particular plan or</w:t>
      </w:r>
    </w:p>
    <w:p>
      <w:pPr>
        <w:spacing w:after="0" w:line="231" w:lineRule="auto"/>
        <w:rPr>
          <w:sz w:val="20"/>
          <w:szCs w:val="20"/>
          <w:color w:val="auto"/>
        </w:rPr>
      </w:pPr>
      <w:r>
        <w:rPr>
          <w:rFonts w:ascii="Times New Roman" w:cs="Times New Roman" w:eastAsia="Times New Roman" w:hAnsi="Times New Roman"/>
          <w:sz w:val="22"/>
          <w:szCs w:val="22"/>
          <w:color w:val="auto"/>
        </w:rPr>
        <w:t>direction. Other than as described above, the Reporting Persons do not currently have any plans or proposals that</w:t>
      </w:r>
    </w:p>
    <w:p>
      <w:pPr>
        <w:spacing w:after="0" w:line="230" w:lineRule="auto"/>
        <w:rPr>
          <w:sz w:val="20"/>
          <w:szCs w:val="20"/>
          <w:color w:val="auto"/>
        </w:rPr>
      </w:pPr>
      <w:r>
        <w:rPr>
          <w:rFonts w:ascii="Times New Roman" w:cs="Times New Roman" w:eastAsia="Times New Roman" w:hAnsi="Times New Roman"/>
          <w:sz w:val="22"/>
          <w:szCs w:val="22"/>
          <w:color w:val="auto"/>
        </w:rPr>
        <w:t>relate to, or would result in, any of the matters listed in Items 4(a)-(j) of Schedule 13D, although, depending on the</w:t>
      </w:r>
    </w:p>
    <w:p>
      <w:pPr>
        <w:spacing w:after="0" w:line="231" w:lineRule="auto"/>
        <w:rPr>
          <w:sz w:val="20"/>
          <w:szCs w:val="20"/>
          <w:color w:val="auto"/>
        </w:rPr>
      </w:pPr>
      <w:r>
        <w:rPr>
          <w:rFonts w:ascii="Times New Roman" w:cs="Times New Roman" w:eastAsia="Times New Roman" w:hAnsi="Times New Roman"/>
          <w:sz w:val="22"/>
          <w:szCs w:val="22"/>
          <w:color w:val="auto"/>
        </w:rPr>
        <w:t>factors discussed herein, the Reporting Persons may change their purpose or formulate different plans or proposals</w:t>
      </w:r>
    </w:p>
    <w:p>
      <w:pPr>
        <w:spacing w:after="0"/>
        <w:rPr>
          <w:sz w:val="20"/>
          <w:szCs w:val="20"/>
          <w:color w:val="auto"/>
        </w:rPr>
      </w:pPr>
      <w:r>
        <w:rPr>
          <w:rFonts w:ascii="Times New Roman" w:cs="Times New Roman" w:eastAsia="Times New Roman" w:hAnsi="Times New Roman"/>
          <w:sz w:val="22"/>
          <w:szCs w:val="22"/>
          <w:color w:val="auto"/>
        </w:rPr>
        <w:t>with respect thereto at any time.</w:t>
      </w:r>
    </w:p>
    <w:p>
      <w:pPr>
        <w:sectPr>
          <w:pgSz w:w="11900" w:h="16871" w:orient="portrait"/>
          <w:cols w:equalWidth="0" w:num="1">
            <w:col w:w="10220"/>
          </w:cols>
          <w:pgMar w:left="1300" w:top="111" w:right="379" w:bottom="0" w:gutter="0" w:footer="0" w:header="0"/>
        </w:sectPr>
      </w:pPr>
    </w:p>
    <w:bookmarkStart w:id="6" w:name="page7"/>
    <w:bookmarkEnd w:id="6"/>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beneficial ownership percentages reported herein are based on 33,358,709 shares of Class A Common Stock</w:t>
      </w:r>
    </w:p>
    <w:p>
      <w:pPr>
        <w:spacing w:after="0" w:line="14" w:lineRule="exact"/>
        <w:rPr>
          <w:sz w:val="20"/>
          <w:szCs w:val="20"/>
          <w:color w:val="auto"/>
        </w:rPr>
      </w:pPr>
    </w:p>
    <w:p>
      <w:pPr>
        <w:jc w:val="both"/>
        <w:ind w:left="940" w:right="80" w:hanging="932"/>
        <w:spacing w:after="0" w:line="184" w:lineRule="auto"/>
        <w:tabs>
          <w:tab w:leader="none" w:pos="94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outstanding, after giving effect to the transactions disclosed herein. S3 RR directly holds 4,274,394 shares of Class A Common Stock. S3 RR is jointly owned by funds managed by STORY3 Capital Partners, which is wholly owned by Rising Sons. Peter Comisar is the controlling member of Rising Sons.</w:t>
      </w:r>
    </w:p>
    <w:p>
      <w:pPr>
        <w:spacing w:after="0" w:line="18" w:lineRule="exact"/>
        <w:rPr>
          <w:rFonts w:ascii="Times New Roman" w:cs="Times New Roman" w:eastAsia="Times New Roman" w:hAnsi="Times New Roman"/>
          <w:sz w:val="42"/>
          <w:szCs w:val="42"/>
          <w:color w:val="auto"/>
          <w:vertAlign w:val="subscript"/>
        </w:rPr>
      </w:pPr>
    </w:p>
    <w:p>
      <w:pPr>
        <w:ind w:left="940" w:right="160"/>
        <w:spacing w:after="0" w:line="244"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information set forth in the cover pages of this Schedule 13D is incorporated by reference into this Item 5(b). Based on the terms of the Exchange Agreement, the Debt and Equity Purchase Agreement and the Rights Offering Backstop Agreement, the Reporting Persons believe Nexus has beneficial ownership of 4,274,394 shares of Class A Common Stock, or 12.8% of the Issuer's outstanding shares of Class A Common Stock, after giving effect to the transactions reported herein, and CHS US Investments has beneficial ownership of 19,983,656 shares of Class A Common Stock, or 59.9% of the Issuer's outstanding shares of Class A Common Stock, after giving effect to the transactions reported herein. Accordingly, the Reporting Persons believe that collectively, the Reporting Persons,</w:t>
      </w:r>
    </w:p>
    <w:p>
      <w:pPr>
        <w:spacing w:after="0" w:line="6" w:lineRule="exact"/>
        <w:rPr>
          <w:rFonts w:ascii="Times New Roman" w:cs="Times New Roman" w:eastAsia="Times New Roman" w:hAnsi="Times New Roman"/>
          <w:sz w:val="42"/>
          <w:szCs w:val="42"/>
          <w:color w:val="auto"/>
          <w:vertAlign w:val="subscript"/>
        </w:rPr>
      </w:pPr>
    </w:p>
    <w:p>
      <w:pPr>
        <w:ind w:left="940" w:right="120" w:hanging="932"/>
        <w:spacing w:after="0" w:line="181" w:lineRule="auto"/>
        <w:tabs>
          <w:tab w:leader="none" w:pos="94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Nexus, and CHS US Investments have beneficial ownership of 28,532,444 shares of Class A Common Stock, or approximately 85.5% of the Issuer's outstanding shares of Class A Common Stock. The Reporting Persons expressly disclaim the existence of, or membership in a "group" within the meaning of Section 13(d)(3) of the Act and Rule</w:t>
      </w:r>
    </w:p>
    <w:p>
      <w:pPr>
        <w:ind w:left="940" w:right="20"/>
        <w:spacing w:after="0" w:line="232"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13d-5(b) thereunder with Nexus or CHS US Investments, as well as beneficial ownership with respect to any shares of Class A Common Stock beneficially owned by Nexus and CHS US Investments, and neither the filing of this Statement on Schedule 13D nor any of its contents shall be deemed to constitute an admission by any Reporting Person that it is the beneficial owner of any of the shares of Class A Common Stock referred to herein for purposes of Section 13(d) of the Act, or for any other purpose, and such beneficial ownership is expressly disclaimed by the Reporting Persons.</w:t>
      </w:r>
    </w:p>
    <w:p>
      <w:pPr>
        <w:spacing w:after="0" w:line="20" w:lineRule="exact"/>
        <w:rPr>
          <w:rFonts w:ascii="Times New Roman" w:cs="Times New Roman" w:eastAsia="Times New Roman" w:hAnsi="Times New Roman"/>
          <w:sz w:val="42"/>
          <w:szCs w:val="42"/>
          <w:color w:val="auto"/>
          <w:vertAlign w:val="subscript"/>
        </w:rPr>
      </w:pPr>
    </w:p>
    <w:p>
      <w:pPr>
        <w:ind w:left="94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The information set forth in Item 4 of this Schedule 13D is incorporated by reference into this Item 5(c). Except as</w:t>
      </w:r>
    </w:p>
    <w:p>
      <w:pPr>
        <w:spacing w:after="0" w:line="14" w:lineRule="exact"/>
        <w:rPr>
          <w:rFonts w:ascii="Times New Roman" w:cs="Times New Roman" w:eastAsia="Times New Roman" w:hAnsi="Times New Roman"/>
          <w:sz w:val="42"/>
          <w:szCs w:val="42"/>
          <w:color w:val="auto"/>
          <w:vertAlign w:val="subscript"/>
        </w:rPr>
      </w:pPr>
    </w:p>
    <w:p>
      <w:pPr>
        <w:ind w:left="940" w:right="360" w:hanging="932"/>
        <w:spacing w:after="0" w:line="237" w:lineRule="auto"/>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disclosed herein, none of the Reporting Persons has effected any transaction with respect to the Class A Common Stock in the past 60 days.</w:t>
      </w:r>
    </w:p>
    <w:p>
      <w:pPr>
        <w:spacing w:after="0" w:line="16"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jc w:val="both"/>
        <w:ind w:left="940" w:right="540"/>
        <w:spacing w:after="0" w:line="244" w:lineRule="auto"/>
        <w:rPr>
          <w:sz w:val="20"/>
          <w:szCs w:val="20"/>
          <w:color w:val="auto"/>
        </w:rPr>
      </w:pPr>
      <w:r>
        <w:rPr>
          <w:rFonts w:ascii="Times New Roman" w:cs="Times New Roman" w:eastAsia="Times New Roman" w:hAnsi="Times New Roman"/>
          <w:sz w:val="22"/>
          <w:szCs w:val="22"/>
          <w:color w:val="auto"/>
        </w:rPr>
        <w:t>The information set forth in Item 4 of this Schedule 13D is incorporated by reference into this Item 6. Except as otherwise described in this Schedule 13D, there are no contracts, arrangements, understandings or relationships between the Reporting Persons and any other person with respect to any securities of the Issuer.</w:t>
      </w:r>
    </w:p>
    <w:p>
      <w:pPr>
        <w:spacing w:after="0" w:line="1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20"/>
        <w:spacing w:after="0" w:line="236" w:lineRule="auto"/>
        <w:rPr>
          <w:sz w:val="20"/>
          <w:szCs w:val="20"/>
          <w:color w:val="auto"/>
        </w:rPr>
      </w:pPr>
      <w:r>
        <w:rPr>
          <w:rFonts w:ascii="Times New Roman" w:cs="Times New Roman" w:eastAsia="Times New Roman" w:hAnsi="Times New Roman"/>
          <w:sz w:val="22"/>
          <w:szCs w:val="22"/>
          <w:color w:val="auto"/>
        </w:rPr>
        <w:t>Exhibit 99.1 - Joint Filing Agreement Exhibit 99.2 - Exchange Agreement (incorporated by reference to Exhibit 10.1 of the Issuer's Current Report on Form 8-K filed on August 21 2025) Exhibit 99.3 - New Credit Agreement (incorporated by reference to Exhibit 10.1 of the Issuer's Current Report on Form 8-K filed on October 29, 2025) Exhibit 99.4 - Investor Rights Agreement (incorporated by reference to Exhibit 10.2 of the Issuer's Current Report on Form 8-K filed on August 21 2025) Exhibit 99.5 - Rights Offering Backstop Agreement (incorporated by reference to Exhibit 10.3 of the Issuer's Current Report on Form 8-K filed on August 21 2025)</w:t>
      </w:r>
    </w:p>
    <w:p>
      <w:pPr>
        <w:spacing w:after="0" w:line="2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S3 RR Aggregator, LLC</w:t>
      </w:r>
    </w:p>
    <w:p>
      <w:pPr>
        <w:spacing w:after="0" w:line="152" w:lineRule="exact"/>
        <w:rPr>
          <w:sz w:val="20"/>
          <w:szCs w:val="20"/>
          <w:color w:val="auto"/>
        </w:rPr>
      </w:pPr>
    </w:p>
    <w:p>
      <w:pPr>
        <w:ind w:left="468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Comisar</w:t>
      </w:r>
    </w:p>
    <w:p>
      <w:pPr>
        <w:spacing w:after="0" w:line="4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Name/Title: Peter Comisar, Chief Executive Officer</w:t>
      </w:r>
    </w:p>
    <w:p>
      <w:pPr>
        <w:spacing w:after="0" w:line="44" w:lineRule="exact"/>
        <w:rPr>
          <w:sz w:val="20"/>
          <w:szCs w:val="20"/>
          <w:color w:val="auto"/>
        </w:rPr>
      </w:pPr>
    </w:p>
    <w:p>
      <w:pPr>
        <w:ind w:left="4680"/>
        <w:spacing w:after="0"/>
        <w:tabs>
          <w:tab w:leader="none" w:pos="5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10/29/2025</w:t>
      </w:r>
    </w:p>
    <w:p>
      <w:pPr>
        <w:spacing w:after="0" w:line="15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STORY3 Capital Partners, LLC</w:t>
      </w:r>
    </w:p>
    <w:p>
      <w:pPr>
        <w:spacing w:after="0" w:line="152" w:lineRule="exact"/>
        <w:rPr>
          <w:sz w:val="20"/>
          <w:szCs w:val="20"/>
          <w:color w:val="auto"/>
        </w:rPr>
      </w:pPr>
    </w:p>
    <w:p>
      <w:pPr>
        <w:ind w:left="468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Comisar</w:t>
      </w:r>
    </w:p>
    <w:p>
      <w:pPr>
        <w:spacing w:after="0" w:line="4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Name/Title: Peter Comisar, Chief Executive Officer</w:t>
      </w:r>
    </w:p>
    <w:p>
      <w:pPr>
        <w:spacing w:after="0" w:line="44" w:lineRule="exact"/>
        <w:rPr>
          <w:sz w:val="20"/>
          <w:szCs w:val="20"/>
          <w:color w:val="auto"/>
        </w:rPr>
      </w:pPr>
    </w:p>
    <w:p>
      <w:pPr>
        <w:ind w:left="4680"/>
        <w:spacing w:after="0"/>
        <w:tabs>
          <w:tab w:leader="none" w:pos="5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10/29/2025</w:t>
      </w:r>
    </w:p>
    <w:p>
      <w:pPr>
        <w:spacing w:after="0" w:line="15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Rising Sons Capital, LLC</w:t>
      </w:r>
    </w:p>
    <w:p>
      <w:pPr>
        <w:spacing w:after="0" w:line="152" w:lineRule="exact"/>
        <w:rPr>
          <w:sz w:val="20"/>
          <w:szCs w:val="20"/>
          <w:color w:val="auto"/>
        </w:rPr>
      </w:pPr>
    </w:p>
    <w:p>
      <w:pPr>
        <w:ind w:left="3340"/>
        <w:spacing w:after="0"/>
        <w:tabs>
          <w:tab w:leader="none" w:pos="4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Comisar</w:t>
      </w:r>
    </w:p>
    <w:p>
      <w:pPr>
        <w:spacing w:after="0" w:line="4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Name/Title: Peter Comisar, Member</w:t>
      </w:r>
    </w:p>
    <w:p>
      <w:pPr>
        <w:spacing w:after="0" w:line="44" w:lineRule="exact"/>
        <w:rPr>
          <w:sz w:val="20"/>
          <w:szCs w:val="20"/>
          <w:color w:val="auto"/>
        </w:rPr>
      </w:pPr>
    </w:p>
    <w:p>
      <w:pPr>
        <w:ind w:left="3340"/>
        <w:spacing w:after="0"/>
        <w:tabs>
          <w:tab w:leader="none" w:pos="4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10/29/2025</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Peter Comisar</w:t>
      </w:r>
    </w:p>
    <w:p>
      <w:pPr>
        <w:spacing w:after="0" w:line="152"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Comisar</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Peter Comisar</w:t>
      </w:r>
    </w:p>
    <w:p>
      <w:pPr>
        <w:spacing w:after="0" w:line="44"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10/29/2025</w:t>
      </w:r>
    </w:p>
    <w:p>
      <w:pPr>
        <w:sectPr>
          <w:pgSz w:w="11900" w:h="16838" w:orient="portrait"/>
          <w:cols w:equalWidth="0" w:num="1">
            <w:col w:w="11140"/>
          </w:cols>
          <w:pgMar w:left="360" w:top="111" w:right="399" w:bottom="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AGREEMENT</w:t>
      </w:r>
    </w:p>
    <w:p>
      <w:pPr>
        <w:spacing w:after="0" w:line="206" w:lineRule="exact"/>
        <w:rPr>
          <w:sz w:val="20"/>
          <w:szCs w:val="20"/>
          <w:color w:val="auto"/>
        </w:rPr>
      </w:pPr>
    </w:p>
    <w:p>
      <w:pPr>
        <w:ind w:right="440"/>
        <w:spacing w:after="0" w:line="244" w:lineRule="auto"/>
        <w:rPr>
          <w:sz w:val="20"/>
          <w:szCs w:val="20"/>
          <w:color w:val="auto"/>
        </w:rPr>
      </w:pPr>
      <w:r>
        <w:rPr>
          <w:rFonts w:ascii="Times New Roman" w:cs="Times New Roman" w:eastAsia="Times New Roman" w:hAnsi="Times New Roman"/>
          <w:sz w:val="22"/>
          <w:szCs w:val="22"/>
          <w:color w:val="auto"/>
        </w:rPr>
        <w:t>The persons below hereby agree that the Schedule 13D to which this agreement is attached as an exhibit, as well as all future amendments to such Schedule 13D, shall be filed on behalf of each of them. This agreement is intended to satisfy the requirements of Rule 13d-1(k)(1)(iii) under the Securities Exchange Act of 1934.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October 29, 2025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SR RR AGGREGATOR,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Peter Comisar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-10795</wp:posOffset>
            </wp:positionV>
            <wp:extent cx="12560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400" w:type="dxa"/>
            <w:vAlign w:val="bottom"/>
          </w:tcPr>
          <w:p>
            <w:pPr>
              <w:spacing w:after="0"/>
              <w:rPr>
                <w:sz w:val="19"/>
                <w:szCs w:val="19"/>
                <w:color w:val="auto"/>
              </w:rPr>
            </w:pPr>
          </w:p>
        </w:tc>
        <w:tc>
          <w:tcPr>
            <w:tcW w:w="1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Name:</w:t>
            </w:r>
          </w:p>
        </w:tc>
        <w:tc>
          <w:tcPr>
            <w:tcW w:w="20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Peter Comisar</w:t>
            </w:r>
          </w:p>
        </w:tc>
      </w:tr>
      <w:tr>
        <w:trPr>
          <w:trHeight w:val="258"/>
        </w:trPr>
        <w:tc>
          <w:tcPr>
            <w:tcW w:w="400" w:type="dxa"/>
            <w:vAlign w:val="bottom"/>
          </w:tcPr>
          <w:p>
            <w:pPr>
              <w:spacing w:after="0"/>
              <w:rPr>
                <w:sz w:val="22"/>
                <w:szCs w:val="22"/>
                <w:color w:val="auto"/>
              </w:rPr>
            </w:pPr>
          </w:p>
        </w:tc>
        <w:tc>
          <w:tcPr>
            <w:tcW w:w="1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Title:</w:t>
            </w:r>
          </w:p>
        </w:tc>
        <w:tc>
          <w:tcPr>
            <w:tcW w:w="20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7"/>
              </w:rPr>
              <w:t>Chief Executive Officer</w:t>
            </w:r>
          </w:p>
        </w:tc>
      </w:tr>
      <w:tr>
        <w:trPr>
          <w:trHeight w:val="459"/>
        </w:trPr>
        <w:tc>
          <w:tcPr>
            <w:tcW w:w="34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STORY3 CAPITAL PARTNERS, LLC</w:t>
            </w:r>
          </w:p>
        </w:tc>
      </w:tr>
      <w:tr>
        <w:trPr>
          <w:trHeight w:val="413"/>
        </w:trPr>
        <w:tc>
          <w:tcPr>
            <w:tcW w:w="34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Peter Comisar</w:t>
            </w:r>
          </w:p>
        </w:tc>
      </w:tr>
      <w:tr>
        <w:trPr>
          <w:trHeight w:val="20"/>
        </w:trPr>
        <w:tc>
          <w:tcPr>
            <w:tcW w:w="4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7"/>
        </w:trPr>
        <w:tc>
          <w:tcPr>
            <w:tcW w:w="400" w:type="dxa"/>
            <w:vAlign w:val="bottom"/>
          </w:tcPr>
          <w:p>
            <w:pPr>
              <w:spacing w:after="0"/>
              <w:rPr>
                <w:sz w:val="19"/>
                <w:szCs w:val="19"/>
                <w:color w:val="auto"/>
              </w:rPr>
            </w:pPr>
          </w:p>
        </w:tc>
        <w:tc>
          <w:tcPr>
            <w:tcW w:w="1020" w:type="dxa"/>
            <w:vAlign w:val="bottom"/>
          </w:tcPr>
          <w:p>
            <w:pPr>
              <w:ind w:left="360"/>
              <w:spacing w:after="0" w:line="228" w:lineRule="exact"/>
              <w:rPr>
                <w:sz w:val="20"/>
                <w:szCs w:val="20"/>
                <w:color w:val="auto"/>
              </w:rPr>
            </w:pPr>
            <w:r>
              <w:rPr>
                <w:rFonts w:ascii="Times New Roman" w:cs="Times New Roman" w:eastAsia="Times New Roman" w:hAnsi="Times New Roman"/>
                <w:sz w:val="20"/>
                <w:szCs w:val="20"/>
                <w:color w:val="auto"/>
              </w:rPr>
              <w:t>Name:</w:t>
            </w:r>
          </w:p>
        </w:tc>
        <w:tc>
          <w:tcPr>
            <w:tcW w:w="2020" w:type="dxa"/>
            <w:vAlign w:val="bottom"/>
            <w:gridSpan w:val="2"/>
          </w:tcPr>
          <w:p>
            <w:pPr>
              <w:ind w:left="120"/>
              <w:spacing w:after="0" w:line="228" w:lineRule="exact"/>
              <w:rPr>
                <w:sz w:val="20"/>
                <w:szCs w:val="20"/>
                <w:color w:val="auto"/>
              </w:rPr>
            </w:pPr>
            <w:r>
              <w:rPr>
                <w:rFonts w:ascii="Times New Roman" w:cs="Times New Roman" w:eastAsia="Times New Roman" w:hAnsi="Times New Roman"/>
                <w:sz w:val="20"/>
                <w:szCs w:val="20"/>
                <w:color w:val="auto"/>
              </w:rPr>
              <w:t>Peter Comisar</w:t>
            </w:r>
          </w:p>
        </w:tc>
      </w:tr>
      <w:tr>
        <w:trPr>
          <w:trHeight w:val="258"/>
        </w:trPr>
        <w:tc>
          <w:tcPr>
            <w:tcW w:w="400" w:type="dxa"/>
            <w:vAlign w:val="bottom"/>
          </w:tcPr>
          <w:p>
            <w:pPr>
              <w:spacing w:after="0"/>
              <w:rPr>
                <w:sz w:val="22"/>
                <w:szCs w:val="22"/>
                <w:color w:val="auto"/>
              </w:rPr>
            </w:pPr>
          </w:p>
        </w:tc>
        <w:tc>
          <w:tcPr>
            <w:tcW w:w="10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Title:</w:t>
            </w:r>
          </w:p>
        </w:tc>
        <w:tc>
          <w:tcPr>
            <w:tcW w:w="20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7"/>
              </w:rPr>
              <w:t>Chief Executive Officer</w:t>
            </w: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RISING SONS CAPITAL,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Peter Comisar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-10795</wp:posOffset>
            </wp:positionV>
            <wp:extent cx="12560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56030" cy="8890"/>
                    </a:xfrm>
                    <a:prstGeom prst="rect">
                      <a:avLst/>
                    </a:prstGeom>
                    <a:noFill/>
                  </pic:spPr>
                </pic:pic>
              </a:graphicData>
            </a:graphic>
          </wp:anchor>
        </w:drawing>
      </w:r>
    </w:p>
    <w:p>
      <w:pPr>
        <w:spacing w:after="0" w:line="1"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Name:</w:t>
        <w:tab/>
        <w:t>Peter Comisar</w:t>
      </w: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PETER COMISAR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Peter Comisar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1029970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15074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2"/>
      <w:numFmt w:val="bullet"/>
      <w:start w:val="1"/>
    </w:lvl>
  </w:abstractNum>
  <w:abstractNum w:abstractNumId="2">
    <w:nsid w:val="625558EC"/>
    <w:multiLevelType w:val="hybridMultilevel"/>
    <w:lvl w:ilvl="0">
      <w:lvlJc w:val="left"/>
      <w:lvlText w:val="3"/>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2025-10-29T19:14:27Z</dcterms:created>
  <dcterms:modified xsi:type="dcterms:W3CDTF">2025-10-29T19:14:27Z</dcterms:modified>
</cp:coreProperties>
</file>