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20"/>
        <w:spacing w:after="0"/>
        <w:rPr>
          <w:sz w:val="20"/>
          <w:szCs w:val="20"/>
          <w:color w:val="auto"/>
        </w:rPr>
      </w:pPr>
      <w:r>
        <w:rPr>
          <w:rFonts w:ascii="Arial" w:cs="Arial" w:eastAsia="Arial" w:hAnsi="Arial"/>
          <w:sz w:val="18"/>
          <w:szCs w:val="18"/>
          <w:b w:val="1"/>
          <w:bCs w:val="1"/>
          <w:color w:val="auto"/>
        </w:rPr>
        <w:t>As filed with the Securities and Exchange Commission on April 15, 2025</w:t>
      </w:r>
    </w:p>
    <w:p>
      <w:pPr>
        <w:spacing w:after="0" w:line="23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 xml:space="preserve">Registration </w:t>
      </w:r>
      <w:r>
        <w:rPr>
          <w:rFonts w:ascii="Times New Roman" w:cs="Times New Roman" w:eastAsia="Times New Roman" w:hAnsi="Times New Roman"/>
          <w:sz w:val="21"/>
          <w:szCs w:val="21"/>
          <w:b w:val="1"/>
          <w:bCs w:val="1"/>
          <w:color w:val="auto"/>
        </w:rPr>
        <w:t>No. 333-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0"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328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S-8</w:t>
      </w:r>
    </w:p>
    <w:p>
      <w:pPr>
        <w:spacing w:after="0" w:line="1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REGISTRATION STATEMENT</w:t>
      </w:r>
    </w:p>
    <w:p>
      <w:pPr>
        <w:jc w:val="center"/>
        <w:ind w:right="112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0" w:lineRule="exact"/>
        <w:rPr>
          <w:sz w:val="24"/>
          <w:szCs w:val="24"/>
          <w:color w:val="auto"/>
        </w:rPr>
      </w:pPr>
    </w:p>
    <w:p>
      <w:pPr>
        <w:spacing w:after="0" w:line="226" w:lineRule="exact"/>
        <w:rPr>
          <w:sz w:val="24"/>
          <w:szCs w:val="24"/>
          <w:color w:val="auto"/>
        </w:rPr>
      </w:pPr>
    </w:p>
    <w:p>
      <w:pPr>
        <w:jc w:val="center"/>
        <w:ind w:right="1120"/>
        <w:spacing w:after="0"/>
        <w:rPr>
          <w:sz w:val="20"/>
          <w:szCs w:val="20"/>
          <w:color w:val="auto"/>
        </w:rPr>
      </w:pPr>
      <w:r>
        <w:rPr>
          <w:rFonts w:ascii="Arial" w:cs="Arial" w:eastAsia="Arial" w:hAnsi="Arial"/>
          <w:sz w:val="43"/>
          <w:szCs w:val="43"/>
          <w:b w:val="1"/>
          <w:bCs w:val="1"/>
          <w:color w:val="auto"/>
        </w:rPr>
        <w:t>Rent the Runway, Inc.</w:t>
      </w:r>
    </w:p>
    <w:p>
      <w:pPr>
        <w:spacing w:after="0" w:line="42" w:lineRule="exact"/>
        <w:rPr>
          <w:sz w:val="24"/>
          <w:szCs w:val="24"/>
          <w:color w:val="auto"/>
        </w:rPr>
      </w:pPr>
    </w:p>
    <w:p>
      <w:pPr>
        <w:ind w:left="1800"/>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319" w:lineRule="exact"/>
        <w:rPr>
          <w:sz w:val="24"/>
          <w:szCs w:val="24"/>
          <w:color w:val="auto"/>
        </w:rPr>
      </w:pPr>
    </w:p>
    <w:tbl>
      <w:tblPr>
        <w:tblLayout w:type="fixed"/>
        <w:tblInd w:w="400" w:type="dxa"/>
        <w:tblCellMar>
          <w:top w:w="0" w:type="dxa"/>
          <w:left w:w="0" w:type="dxa"/>
          <w:bottom w:w="0" w:type="dxa"/>
          <w:right w:w="0" w:type="dxa"/>
        </w:tblCellMar>
      </w:tblPr>
      <w:tr>
        <w:trPr>
          <w:trHeight w:val="297"/>
        </w:trPr>
        <w:tc>
          <w:tcPr>
            <w:tcW w:w="3860" w:type="dxa"/>
            <w:vAlign w:val="bottom"/>
          </w:tcPr>
          <w:p>
            <w:pPr>
              <w:jc w:val="center"/>
              <w:ind w:right="1716"/>
              <w:spacing w:after="0"/>
              <w:rPr>
                <w:sz w:val="20"/>
                <w:szCs w:val="20"/>
                <w:color w:val="auto"/>
              </w:rPr>
            </w:pPr>
            <w:r>
              <w:rPr>
                <w:rFonts w:ascii="Arial" w:cs="Arial" w:eastAsia="Arial" w:hAnsi="Arial"/>
                <w:sz w:val="22"/>
                <w:szCs w:val="22"/>
                <w:b w:val="1"/>
                <w:bCs w:val="1"/>
                <w:color w:val="auto"/>
                <w:w w:val="97"/>
              </w:rPr>
              <w:t>Delaware</w:t>
            </w:r>
          </w:p>
        </w:tc>
        <w:tc>
          <w:tcPr>
            <w:tcW w:w="3040" w:type="dxa"/>
            <w:vAlign w:val="bottom"/>
          </w:tcPr>
          <w:p>
            <w:pPr>
              <w:jc w:val="center"/>
              <w:ind w:left="1736"/>
              <w:spacing w:after="0"/>
              <w:rPr>
                <w:sz w:val="20"/>
                <w:szCs w:val="20"/>
                <w:color w:val="auto"/>
              </w:rPr>
            </w:pPr>
            <w:r>
              <w:rPr>
                <w:rFonts w:ascii="Arial" w:cs="Arial" w:eastAsia="Arial" w:hAnsi="Arial"/>
                <w:sz w:val="22"/>
                <w:szCs w:val="22"/>
                <w:b w:val="1"/>
                <w:bCs w:val="1"/>
                <w:color w:val="auto"/>
                <w:w w:val="97"/>
              </w:rPr>
              <w:t>80-0376379</w:t>
            </w:r>
          </w:p>
        </w:tc>
      </w:tr>
      <w:tr>
        <w:trPr>
          <w:trHeight w:val="167"/>
        </w:trPr>
        <w:tc>
          <w:tcPr>
            <w:tcW w:w="3860" w:type="dxa"/>
            <w:vAlign w:val="bottom"/>
          </w:tcPr>
          <w:p>
            <w:pPr>
              <w:jc w:val="center"/>
              <w:ind w:right="1716"/>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36"/>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3860" w:type="dxa"/>
            <w:vAlign w:val="bottom"/>
          </w:tcPr>
          <w:p>
            <w:pPr>
              <w:jc w:val="center"/>
              <w:ind w:right="1716"/>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36"/>
              <w:spacing w:after="0"/>
              <w:rPr>
                <w:sz w:val="20"/>
                <w:szCs w:val="20"/>
                <w:color w:val="auto"/>
              </w:rPr>
            </w:pPr>
            <w:r>
              <w:rPr>
                <w:rFonts w:ascii="Arial" w:cs="Arial" w:eastAsia="Arial" w:hAnsi="Arial"/>
                <w:sz w:val="14"/>
                <w:szCs w:val="14"/>
                <w:b w:val="1"/>
                <w:bCs w:val="1"/>
                <w:color w:val="auto"/>
              </w:rPr>
              <w:t>Identification No.)</w:t>
            </w:r>
          </w:p>
        </w:tc>
      </w:tr>
    </w:tbl>
    <w:p>
      <w:pPr>
        <w:spacing w:after="0" w:line="78"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10 Jay Street</w:t>
      </w:r>
    </w:p>
    <w:p>
      <w:pPr>
        <w:ind w:left="3400"/>
        <w:spacing w:after="0" w:line="234" w:lineRule="auto"/>
        <w:rPr>
          <w:sz w:val="20"/>
          <w:szCs w:val="20"/>
          <w:color w:val="auto"/>
        </w:rPr>
      </w:pPr>
      <w:r>
        <w:rPr>
          <w:rFonts w:ascii="Arial" w:cs="Arial" w:eastAsia="Arial" w:hAnsi="Arial"/>
          <w:sz w:val="18"/>
          <w:szCs w:val="18"/>
          <w:b w:val="1"/>
          <w:bCs w:val="1"/>
          <w:color w:val="auto"/>
        </w:rPr>
        <w:t>Brooklyn, New York 11201</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Telephone: (212) 524-6860</w:t>
      </w:r>
    </w:p>
    <w:p>
      <w:pPr>
        <w:spacing w:after="0" w:line="1" w:lineRule="exact"/>
        <w:rPr>
          <w:sz w:val="24"/>
          <w:szCs w:val="24"/>
          <w:color w:val="auto"/>
        </w:rPr>
      </w:pPr>
    </w:p>
    <w:p>
      <w:pPr>
        <w:ind w:left="2800"/>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Rent the Runway, Inc. Amended and Restated 2021 Incentive Award Plan</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4"/>
          <w:szCs w:val="14"/>
          <w:b w:val="1"/>
          <w:bCs w:val="1"/>
          <w:color w:val="auto"/>
        </w:rPr>
        <w:t>(Full title of the plans)</w:t>
      </w: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Jennifer Y. Hyman, Co-Founder, Chief Executive Officer and Chair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Rent the Runway, Inc.</w:t>
      </w:r>
    </w:p>
    <w:p>
      <w:pPr>
        <w:jc w:val="center"/>
        <w:ind w:right="1120"/>
        <w:spacing w:after="0" w:line="234" w:lineRule="auto"/>
        <w:rPr>
          <w:sz w:val="20"/>
          <w:szCs w:val="20"/>
          <w:color w:val="auto"/>
        </w:rPr>
      </w:pPr>
      <w:r>
        <w:rPr>
          <w:rFonts w:ascii="Arial" w:cs="Arial" w:eastAsia="Arial" w:hAnsi="Arial"/>
          <w:sz w:val="18"/>
          <w:szCs w:val="18"/>
          <w:b w:val="1"/>
          <w:bCs w:val="1"/>
          <w:color w:val="auto"/>
        </w:rPr>
        <w:t>10 Jay Street</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Brooklyn, New York 11201</w:t>
      </w:r>
    </w:p>
    <w:p>
      <w:pPr>
        <w:spacing w:after="0" w:line="1" w:lineRule="exact"/>
        <w:rPr>
          <w:sz w:val="24"/>
          <w:szCs w:val="24"/>
          <w:color w:val="auto"/>
        </w:rPr>
      </w:pPr>
    </w:p>
    <w:p>
      <w:pPr>
        <w:ind w:left="314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Telephone: (212) 524-6860</w:t>
      </w:r>
    </w:p>
    <w:p>
      <w:pPr>
        <w:spacing w:after="0" w:line="19"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22" w:lineRule="exact"/>
        <w:rPr>
          <w:sz w:val="24"/>
          <w:szCs w:val="24"/>
          <w:color w:val="auto"/>
        </w:rPr>
      </w:pPr>
    </w:p>
    <w:tbl>
      <w:tblPr>
        <w:tblLayout w:type="fixed"/>
        <w:tblInd w:w="560" w:type="dxa"/>
        <w:tblCellMar>
          <w:top w:w="0" w:type="dxa"/>
          <w:left w:w="0" w:type="dxa"/>
          <w:bottom w:w="0" w:type="dxa"/>
          <w:right w:w="0" w:type="dxa"/>
        </w:tblCellMar>
      </w:tblPr>
      <w:tr>
        <w:trPr>
          <w:trHeight w:val="245"/>
        </w:trPr>
        <w:tc>
          <w:tcPr>
            <w:tcW w:w="2800" w:type="dxa"/>
            <w:vAlign w:val="bottom"/>
          </w:tcPr>
          <w:p>
            <w:pPr>
              <w:spacing w:after="0"/>
              <w:rPr>
                <w:sz w:val="21"/>
                <w:szCs w:val="21"/>
                <w:color w:val="auto"/>
              </w:rPr>
            </w:pPr>
          </w:p>
        </w:tc>
        <w:tc>
          <w:tcPr>
            <w:tcW w:w="5160" w:type="dxa"/>
            <w:vAlign w:val="bottom"/>
          </w:tcPr>
          <w:p>
            <w:pPr>
              <w:ind w:left="50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212"/>
        </w:trPr>
        <w:tc>
          <w:tcPr>
            <w:tcW w:w="2800" w:type="dxa"/>
            <w:vAlign w:val="bottom"/>
          </w:tcPr>
          <w:p>
            <w:pPr>
              <w:jc w:val="center"/>
              <w:ind w:right="450"/>
              <w:spacing w:after="0"/>
              <w:rPr>
                <w:sz w:val="20"/>
                <w:szCs w:val="20"/>
                <w:color w:val="auto"/>
              </w:rPr>
            </w:pPr>
            <w:r>
              <w:rPr>
                <w:rFonts w:ascii="Arial" w:cs="Arial" w:eastAsia="Arial" w:hAnsi="Arial"/>
                <w:sz w:val="18"/>
                <w:szCs w:val="18"/>
                <w:b w:val="1"/>
                <w:bCs w:val="1"/>
                <w:color w:val="auto"/>
                <w:w w:val="99"/>
              </w:rPr>
              <w:t>Jennifer S. Conway</w:t>
            </w:r>
          </w:p>
        </w:tc>
        <w:tc>
          <w:tcPr>
            <w:tcW w:w="5160" w:type="dxa"/>
            <w:vAlign w:val="bottom"/>
          </w:tcPr>
          <w:p>
            <w:pPr>
              <w:jc w:val="center"/>
              <w:ind w:left="2850"/>
              <w:spacing w:after="0"/>
              <w:rPr>
                <w:sz w:val="20"/>
                <w:szCs w:val="20"/>
                <w:color w:val="auto"/>
              </w:rPr>
            </w:pPr>
            <w:r>
              <w:rPr>
                <w:rFonts w:ascii="Arial" w:cs="Arial" w:eastAsia="Arial" w:hAnsi="Arial"/>
                <w:sz w:val="18"/>
                <w:szCs w:val="18"/>
                <w:b w:val="1"/>
                <w:bCs w:val="1"/>
                <w:color w:val="auto"/>
                <w:w w:val="99"/>
              </w:rPr>
              <w:t>Cara Schembri</w:t>
            </w:r>
          </w:p>
        </w:tc>
      </w:tr>
      <w:tr>
        <w:trPr>
          <w:trHeight w:val="189"/>
        </w:trPr>
        <w:tc>
          <w:tcPr>
            <w:tcW w:w="2800" w:type="dxa"/>
            <w:vAlign w:val="bottom"/>
          </w:tcPr>
          <w:p>
            <w:pPr>
              <w:spacing w:after="0" w:line="189" w:lineRule="exact"/>
              <w:rPr>
                <w:sz w:val="20"/>
                <w:szCs w:val="20"/>
                <w:color w:val="auto"/>
              </w:rPr>
            </w:pPr>
            <w:r>
              <w:rPr>
                <w:rFonts w:ascii="Arial" w:cs="Arial" w:eastAsia="Arial" w:hAnsi="Arial"/>
                <w:sz w:val="18"/>
                <w:szCs w:val="18"/>
                <w:b w:val="1"/>
                <w:bCs w:val="1"/>
                <w:color w:val="auto"/>
              </w:rPr>
              <w:t>Davis Polk &amp; Wardwell LLP</w:t>
            </w:r>
          </w:p>
        </w:tc>
        <w:tc>
          <w:tcPr>
            <w:tcW w:w="5160" w:type="dxa"/>
            <w:vAlign w:val="bottom"/>
          </w:tcPr>
          <w:p>
            <w:pPr>
              <w:jc w:val="center"/>
              <w:ind w:left="2850"/>
              <w:spacing w:after="0" w:line="189" w:lineRule="exact"/>
              <w:rPr>
                <w:sz w:val="20"/>
                <w:szCs w:val="20"/>
                <w:color w:val="auto"/>
              </w:rPr>
            </w:pPr>
            <w:r>
              <w:rPr>
                <w:rFonts w:ascii="Arial" w:cs="Arial" w:eastAsia="Arial" w:hAnsi="Arial"/>
                <w:sz w:val="18"/>
                <w:szCs w:val="18"/>
                <w:b w:val="1"/>
                <w:bCs w:val="1"/>
                <w:color w:val="auto"/>
                <w:w w:val="99"/>
              </w:rPr>
              <w:t>Rent the Runway, Inc.</w:t>
            </w:r>
          </w:p>
        </w:tc>
      </w:tr>
      <w:tr>
        <w:trPr>
          <w:trHeight w:val="203"/>
        </w:trPr>
        <w:tc>
          <w:tcPr>
            <w:tcW w:w="2800" w:type="dxa"/>
            <w:vAlign w:val="bottom"/>
          </w:tcPr>
          <w:p>
            <w:pPr>
              <w:jc w:val="center"/>
              <w:ind w:right="410"/>
              <w:spacing w:after="0" w:line="202" w:lineRule="exact"/>
              <w:rPr>
                <w:sz w:val="20"/>
                <w:szCs w:val="20"/>
                <w:color w:val="auto"/>
              </w:rPr>
            </w:pPr>
            <w:r>
              <w:rPr>
                <w:rFonts w:ascii="Arial" w:cs="Arial" w:eastAsia="Arial" w:hAnsi="Arial"/>
                <w:sz w:val="18"/>
                <w:szCs w:val="18"/>
                <w:b w:val="1"/>
                <w:bCs w:val="1"/>
                <w:color w:val="auto"/>
                <w:w w:val="99"/>
              </w:rPr>
              <w:t>450 Lexington Avenue</w:t>
            </w:r>
          </w:p>
        </w:tc>
        <w:tc>
          <w:tcPr>
            <w:tcW w:w="5160" w:type="dxa"/>
            <w:vAlign w:val="bottom"/>
          </w:tcPr>
          <w:p>
            <w:pPr>
              <w:jc w:val="center"/>
              <w:ind w:left="2850"/>
              <w:spacing w:after="0" w:line="202" w:lineRule="exact"/>
              <w:rPr>
                <w:sz w:val="20"/>
                <w:szCs w:val="20"/>
                <w:color w:val="auto"/>
              </w:rPr>
            </w:pPr>
            <w:r>
              <w:rPr>
                <w:rFonts w:ascii="Arial" w:cs="Arial" w:eastAsia="Arial" w:hAnsi="Arial"/>
                <w:sz w:val="18"/>
                <w:szCs w:val="18"/>
                <w:b w:val="1"/>
                <w:bCs w:val="1"/>
                <w:color w:val="auto"/>
                <w:w w:val="99"/>
              </w:rPr>
              <w:t>10 Jay Street</w:t>
            </w:r>
          </w:p>
        </w:tc>
      </w:tr>
      <w:tr>
        <w:trPr>
          <w:trHeight w:val="203"/>
        </w:trPr>
        <w:tc>
          <w:tcPr>
            <w:tcW w:w="2800" w:type="dxa"/>
            <w:vAlign w:val="bottom"/>
          </w:tcPr>
          <w:p>
            <w:pPr>
              <w:jc w:val="center"/>
              <w:ind w:right="410"/>
              <w:spacing w:after="0" w:line="202" w:lineRule="exact"/>
              <w:rPr>
                <w:sz w:val="20"/>
                <w:szCs w:val="20"/>
                <w:color w:val="auto"/>
              </w:rPr>
            </w:pPr>
            <w:r>
              <w:rPr>
                <w:rFonts w:ascii="Arial" w:cs="Arial" w:eastAsia="Arial" w:hAnsi="Arial"/>
                <w:sz w:val="18"/>
                <w:szCs w:val="18"/>
                <w:b w:val="1"/>
                <w:bCs w:val="1"/>
                <w:color w:val="auto"/>
                <w:w w:val="98"/>
              </w:rPr>
              <w:t>New York, New York 10017</w:t>
            </w:r>
          </w:p>
        </w:tc>
        <w:tc>
          <w:tcPr>
            <w:tcW w:w="5160" w:type="dxa"/>
            <w:vAlign w:val="bottom"/>
          </w:tcPr>
          <w:p>
            <w:pPr>
              <w:jc w:val="center"/>
              <w:ind w:left="2850"/>
              <w:spacing w:after="0" w:line="202" w:lineRule="exact"/>
              <w:rPr>
                <w:sz w:val="20"/>
                <w:szCs w:val="20"/>
                <w:color w:val="auto"/>
              </w:rPr>
            </w:pPr>
            <w:r>
              <w:rPr>
                <w:rFonts w:ascii="Arial" w:cs="Arial" w:eastAsia="Arial" w:hAnsi="Arial"/>
                <w:sz w:val="18"/>
                <w:szCs w:val="18"/>
                <w:b w:val="1"/>
                <w:bCs w:val="1"/>
                <w:color w:val="auto"/>
                <w:w w:val="98"/>
              </w:rPr>
              <w:t>Brooklyn, New York 11201</w:t>
            </w:r>
          </w:p>
        </w:tc>
      </w:tr>
      <w:tr>
        <w:trPr>
          <w:trHeight w:val="247"/>
        </w:trPr>
        <w:tc>
          <w:tcPr>
            <w:tcW w:w="2800" w:type="dxa"/>
            <w:vAlign w:val="bottom"/>
          </w:tcPr>
          <w:p>
            <w:pPr>
              <w:jc w:val="center"/>
              <w:ind w:right="410"/>
              <w:spacing w:after="0"/>
              <w:rPr>
                <w:sz w:val="20"/>
                <w:szCs w:val="20"/>
                <w:color w:val="auto"/>
              </w:rPr>
            </w:pPr>
            <w:r>
              <w:rPr>
                <w:rFonts w:ascii="Arial" w:cs="Arial" w:eastAsia="Arial" w:hAnsi="Arial"/>
                <w:sz w:val="18"/>
                <w:szCs w:val="18"/>
                <w:b w:val="1"/>
                <w:bCs w:val="1"/>
                <w:color w:val="auto"/>
                <w:w w:val="99"/>
              </w:rPr>
              <w:t>(212) 450-4000</w:t>
            </w:r>
          </w:p>
        </w:tc>
        <w:tc>
          <w:tcPr>
            <w:tcW w:w="5160" w:type="dxa"/>
            <w:vAlign w:val="bottom"/>
          </w:tcPr>
          <w:p>
            <w:pPr>
              <w:jc w:val="center"/>
              <w:ind w:left="2850"/>
              <w:spacing w:after="0"/>
              <w:rPr>
                <w:sz w:val="20"/>
                <w:szCs w:val="20"/>
                <w:color w:val="auto"/>
              </w:rPr>
            </w:pPr>
            <w:r>
              <w:rPr>
                <w:rFonts w:ascii="Arial" w:cs="Arial" w:eastAsia="Arial" w:hAnsi="Arial"/>
                <w:sz w:val="18"/>
                <w:szCs w:val="18"/>
                <w:b w:val="1"/>
                <w:bCs w:val="1"/>
                <w:color w:val="auto"/>
                <w:w w:val="99"/>
              </w:rPr>
              <w:t>(212) 524-6860</w:t>
            </w:r>
          </w:p>
        </w:tc>
      </w:tr>
    </w:tbl>
    <w:p>
      <w:pPr>
        <w:sectPr>
          <w:pgSz w:w="11900" w:h="16838" w:orient="portrait"/>
          <w:cols w:equalWidth="0" w:num="1">
            <w:col w:w="10120"/>
          </w:cols>
          <w:pgMar w:left="1440" w:top="215" w:right="339" w:bottom="1440" w:gutter="0" w:footer="0" w:header="0"/>
        </w:sectPr>
      </w:pPr>
    </w:p>
    <w:bookmarkStart w:id="1" w:name="page2"/>
    <w:bookmarkEnd w:id="1"/>
    <w:p>
      <w:pPr>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403" w:right="359" w:bottom="1440" w:gutter="0" w:footer="0" w:header="0"/>
        </w:sectPr>
      </w:pPr>
    </w:p>
    <w:p>
      <w:pPr>
        <w:spacing w:after="0" w:line="210" w:lineRule="exact"/>
        <w:rPr>
          <w:sz w:val="20"/>
          <w:szCs w:val="20"/>
          <w:color w:val="auto"/>
        </w:rPr>
      </w:pPr>
    </w:p>
    <w:p>
      <w:pPr>
        <w:ind w:left="20"/>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0"/>
          <w:szCs w:val="20"/>
          <w:color w:val="auto"/>
        </w:rPr>
      </w:pPr>
    </w:p>
    <w:p>
      <w:pPr>
        <w:sectPr>
          <w:pgSz w:w="11900" w:h="16838" w:orient="portrait"/>
          <w:cols w:equalWidth="0" w:num="2">
            <w:col w:w="4120" w:space="720"/>
            <w:col w:w="6380"/>
          </w:cols>
          <w:pgMar w:left="320" w:top="1403" w:right="359" w:bottom="1440" w:gutter="0" w:footer="0" w:header="0"/>
          <w:type w:val="continuous"/>
        </w:sectPr>
      </w:pPr>
    </w:p>
    <w:p>
      <w:pPr>
        <w:ind w:left="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p>
      <w:pPr>
        <w:spacing w:after="0" w:line="6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120" w:space="720"/>
            <w:col w:w="6380"/>
          </w:cols>
          <w:pgMar w:left="320" w:top="1403" w:right="359" w:bottom="1440" w:gutter="0" w:footer="0" w:header="0"/>
          <w:type w:val="continuous"/>
        </w:sectPr>
      </w:pPr>
    </w:p>
    <w:p>
      <w:pPr>
        <w:spacing w:after="0" w:line="152" w:lineRule="exact"/>
        <w:rPr>
          <w:sz w:val="20"/>
          <w:szCs w:val="20"/>
          <w:color w:val="auto"/>
        </w:rPr>
      </w:pPr>
    </w:p>
    <w:p>
      <w:pPr>
        <w:ind w:right="6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 with any new or revised financial accounting standards provided pursuant to Section 7(a)(2)(B) of Securities Act. </w:t>
      </w:r>
      <w:r>
        <w:rPr>
          <w:rFonts w:ascii="MS PGothic" w:cs="MS PGothic" w:eastAsia="MS PGothic" w:hAnsi="MS PGothic"/>
          <w:sz w:val="18"/>
          <w:szCs w:val="18"/>
          <w:color w:val="auto"/>
        </w:rPr>
        <w:t>☐</w:t>
      </w:r>
    </w:p>
    <w:p>
      <w:pPr>
        <w:sectPr>
          <w:pgSz w:w="11900" w:h="16838" w:orient="portrait"/>
          <w:cols w:equalWidth="0" w:num="1">
            <w:col w:w="11220"/>
          </w:cols>
          <w:pgMar w:left="320" w:top="1403" w:right="35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Registration Statement on Form S-8 is being filed for the purpose of registering an additional 482,916 shares of the Registrant’s Class A common stock that may become issuable pursuant to the Rent the Runway, Inc. Amended and Restated 2021 Incentive Award Plan (“2021 Plan”) and for which a Registration Statement of the Registrant on Form S-8 relating to the same employee benefit plan is effective.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 OF CONTENTS OF REGISTRATION STATEMENT ON FORM S-8</w:t>
      </w:r>
    </w:p>
    <w:p>
      <w:pPr>
        <w:spacing w:after="0" w:line="239" w:lineRule="exact"/>
        <w:rPr>
          <w:sz w:val="20"/>
          <w:szCs w:val="20"/>
          <w:color w:val="auto"/>
        </w:rPr>
      </w:pPr>
    </w:p>
    <w:p>
      <w:pPr>
        <w:ind w:right="260"/>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The contents of the Registration Statement on Form S-8 (File Nos. </w:t>
      </w:r>
      <w:hyperlink r:id="rId8">
        <w:r>
          <w:rPr>
            <w:rFonts w:ascii="Arial" w:cs="Arial" w:eastAsia="Arial" w:hAnsi="Arial"/>
            <w:sz w:val="18"/>
            <w:szCs w:val="18"/>
            <w:u w:val="single" w:color="auto"/>
            <w:color w:val="0000FF"/>
          </w:rPr>
          <w:t>333-260564</w:t>
        </w:r>
      </w:hyperlink>
      <w:r>
        <w:rPr>
          <w:rFonts w:ascii="Arial" w:cs="Arial" w:eastAsia="Arial" w:hAnsi="Arial"/>
          <w:sz w:val="18"/>
          <w:szCs w:val="18"/>
          <w:color w:val="auto"/>
        </w:rPr>
        <w:t>,</w:t>
      </w:r>
      <w:hyperlink r:id="rId9">
        <w:r>
          <w:rPr>
            <w:rFonts w:ascii="Arial" w:cs="Arial" w:eastAsia="Arial" w:hAnsi="Arial"/>
            <w:sz w:val="18"/>
            <w:szCs w:val="18"/>
            <w:u w:val="single" w:color="auto"/>
            <w:color w:val="0000FF"/>
          </w:rPr>
          <w:t>333-264295</w:t>
        </w:r>
      </w:hyperlink>
      <w:r>
        <w:rPr>
          <w:rFonts w:ascii="Arial" w:cs="Arial" w:eastAsia="Arial" w:hAnsi="Arial"/>
          <w:sz w:val="18"/>
          <w:szCs w:val="18"/>
          <w:color w:val="auto"/>
        </w:rPr>
        <w:t xml:space="preserve">, </w:t>
      </w:r>
      <w:hyperlink r:id="rId10">
        <w:r>
          <w:rPr>
            <w:rFonts w:ascii="Arial" w:cs="Arial" w:eastAsia="Arial" w:hAnsi="Arial"/>
            <w:sz w:val="18"/>
            <w:szCs w:val="18"/>
            <w:u w:val="single" w:color="auto"/>
            <w:color w:val="0000FF"/>
          </w:rPr>
          <w:t>333-271241</w:t>
        </w:r>
      </w:hyperlink>
      <w:r>
        <w:rPr>
          <w:rFonts w:ascii="Arial" w:cs="Arial" w:eastAsia="Arial" w:hAnsi="Arial"/>
          <w:sz w:val="18"/>
          <w:szCs w:val="18"/>
          <w:color w:val="auto"/>
        </w:rPr>
        <w:t xml:space="preserve">, and </w:t>
      </w:r>
      <w:hyperlink r:id="rId11">
        <w:r>
          <w:rPr>
            <w:rFonts w:ascii="Arial" w:cs="Arial" w:eastAsia="Arial" w:hAnsi="Arial"/>
            <w:sz w:val="18"/>
            <w:szCs w:val="18"/>
            <w:u w:val="single" w:color="auto"/>
            <w:color w:val="0000FF"/>
          </w:rPr>
          <w:t>333-278623</w:t>
        </w:r>
      </w:hyperlink>
      <w:r>
        <w:rPr>
          <w:rFonts w:ascii="Arial" w:cs="Arial" w:eastAsia="Arial" w:hAnsi="Arial"/>
          <w:sz w:val="18"/>
          <w:szCs w:val="18"/>
          <w:color w:val="auto"/>
        </w:rPr>
        <w:t>), filed with the Securities and Exchange Commission, relating to the 2021 Plan, are incorporated herein by reference.</w:t>
      </w:r>
    </w:p>
    <w:p>
      <w:pPr>
        <w:sectPr>
          <w:pgSz w:w="11900" w:h="16838" w:orient="portrait"/>
          <w:cols w:equalWidth="0" w:num="1">
            <w:col w:w="11200"/>
          </w:cols>
          <w:pgMar w:left="320" w:top="917" w:right="379" w:bottom="1440" w:gutter="0" w:footer="0" w:header="0"/>
        </w:sectPr>
      </w:pPr>
    </w:p>
    <w:p>
      <w:pPr>
        <w:ind w:left="240"/>
        <w:spacing w:after="0"/>
        <w:rPr>
          <w:sz w:val="20"/>
          <w:szCs w:val="20"/>
          <w:color w:val="auto"/>
        </w:rPr>
      </w:pPr>
      <w:r>
        <w:rPr>
          <w:rFonts w:ascii="Arial" w:cs="Arial" w:eastAsia="Arial" w:hAnsi="Arial"/>
          <w:sz w:val="18"/>
          <w:szCs w:val="18"/>
          <w:b w:val="1"/>
          <w:bCs w:val="1"/>
          <w:color w:val="auto"/>
        </w:rPr>
        <w:t>Exhibit</w:t>
      </w: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76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28"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4.1</w:t>
      </w: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4.2</w:t>
      </w:r>
    </w:p>
    <w:p>
      <w:pPr>
        <w:spacing w:after="0" w:line="252"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4.3</w:t>
      </w:r>
    </w:p>
    <w:p>
      <w:pPr>
        <w:spacing w:after="0" w:line="50"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5.1*</w:t>
      </w:r>
    </w:p>
    <w:p>
      <w:pPr>
        <w:spacing w:after="0" w:line="50"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23.1*</w:t>
      </w:r>
    </w:p>
    <w:p>
      <w:pPr>
        <w:spacing w:after="0" w:line="50"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23.2*</w:t>
      </w:r>
    </w:p>
    <w:p>
      <w:pPr>
        <w:spacing w:after="0" w:line="50"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24.1*</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169"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6395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20" w:lineRule="exact"/>
        <w:rPr>
          <w:rFonts w:ascii="Arial" w:cs="Arial" w:eastAsia="Arial" w:hAnsi="Arial"/>
          <w:sz w:val="18"/>
          <w:szCs w:val="18"/>
          <w:color w:val="auto"/>
        </w:rPr>
      </w:pPr>
    </w:p>
    <w:p>
      <w:pPr>
        <w:ind w:right="240"/>
        <w:spacing w:after="0" w:line="263" w:lineRule="auto"/>
        <w:rPr>
          <w:rFonts w:ascii="Arial" w:cs="Arial" w:eastAsia="Arial" w:hAnsi="Arial"/>
          <w:sz w:val="18"/>
          <w:szCs w:val="18"/>
          <w:u w:val="single" w:color="auto"/>
          <w:color w:val="0000FF"/>
        </w:rPr>
      </w:pPr>
      <w:hyperlink r:id="rId14">
        <w:r>
          <w:rPr>
            <w:rFonts w:ascii="Arial" w:cs="Arial" w:eastAsia="Arial" w:hAnsi="Arial"/>
            <w:sz w:val="18"/>
            <w:szCs w:val="18"/>
            <w:u w:val="single" w:color="auto"/>
            <w:color w:val="0000FF"/>
          </w:rPr>
          <w:t>Amended and Restated Certificate of Incorporation of the Registrant, dated October 29, 2021 (incorporated by reference to</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Exhibit 3.1 to the Registrant’s Current Report on Form 8-K (File No. 001-40958) filed on October 29, 2021)</w:t>
        </w:r>
      </w:hyperlink>
    </w:p>
    <w:p>
      <w:pPr>
        <w:spacing w:after="0" w:line="2" w:lineRule="exact"/>
        <w:rPr>
          <w:sz w:val="20"/>
          <w:szCs w:val="20"/>
          <w:color w:val="auto"/>
        </w:rPr>
      </w:pPr>
    </w:p>
    <w:p>
      <w:pPr>
        <w:ind w:right="80"/>
        <w:spacing w:after="0" w:line="253" w:lineRule="auto"/>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Certificate of Amendment to the Amended and Restated Certificate of Incorporation of the Registrant, dated April 2, 2024</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(incorporated by reference to Exhibit 3.1 to the Registrant’s Current Report on Form 8-K (File No. 001-40958) filed on April 2,</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2024)</w:t>
        </w:r>
      </w:hyperlink>
    </w:p>
    <w:p>
      <w:pPr>
        <w:spacing w:after="0" w:line="7" w:lineRule="exact"/>
        <w:rPr>
          <w:rFonts w:ascii="Arial" w:cs="Arial" w:eastAsia="Arial" w:hAnsi="Arial"/>
          <w:sz w:val="18"/>
          <w:szCs w:val="18"/>
          <w:u w:val="single" w:color="auto"/>
          <w:color w:val="0000FF"/>
        </w:rPr>
      </w:pPr>
    </w:p>
    <w:p>
      <w:pPr>
        <w:ind w:right="400"/>
        <w:spacing w:after="0" w:line="266" w:lineRule="auto"/>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Amended and Restated Bylaws of the Registrant, dated October 29, 2021 (incorporated by reference to Exhibit 3.2 to the</w:t>
        </w:r>
      </w:hyperlink>
      <w:r>
        <w:rPr>
          <w:rFonts w:ascii="Arial" w:cs="Arial" w:eastAsia="Arial" w:hAnsi="Arial"/>
          <w:sz w:val="18"/>
          <w:szCs w:val="18"/>
          <w:u w:val="single" w:color="auto"/>
          <w:color w:val="0000FF"/>
        </w:rPr>
        <w:t xml:space="preserve"> </w:t>
      </w:r>
      <w:hyperlink r:id="rId16">
        <w:r>
          <w:rPr>
            <w:rFonts w:ascii="Arial" w:cs="Arial" w:eastAsia="Arial" w:hAnsi="Arial"/>
            <w:sz w:val="18"/>
            <w:szCs w:val="18"/>
            <w:u w:val="single" w:color="auto"/>
            <w:color w:val="0000FF"/>
          </w:rPr>
          <w:t>Registrant’s Current Report on Form 8-K (File No. 001-40958) filed on October 29, 2021)</w:t>
        </w:r>
      </w:hyperlink>
    </w:p>
    <w:p>
      <w:pPr>
        <w:spacing w:after="0"/>
        <w:rPr>
          <w:sz w:val="20"/>
          <w:szCs w:val="20"/>
          <w:color w:val="auto"/>
        </w:rPr>
      </w:pPr>
      <w:r>
        <w:rPr>
          <w:rFonts w:ascii="Arial" w:cs="Arial" w:eastAsia="Arial" w:hAnsi="Arial"/>
          <w:sz w:val="18"/>
          <w:szCs w:val="18"/>
          <w:u w:val="single" w:color="auto"/>
          <w:color w:val="0000FF"/>
        </w:rPr>
        <w:t>Opinion of Davis Polk &amp; Wardwell LLP</w:t>
      </w:r>
    </w:p>
    <w:p>
      <w:pPr>
        <w:spacing w:after="0" w:line="50" w:lineRule="exact"/>
        <w:rPr>
          <w:sz w:val="20"/>
          <w:szCs w:val="20"/>
          <w:color w:val="auto"/>
        </w:rPr>
      </w:pPr>
    </w:p>
    <w:p>
      <w:pPr>
        <w:ind w:right="2820"/>
        <w:spacing w:after="0" w:line="301" w:lineRule="auto"/>
        <w:rPr>
          <w:sz w:val="20"/>
          <w:szCs w:val="20"/>
          <w:color w:val="auto"/>
        </w:rPr>
      </w:pPr>
      <w:r>
        <w:rPr>
          <w:rFonts w:ascii="Arial" w:cs="Arial" w:eastAsia="Arial" w:hAnsi="Arial"/>
          <w:sz w:val="18"/>
          <w:szCs w:val="18"/>
          <w:u w:val="single" w:color="auto"/>
          <w:color w:val="0000FF"/>
        </w:rPr>
        <w:t>Consent of PricewaterhouseCoopers LLP, Independent Registered Public Accounting Firm Consent of Davis Polk &amp; Wardwell LLP (included in Exhibit 5.1) Power of Attorney (included on signature page)</w:t>
      </w:r>
    </w:p>
    <w:p>
      <w:pPr>
        <w:spacing w:after="0" w:line="1" w:lineRule="exact"/>
        <w:rPr>
          <w:sz w:val="20"/>
          <w:szCs w:val="20"/>
          <w:color w:val="auto"/>
        </w:rPr>
      </w:pPr>
    </w:p>
    <w:p>
      <w:pPr>
        <w:sectPr>
          <w:pgSz w:w="11900" w:h="16838" w:orient="portrait"/>
          <w:cols w:equalWidth="0" w:num="2">
            <w:col w:w="880" w:space="300"/>
            <w:col w:w="10020"/>
          </w:cols>
          <w:pgMar w:left="320" w:top="917" w:right="379" w:bottom="1440" w:gutter="0" w:footer="0" w:header="0"/>
          <w:type w:val="continuous"/>
        </w:sectPr>
      </w:pPr>
    </w:p>
    <w:tbl>
      <w:tblPr>
        <w:tblLayout w:type="fixed"/>
        <w:tblInd w:w="20" w:type="dxa"/>
        <w:tblCellMar>
          <w:top w:w="0" w:type="dxa"/>
          <w:left w:w="0" w:type="dxa"/>
          <w:bottom w:w="0" w:type="dxa"/>
          <w:right w:w="0" w:type="dxa"/>
        </w:tblCellMar>
      </w:tblPr>
      <w:tr>
        <w:trPr>
          <w:trHeight w:val="185"/>
        </w:trPr>
        <w:tc>
          <w:tcPr>
            <w:tcW w:w="1160" w:type="dxa"/>
            <w:vAlign w:val="bottom"/>
          </w:tcPr>
          <w:p>
            <w:pPr>
              <w:spacing w:after="0"/>
              <w:rPr>
                <w:sz w:val="16"/>
                <w:szCs w:val="16"/>
                <w:color w:val="auto"/>
              </w:rPr>
            </w:pPr>
          </w:p>
        </w:tc>
        <w:tc>
          <w:tcPr>
            <w:tcW w:w="9960" w:type="dxa"/>
            <w:vAlign w:val="bottom"/>
            <w:gridSpan w:val="4"/>
          </w:tcPr>
          <w:p>
            <w:pPr>
              <w:spacing w:after="0" w:line="185" w:lineRule="exact"/>
              <w:rPr>
                <w:rFonts w:ascii="Arial" w:cs="Arial" w:eastAsia="Arial" w:hAnsi="Arial"/>
                <w:sz w:val="18"/>
                <w:szCs w:val="18"/>
                <w:color w:val="0000FF"/>
                <w:w w:val="99"/>
              </w:rPr>
            </w:pPr>
            <w:hyperlink r:id="rId17">
              <w:r>
                <w:rPr>
                  <w:rFonts w:ascii="Arial" w:cs="Arial" w:eastAsia="Arial" w:hAnsi="Arial"/>
                  <w:sz w:val="18"/>
                  <w:szCs w:val="18"/>
                  <w:color w:val="0000FF"/>
                  <w:w w:val="99"/>
                </w:rPr>
                <w:t>Amended and Restated 2021 Incentive Award Plan (incorporated by reference to Exhibit 10.9 to the Registrant’s Registration</w:t>
              </w:r>
            </w:hyperlink>
          </w:p>
        </w:tc>
      </w:tr>
      <w:tr>
        <w:trPr>
          <w:trHeight w:val="183"/>
        </w:trPr>
        <w:tc>
          <w:tcPr>
            <w:tcW w:w="1160" w:type="dxa"/>
            <w:vAlign w:val="bottom"/>
          </w:tcPr>
          <w:p>
            <w:pPr>
              <w:spacing w:after="0" w:line="182" w:lineRule="exact"/>
              <w:rPr>
                <w:sz w:val="20"/>
                <w:szCs w:val="20"/>
                <w:color w:val="auto"/>
              </w:rPr>
            </w:pPr>
            <w:r>
              <w:rPr>
                <w:rFonts w:ascii="Arial" w:cs="Arial" w:eastAsia="Arial" w:hAnsi="Arial"/>
                <w:sz w:val="18"/>
                <w:szCs w:val="18"/>
                <w:color w:val="auto"/>
              </w:rPr>
              <w:t>99.1</w:t>
            </w:r>
          </w:p>
        </w:tc>
        <w:tc>
          <w:tcPr>
            <w:tcW w:w="60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9"/>
              </w:rPr>
            </w:pPr>
            <w:hyperlink r:id="rId17">
              <w:r>
                <w:rPr>
                  <w:rFonts w:ascii="Arial" w:cs="Arial" w:eastAsia="Arial" w:hAnsi="Arial"/>
                  <w:sz w:val="18"/>
                  <w:szCs w:val="18"/>
                  <w:color w:val="0000FF"/>
                  <w:w w:val="99"/>
                </w:rPr>
                <w:t>Statement on Form S-1/A (File No. 333-260027), filed on October 18, 2021)</w:t>
              </w:r>
            </w:hyperlink>
          </w:p>
        </w:tc>
        <w:tc>
          <w:tcPr>
            <w:tcW w:w="39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107.1*</w:t>
            </w:r>
          </w:p>
        </w:tc>
        <w:tc>
          <w:tcPr>
            <w:tcW w:w="12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Filing Fee Table</w:t>
            </w:r>
          </w:p>
        </w:tc>
        <w:tc>
          <w:tcPr>
            <w:tcW w:w="8680" w:type="dxa"/>
            <w:vAlign w:val="bottom"/>
            <w:gridSpan w:val="3"/>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1">
            <w:col w:w="11200"/>
          </w:cols>
          <w:pgMar w:left="320" w:top="917" w:right="379" w:bottom="1440" w:gutter="0" w:footer="0" w:header="0"/>
          <w:type w:val="continuous"/>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April 15, 2025.</w:t>
      </w:r>
    </w:p>
    <w:p>
      <w:pPr>
        <w:spacing w:after="0" w:line="25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RENT THE RUNWAY, INC.</w:t>
      </w:r>
    </w:p>
    <w:p>
      <w:pPr>
        <w:spacing w:after="0" w:line="266" w:lineRule="exact"/>
        <w:rPr>
          <w:sz w:val="20"/>
          <w:szCs w:val="20"/>
          <w:color w:val="auto"/>
        </w:rPr>
      </w:pPr>
    </w:p>
    <w:p>
      <w:pPr>
        <w:ind w:left="20"/>
        <w:spacing w:after="0"/>
        <w:tabs>
          <w:tab w:leader="none" w:pos="5920" w:val="left"/>
          <w:tab w:leader="none" w:pos="6380" w:val="left"/>
        </w:tabs>
        <w:rPr>
          <w:sz w:val="20"/>
          <w:szCs w:val="20"/>
          <w:color w:val="auto"/>
        </w:rPr>
      </w:pPr>
      <w:r>
        <w:rPr>
          <w:rFonts w:ascii="Arial" w:cs="Arial" w:eastAsia="Arial" w:hAnsi="Arial"/>
          <w:sz w:val="18"/>
          <w:szCs w:val="18"/>
          <w:color w:val="auto"/>
        </w:rPr>
        <w:t>Date: April 15,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34925</wp:posOffset>
            </wp:positionV>
            <wp:extent cx="30861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4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Jennifer Y. Hyman</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00"/>
          </w:cols>
          <w:pgMar w:left="320" w:top="917" w:right="37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39"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Each person whose signature appears below hereby constitutes and appoints Jennifer Y. Hyman and Siddharth Thacker, or each of them singly, with full power to act without the other, such person’s true and lawful attorneys-in-fact and agents, with full power of substitution and re-substitution, for him or her and in his or her name, place and stead, in any and all capacities, to sign this registration statement and any and all amendments, including post-effective amendments to this registration statement, and to file the same, with exhibits and schedules thereto, and other documents in connection therewith, with the Securities and Exchange Commission, granting unto said attorneys-in-fact</w:t>
      </w:r>
    </w:p>
    <w:p>
      <w:pPr>
        <w:spacing w:after="0" w:line="226" w:lineRule="auto"/>
        <w:rPr>
          <w:sz w:val="20"/>
          <w:szCs w:val="20"/>
          <w:color w:val="auto"/>
        </w:rPr>
      </w:pPr>
      <w:r>
        <w:rPr>
          <w:rFonts w:ascii="Arial" w:cs="Arial" w:eastAsia="Arial" w:hAnsi="Arial"/>
          <w:sz w:val="18"/>
          <w:szCs w:val="18"/>
          <w:color w:val="auto"/>
        </w:rPr>
        <w:t>and agents, and each of them, full power and authority to do and perform each and every act and thing requisite and necessary or desirable to be done in connection therewith as fully to all intents and purposes as he might or could do in person, hereby ratifying and confirming all</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that said attorneys-in-fact and agents, or any of them, or their or his or her substitute or substitutes may lawfully do or cause to be done by virtue hereof.</w:t>
      </w:r>
    </w:p>
    <w:p>
      <w:pPr>
        <w:spacing w:after="0" w:line="199"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120"/>
          </w:cols>
          <w:pgMar w:left="320" w:top="1403" w:right="459" w:bottom="1440" w:gutter="0" w:footer="0" w:header="0"/>
        </w:sectPr>
      </w:pPr>
    </w:p>
    <w:p>
      <w:pPr>
        <w:spacing w:after="0" w:line="235"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Jennifer Y. Hyman</w:t>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091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Siddharth Thacker</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Scott Friend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Jennifer Fleiss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Jennifer Fleiss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Tim Bixby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Tim Bixby</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 Beth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Beth Kaplan</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 Gwyneth Paltrow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Gwyneth Paltrow</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Mike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Mike Roth</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17780</wp:posOffset>
            </wp:positionV>
            <wp:extent cx="3180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Chief Executive Officer and Director </w:t>
      </w:r>
      <w:r>
        <w:rPr>
          <w:rFonts w:ascii="Arial" w:cs="Arial" w:eastAsia="Arial" w:hAnsi="Arial"/>
          <w:sz w:val="17"/>
          <w:szCs w:val="17"/>
          <w:i w:val="1"/>
          <w:iCs w:val="1"/>
          <w:color w:val="auto"/>
        </w:rPr>
        <w:t>(Principal Executive</w:t>
      </w:r>
    </w:p>
    <w:p>
      <w:pPr>
        <w:spacing w:after="0"/>
        <w:rPr>
          <w:sz w:val="20"/>
          <w:szCs w:val="20"/>
          <w:color w:val="auto"/>
        </w:rPr>
      </w:pPr>
      <w:r>
        <w:rPr>
          <w:rFonts w:ascii="Arial" w:cs="Arial" w:eastAsia="Arial" w:hAnsi="Arial"/>
          <w:sz w:val="18"/>
          <w:szCs w:val="18"/>
          <w:i w:val="1"/>
          <w:iCs w:val="1"/>
          <w:color w:val="auto"/>
        </w:rPr>
        <w:t>Officer)</w:t>
      </w:r>
    </w:p>
    <w:p>
      <w:pPr>
        <w:spacing w:after="0" w:line="180" w:lineRule="exact"/>
        <w:rPr>
          <w:sz w:val="20"/>
          <w:szCs w:val="20"/>
          <w:color w:val="auto"/>
        </w:rPr>
      </w:pPr>
    </w:p>
    <w:p>
      <w:pPr>
        <w:ind w:right="660"/>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 and</w:t>
      </w:r>
      <w:r>
        <w:rPr>
          <w:rFonts w:ascii="Arial" w:cs="Arial" w:eastAsia="Arial" w:hAnsi="Arial"/>
          <w:sz w:val="18"/>
          <w:szCs w:val="18"/>
          <w:color w:val="auto"/>
        </w:rPr>
        <w:t xml:space="preserve"> </w:t>
      </w:r>
      <w:r>
        <w:rPr>
          <w:rFonts w:ascii="Arial" w:cs="Arial" w:eastAsia="Arial" w:hAnsi="Arial"/>
          <w:sz w:val="18"/>
          <w:szCs w:val="18"/>
          <w:i w:val="1"/>
          <w:iCs w:val="1"/>
          <w:color w:val="auto"/>
        </w:rPr>
        <w:t>Principal Accounting Officer)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17780</wp:posOffset>
            </wp:positionV>
            <wp:extent cx="1414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5"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April 15, 2025</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April 15, 2025</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April 15, 2025</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April 15, 2025</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April 15, 2025</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April 15, 2025</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April 15, 2025</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April 15, 2025</w:t>
      </w:r>
    </w:p>
    <w:p>
      <w:pPr>
        <w:sectPr>
          <w:pgSz w:w="11900" w:h="16838" w:orient="portrait"/>
          <w:cols w:equalWidth="0" w:num="3">
            <w:col w:w="2700" w:space="720"/>
            <w:col w:w="4920" w:space="720"/>
            <w:col w:w="2060"/>
          </w:cols>
          <w:pgMar w:left="320" w:top="1403" w:right="459" w:bottom="1440" w:gutter="0" w:footer="0" w:header="0"/>
          <w:type w:val="continuous"/>
        </w:sectPr>
      </w:pPr>
    </w:p>
    <w:bookmarkStart w:id="5" w:name="page6"/>
    <w:bookmarkEnd w:id="5"/>
    <w:p>
      <w:pPr>
        <w:ind w:left="10140"/>
        <w:spacing w:after="0"/>
        <w:rPr>
          <w:sz w:val="20"/>
          <w:szCs w:val="20"/>
          <w:color w:val="auto"/>
        </w:rPr>
      </w:pPr>
      <w:r>
        <w:rPr>
          <w:rFonts w:ascii="Arial" w:cs="Arial" w:eastAsia="Arial" w:hAnsi="Arial"/>
          <w:sz w:val="18"/>
          <w:szCs w:val="18"/>
          <w:b w:val="1"/>
          <w:bCs w:val="1"/>
          <w:color w:val="auto"/>
        </w:rPr>
        <w:t>Exhibit 107.1</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Filing Fee Tables</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S-8</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Type)</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Rent the Runway,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1—Newly Registered Securities</w:t>
      </w:r>
    </w:p>
    <w:p>
      <w:pPr>
        <w:spacing w:after="0" w:line="40"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1140" w:type="dxa"/>
            <w:vAlign w:val="bottom"/>
            <w:tcBorders>
              <w:top w:val="single" w:sz="8" w:color="auto"/>
              <w:left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rPr>
              <w:t>Security</w:t>
            </w:r>
          </w:p>
        </w:tc>
        <w:tc>
          <w:tcPr>
            <w:tcW w:w="1340" w:type="dxa"/>
            <w:vAlign w:val="bottom"/>
            <w:tcBorders>
              <w:top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9"/>
              </w:rPr>
              <w:t>Security Class</w:t>
            </w:r>
          </w:p>
        </w:tc>
        <w:tc>
          <w:tcPr>
            <w:tcW w:w="1480" w:type="dxa"/>
            <w:vAlign w:val="bottom"/>
            <w:tcBorders>
              <w:top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9"/>
              </w:rPr>
              <w:t>Fee Calculation</w:t>
            </w:r>
          </w:p>
        </w:tc>
        <w:tc>
          <w:tcPr>
            <w:tcW w:w="1360" w:type="dxa"/>
            <w:vAlign w:val="bottom"/>
            <w:tcBorders>
              <w:top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9"/>
              </w:rPr>
              <w:t>Amount</w:t>
            </w:r>
          </w:p>
        </w:tc>
        <w:tc>
          <w:tcPr>
            <w:tcW w:w="1360" w:type="dxa"/>
            <w:vAlign w:val="bottom"/>
            <w:tcBorders>
              <w:top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8"/>
              </w:rPr>
              <w:t>Proposed</w:t>
            </w:r>
          </w:p>
        </w:tc>
        <w:tc>
          <w:tcPr>
            <w:tcW w:w="1500" w:type="dxa"/>
            <w:vAlign w:val="bottom"/>
            <w:tcBorders>
              <w:top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rPr>
              <w:t>Maximum</w:t>
            </w:r>
          </w:p>
        </w:tc>
        <w:tc>
          <w:tcPr>
            <w:tcW w:w="1420" w:type="dxa"/>
            <w:vAlign w:val="bottom"/>
            <w:tcBorders>
              <w:top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rPr>
              <w:t>Fee Rate</w:t>
            </w:r>
          </w:p>
        </w:tc>
        <w:tc>
          <w:tcPr>
            <w:tcW w:w="1660" w:type="dxa"/>
            <w:vAlign w:val="bottom"/>
            <w:tcBorders>
              <w:top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9"/>
              </w:rPr>
              <w:t>Amount of</w:t>
            </w:r>
          </w:p>
        </w:tc>
      </w:tr>
      <w:tr>
        <w:trPr>
          <w:trHeight w:val="221"/>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Type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Rule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to be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Maximum</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Aggregate</w:t>
            </w:r>
          </w:p>
        </w:tc>
        <w:tc>
          <w:tcPr>
            <w:tcW w:w="142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Registration Fee</w:t>
            </w:r>
          </w:p>
        </w:tc>
      </w:tr>
      <w:tr>
        <w:trPr>
          <w:trHeight w:val="184"/>
        </w:trPr>
        <w:tc>
          <w:tcPr>
            <w:tcW w:w="1140" w:type="dxa"/>
            <w:vAlign w:val="bottom"/>
            <w:tcBorders>
              <w:left w:val="single" w:sz="8" w:color="auto"/>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99"/>
              </w:rPr>
              <w:t>Registered (1)</w:t>
            </w:r>
          </w:p>
        </w:tc>
        <w:tc>
          <w:tcPr>
            <w:tcW w:w="136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99"/>
              </w:rPr>
              <w:t>Offering Price</w:t>
            </w:r>
          </w:p>
        </w:tc>
        <w:tc>
          <w:tcPr>
            <w:tcW w:w="150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rPr>
              <w:t>Offering Price</w:t>
            </w:r>
          </w:p>
        </w:tc>
        <w:tc>
          <w:tcPr>
            <w:tcW w:w="14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r>
      <w:tr>
        <w:trPr>
          <w:trHeight w:val="255"/>
        </w:trPr>
        <w:tc>
          <w:tcPr>
            <w:tcW w:w="1140" w:type="dxa"/>
            <w:vAlign w:val="bottom"/>
            <w:tcBorders>
              <w:left w:val="single" w:sz="8" w:color="auto"/>
              <w:bottom w:val="single" w:sz="8" w:color="auto"/>
              <w:right w:val="single" w:sz="8" w:color="auto"/>
            </w:tcBorders>
          </w:tcPr>
          <w:p>
            <w:pPr>
              <w:spacing w:after="0"/>
              <w:rPr>
                <w:sz w:val="22"/>
                <w:szCs w:val="22"/>
                <w:color w:val="auto"/>
              </w:rPr>
            </w:pPr>
          </w:p>
        </w:tc>
        <w:tc>
          <w:tcPr>
            <w:tcW w:w="134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Per Unit</w:t>
            </w:r>
          </w:p>
        </w:tc>
        <w:tc>
          <w:tcPr>
            <w:tcW w:w="1500" w:type="dxa"/>
            <w:vAlign w:val="bottom"/>
            <w:tcBorders>
              <w:bottom w:val="single" w:sz="8" w:color="auto"/>
              <w:right w:val="single" w:sz="8" w:color="auto"/>
            </w:tcBorders>
          </w:tcPr>
          <w:p>
            <w:pPr>
              <w:spacing w:after="0"/>
              <w:rPr>
                <w:sz w:val="22"/>
                <w:szCs w:val="22"/>
                <w:color w:val="auto"/>
              </w:rPr>
            </w:pPr>
          </w:p>
        </w:tc>
        <w:tc>
          <w:tcPr>
            <w:tcW w:w="142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r>
      <w:tr>
        <w:trPr>
          <w:trHeight w:val="221"/>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Equity</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Class A</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Rule 457(c) and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482,916 (2)</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$4.81 (3)</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$2,322,825.96</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$153.10 per</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$355.62</w:t>
            </w: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common stock,</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Rule 457(h)</w:t>
            </w: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$1,000,000</w:t>
            </w:r>
          </w:p>
        </w:tc>
        <w:tc>
          <w:tcPr>
            <w:tcW w:w="1660" w:type="dxa"/>
            <w:vAlign w:val="bottom"/>
            <w:tcBorders>
              <w:right w:val="single" w:sz="8" w:color="auto"/>
            </w:tcBorders>
          </w:tcPr>
          <w:p>
            <w:pPr>
              <w:spacing w:after="0"/>
              <w:rPr>
                <w:sz w:val="18"/>
                <w:szCs w:val="18"/>
                <w:color w:val="auto"/>
              </w:rPr>
            </w:pPr>
          </w:p>
        </w:tc>
      </w:tr>
      <w:tr>
        <w:trPr>
          <w:trHeight w:val="203"/>
        </w:trPr>
        <w:tc>
          <w:tcPr>
            <w:tcW w:w="1140" w:type="dxa"/>
            <w:vAlign w:val="bottom"/>
            <w:tcBorders>
              <w:left w:val="single" w:sz="8" w:color="auto"/>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$0.001 par value</w:t>
            </w:r>
          </w:p>
        </w:tc>
        <w:tc>
          <w:tcPr>
            <w:tcW w:w="14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25"/>
        </w:trPr>
        <w:tc>
          <w:tcPr>
            <w:tcW w:w="1140" w:type="dxa"/>
            <w:vAlign w:val="bottom"/>
            <w:tcBorders>
              <w:left w:val="single" w:sz="8" w:color="auto"/>
              <w:right w:val="single" w:sz="8" w:color="auto"/>
            </w:tcBorders>
          </w:tcPr>
          <w:p>
            <w:pPr>
              <w:spacing w:after="0"/>
              <w:rPr>
                <w:sz w:val="19"/>
                <w:szCs w:val="19"/>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per share</w:t>
            </w:r>
          </w:p>
        </w:tc>
        <w:tc>
          <w:tcPr>
            <w:tcW w:w="148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r>
      <w:tr>
        <w:trPr>
          <w:trHeight w:val="40"/>
        </w:trPr>
        <w:tc>
          <w:tcPr>
            <w:tcW w:w="1140" w:type="dxa"/>
            <w:vAlign w:val="bottom"/>
            <w:tcBorders>
              <w:left w:val="single" w:sz="8" w:color="auto"/>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3"/>
        </w:trPr>
        <w:tc>
          <w:tcPr>
            <w:tcW w:w="2480" w:type="dxa"/>
            <w:vAlign w:val="bottom"/>
            <w:tcBorders>
              <w:left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Total Offering Amounts</w:t>
            </w:r>
          </w:p>
        </w:tc>
        <w:tc>
          <w:tcPr>
            <w:tcW w:w="148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$2,322,825.96</w:t>
            </w:r>
          </w:p>
        </w:tc>
        <w:tc>
          <w:tcPr>
            <w:tcW w:w="14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$355.62</w:t>
            </w:r>
          </w:p>
        </w:tc>
      </w:tr>
      <w:tr>
        <w:trPr>
          <w:trHeight w:val="30"/>
        </w:trPr>
        <w:tc>
          <w:tcPr>
            <w:tcW w:w="114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3"/>
        </w:trPr>
        <w:tc>
          <w:tcPr>
            <w:tcW w:w="2480" w:type="dxa"/>
            <w:vAlign w:val="bottom"/>
            <w:tcBorders>
              <w:left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Total Fee Offsets (4)</w:t>
            </w:r>
          </w:p>
        </w:tc>
        <w:tc>
          <w:tcPr>
            <w:tcW w:w="148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r>
      <w:tr>
        <w:trPr>
          <w:trHeight w:val="30"/>
        </w:trPr>
        <w:tc>
          <w:tcPr>
            <w:tcW w:w="114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3"/>
        </w:trPr>
        <w:tc>
          <w:tcPr>
            <w:tcW w:w="1140" w:type="dxa"/>
            <w:vAlign w:val="bottom"/>
            <w:tcBorders>
              <w:left w:val="single" w:sz="8" w:color="auto"/>
            </w:tcBorders>
          </w:tcPr>
          <w:p>
            <w:pPr>
              <w:jc w:val="center"/>
              <w:spacing w:after="0"/>
              <w:rPr>
                <w:sz w:val="20"/>
                <w:szCs w:val="20"/>
                <w:color w:val="auto"/>
              </w:rPr>
            </w:pPr>
            <w:r>
              <w:rPr>
                <w:rFonts w:ascii="Arial" w:cs="Arial" w:eastAsia="Arial" w:hAnsi="Arial"/>
                <w:sz w:val="17"/>
                <w:szCs w:val="17"/>
                <w:b w:val="1"/>
                <w:bCs w:val="1"/>
                <w:color w:val="auto"/>
              </w:rPr>
              <w:t>Net Fee Due</w:t>
            </w:r>
          </w:p>
        </w:tc>
        <w:tc>
          <w:tcPr>
            <w:tcW w:w="1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$355.62</w:t>
            </w:r>
          </w:p>
        </w:tc>
      </w:tr>
      <w:tr>
        <w:trPr>
          <w:trHeight w:val="31"/>
        </w:trPr>
        <w:tc>
          <w:tcPr>
            <w:tcW w:w="114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60" w:right="200" w:hanging="366"/>
        <w:spacing w:after="0" w:line="185" w:lineRule="auto"/>
        <w:tabs>
          <w:tab w:leader="none" w:pos="560" w:val="left"/>
        </w:tabs>
        <w:numPr>
          <w:ilvl w:val="0"/>
          <w:numId w:val="1"/>
        </w:numPr>
        <w:rPr>
          <w:rFonts w:ascii="Arial" w:cs="Arial" w:eastAsia="Arial" w:hAnsi="Arial"/>
          <w:sz w:val="37"/>
          <w:szCs w:val="37"/>
          <w:color w:val="auto"/>
          <w:vertAlign w:val="subscript"/>
        </w:rPr>
      </w:pPr>
      <w:r>
        <w:rPr>
          <w:rFonts w:ascii="Arial" w:cs="Arial" w:eastAsia="Arial" w:hAnsi="Arial"/>
          <w:sz w:val="17"/>
          <w:szCs w:val="17"/>
          <w:color w:val="auto"/>
        </w:rPr>
        <w:t>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w:t>
      </w:r>
    </w:p>
    <w:p>
      <w:pPr>
        <w:spacing w:after="0" w:line="99" w:lineRule="exact"/>
        <w:rPr>
          <w:rFonts w:ascii="Arial" w:cs="Arial" w:eastAsia="Arial" w:hAnsi="Arial"/>
          <w:sz w:val="37"/>
          <w:szCs w:val="37"/>
          <w:color w:val="auto"/>
          <w:vertAlign w:val="subscript"/>
        </w:rPr>
      </w:pPr>
    </w:p>
    <w:p>
      <w:pPr>
        <w:ind w:left="560" w:right="160" w:hanging="366"/>
        <w:spacing w:after="0" w:line="260" w:lineRule="auto"/>
        <w:tabs>
          <w:tab w:leader="none" w:pos="560" w:val="left"/>
        </w:tabs>
        <w:numPr>
          <w:ilvl w:val="0"/>
          <w:numId w:val="1"/>
        </w:numPr>
        <w:rPr>
          <w:rFonts w:ascii="Arial" w:cs="Arial" w:eastAsia="Arial" w:hAnsi="Arial"/>
          <w:sz w:val="20"/>
          <w:szCs w:val="20"/>
          <w:color w:val="auto"/>
        </w:rPr>
      </w:pPr>
      <w:r>
        <w:rPr>
          <w:rFonts w:ascii="Arial" w:cs="Arial" w:eastAsia="Arial" w:hAnsi="Arial"/>
          <w:sz w:val="18"/>
          <w:szCs w:val="18"/>
          <w:color w:val="auto"/>
        </w:rPr>
        <w:t>Consists of an additional 482,916 shares of Class A common stock that may become issuable under the Rent the Runway, Inc. 2021 Incentive Award Plan (the “2021 Plan”) pursuant to the terms of the 2021 Plan.</w:t>
      </w:r>
    </w:p>
    <w:p>
      <w:pPr>
        <w:spacing w:after="0" w:line="80" w:lineRule="exact"/>
        <w:rPr>
          <w:rFonts w:ascii="Arial" w:cs="Arial" w:eastAsia="Arial" w:hAnsi="Arial"/>
          <w:sz w:val="20"/>
          <w:szCs w:val="20"/>
          <w:color w:val="auto"/>
        </w:rPr>
      </w:pPr>
    </w:p>
    <w:p>
      <w:pPr>
        <w:ind w:left="560" w:right="280" w:hanging="366"/>
        <w:spacing w:after="0" w:line="255" w:lineRule="auto"/>
        <w:tabs>
          <w:tab w:leader="none" w:pos="560" w:val="left"/>
        </w:tabs>
        <w:numPr>
          <w:ilvl w:val="0"/>
          <w:numId w:val="1"/>
        </w:numPr>
        <w:rPr>
          <w:rFonts w:ascii="Arial" w:cs="Arial" w:eastAsia="Arial" w:hAnsi="Arial"/>
          <w:sz w:val="20"/>
          <w:szCs w:val="20"/>
          <w:color w:val="auto"/>
        </w:rPr>
      </w:pPr>
      <w:r>
        <w:rPr>
          <w:rFonts w:ascii="Arial" w:cs="Arial" w:eastAsia="Arial" w:hAnsi="Arial"/>
          <w:sz w:val="18"/>
          <w:szCs w:val="18"/>
          <w:color w:val="auto"/>
        </w:rPr>
        <w:t>Estimated solely for the purpose of calculating the registration fee pursuant to Rules 457(c) and 457(h) of the Securities Act, and based upon the average of the high and low prices of Rent the Runway, Inc.’s (the “Registrant”) Class A common stock as reported on The Nasdaq Stock Market LLC on April 8, 2025.</w:t>
      </w:r>
    </w:p>
    <w:p>
      <w:pPr>
        <w:ind w:left="560" w:hanging="366"/>
        <w:spacing w:after="0" w:line="182" w:lineRule="auto"/>
        <w:tabs>
          <w:tab w:leader="none" w:pos="560" w:val="left"/>
        </w:tabs>
        <w:numPr>
          <w:ilvl w:val="0"/>
          <w:numId w:val="1"/>
        </w:numPr>
        <w:rPr>
          <w:rFonts w:ascii="Arial" w:cs="Arial" w:eastAsia="Arial" w:hAnsi="Arial"/>
          <w:sz w:val="37"/>
          <w:szCs w:val="37"/>
          <w:color w:val="auto"/>
          <w:vertAlign w:val="subscript"/>
        </w:rPr>
      </w:pPr>
      <w:r>
        <w:rPr>
          <w:rFonts w:ascii="Arial" w:cs="Arial" w:eastAsia="Arial" w:hAnsi="Arial"/>
          <w:sz w:val="17"/>
          <w:szCs w:val="17"/>
          <w:color w:val="auto"/>
        </w:rPr>
        <w:t>The Registrant does not have any fee offsets.</w:t>
      </w:r>
    </w:p>
    <w:p>
      <w:pPr>
        <w:sectPr>
          <w:pgSz w:w="11900" w:h="16838" w:orient="portrait"/>
          <w:cols w:equalWidth="0" w:num="1">
            <w:col w:w="11260"/>
          </w:cols>
          <w:pgMar w:left="320" w:top="917" w:right="319" w:bottom="1440" w:gutter="0" w:footer="0" w:header="0"/>
        </w:sectPr>
      </w:pPr>
    </w:p>
    <w:bookmarkStart w:id="6" w:name="page7"/>
    <w:bookmarkEnd w:id="6"/>
    <w:p>
      <w:pPr>
        <w:ind w:left="2360"/>
        <w:spacing w:after="0"/>
        <w:rPr>
          <w:sz w:val="20"/>
          <w:szCs w:val="20"/>
          <w:color w:val="auto"/>
        </w:rPr>
      </w:pPr>
      <w:r>
        <w:rPr>
          <w:rFonts w:ascii="Arial" w:cs="Arial" w:eastAsia="Arial" w:hAnsi="Arial"/>
          <w:sz w:val="13"/>
          <w:szCs w:val="13"/>
          <w:color w:val="140BE3"/>
        </w:rPr>
        <w:t>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89154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891540" cy="154305"/>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3"/>
          <w:szCs w:val="13"/>
          <w:color w:val="140BE3"/>
        </w:rPr>
        <w:t>450 Lexington Avenue</w:t>
      </w:r>
    </w:p>
    <w:p>
      <w:pPr>
        <w:ind w:left="2360"/>
        <w:spacing w:after="0"/>
        <w:rPr>
          <w:sz w:val="20"/>
          <w:szCs w:val="20"/>
          <w:color w:val="auto"/>
        </w:rPr>
      </w:pPr>
      <w:r>
        <w:rPr>
          <w:rFonts w:ascii="Arial" w:cs="Arial" w:eastAsia="Arial" w:hAnsi="Arial"/>
          <w:sz w:val="13"/>
          <w:szCs w:val="13"/>
          <w:color w:val="140BE3"/>
        </w:rPr>
        <w:t>New York, NY 10017</w:t>
      </w:r>
    </w:p>
    <w:p>
      <w:pPr>
        <w:ind w:left="2360"/>
        <w:spacing w:after="0"/>
        <w:rPr>
          <w:sz w:val="20"/>
          <w:szCs w:val="20"/>
          <w:color w:val="auto"/>
        </w:rPr>
      </w:pPr>
      <w:r>
        <w:rPr>
          <w:rFonts w:ascii="Arial" w:cs="Arial" w:eastAsia="Arial" w:hAnsi="Arial"/>
          <w:sz w:val="13"/>
          <w:szCs w:val="13"/>
          <w:color w:val="140BE3"/>
        </w:rPr>
        <w:t>davispolk.com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15, 2025</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 and 23.2</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Rent the Runway,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 Jay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Brooklyn, New York 11201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66"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color w:val="auto"/>
        </w:rPr>
        <w:t>We have acted as counsel for Rent the Runway,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preparation and filing of a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with the Securities and Exchange Commission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for the purpose of registering under the Securities Act 482,916 shares of the Company’s Class A common stock, par value $0.001 per share (the “</w:t>
      </w:r>
      <w:r>
        <w:rPr>
          <w:rFonts w:ascii="Arial" w:cs="Arial" w:eastAsia="Arial" w:hAnsi="Arial"/>
          <w:sz w:val="18"/>
          <w:szCs w:val="18"/>
          <w:b w:val="1"/>
          <w:bCs w:val="1"/>
          <w:color w:val="auto"/>
        </w:rPr>
        <w:t>Shares</w:t>
      </w:r>
      <w:r>
        <w:rPr>
          <w:rFonts w:ascii="Arial" w:cs="Arial" w:eastAsia="Arial" w:hAnsi="Arial"/>
          <w:sz w:val="18"/>
          <w:szCs w:val="18"/>
          <w:color w:val="auto"/>
        </w:rPr>
        <w:t>”) issuable pursuant to the Rent the Runway, Inc. Amended and Restated 2021 Incentive Award Plan (the “</w:t>
      </w:r>
      <w:r>
        <w:rPr>
          <w:rFonts w:ascii="Arial" w:cs="Arial" w:eastAsia="Arial" w:hAnsi="Arial"/>
          <w:sz w:val="18"/>
          <w:szCs w:val="18"/>
          <w:b w:val="1"/>
          <w:bCs w:val="1"/>
          <w:color w:val="auto"/>
        </w:rPr>
        <w:t>Plan</w:t>
      </w:r>
      <w:r>
        <w:rPr>
          <w:rFonts w:ascii="Arial" w:cs="Arial" w:eastAsia="Arial" w:hAnsi="Arial"/>
          <w:sz w:val="18"/>
          <w:szCs w:val="18"/>
          <w:color w:val="auto"/>
        </w:rPr>
        <w:t>”). As such counsel, we have made such legal and factual examination and inquiries as we have deemed necessary or appropriate for purposes of this opinion and have made such additional assumptions as are set forth below. This opinion is furnished pursuant to the requirements of Item 601(b)(5) of Regulation S-K.</w:t>
      </w:r>
    </w:p>
    <w:p>
      <w:pPr>
        <w:spacing w:after="0" w:line="180" w:lineRule="exact"/>
        <w:rPr>
          <w:sz w:val="20"/>
          <w:szCs w:val="20"/>
          <w:color w:val="auto"/>
        </w:rPr>
      </w:pPr>
    </w:p>
    <w:p>
      <w:pPr>
        <w:ind w:right="300"/>
        <w:spacing w:after="0" w:line="303" w:lineRule="auto"/>
        <w:rPr>
          <w:sz w:val="20"/>
          <w:szCs w:val="20"/>
          <w:color w:val="auto"/>
        </w:rPr>
      </w:pPr>
      <w:r>
        <w:rPr>
          <w:rFonts w:ascii="Arial" w:cs="Arial" w:eastAsia="Arial" w:hAnsi="Arial"/>
          <w:sz w:val="18"/>
          <w:szCs w:val="18"/>
          <w:color w:val="auto"/>
        </w:rPr>
        <w:t>We, as the Company’s counsel, have examined originals or copies of such documents, corporate records and other instruments and such matters of fact and law as we have deemed necessary or advisable for the purposes of rendering the opinion expressed herein.</w:t>
      </w:r>
    </w:p>
    <w:p>
      <w:pPr>
        <w:spacing w:after="0" w:line="15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78"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color w:val="auto"/>
        </w:rPr>
        <w:t>Upon the basis of the foregoing, we are of the opinion that the Shares issuable pursuant to the Plan has been duly authorized and, when and to the extent issued in accordance with the terms of the Plan, will be legally and validly issued, fully paid and non-assessable.</w:t>
      </w:r>
    </w:p>
    <w:p>
      <w:pPr>
        <w:spacing w:after="0" w:line="166" w:lineRule="exact"/>
        <w:rPr>
          <w:sz w:val="20"/>
          <w:szCs w:val="20"/>
          <w:color w:val="auto"/>
        </w:rPr>
      </w:pPr>
    </w:p>
    <w:p>
      <w:pPr>
        <w:ind w:right="1120"/>
        <w:spacing w:after="0" w:line="303" w:lineRule="auto"/>
        <w:rPr>
          <w:sz w:val="20"/>
          <w:szCs w:val="20"/>
          <w:color w:val="auto"/>
        </w:rPr>
      </w:pPr>
      <w:r>
        <w:rPr>
          <w:rFonts w:ascii="Arial" w:cs="Arial" w:eastAsia="Arial" w:hAnsi="Arial"/>
          <w:sz w:val="18"/>
          <w:szCs w:val="18"/>
          <w:color w:val="auto"/>
        </w:rPr>
        <w:t>This opinion is given as of the date hereof. We assume no obligation to update or supplement this opinion to reflect any facts or circumstances which may hereafter come to our attention or any changes in laws which may hereafter occur.</w:t>
      </w:r>
    </w:p>
    <w:p>
      <w:pPr>
        <w:spacing w:after="0" w:line="152"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This opinion letter is provided to the Securities and Exchange Commission for use solely in connection with the transactions contemplated by the Registration Statement and may not be used, circulated, quoted or otherwise relied upon by any other person or for any other purpose without express written consent.</w:t>
      </w:r>
    </w:p>
    <w:p>
      <w:pPr>
        <w:sectPr>
          <w:pgSz w:w="11900" w:h="16838" w:orient="portrait"/>
          <w:cols w:equalWidth="0" w:num="1">
            <w:col w:w="11240"/>
          </w:cols>
          <w:pgMar w:left="320" w:top="648"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89154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89154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540"/>
        <w:spacing w:after="0" w:line="303"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General Corporation Law of the State of Delaware.</w:t>
      </w:r>
    </w:p>
    <w:p>
      <w:pPr>
        <w:spacing w:after="0" w:line="152"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this consent, we do not admit that we are in the category of persons whose consent is required under Section 7 of the Securities Act.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669290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0"/>
        <w:spacing w:after="0"/>
        <w:tabs>
          <w:tab w:leader="none" w:pos="980" w:val="left"/>
        </w:tabs>
        <w:rPr>
          <w:sz w:val="20"/>
          <w:szCs w:val="20"/>
          <w:color w:val="auto"/>
        </w:rPr>
      </w:pPr>
      <w:r>
        <w:rPr>
          <w:rFonts w:ascii="Arial" w:cs="Arial" w:eastAsia="Arial" w:hAnsi="Arial"/>
          <w:sz w:val="13"/>
          <w:szCs w:val="13"/>
          <w:color w:val="auto"/>
        </w:rPr>
        <w:t>April 15, 2025</w:t>
      </w:r>
      <w:r>
        <w:rPr>
          <w:sz w:val="20"/>
          <w:szCs w:val="20"/>
          <w:color w:val="auto"/>
        </w:rPr>
        <w:tab/>
      </w:r>
      <w:r>
        <w:rPr>
          <w:rFonts w:ascii="Arial" w:cs="Arial" w:eastAsia="Arial" w:hAnsi="Arial"/>
          <w:sz w:val="10"/>
          <w:szCs w:val="10"/>
          <w:color w:val="auto"/>
        </w:rPr>
        <w:t>2</w:t>
      </w:r>
    </w:p>
    <w:p>
      <w:pPr>
        <w:sectPr>
          <w:pgSz w:w="11900" w:h="16838" w:orient="portrait"/>
          <w:cols w:equalWidth="0" w:num="1">
            <w:col w:w="11160"/>
          </w:cols>
          <w:pgMar w:left="320" w:top="1440" w:right="419" w:bottom="1440" w:gutter="0" w:footer="0" w:header="0"/>
        </w:sectPr>
      </w:pPr>
    </w:p>
    <w:bookmarkStart w:id="8" w:name="page9"/>
    <w:bookmarkEnd w:id="8"/>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We hereby consent to the incorporation by reference in this Registration Statement on Form S-8 of Rent the Runway, Inc. of our report dated April 15, 2025 relating to the financial statements, which appears in Rent the Runway, Inc.’s Annual Report on Form 10-K for the year ended January 31,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rPr>
          <w:sz w:val="20"/>
          <w:szCs w:val="20"/>
          <w:color w:val="auto"/>
        </w:rPr>
      </w:pPr>
      <w:r>
        <w:rPr>
          <w:rFonts w:ascii="Times New Roman" w:cs="Times New Roman" w:eastAsia="Times New Roman" w:hAnsi="Times New Roman"/>
          <w:sz w:val="18"/>
          <w:szCs w:val="18"/>
          <w:color w:val="auto"/>
        </w:rPr>
        <w:t>April 15, 2025</w:t>
      </w:r>
    </w:p>
    <w:sectPr>
      <w:pgSz w:w="11900" w:h="16838" w:orient="portrait"/>
      <w:cols w:equalWidth="0" w:num="1">
        <w:col w:w="10840"/>
      </w:cols>
      <w:pgMar w:left="320" w:top="914"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2"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jpeg"/><Relationship Id="rId31" Type="http://schemas.openxmlformats.org/officeDocument/2006/relationships/image" Target="media/image16.jpeg"/><Relationship Id="rId32" Type="http://schemas.openxmlformats.org/officeDocument/2006/relationships/image" Target="media/image17.png"/><Relationship Id="rId8" Type="http://schemas.openxmlformats.org/officeDocument/2006/relationships/hyperlink" Target="https://www.sec.gov/Archives/edgar/data/1468327/000119312521311477/d212386ds8.htm" TargetMode="External"/><Relationship Id="rId9" Type="http://schemas.openxmlformats.org/officeDocument/2006/relationships/hyperlink" Target="https://www.sec.gov/Archives/edgar/data/1468327/000146832722000049/s-8xapril142022.htm" TargetMode="External"/><Relationship Id="rId10" Type="http://schemas.openxmlformats.org/officeDocument/2006/relationships/hyperlink" Target="https://www.sec.gov/Archives/edgar/data/1468327/000146832723000053/s-8xapril132023.htm" TargetMode="External"/><Relationship Id="rId11" Type="http://schemas.openxmlformats.org/officeDocument/2006/relationships/hyperlink" Target="https://www.sec.gov/Archives/edgar/data/1468327/000146832724000116/s-8xapril112024.htm" TargetMode="External"/><Relationship Id="rId14" Type="http://schemas.openxmlformats.org/officeDocument/2006/relationships/hyperlink" Target="https://www.sec.gov/Archives/edgar/data/0001468327/000119312521313321/d211519dex31.htm" TargetMode="External"/><Relationship Id="rId15" Type="http://schemas.openxmlformats.org/officeDocument/2006/relationships/hyperlink" Target="https://www.sec.gov/Archives/edgar/data/1468327/000146832724000100/exhibit31certificateofam.htm" TargetMode="External"/><Relationship Id="rId16" Type="http://schemas.openxmlformats.org/officeDocument/2006/relationships/hyperlink" Target="https://www.sec.gov/Archives/edgar/data/0001468327/000119312521313321/d211519dex32.htm" TargetMode="External"/><Relationship Id="rId17" Type="http://schemas.openxmlformats.org/officeDocument/2006/relationships/hyperlink" Target="https://www.sec.gov/Archives/edgar/data/1468327/000119312521301156/d194411d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2025-04-15T15:35:36Z</dcterms:created>
  <dcterms:modified xsi:type="dcterms:W3CDTF">2025-04-15T15:35:36Z</dcterms:modified>
</cp:coreProperties>
</file>