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76"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Exchange Act of 1934 </w:t>
      </w:r>
    </w:p>
    <w:p>
      <w:pPr>
        <w:pStyle w:val="TextBody"/>
        <w:bidi w:val="0"/>
        <w:spacing w:lineRule="auto" w:line="276" w:before="12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April 10, 2024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Rent the Runway, Inc.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80-0376379</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Number)</w:t>
            </w:r>
          </w:p>
        </w:tc>
      </w:tr>
    </w:tbl>
    <w:p>
      <w:pPr>
        <w:pStyle w:val="TextBody"/>
        <w:bidi w:val="0"/>
        <w:spacing w:lineRule="auto" w:line="276"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Rent the Runway, Inc.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 Jay Street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Brooklyn, New York 11201</w:t>
      </w:r>
    </w:p>
    <w:p>
      <w:pPr>
        <w:pStyle w:val="TextBody"/>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including Zip Code) </w:t>
      </w:r>
    </w:p>
    <w:p>
      <w:pPr>
        <w:pStyle w:val="TextBody"/>
        <w:bidi w:val="0"/>
        <w:spacing w:lineRule="auto" w:line="276"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(212) 524-6860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76" w:before="0" w:after="0"/>
        <w:jc w:val="left"/>
        <w:rPr>
          <w:color w:val="000000"/>
        </w:rPr>
      </w:pPr>
      <w:r>
        <w:rPr>
          <w:color w:val="000000"/>
        </w:rPr>
        <w:t>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p>
      <w:pPr>
        <w:pStyle w:val="TextBody"/>
        <w:bidi w:val="0"/>
        <w:spacing w:lineRule="auto" w:line="276" w:before="0" w:after="0"/>
        <w:jc w:val="left"/>
        <w:rPr>
          <w:color w:val="000000"/>
        </w:rPr>
      </w:pPr>
      <w:r>
        <w:rPr>
          <w:color w:val="000000"/>
        </w:rPr>
        <w:t> </w:t>
      </w:r>
    </w:p>
    <w:tbl>
      <w:tblPr>
        <w:tblW w:w="9157" w:type="dxa"/>
        <w:jc w:val="left"/>
        <w:tblInd w:w="0" w:type="dxa"/>
        <w:tblLayout w:type="fixed"/>
        <w:tblCellMar>
          <w:top w:w="28" w:type="dxa"/>
          <w:left w:w="28" w:type="dxa"/>
          <w:bottom w:w="28" w:type="dxa"/>
          <w:right w:w="28" w:type="dxa"/>
        </w:tblCellMar>
      </w:tblPr>
      <w:tblGrid>
        <w:gridCol w:w="1578"/>
        <w:gridCol w:w="1384"/>
        <w:gridCol w:w="1403"/>
        <w:gridCol w:w="109"/>
        <w:gridCol w:w="109"/>
        <w:gridCol w:w="109"/>
        <w:gridCol w:w="274"/>
        <w:gridCol w:w="274"/>
        <w:gridCol w:w="276"/>
        <w:gridCol w:w="109"/>
        <w:gridCol w:w="109"/>
        <w:gridCol w:w="109"/>
        <w:gridCol w:w="970"/>
        <w:gridCol w:w="970"/>
        <w:gridCol w:w="1374"/>
      </w:tblGrid>
      <w:tr>
        <w:trPr/>
        <w:tc>
          <w:tcPr>
            <w:tcW w:w="15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76" w:before="120" w:after="283"/>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76" w:before="12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76"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10, 2024, Rent the Runway, Inc. (the “Company”) issued a press release announcing its financial results for the quarter and year ended January 31, 2024. A copy of the press release is furnished as Exhibit 99.1 to this Form 8-K and is incorporated by reference.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 </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p>
      <w:pPr>
        <w:pStyle w:val="TextBody"/>
        <w:bidi w:val="0"/>
        <w:spacing w:lineRule="auto" w:line="276"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08"/>
        <w:gridCol w:w="2607"/>
        <w:gridCol w:w="371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fy23earningsrelease.htm">
              <w:r>
                <w:rPr>
                  <w:rStyle w:val="InternetLink"/>
                  <w:rFonts w:ascii="Times New Roman;sans-serif" w:hAnsi="Times New Roman;sans-serif"/>
                  <w:b w:val="false"/>
                  <w:color w:val="0000FF"/>
                  <w:sz w:val="20"/>
                  <w:u w:val="single"/>
                </w:rPr>
                <w:t>Press Release issued by Rent the Runway, Inc. on April 10, 2024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color w:val="000000"/>
        </w:rPr>
      </w:pPr>
      <w:r>
        <w:rPr>
          <w:color w:val="000000"/>
        </w:rPr>
        <w:t>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76"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lineRule="auto" w:line="276" w:before="0" w:after="0"/>
        <w:jc w:val="left"/>
        <w:rPr>
          <w:color w:val="000000"/>
        </w:rPr>
      </w:pPr>
      <w:r>
        <w:rPr>
          <w:color w:val="000000"/>
        </w:rPr>
        <w:t> </w:t>
      </w:r>
    </w:p>
    <w:tbl>
      <w:tblPr>
        <w:tblW w:w="5740"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270"/>
        <w:gridCol w:w="270"/>
        <w:gridCol w:w="270"/>
        <w:gridCol w:w="270"/>
        <w:gridCol w:w="270"/>
        <w:gridCol w:w="270"/>
        <w:gridCol w:w="585"/>
        <w:gridCol w:w="585"/>
        <w:gridCol w:w="83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RENT THE RUNWAY,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10,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Siddharth Thacker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Siddharth Thacker</w:t>
            </w:r>
          </w:p>
          <w:p>
            <w:pPr>
              <w:pStyle w:val="TableContents"/>
              <w:bidi w:val="0"/>
              <w:spacing w:lineRule="auto" w:line="276"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right"/>
        <w:rPr/>
      </w:pPr>
      <w:r>
        <w:rPr/>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Rent the Runway, Inc. Announces Fourth Quarter and Full Year 2023 Results</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Exceeded Revenue and Adjusted EBITDA Guidance for Q4 2023</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Expect Revenue Growth in FY 2024 through Focus on Marketing, Product Innovation and Strong Customer Retention. Committed to Achieving Free Cash Flow Breakeven for FY 2024.</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Q4 2023 Net Loss of $(24.8)M and Net Loss Margin of (32.7)%, vs. $(26.2)M and (34.7)% in Q4 2022</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Adjusted EBITDA of $11.2M and Adjusted EBITDA Margin of 14.8% in Q4 2023, Up From $7.1M and 9.4% in Q4 2022</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Healthy Inventory In-Stock Position Exiting FY 2023 has Driven Strong Customer Retention</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Historical High Quarterly and Annual Sales in Resale Business Drove Strong Adjusted EBITDA Margins</w:t>
      </w:r>
    </w:p>
    <w:p>
      <w:pPr>
        <w:pStyle w:val="TextBody"/>
        <w:bidi w:val="0"/>
        <w:spacing w:before="0" w:after="0"/>
        <w:jc w:val="left"/>
        <w:rPr/>
      </w:pPr>
      <w:r>
        <w:rPr/>
      </w:r>
    </w:p>
    <w:p>
      <w:pPr>
        <w:pStyle w:val="TextBody"/>
        <w:bidi w:val="0"/>
        <w:spacing w:lineRule="auto" w:line="319" w:before="0" w:after="0"/>
        <w:jc w:val="both"/>
        <w:rPr/>
      </w:pPr>
      <w:r>
        <w:rPr>
          <w:rFonts w:ascii="Arial;sans-serif" w:hAnsi="Arial;sans-serif"/>
          <w:b/>
          <w:color w:val="000000"/>
          <w:sz w:val="22"/>
        </w:rPr>
        <w:t>New York (April 10, 2024)</w:t>
      </w:r>
      <w:r>
        <w:rPr>
          <w:color w:val="000000"/>
        </w:rPr>
        <w:t xml:space="preserve"> </w:t>
      </w:r>
      <w:r>
        <w:rPr>
          <w:rFonts w:ascii="Arial;sans-serif" w:hAnsi="Arial;sans-serif"/>
          <w:b w:val="false"/>
          <w:color w:val="000000"/>
          <w:sz w:val="22"/>
        </w:rPr>
        <w:t>- Rent the Runway, Inc. (“Rent the Runway” or "RTR") (NASDAQ: RENT), the world’s first and largest shared designer closet platform, today reported financial results for the fiscal quarter and fiscal year 2023 ended January 31, 2024.</w:t>
      </w:r>
    </w:p>
    <w:p>
      <w:pPr>
        <w:pStyle w:val="TextBody"/>
        <w:bidi w:val="0"/>
        <w:spacing w:before="0" w:after="0"/>
        <w:jc w:val="both"/>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"2023 was a year of significant improvements to the customer experience that we believe have set the foundation for a milestone fiscal year 2024." said Jennifer Hyman, Co-Founder and CEO, Rent the Runway. "We launched a premium personal concierge service to style our customers, made it easier for customers to discover inventory they love, and created a more aspirational product experience. As a result, NPS today is at the highest level in several years, customers have been buying more inventory from us, and customer retention has markedly improved YOY. We believe we are well positioned to re-ignite our marketing and customer acquisition engine to drive growth and FCF breakeven in fiscal 2024.”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"We believe fiscal year 2024 will be a transformative year for Rent the Runway.” said Sid Thacker, Chief Financial Officer, Rent the Runway. “Over the past several years, we have reduced fixed costs significantly and made considerable progress towards building a more capital-light model. We expect these actions to result in free cash flow breakeven for fiscal year 2024. Importantly, we believe that the cost and capital expenditure decisions that are important components of our free cash flow breakeven plan have already been made. We have conviction that Rent the Runway is poised to exit fiscal year 2024 as a sustainable, growing, and free cash flow breakeven business."</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Fourth Quarter 2023 Key Metrics and Financial Highlights</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Revenue was $75.8 million, a 0.5% increase year-over-year from $75.4 million in the fourth quarter of fiscal year 2022.</w:t>
      </w:r>
    </w:p>
    <w:p>
      <w:pPr>
        <w:pStyle w:val="TextBody"/>
        <w:bidi w:val="0"/>
        <w:spacing w:lineRule="auto" w:line="319"/>
        <w:ind w:left="0" w:right="0" w:hanging="360"/>
        <w:jc w:val="left"/>
        <w:rPr/>
      </w:pPr>
      <w:r>
        <w:rPr>
          <w:color w:val="000000"/>
        </w:rPr>
        <w:t>•</w:t>
      </w:r>
      <w:r>
        <w:rPr>
          <w:rFonts w:ascii="Arial;sans-serif" w:hAnsi="Arial;sans-serif"/>
          <w:b w:val="false"/>
          <w:color w:val="000000"/>
          <w:sz w:val="22"/>
        </w:rPr>
        <w:t>125,954 ending Active Subscribers, representing a change of (1)% year-over-year from 126,712 at the end of the fiscal year 2022.</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128,840 Average Active Subscribers representing a change of (1)% year-over-year from 130,476 at the end of the fourth quarter of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173,247 ending Total Subscribers, representing an increase of 1% year-over-year from 171,998 at the end of the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Gross Profit was $29.9 million, representing a decrease of (10.2)% from $33.3 million in the fourth quarter of fiscal year 2022. Gross Margin was 39.4%, as compared to 44.2% in the fourth quarter of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Net Loss was $(24.8) million, as compared to $(26.2) million in the fourth quarter of fiscal year 2022. Net Loss as a percentage of revenue was (32.7)%, as compared to (34.7)% in the fourth quarter of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Adjusted EBITDA was $11.2 million, as compared to $7.1 million in the fourth quarter of fiscal year 2022. Adjusted EBITDA margin was 14.8%, as compared to 9.4% in the fourth quarter of fiscal year 2022.</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Fiscal Year 2023 Key Metrics and Financial Highlights</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Revenue was $298.2 million, a 0.6% increase year-over-year from $296.4 million in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135,211 Average Active Subscribers representing an increase of 5% year-over-year from 128,586 at the end of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Gross Profit was $119.7 million, roughly flat from $120.0 million in fiscal year 2022. Gross Margin was 40.1%, as compared to 40.5% in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Net Loss was $(113.2) million, as compared to $(138.7) million in fiscal year 2022. Net Loss as a percentage of revenue was (38.0)%, as compared to (46.8)% in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Adjusted EBITDA was $26.9 million, as compared to $6.7 million in fiscal year 2022. Adjusted EBITDA margin was 9.0%, as compared to 2.3% in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Net cash used in operating activities plus net cash used in investing activities was $(70.3) million for fiscal year 2023, as compared to $(92.0) million for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Net cash used in operating activities plus net cash used in investing activities as a percentage of revenue was (23.6)% for fiscal year 2023, as compared to (31.0)% for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As of January 31, 2024, cash and cash equivalents was $84.0 million.</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Fiscal Fourth Quarter, Fiscal Year 2023 and Recent Business Highlights</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color w:val="000000"/>
          <w:sz w:val="22"/>
        </w:rPr>
        <w:t>Increased inventory in-stock rates</w:t>
      </w:r>
      <w:r>
        <w:rPr>
          <w:color w:val="000000"/>
        </w:rPr>
        <w:t xml:space="preserve"> </w:t>
      </w:r>
      <w:r>
        <w:rPr>
          <w:rFonts w:ascii="Arial;sans-serif" w:hAnsi="Arial;sans-serif"/>
          <w:b w:val="false"/>
          <w:color w:val="000000"/>
          <w:sz w:val="22"/>
        </w:rPr>
        <w:t>through our depth strategy, which significantly improved the customer experience, led to a 20 point increase in Subscription Net Promoter scores from Q2 '23 to Q4 '23 and increased customer loyalty by 10% in Q4 '23 versus Q4 '22.</w: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2"/>
        </w:rPr>
        <w:t>Transformed prospect experience with merchandising-heavy, use-case based hubs</w:t>
      </w:r>
      <w:r>
        <w:rPr>
          <w:rFonts w:ascii="Arial;sans-serif" w:hAnsi="Arial;sans-serif"/>
          <w:b w:val="false"/>
          <w:color w:val="000000"/>
          <w:sz w:val="22"/>
        </w:rPr>
        <w:t>, showing the customer how RTR is a solution for her needs for work, events, travel and every day. New prospect experience has already driven increases in conversion.</w:t>
      </w:r>
    </w:p>
    <w:p>
      <w:pPr>
        <w:pStyle w:val="TextBody"/>
        <w:bidi w:val="0"/>
        <w:spacing w:lineRule="auto" w:line="319"/>
        <w:ind w:left="0" w:right="0" w:hanging="360"/>
        <w:jc w:val="left"/>
        <w:rPr/>
      </w:pPr>
      <w:r>
        <w:rPr>
          <w:color w:val="000000"/>
        </w:rPr>
        <w:t>•</w:t>
      </w:r>
      <w:r>
        <w:rPr>
          <w:rFonts w:ascii="Arial;sans-serif" w:hAnsi="Arial;sans-serif"/>
          <w:b/>
          <w:color w:val="000000"/>
          <w:sz w:val="22"/>
        </w:rPr>
        <w:t>Achieved significant growth in our 'Try Before You Buy' resale business</w:t>
      </w:r>
      <w:r>
        <w:rPr>
          <w:color w:val="000000"/>
        </w:rPr>
        <w:t xml:space="preserve"> </w:t>
      </w:r>
      <w:r>
        <w:rPr>
          <w:rFonts w:ascii="Arial;sans-serif" w:hAnsi="Arial;sans-serif"/>
          <w:b w:val="false"/>
          <w:color w:val="000000"/>
          <w:sz w:val="22"/>
        </w:rPr>
        <w:t>with record quarterly and annual resale revenue. We believe that our model is a competitive advantage for RTR as we are able to offer exceptional pricing to customers on inventory they already have at home and already love, in order to increase customer loyalty, fund inventory newness and generate strong margins.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2"/>
        </w:rPr>
        <w:t>Grew Concierge Program to nearly 40% of early-term customers</w:t>
      </w:r>
      <w:r>
        <w:rPr>
          <w:color w:val="000000"/>
        </w:rPr>
        <w:t xml:space="preserve"> </w:t>
      </w:r>
      <w:r>
        <w:rPr>
          <w:rFonts w:ascii="Arial;sans-serif" w:hAnsi="Arial;sans-serif"/>
          <w:b w:val="false"/>
          <w:color w:val="000000"/>
          <w:sz w:val="22"/>
        </w:rPr>
        <w:t>offering 1:1 styling advice to customers alongside help with their orders. The Concierge Program has driven higher loyalty and we believe is ready for continued scale.</w: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2"/>
        </w:rPr>
        <w:t>Hired Natalie McGrath as Chief Marketing Officer to re-engage our customer growth flywheel.</w:t>
      </w:r>
      <w:r>
        <w:rPr>
          <w:color w:val="000000"/>
        </w:rPr>
        <w:t xml:space="preserve"> </w:t>
      </w:r>
      <w:r>
        <w:rPr>
          <w:rFonts w:ascii="Arial;sans-serif" w:hAnsi="Arial;sans-serif"/>
          <w:b w:val="false"/>
          <w:color w:val="000000"/>
          <w:sz w:val="22"/>
        </w:rPr>
        <w:t>Natalie joined RTR on March 4, 2024 from Afterpay where she led Marketing for North America and Europe. We have started the year reigniting brand love by celebrating women in our core customer demographic. We launched LinkedIn and "Real Runway" campaigns, which both share influential women’s stories. Our LinkedIn campaign called for nominations and self-nominations of women’s achievements in the workplace, and garnered ~630M total impressions.</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Outlook</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For fiscal year 2024, Rent the Runway expects: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Revenue growth of between 1% to 6% versus fiscal year 2023</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Adjusted EBITDA Margin of 15% to 16%</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Free Cash Flow Breakeven on a full year basis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For the fiscal first quarter of 2024, Rent the Runway expects: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 xml:space="preserve">Revenue of between $73 million and $75 million </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Adjusted EBITDA Margin of 7% to 8%</w:t>
      </w:r>
    </w:p>
    <w:p>
      <w:pPr>
        <w:pStyle w:val="TextBody"/>
        <w:bidi w:val="0"/>
        <w:spacing w:before="0" w:after="0"/>
        <w:jc w:val="left"/>
        <w:rPr/>
      </w:pPr>
      <w:r>
        <w:rPr/>
      </w:r>
    </w:p>
    <w:p>
      <w:pPr>
        <w:pStyle w:val="TextBody"/>
        <w:bidi w:val="0"/>
        <w:spacing w:lineRule="auto" w:line="319"/>
        <w:jc w:val="left"/>
        <w:rPr>
          <w:rFonts w:ascii="Arial;sans-serif" w:hAnsi="Arial;sans-serif"/>
          <w:b w:val="false"/>
          <w:color w:val="000000"/>
          <w:sz w:val="22"/>
        </w:rPr>
      </w:pPr>
      <w:r>
        <w:rPr>
          <w:rFonts w:ascii="Arial;sans-serif" w:hAnsi="Arial;sans-serif"/>
          <w:b w:val="false"/>
          <w:color w:val="000000"/>
          <w:sz w:val="22"/>
        </w:rPr>
        <w:t xml:space="preserve">Please see our fourth quarter 2023 earnings presentation at https://investors.renttherunway.com/ under the “Presentations” section for supplemental guidance.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Earnings Presentation, Conference Call and Webcast</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fourth quarter and fiscal year 2023 Earnings Presentation is now accessible through the Investor Relations section of Rent the Runway’s website at https://investors.renttherunway.com/ under the “Presentations” section.</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Rent the Runway will host a conference call and webcast to discuss its fourth quarter and fiscal year 2023 financial results and provide a business update today, April 10, 2024, at 4:30 pm ET.</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 replay of the conference call will be posted shortly after the call and will be available for at least fourteen days. To access the replay, dial 1-844-512-2921 (in the U.S.) or 1-412-317-6671 (international callers). The access code for the replay is 13744900.</w:t>
      </w:r>
    </w:p>
    <w:p>
      <w:pPr>
        <w:pStyle w:val="TextBody"/>
        <w:bidi w:val="0"/>
        <w:spacing w:before="0" w:after="0"/>
        <w:jc w:val="left"/>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About Rent the Runway, Inc.</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Founded in 2009, Rent the Runway is disrupting the trillion-dollar fashion industry and changing the way women get dressed through the Closet in the Cloud, the world’s first and largest shared designer closet.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color w:val="000000"/>
          <w:sz w:val="22"/>
        </w:rPr>
        <w:t xml:space="preserve">Forward-Looking Statements: </w:t>
      </w:r>
      <w:r>
        <w:rPr>
          <w:rFonts w:ascii="Arial;sans-serif" w:hAnsi="Arial;sans-serif"/>
          <w:b w:val="false"/>
          <w:color w:val="000000"/>
          <w:sz w:val="22"/>
        </w:rPr>
        <w:t xml:space="preserve">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include, but are not limited to, statements regarding our future results of operations, financial position, revenue and free cash flow, subscriber growth, future product launches, business objectives, including our plans to reduce fixed costs, benefits of our inventory-focused strategy and other strategic initiatives, marketing plans, and expectations regarding subscriber trends, customer retention and satisfaction.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manage our growth effectively; the highly competitive and rapidly changing nature of the global fashion industry; risks related to the macroeconomic environment; our ability to cost-effectively grow our customer base; any failure to retain customers; our ability to accurately forecast customer demand,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our ability to remediate our material weaknesses in our internal control over financial reporting; laws and regulations applicable to our business; our reliance on the experience and expertise of our senior management and other key personnel; compliance with data privacy, data security, data protection and consumer protection laws and industry standards; risks associated with our brand and manufacturing partners; our reliance on third parties for elements of the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the Company's debt, including the Company's ability to comply with covenants in the Company's credit facility; risks related to our compliance with Nasdaq's continued listing requirements and other Nasdaq rules; risks related to our Class A capital stock and ownership structure; and risks related to future pandemics or public health crises.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Additional information regarding these and other risks and uncertainties that could cause actual results to differ materially from the Company’s expectations is included in our Quarterly Report on Form 10-Q for the quarter ended October 31, 2023, as will be updated in our Annual Report on Form 10-K for the year ended January 31, 2024. Except as required by law, we do not undertake any obligation to publicly update or revise any forward-looking statement, whether as a result of new information, future developments, or otherwise.</w:t>
      </w:r>
    </w:p>
    <w:p>
      <w:pPr>
        <w:pStyle w:val="TextBody"/>
        <w:bidi w:val="0"/>
        <w:spacing w:before="0" w:after="0"/>
        <w:jc w:val="left"/>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Key Business and Financial Metrics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Active Subscribers is defined as the number of subscribers with an active membership as of the last day of any given period and excludes paused subscribers.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Average Active Subscribers is defined as the mean of the beginning of quarter and end of quarter Active Subscribers for a quarterly period; and for other periods, represents the mean of the Average Active Subscribers of every quarter within that period.</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Gross Profit is defined as total revenue less costs related to activities to fulfill customer orders and rental product acquisition costs, presented as fulfillment and rental product depreciation and revenue share, respectively, on the consolidated statement of operations. We depreciate owned apparel assets over three years and owned accessory assets over two years, net of 20% and 30% salvage values, respectively, and recognize the depreciation on a straight line basis and remaining cost of items when sold or retired on our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pStyle w:val="TextBody"/>
        <w:bidi w:val="0"/>
        <w:spacing w:before="0" w:after="0"/>
        <w:jc w:val="both"/>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before="0" w:after="0"/>
        <w:jc w:val="both"/>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This press release and the accompanying tables contain the non-GAAP financial measures of Adjusted EBITDA, Adjusted EBITDA margin, free cash flow, and free cash flow margin. In addition to our results determined in accordance with GAAP, we believe that Adjusted EBITDA and Adjusted EBITDA margin are useful in evaluating our performance and free cash flow and free cash flow margin are useful in evaluating our performance and liquidity.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We define Adjusted EBITDA as net loss, adjusted to exclude interest expense, rental product depreciation, other depreciation and amortization, share-based compensation expense, write-off of liquidated rental product assets, certain non-recurring or one-time costs (see below footnotes to the reconciliation table), non-ordinary course legal expenses, restructuring charges, loss on asset impairment related to restructuring, income tax (benefit) expense, warrant liability revaluation gains / losses, debt extinguishment gains / losses, other income and expense, and other gains / losses. Adjusted EBITDA margin is defined as Adjusted EBITDA calculated as a percentage of total revenue, net for a period.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We define free cash flow as net cash used in operating activities and net cash used in investing activities on a combined basis. Free cash flow margin is defined as free cash flow as a percentage of revenue.</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 reconciliation of presented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 of Adjusted EBITDA, Adjusted EBITDA margin and free cash flow expectations for Q1 2024 and fiscal year 2024 (as applicable) to the closest corresponding GAAP measure is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Investor Relations </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investors@renttherunway.com</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Press</w:t>
      </w:r>
    </w:p>
    <w:p>
      <w:pPr>
        <w:pStyle w:val="TextBody"/>
        <w:bidi w:val="0"/>
        <w:spacing w:lineRule="auto" w:line="319"/>
        <w:jc w:val="left"/>
        <w:rPr>
          <w:rFonts w:ascii="Arial;sans-serif" w:hAnsi="Arial;sans-serif"/>
          <w:b w:val="false"/>
          <w:color w:val="000000"/>
          <w:sz w:val="22"/>
        </w:rPr>
      </w:pPr>
      <w:r>
        <w:rPr>
          <w:rFonts w:ascii="Arial;sans-serif" w:hAnsi="Arial;sans-serif"/>
          <w:b w:val="false"/>
          <w:color w:val="000000"/>
          <w:sz w:val="22"/>
        </w:rPr>
        <w:t>press@renttherunway.com</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Consolidated Balance Sheets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before="0" w:after="0"/>
        <w:jc w:val="center"/>
        <w:rPr/>
      </w:pPr>
      <w:r>
        <w:rPr/>
      </w:r>
    </w:p>
    <w:p>
      <w:pPr>
        <w:pStyle w:val="TextBody"/>
        <w:bidi w:val="0"/>
        <w:spacing w:before="0" w:after="0"/>
        <w:jc w:val="center"/>
        <w:rPr/>
      </w:pPr>
      <w:r>
        <w:rPr/>
      </w:r>
    </w:p>
    <w:tbl>
      <w:tblPr>
        <w:tblW w:w="6561" w:type="dxa"/>
        <w:jc w:val="center"/>
        <w:tblInd w:w="0" w:type="dxa"/>
        <w:tblLayout w:type="fixed"/>
        <w:tblCellMar>
          <w:top w:w="28" w:type="dxa"/>
          <w:left w:w="28" w:type="dxa"/>
          <w:bottom w:w="28" w:type="dxa"/>
          <w:right w:w="28" w:type="dxa"/>
        </w:tblCellMar>
      </w:tblPr>
      <w:tblGrid>
        <w:gridCol w:w="1532"/>
        <w:gridCol w:w="1344"/>
        <w:gridCol w:w="1368"/>
        <w:gridCol w:w="214"/>
        <w:gridCol w:w="656"/>
        <w:gridCol w:w="109"/>
        <w:gridCol w:w="109"/>
        <w:gridCol w:w="109"/>
        <w:gridCol w:w="109"/>
        <w:gridCol w:w="211"/>
        <w:gridCol w:w="64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ind w:left="0" w:right="0" w:hanging="180"/>
              <w:jc w:val="center"/>
              <w:rPr>
                <w:rFonts w:ascii="Arial;sans-serif" w:hAnsi="Arial;sans-serif"/>
                <w:b/>
                <w:color w:val="000000"/>
                <w:sz w:val="16"/>
              </w:rPr>
            </w:pPr>
            <w:r>
              <w:rPr>
                <w:rFonts w:ascii="Arial;sans-serif" w:hAnsi="Arial;sans-serif"/>
                <w:b/>
                <w:color w:val="000000"/>
                <w:sz w:val="16"/>
              </w:rPr>
              <w:t>2023</w:t>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Assets</w:t>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Current assets:</w:t>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21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Restricted cash, current</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Total current assets</w:t>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Restricted cash</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Rental product, net</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78.7 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Fixed assets, net</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44.7 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Intangible assets, net</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Operating lease right-of-use assets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26.7 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Other assets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assets</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278.5 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336.2 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 and Stockholders’ Equity (Deficit)</w:t>
            </w:r>
          </w:p>
        </w:tc>
        <w:tc>
          <w:tcPr>
            <w:tcW w:w="9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Current liabilities:</w:t>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Accounts payable</w:t>
            </w:r>
          </w:p>
        </w:tc>
        <w:tc>
          <w:tcPr>
            <w:tcW w:w="21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12.4 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Accrued expenses and other current liabilities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24.4 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12.0 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Customer credit liabilities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6.8 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Operating lease liabilities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current liabilities</w:t>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Long-term debt, net</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272.5 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Operating lease liabilities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38.3 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Other liabilities</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0.7 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liabilities</w:t>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400.8 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371.5 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9"/>
              </w:rPr>
            </w:pPr>
            <w:r>
              <w:rPr>
                <w:rFonts w:ascii="Arial;sans-serif" w:hAnsi="Arial;sans-serif"/>
                <w:b w:val="false"/>
                <w:color w:val="000000"/>
                <w:sz w:val="19"/>
              </w:rPr>
              <w:t>Stockholders’ equity (deficit)</w:t>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Class A common stock</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Class B common stock</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Preferred stock</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19"/>
              </w:rPr>
            </w:pPr>
            <w:r>
              <w:rPr>
                <w:rFonts w:ascii="Arial;sans-serif" w:hAnsi="Arial;sans-serif"/>
                <w:b w:val="false"/>
                <w:color w:val="000000"/>
                <w:sz w:val="19"/>
              </w:rPr>
              <w:t>Additional paid-in capital</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930.8 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904.6 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19"/>
              </w:rPr>
            </w:pPr>
            <w:r>
              <w:rPr>
                <w:rFonts w:ascii="Arial;sans-serif" w:hAnsi="Arial;sans-serif"/>
                <w:b w:val="false"/>
                <w:color w:val="000000"/>
                <w:sz w:val="19"/>
              </w:rPr>
              <w:t>Accumulated deficit</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(1,053.1)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(939.9)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9"/>
              </w:rPr>
            </w:pPr>
            <w:r>
              <w:rPr>
                <w:rFonts w:ascii="Arial;sans-serif" w:hAnsi="Arial;sans-serif"/>
                <w:b w:val="false"/>
                <w:color w:val="000000"/>
                <w:sz w:val="19"/>
              </w:rPr>
              <w:t>Total stockholders’ equity (deficit)</w:t>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(122.3)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(35.3)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9"/>
              </w:rPr>
            </w:pPr>
            <w:r>
              <w:rPr>
                <w:rFonts w:ascii="Arial;sans-serif" w:hAnsi="Arial;sans-serif"/>
                <w:b w:val="false"/>
                <w:color w:val="000000"/>
                <w:sz w:val="19"/>
              </w:rPr>
              <w:t>Total liabilities and stockholders’ equity (deficit)</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278.5 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336.2 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Consolidated Statements of Operations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 except share and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81"/>
        <w:gridCol w:w="1380"/>
        <w:gridCol w:w="1397"/>
        <w:gridCol w:w="286"/>
        <w:gridCol w:w="735"/>
        <w:gridCol w:w="109"/>
        <w:gridCol w:w="109"/>
        <w:gridCol w:w="109"/>
        <w:gridCol w:w="109"/>
        <w:gridCol w:w="286"/>
        <w:gridCol w:w="735"/>
        <w:gridCol w:w="109"/>
        <w:gridCol w:w="109"/>
        <w:gridCol w:w="109"/>
        <w:gridCol w:w="109"/>
        <w:gridCol w:w="251"/>
        <w:gridCol w:w="770"/>
        <w:gridCol w:w="109"/>
        <w:gridCol w:w="109"/>
        <w:gridCol w:w="109"/>
        <w:gridCol w:w="109"/>
        <w:gridCol w:w="251"/>
        <w:gridCol w:w="770"/>
        <w:gridCol w:w="155"/>
      </w:tblGrid>
      <w:tr>
        <w:trPr/>
        <w:tc>
          <w:tcPr>
            <w:tcW w:w="188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Three Months Ended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January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Years Ended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January 31,</w:t>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w:t>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Subscription and Reserve rental revenue</w:t>
            </w:r>
          </w:p>
        </w:tc>
        <w:tc>
          <w:tcPr>
            <w:tcW w:w="28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revenue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revenue, net</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296.4 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Costs and expenses:</w:t>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Fulfillment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Technology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Marketing</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Rental product depreciation and revenue share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depreciation and amortization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Restructuring charges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Loss on asset impairment related to restructuring</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loss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(103.6)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Interest income / (expense),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 / (expense),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 before income tax benefit / (expense)</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(138.9)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(138.7)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 per share attributable to common stockholders, basic and diluted</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(7.02)</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(43.17)</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Weighted-average shares used in computing net loss per share attributable to common stockholders, basic and diluted</w:t>
            </w:r>
          </w:p>
        </w:tc>
        <w:tc>
          <w:tcPr>
            <w:tcW w:w="1021"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3,530,973 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3,248,278 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3,418,382 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3,212,746 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Consolidated Statements of Cash Flow</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before="0" w:after="0"/>
        <w:jc w:val="center"/>
        <w:rPr/>
      </w:pPr>
      <w:r>
        <w:rPr/>
      </w:r>
    </w:p>
    <w:tbl>
      <w:tblPr>
        <w:tblW w:w="9504" w:type="dxa"/>
        <w:jc w:val="center"/>
        <w:tblInd w:w="0" w:type="dxa"/>
        <w:tblLayout w:type="fixed"/>
        <w:tblCellMar>
          <w:top w:w="28" w:type="dxa"/>
          <w:left w:w="28" w:type="dxa"/>
          <w:bottom w:w="28" w:type="dxa"/>
          <w:right w:w="28" w:type="dxa"/>
        </w:tblCellMar>
      </w:tblPr>
      <w:tblGrid>
        <w:gridCol w:w="2572"/>
        <w:gridCol w:w="2267"/>
        <w:gridCol w:w="2271"/>
        <w:gridCol w:w="211"/>
        <w:gridCol w:w="691"/>
        <w:gridCol w:w="109"/>
        <w:gridCol w:w="109"/>
        <w:gridCol w:w="109"/>
        <w:gridCol w:w="109"/>
        <w:gridCol w:w="211"/>
        <w:gridCol w:w="691"/>
        <w:gridCol w:w="154"/>
      </w:tblGrid>
      <w:tr>
        <w:trPr/>
        <w:tc>
          <w:tcPr>
            <w:tcW w:w="2572"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Years Ended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January 31,</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7"/>
              </w:rPr>
            </w:pPr>
            <w:r>
              <w:rPr>
                <w:rFonts w:ascii="Arial;sans-serif" w:hAnsi="Arial;sans-serif"/>
                <w:b/>
                <w:color w:val="000000"/>
                <w:sz w:val="17"/>
              </w:rPr>
              <w:t>OPERATING ACTIVITIES</w:t>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(138.7)</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(used in) provided by operating activities:</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Rental product depreciation and write-offs</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Write-off of rental product sold</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Loss from lease termination and write-off of fixed and intangible assets</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Loss on asset impairment related to restructuring</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rental product sold</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 loss from liquidation of rental product</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Accrual of paid-in-kind interest</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debt discount</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 accrued expenses and other current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revenue and customer credit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provided by operating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(47.7)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7"/>
              </w:rPr>
            </w:pPr>
            <w:r>
              <w:rPr>
                <w:rFonts w:ascii="Arial;sans-serif" w:hAnsi="Arial;sans-serif"/>
                <w:b/>
                <w:color w:val="000000"/>
                <w:sz w:val="17"/>
              </w:rPr>
              <w:t>INVESTING ACTIVITIES</w:t>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rental product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liquidation of rental product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rental product</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fixed and intangible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(44.3)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color w:val="000000"/>
                <w:sz w:val="17"/>
              </w:rPr>
            </w:pPr>
            <w:r>
              <w:rPr>
                <w:rFonts w:ascii="Arial;sans-serif" w:hAnsi="Arial;sans-serif"/>
                <w:b/>
                <w:color w:val="000000"/>
                <w:sz w:val="17"/>
              </w:rPr>
              <w:t>FINANCING ACTIVITIES</w:t>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8"/>
              </w:rPr>
            </w:pPr>
            <w:r>
              <w:rPr>
                <w:rFonts w:ascii="Arial;sans-serif" w:hAnsi="Arial;sans-serif"/>
                <w:b w:val="false"/>
                <w:color w:val="000000"/>
                <w:sz w:val="18"/>
              </w:rPr>
              <w:t>Proceeds from short-term financing agreements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Other financing payments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8"/>
              </w:rPr>
            </w:pPr>
            <w:r>
              <w:rPr>
                <w:rFonts w:ascii="Arial;sans-serif" w:hAnsi="Arial;sans-serif"/>
                <w:b w:val="false"/>
                <w:color w:val="000000"/>
                <w:sz w:val="18"/>
              </w:rPr>
              <w:t>Net (decrease) increase in cash and cash equivalents and restricted cash</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(69.6)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(96.0)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8"/>
              </w:rPr>
            </w:pPr>
            <w:r>
              <w:rPr>
                <w:rFonts w:ascii="Arial;sans-serif" w:hAnsi="Arial;sans-serif"/>
                <w:b w:val="false"/>
                <w:color w:val="000000"/>
                <w:sz w:val="18"/>
              </w:rPr>
              <w:t>Cash and cash equivalents and restricted cash at beginning of period</w:t>
            </w:r>
          </w:p>
        </w:tc>
        <w:tc>
          <w:tcPr>
            <w:tcW w:w="902"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163.6 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259.6 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8"/>
              </w:rPr>
            </w:pPr>
            <w:r>
              <w:rPr>
                <w:rFonts w:ascii="Arial;sans-serif" w:hAnsi="Arial;sans-serif"/>
                <w:b w:val="false"/>
                <w:color w:val="000000"/>
                <w:sz w:val="18"/>
              </w:rPr>
              <w:t>Cash and cash equivalents and restricted cash at end of period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7"/>
              </w:rPr>
            </w:pPr>
            <w:r>
              <w:rPr>
                <w:rFonts w:ascii="Arial;sans-serif" w:hAnsi="Arial;sans-serif"/>
                <w:b w:val="false"/>
                <w:color w:val="000000"/>
                <w:sz w:val="17"/>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94.0 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7"/>
              </w:rPr>
            </w:pPr>
            <w:r>
              <w:rPr>
                <w:rFonts w:ascii="Arial;sans-serif" w:hAnsi="Arial;sans-serif"/>
                <w:b w:val="false"/>
                <w:color w:val="000000"/>
                <w:sz w:val="17"/>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163.6 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Consolidated Statements of Cash Flow</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038"/>
        <w:gridCol w:w="2578"/>
        <w:gridCol w:w="2584"/>
        <w:gridCol w:w="196"/>
        <w:gridCol w:w="466"/>
        <w:gridCol w:w="109"/>
        <w:gridCol w:w="109"/>
        <w:gridCol w:w="109"/>
        <w:gridCol w:w="109"/>
        <w:gridCol w:w="196"/>
        <w:gridCol w:w="556"/>
        <w:gridCol w:w="155"/>
      </w:tblGrid>
      <w:tr>
        <w:trPr/>
        <w:tc>
          <w:tcPr>
            <w:tcW w:w="3038"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Years Ended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January 31,</w:t>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16"/>
              </w:rPr>
            </w:pPr>
            <w:r>
              <w:rPr>
                <w:rFonts w:ascii="Arial;sans-serif" w:hAnsi="Arial;sans-serif"/>
                <w:b/>
                <w:color w:val="000000"/>
                <w:sz w:val="16"/>
              </w:rPr>
              <w:t>RECONCILIATION OF CASH AND CASH EQUIVALENTS AND RESTRICTED CASH TO THE CONSOLIDATED BALANCE SHEETS:</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Restricted cash, noncurrent</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and cash equivalents and restricted cash</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94.0 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163.6 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8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Supplemental Cash Flow Information:</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Cash payments (receipts) for:</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Interest paid on loans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Interest paid on financing leases</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Fixed operating lease payments, net</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Fixed assets and intangibles received in the prior period</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Rental product received in the prior period</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Non-cash financing and investing activities:</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Financing lease right-of-use asset amortization</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ROU assets obtained in exchange for lease liabilities</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Adjustments to ROU assets or lease liabilities due to modification or other reassessment events to operating and finance leases</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Purchases of fixed assets and intangibles not yet settled</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Purchases of rental product not yet settled</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Reconciliation of loss on asset impairment:</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Accrued expense related to the loss on asset impairment</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Reconciliation of GAAP to Non-GAAP Financial Measures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The following table presents a reconciliation of net loss, the most comparable GAAP financial measure, to Adjusted EBITDA for the periods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58"/>
        <w:gridCol w:w="1454"/>
        <w:gridCol w:w="1465"/>
        <w:gridCol w:w="211"/>
        <w:gridCol w:w="600"/>
        <w:gridCol w:w="286"/>
        <w:gridCol w:w="109"/>
        <w:gridCol w:w="109"/>
        <w:gridCol w:w="109"/>
        <w:gridCol w:w="211"/>
        <w:gridCol w:w="600"/>
        <w:gridCol w:w="286"/>
        <w:gridCol w:w="109"/>
        <w:gridCol w:w="109"/>
        <w:gridCol w:w="109"/>
        <w:gridCol w:w="211"/>
        <w:gridCol w:w="705"/>
        <w:gridCol w:w="286"/>
        <w:gridCol w:w="109"/>
        <w:gridCol w:w="109"/>
        <w:gridCol w:w="109"/>
        <w:gridCol w:w="211"/>
        <w:gridCol w:w="705"/>
        <w:gridCol w:w="335"/>
      </w:tblGrid>
      <w:tr>
        <w:trPr/>
        <w:tc>
          <w:tcPr>
            <w:tcW w:w="165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Arial;sans-serif" w:hAnsi="Arial;sans-serif"/>
                <w:b/>
                <w:color w:val="000000"/>
                <w:sz w:val="16"/>
              </w:rPr>
            </w:pPr>
            <w:r>
              <w:rPr>
                <w:rFonts w:ascii="Arial;sans-serif" w:hAnsi="Arial;sans-serif"/>
                <w:b/>
                <w:color w:val="000000"/>
                <w:sz w:val="16"/>
              </w:rPr>
              <w:t xml:space="preserve">Three Months Ended </w:t>
            </w:r>
          </w:p>
          <w:p>
            <w:pPr>
              <w:pStyle w:val="TableContents"/>
              <w:bidi w:val="0"/>
              <w:spacing w:lineRule="auto" w:line="319" w:before="0" w:after="0"/>
              <w:jc w:val="center"/>
              <w:rPr>
                <w:rFonts w:ascii="Arial;sans-serif" w:hAnsi="Arial;sans-serif"/>
                <w:b/>
                <w:color w:val="000000"/>
                <w:sz w:val="16"/>
              </w:rPr>
            </w:pPr>
            <w:r>
              <w:rPr>
                <w:rFonts w:ascii="Arial;sans-serif" w:hAnsi="Arial;sans-serif"/>
                <w:b/>
                <w:color w:val="000000"/>
                <w:sz w:val="16"/>
              </w:rPr>
              <w:t>January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Arial;sans-serif" w:hAnsi="Arial;sans-serif"/>
                <w:b/>
                <w:color w:val="000000"/>
                <w:sz w:val="16"/>
              </w:rPr>
            </w:pPr>
            <w:r>
              <w:rPr>
                <w:rFonts w:ascii="Arial;sans-serif" w:hAnsi="Arial;sans-serif"/>
                <w:b/>
                <w:color w:val="000000"/>
                <w:sz w:val="16"/>
              </w:rPr>
              <w:t xml:space="preserve">Years Ended </w:t>
            </w:r>
          </w:p>
          <w:p>
            <w:pPr>
              <w:pStyle w:val="TableContents"/>
              <w:bidi w:val="0"/>
              <w:spacing w:lineRule="auto" w:line="319" w:before="0" w:after="0"/>
              <w:jc w:val="center"/>
              <w:rPr>
                <w:rFonts w:ascii="Arial;sans-serif" w:hAnsi="Arial;sans-serif"/>
                <w:b/>
                <w:color w:val="000000"/>
                <w:sz w:val="16"/>
              </w:rPr>
            </w:pPr>
            <w:r>
              <w:rPr>
                <w:rFonts w:ascii="Arial;sans-serif" w:hAnsi="Arial;sans-serif"/>
                <w:b/>
                <w:color w:val="000000"/>
                <w:sz w:val="16"/>
              </w:rPr>
              <w:t>January 31,</w:t>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8"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(138.7)</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Interest (income) / expense, net </w:t>
            </w:r>
            <w:r>
              <w:rPr>
                <w:rFonts w:ascii="Arial;sans-serif" w:hAnsi="Arial;sans-serif"/>
                <w:b w:val="false"/>
                <w:color w:val="000000"/>
                <w:sz w:val="13"/>
              </w:rPr>
              <w:t>(1)</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Rental product depreciation</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Other depreciation and amortization </w:t>
            </w:r>
            <w:r>
              <w:rPr>
                <w:rFonts w:ascii="Arial;sans-serif" w:hAnsi="Arial;sans-serif"/>
                <w:b w:val="false"/>
                <w:color w:val="000000"/>
                <w:sz w:val="13"/>
              </w:rPr>
              <w:t>(2)</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 xml:space="preserve">Share-based compensation </w:t>
            </w:r>
            <w:r>
              <w:rPr>
                <w:rFonts w:ascii="Arial;sans-serif" w:hAnsi="Arial;sans-serif"/>
                <w:b w:val="false"/>
                <w:color w:val="000000"/>
                <w:sz w:val="13"/>
              </w:rPr>
              <w:t>(3)</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Write-off of liquidated assets </w:t>
            </w:r>
            <w:r>
              <w:rPr>
                <w:rFonts w:ascii="Arial;sans-serif" w:hAnsi="Arial;sans-serif"/>
                <w:b w:val="false"/>
                <w:color w:val="000000"/>
                <w:sz w:val="13"/>
              </w:rPr>
              <w:t>(4)</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Non-recurring adjustments </w:t>
            </w:r>
            <w:r>
              <w:rPr>
                <w:rFonts w:ascii="Arial;sans-serif" w:hAnsi="Arial;sans-serif"/>
                <w:b w:val="false"/>
                <w:color w:val="000000"/>
                <w:sz w:val="13"/>
              </w:rPr>
              <w:t>(5)</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 xml:space="preserve">Non-ordinary course legal fees </w:t>
            </w:r>
            <w:r>
              <w:rPr>
                <w:rFonts w:ascii="Arial;sans-serif" w:hAnsi="Arial;sans-serif"/>
                <w:b w:val="false"/>
                <w:color w:val="000000"/>
                <w:sz w:val="13"/>
              </w:rPr>
              <w:t>(6)</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 xml:space="preserve">Restructuring charges </w:t>
            </w:r>
            <w:r>
              <w:rPr>
                <w:rFonts w:ascii="Arial;sans-serif" w:hAnsi="Arial;sans-serif"/>
                <w:b w:val="false"/>
                <w:color w:val="000000"/>
                <w:sz w:val="13"/>
              </w:rPr>
              <w:t>(7)</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 xml:space="preserve">Loss on asset impairment related to restructuring </w:t>
            </w:r>
            <w:r>
              <w:rPr>
                <w:rFonts w:ascii="Arial;sans-serif" w:hAnsi="Arial;sans-serif"/>
                <w:b w:val="false"/>
                <w:color w:val="000000"/>
                <w:sz w:val="13"/>
              </w:rPr>
              <w:t>(8)</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 xml:space="preserve">Other (income) / expense, net </w:t>
            </w:r>
            <w:r>
              <w:rPr>
                <w:rFonts w:ascii="Arial;sans-serif" w:hAnsi="Arial;sans-serif"/>
                <w:b w:val="false"/>
                <w:color w:val="000000"/>
                <w:sz w:val="13"/>
              </w:rPr>
              <w:t>(9)</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Other (gains) / losses </w:t>
            </w:r>
            <w:r>
              <w:rPr>
                <w:rFonts w:ascii="Arial;sans-serif" w:hAnsi="Arial;sans-serif"/>
                <w:b w:val="false"/>
                <w:color w:val="000000"/>
                <w:sz w:val="13"/>
              </w:rPr>
              <w:t>(10)</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 xml:space="preserve">Adjusted EBITDA Margin </w:t>
            </w:r>
            <w:r>
              <w:rPr>
                <w:rFonts w:ascii="Arial;sans-serif" w:hAnsi="Arial;sans-serif"/>
                <w:b w:val="false"/>
                <w:color w:val="000000"/>
                <w:sz w:val="13"/>
              </w:rPr>
              <w:t>(11)</w:t>
            </w:r>
          </w:p>
        </w:tc>
        <w:tc>
          <w:tcPr>
            <w:tcW w:w="8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40"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 xml:space="preserve">Includes debt discount amortization of $6.5 million in the three months ended January 31, 2024, $1.1 million in the three months ended January 31, 2023, $11.7 million in the year ended January 31, 2024 and $4.3 million in the year ended January 31, 2023. </w:t>
      </w:r>
    </w:p>
    <w:p>
      <w:pPr>
        <w:pStyle w:val="TextBody"/>
        <w:bidi w:val="0"/>
        <w:spacing w:lineRule="auto" w:line="319" w:before="1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Reflects non-rental product depreciation and capitalized software amortization.</w:t>
      </w:r>
    </w:p>
    <w:p>
      <w:pPr>
        <w:pStyle w:val="TextBody"/>
        <w:bidi w:val="0"/>
        <w:spacing w:lineRule="auto" w:line="319" w:before="120" w:after="283"/>
        <w:ind w:left="0" w:right="0" w:hanging="360"/>
        <w:jc w:val="left"/>
        <w:rPr/>
      </w:pPr>
      <w:r>
        <w:rPr>
          <w:rFonts w:ascii="Arial;sans-serif" w:hAnsi="Arial;sans-serif"/>
          <w:b w:val="false"/>
          <w:color w:val="000000"/>
          <w:sz w:val="10"/>
        </w:rPr>
        <w:t>(3)</w:t>
      </w:r>
      <w:r>
        <w:rPr>
          <w:rFonts w:ascii="Arial;sans-serif" w:hAnsi="Arial;sans-serif"/>
          <w:b w:val="false"/>
          <w:color w:val="000000"/>
          <w:sz w:val="16"/>
        </w:rPr>
        <w:t>Reflects the non-cash expense for share-based compensation.</w:t>
      </w:r>
    </w:p>
    <w:p>
      <w:pPr>
        <w:pStyle w:val="TextBody"/>
        <w:bidi w:val="0"/>
        <w:spacing w:lineRule="auto" w:line="319" w:before="120" w:after="283"/>
        <w:ind w:left="0" w:right="0" w:hanging="360"/>
        <w:jc w:val="left"/>
        <w:rPr/>
      </w:pPr>
      <w:r>
        <w:rPr>
          <w:rFonts w:ascii="Arial;sans-serif" w:hAnsi="Arial;sans-serif"/>
          <w:b w:val="false"/>
          <w:color w:val="000000"/>
          <w:sz w:val="10"/>
        </w:rPr>
        <w:t>(4)</w:t>
      </w:r>
      <w:r>
        <w:rPr>
          <w:rFonts w:ascii="Arial;sans-serif" w:hAnsi="Arial;sans-serif"/>
          <w:b w:val="false"/>
          <w:color w:val="000000"/>
          <w:sz w:val="16"/>
        </w:rPr>
        <w:t>Reflects the write-off of the remaining book value of liquidated rental product that had previously been held for sale.</w:t>
      </w:r>
    </w:p>
    <w:p>
      <w:pPr>
        <w:pStyle w:val="TextBody"/>
        <w:bidi w:val="0"/>
        <w:spacing w:lineRule="auto" w:line="319" w:before="120" w:after="283"/>
        <w:ind w:left="0" w:right="0" w:hanging="360"/>
        <w:jc w:val="left"/>
        <w:rPr/>
      </w:pPr>
      <w:r>
        <w:rPr>
          <w:rFonts w:ascii="Arial;sans-serif" w:hAnsi="Arial;sans-serif"/>
          <w:b w:val="false"/>
          <w:color w:val="000000"/>
          <w:sz w:val="10"/>
        </w:rPr>
        <w:t>(5)</w:t>
      </w:r>
      <w:r>
        <w:rPr>
          <w:rFonts w:ascii="Arial;sans-serif" w:hAnsi="Arial;sans-serif"/>
          <w:b w:val="false"/>
          <w:color w:val="000000"/>
          <w:sz w:val="16"/>
        </w:rPr>
        <w:t>Non-recurring adjustments for the three months ended January 31, 2024 includes $1.1 million of costs primarily related to debt refinancing and related fees and the option exchange. Non-recurring adjustments for the year ended January 31, 2024 includes $1.7 million of costs primarily related to debt refinancing and related fees and the option exchange and for the year ended January 31, 2023 includes $1.3 million of costs related to public company SOX readiness.</w:t>
      </w:r>
    </w:p>
    <w:p>
      <w:pPr>
        <w:pStyle w:val="TextBody"/>
        <w:bidi w:val="0"/>
        <w:spacing w:lineRule="auto" w:line="319" w:before="120" w:after="283"/>
        <w:ind w:left="0" w:right="0" w:hanging="360"/>
        <w:jc w:val="left"/>
        <w:rPr/>
      </w:pPr>
      <w:r>
        <w:rPr>
          <w:rFonts w:ascii="Arial;sans-serif" w:hAnsi="Arial;sans-serif"/>
          <w:b w:val="false"/>
          <w:color w:val="000000"/>
          <w:sz w:val="10"/>
        </w:rPr>
        <w:t>(6)</w:t>
      </w:r>
      <w:r>
        <w:rPr>
          <w:rFonts w:ascii="Arial;sans-serif" w:hAnsi="Arial;sans-serif"/>
          <w:b w:val="false"/>
          <w:color w:val="000000"/>
          <w:sz w:val="16"/>
        </w:rPr>
        <w:t>Non-ordinary course legal fees for the year ended January 31, 2024 includes $0.3 million related to a class action lawsuit. Non-ordinary course legal fees for the three months ended and year ended January 31, 2023 includes $0.1 million of costs related to a class action lawsuit.</w:t>
      </w:r>
    </w:p>
    <w:p>
      <w:pPr>
        <w:pStyle w:val="TextBody"/>
        <w:bidi w:val="0"/>
        <w:spacing w:lineRule="auto" w:line="319" w:before="120" w:after="283"/>
        <w:ind w:left="0" w:right="0" w:hanging="360"/>
        <w:jc w:val="left"/>
        <w:rPr/>
      </w:pPr>
      <w:r>
        <w:rPr>
          <w:rFonts w:ascii="Arial;sans-serif" w:hAnsi="Arial;sans-serif"/>
          <w:b w:val="false"/>
          <w:color w:val="000000"/>
          <w:sz w:val="10"/>
        </w:rPr>
        <w:t>(7)</w:t>
      </w:r>
      <w:r>
        <w:rPr>
          <w:rFonts w:ascii="Arial;sans-serif" w:hAnsi="Arial;sans-serif"/>
          <w:b w:val="false"/>
          <w:color w:val="000000"/>
          <w:sz w:val="16"/>
        </w:rPr>
        <w:t>Reflects restructuring charges primarily related to severance and related costs in connection with the January 2024 and September 2022 restructuring plans.</w:t>
      </w:r>
    </w:p>
    <w:p>
      <w:pPr>
        <w:pStyle w:val="TextBody"/>
        <w:bidi w:val="0"/>
        <w:spacing w:lineRule="auto" w:line="319" w:before="120" w:after="283"/>
        <w:ind w:left="0" w:right="0" w:hanging="360"/>
        <w:jc w:val="left"/>
        <w:rPr/>
      </w:pPr>
      <w:r>
        <w:rPr>
          <w:rFonts w:ascii="Arial;sans-serif" w:hAnsi="Arial;sans-serif"/>
          <w:b w:val="false"/>
          <w:color w:val="000000"/>
          <w:sz w:val="10"/>
        </w:rPr>
        <w:t>(8)</w:t>
      </w:r>
      <w:r>
        <w:rPr>
          <w:rFonts w:ascii="Arial;sans-serif" w:hAnsi="Arial;sans-serif"/>
          <w:b w:val="false"/>
          <w:color w:val="000000"/>
          <w:sz w:val="16"/>
        </w:rPr>
        <w:t>Reflects the asset impairment charge related to the discontinuation of a software implementation project in connection with the January 2024 restructuring plan and two warehouse operations projects in connection with the September 2022 restructuring plan.</w:t>
      </w:r>
    </w:p>
    <w:p>
      <w:pPr>
        <w:pStyle w:val="TextBody"/>
        <w:bidi w:val="0"/>
        <w:spacing w:lineRule="auto" w:line="319" w:before="120" w:after="283"/>
        <w:ind w:left="0" w:right="0" w:hanging="360"/>
        <w:jc w:val="left"/>
        <w:rPr/>
      </w:pPr>
      <w:r>
        <w:rPr>
          <w:rFonts w:ascii="Arial;sans-serif" w:hAnsi="Arial;sans-serif"/>
          <w:b w:val="false"/>
          <w:color w:val="000000"/>
          <w:sz w:val="10"/>
        </w:rPr>
        <w:t>(9)</w:t>
      </w:r>
      <w:r>
        <w:rPr>
          <w:rFonts w:ascii="Arial;sans-serif" w:hAnsi="Arial;sans-serif"/>
          <w:b w:val="false"/>
          <w:color w:val="000000"/>
          <w:sz w:val="16"/>
        </w:rPr>
        <w:t>Primarily includes $1.4 million of monetized tax credits for the year ended January 31, 2023.</w:t>
      </w:r>
    </w:p>
    <w:p>
      <w:pPr>
        <w:pStyle w:val="TextBody"/>
        <w:bidi w:val="0"/>
        <w:spacing w:lineRule="auto" w:line="319" w:before="120" w:after="283"/>
        <w:ind w:left="0" w:right="0" w:hanging="360"/>
        <w:jc w:val="left"/>
        <w:rPr/>
      </w:pPr>
      <w:r>
        <w:rPr>
          <w:rFonts w:ascii="Arial;sans-serif" w:hAnsi="Arial;sans-serif"/>
          <w:b w:val="false"/>
          <w:color w:val="000000"/>
          <w:sz w:val="10"/>
        </w:rPr>
        <w:t>(10)</w:t>
      </w:r>
      <w:r>
        <w:rPr>
          <w:rFonts w:ascii="Arial;sans-serif" w:hAnsi="Arial;sans-serif"/>
          <w:b w:val="false"/>
          <w:color w:val="000000"/>
          <w:sz w:val="16"/>
        </w:rPr>
        <w:t>Includes gains / losses recognized in relation to foreign exchange, operating lease terminations and the related surrender of fixed assets (see “Note 5 - Leases – Lessee Accounting” in the Notes to the Consolidated Financial Statements).</w:t>
      </w:r>
    </w:p>
    <w:p>
      <w:pPr>
        <w:pStyle w:val="TextBody"/>
        <w:bidi w:val="0"/>
        <w:spacing w:lineRule="auto" w:line="319" w:before="120" w:after="283"/>
        <w:ind w:left="0" w:right="0" w:hanging="360"/>
        <w:jc w:val="left"/>
        <w:rPr/>
      </w:pPr>
      <w:r>
        <w:rPr>
          <w:rFonts w:ascii="Arial;sans-serif" w:hAnsi="Arial;sans-serif"/>
          <w:b w:val="false"/>
          <w:color w:val="000000"/>
          <w:sz w:val="10"/>
        </w:rPr>
        <w:t>(11)</w:t>
      </w:r>
      <w:r>
        <w:rPr>
          <w:rFonts w:ascii="Arial;sans-serif" w:hAnsi="Arial;sans-serif"/>
          <w:b w:val="false"/>
          <w:color w:val="000000"/>
          <w:sz w:val="16"/>
        </w:rPr>
        <w:t>Adjusted EBITDA Margin calculated as Adjusted EBITDA as a percentage of revenue.</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319" w:before="120" w:after="283"/>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Reconciliation of GAAP to Non-GAAP Financial Measures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before="120" w:after="283"/>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following table presents a reconciliation of net cash (used in) provided by operating activities, the most comparable GAAP financial measure, to Free Cash Flow and Free Cash Flow Margin for the periods presented:</w:t>
      </w:r>
    </w:p>
    <w:p>
      <w:pPr>
        <w:pStyle w:val="TextBody"/>
        <w:bidi w:val="0"/>
        <w:spacing w:before="0" w:after="0"/>
        <w:jc w:val="left"/>
        <w:rPr/>
      </w:pPr>
      <w:r>
        <w:rPr/>
      </w:r>
    </w:p>
    <w:tbl>
      <w:tblPr>
        <w:tblW w:w="7365" w:type="dxa"/>
        <w:jc w:val="left"/>
        <w:tblInd w:w="0" w:type="dxa"/>
        <w:tblLayout w:type="fixed"/>
        <w:tblCellMar>
          <w:top w:w="28" w:type="dxa"/>
          <w:left w:w="28" w:type="dxa"/>
          <w:bottom w:w="28" w:type="dxa"/>
          <w:right w:w="28" w:type="dxa"/>
        </w:tblCellMar>
      </w:tblPr>
      <w:tblGrid>
        <w:gridCol w:w="1620"/>
        <w:gridCol w:w="1420"/>
        <w:gridCol w:w="1430"/>
        <w:gridCol w:w="109"/>
        <w:gridCol w:w="109"/>
        <w:gridCol w:w="109"/>
        <w:gridCol w:w="211"/>
        <w:gridCol w:w="601"/>
        <w:gridCol w:w="286"/>
        <w:gridCol w:w="109"/>
        <w:gridCol w:w="109"/>
        <w:gridCol w:w="109"/>
        <w:gridCol w:w="211"/>
        <w:gridCol w:w="601"/>
        <w:gridCol w:w="331"/>
      </w:tblGrid>
      <w:tr>
        <w:trPr/>
        <w:tc>
          <w:tcPr>
            <w:tcW w:w="162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Arial;sans-serif" w:hAnsi="Arial;sans-serif"/>
                <w:b/>
                <w:color w:val="000000"/>
                <w:sz w:val="16"/>
              </w:rPr>
            </w:pPr>
            <w:r>
              <w:rPr>
                <w:rFonts w:ascii="Arial;sans-serif" w:hAnsi="Arial;sans-serif"/>
                <w:b/>
                <w:color w:val="000000"/>
                <w:sz w:val="16"/>
              </w:rPr>
              <w:t xml:space="preserve">Years Ended </w:t>
            </w:r>
          </w:p>
          <w:p>
            <w:pPr>
              <w:pStyle w:val="TableContents"/>
              <w:bidi w:val="0"/>
              <w:spacing w:lineRule="auto" w:line="319" w:before="0" w:after="0"/>
              <w:jc w:val="center"/>
              <w:rPr>
                <w:rFonts w:ascii="Arial;sans-serif" w:hAnsi="Arial;sans-serif"/>
                <w:b/>
                <w:color w:val="000000"/>
                <w:sz w:val="16"/>
              </w:rPr>
            </w:pPr>
            <w:r>
              <w:rPr>
                <w:rFonts w:ascii="Arial;sans-serif" w:hAnsi="Arial;sans-serif"/>
                <w:b/>
                <w:color w:val="000000"/>
                <w:sz w:val="16"/>
              </w:rPr>
              <w:t>January 31,</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(used in)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(47.7)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Purchases of rental 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(77.9)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Proceeds from liquidation of rental 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Proceeds from sale of rental 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Purchases of fixed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(70.3)</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(92.0)</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Free Cash Flow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(23.6)</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(31.0)</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20" w:after="283"/>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Reconciliation of GAAP to Non-GAAP Financial Measures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before="120" w:after="283"/>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following table presents a reconciliation of net loss, the most comparable GAAP financial measure, to Free Cash Flow and Free Cash Flow Margin for the periods presented:</w:t>
      </w:r>
    </w:p>
    <w:p>
      <w:pPr>
        <w:pStyle w:val="TextBody"/>
        <w:bidi w:val="0"/>
        <w:spacing w:before="0" w:after="0"/>
        <w:jc w:val="left"/>
        <w:rPr/>
      </w:pPr>
      <w:r>
        <w:rPr/>
      </w:r>
    </w:p>
    <w:tbl>
      <w:tblPr>
        <w:tblW w:w="7485" w:type="dxa"/>
        <w:jc w:val="left"/>
        <w:tblInd w:w="0" w:type="dxa"/>
        <w:tblLayout w:type="fixed"/>
        <w:tblCellMar>
          <w:top w:w="28" w:type="dxa"/>
          <w:left w:w="28" w:type="dxa"/>
          <w:bottom w:w="28" w:type="dxa"/>
          <w:right w:w="28" w:type="dxa"/>
        </w:tblCellMar>
      </w:tblPr>
      <w:tblGrid>
        <w:gridCol w:w="1584"/>
        <w:gridCol w:w="1393"/>
        <w:gridCol w:w="1403"/>
        <w:gridCol w:w="109"/>
        <w:gridCol w:w="109"/>
        <w:gridCol w:w="109"/>
        <w:gridCol w:w="211"/>
        <w:gridCol w:w="706"/>
        <w:gridCol w:w="286"/>
        <w:gridCol w:w="109"/>
        <w:gridCol w:w="109"/>
        <w:gridCol w:w="109"/>
        <w:gridCol w:w="211"/>
        <w:gridCol w:w="706"/>
        <w:gridCol w:w="331"/>
      </w:tblGrid>
      <w:tr>
        <w:trPr/>
        <w:tc>
          <w:tcPr>
            <w:tcW w:w="15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Arial;sans-serif" w:hAnsi="Arial;sans-serif"/>
                <w:b/>
                <w:color w:val="000000"/>
                <w:sz w:val="16"/>
              </w:rPr>
            </w:pPr>
            <w:r>
              <w:rPr>
                <w:rFonts w:ascii="Arial;sans-serif" w:hAnsi="Arial;sans-serif"/>
                <w:b/>
                <w:color w:val="000000"/>
                <w:sz w:val="16"/>
              </w:rPr>
              <w:t xml:space="preserve">Years Ended </w:t>
            </w:r>
          </w:p>
          <w:p>
            <w:pPr>
              <w:pStyle w:val="TableContents"/>
              <w:bidi w:val="0"/>
              <w:spacing w:lineRule="auto" w:line="319" w:before="0" w:after="0"/>
              <w:jc w:val="center"/>
              <w:rPr>
                <w:rFonts w:ascii="Arial;sans-serif" w:hAnsi="Arial;sans-serif"/>
                <w:b/>
                <w:color w:val="000000"/>
                <w:sz w:val="16"/>
              </w:rPr>
            </w:pPr>
            <w:r>
              <w:rPr>
                <w:rFonts w:ascii="Arial;sans-serif" w:hAnsi="Arial;sans-serif"/>
                <w:b/>
                <w:color w:val="000000"/>
                <w:sz w:val="16"/>
              </w:rPr>
              <w:t>January 31,</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(138.7)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Interest (income) /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Rental product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Write-off of liquidated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Non-recurring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 xml:space="preserve">Non-ordinary course legal fees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Loss on asset impairment related to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(income) /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(gains) /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Purchases of rental 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(77.9)</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(62.1)</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Purchases of fixed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(20.1)</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interest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Change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Non-recurring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Non-ordinary course legal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adjustments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(70.3)</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(92.0)</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Free Cash Flow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(23.6)</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(31.0)</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Other adjustments primarily includes cash tax adjustments and other cash gains (losses).</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5044</Words>
  <Characters>27868</Characters>
  <CharactersWithSpaces>32462</CharactersWithSpaces>
  <Paragraphs>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