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2774_8k.htm"/>
      <w:bookmarkStart w:id="1" w:name="ksdp252774_8k"/>
      <w:bookmarkEnd w:id="0"/>
      <w:bookmarkEnd w:id="1"/>
      <w:r>
        <w:rPr/>
        <w:t> </w:t>
      </w:r>
    </w:p>
    <w:p>
      <w:pPr>
        <w:pStyle w:val="TextBody"/>
        <w:pBdr>
          <w:bottom w:val="single" w:sz="24" w:space="1" w:color="000000"/>
        </w:pBdr>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Washington, D.C. 20549 </w:t>
      </w:r>
    </w:p>
    <w:p>
      <w:pPr>
        <w:pStyle w:val="TextBody"/>
        <w:bidi w:val="0"/>
        <w:spacing w:before="0" w:after="283"/>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01__20"/>
      <w:bookmarkEnd w:id="2"/>
      <w:r>
        <w:rPr>
          <w:rFonts w:ascii="Times New Roman;Times;Serif" w:hAnsi="Times New Roman;Times;Serif"/>
          <w:b/>
          <w:i w:val="false"/>
          <w:caps w:val="false"/>
          <w:smallCaps w:val="false"/>
          <w:sz w:val="36"/>
        </w:rPr>
        <w:t>8-K</w:t>
      </w:r>
    </w:p>
    <w:p>
      <w:pPr>
        <w:pStyle w:val="TextBody"/>
        <w:bidi w:val="0"/>
        <w:spacing w:before="0" w:after="283"/>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4"/>
        </w:rPr>
        <w:t xml:space="preserve">September 1,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sz w:val="20"/>
        </w:rPr>
      </w:pPr>
      <w:r>
        <w:rPr>
          <w:sz w:val="20"/>
        </w:rPr>
        <w:t>____________________________</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D_edei--EntityRegistrantName_c2026"/>
      <w:bookmarkEnd w:id="4"/>
      <w:r>
        <w:rPr>
          <w:rFonts w:ascii="Times New Roman;Times;Serif" w:hAnsi="Times New Roman;Times;Serif"/>
          <w:b/>
          <w:i w:val="false"/>
          <w:caps w:val="false"/>
          <w:smallCaps w:val="false"/>
          <w:sz w:val="48"/>
        </w:rPr>
        <w:t xml:space="preserve">Rent the Runway,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ind w:left="0" w:right="0" w:hanging="0"/>
        <w:jc w:val="left"/>
        <w:rPr/>
      </w:pPr>
      <w:r>
        <w:rPr/>
        <w:t> </w:t>
      </w:r>
    </w:p>
    <w:p>
      <w:pPr>
        <w:pStyle w:val="TextBody"/>
        <w:bidi w:val="0"/>
        <w:jc w:val="center"/>
        <w:rPr>
          <w:sz w:val="20"/>
        </w:rPr>
      </w:pPr>
      <w:r>
        <w:rPr>
          <w:sz w:val="20"/>
        </w:rPr>
        <w:t>____________________________</w:t>
      </w:r>
    </w:p>
    <w:p>
      <w:pPr>
        <w:pStyle w:val="TextBody"/>
        <w:bidi w:val="0"/>
        <w:spacing w:before="0" w:after="283"/>
        <w:jc w:val="left"/>
        <w:rPr/>
      </w:pPr>
      <w:r>
        <w:rPr/>
        <w:t> </w:t>
      </w:r>
    </w:p>
    <w:tbl>
      <w:tblPr>
        <w:tblW w:w="5505" w:type="dxa"/>
        <w:jc w:val="left"/>
        <w:tblInd w:w="0" w:type="dxa"/>
        <w:tblLayout w:type="fixed"/>
        <w:tblCellMar>
          <w:top w:w="0" w:type="dxa"/>
          <w:left w:w="0" w:type="dxa"/>
          <w:bottom w:w="0" w:type="dxa"/>
          <w:right w:w="0" w:type="dxa"/>
        </w:tblCellMar>
      </w:tblPr>
      <w:tblGrid>
        <w:gridCol w:w="2270"/>
        <w:gridCol w:w="60"/>
        <w:gridCol w:w="1145"/>
        <w:gridCol w:w="60"/>
        <w:gridCol w:w="1970"/>
      </w:tblGrid>
      <w:tr>
        <w:trPr/>
        <w:tc>
          <w:tcPr>
            <w:tcW w:w="2270" w:type="dxa"/>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8_edei--EntityFileNumber_c20260901"/>
            <w:bookmarkEnd w:id="6"/>
            <w:r>
              <w:rPr>
                <w:b/>
                <w:sz w:val="20"/>
              </w:rPr>
              <w:t>001-40958</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b/>
                <w:sz w:val="20"/>
              </w:rPr>
            </w:pPr>
            <w:bookmarkStart w:id="7" w:name="xdx_907_edei--EntityTaxIdentificationNum"/>
            <w:bookmarkEnd w:id="7"/>
            <w:r>
              <w:rPr>
                <w:b/>
                <w:sz w:val="20"/>
              </w:rPr>
              <w:t>80-0376379</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Rent the Runway, Inc.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AddressLine2_"/>
      <w:bookmarkEnd w:id="9"/>
      <w:r>
        <w:rPr>
          <w:rFonts w:ascii="Times New Roman;Times;Serif" w:hAnsi="Times New Roman;Times;Serif"/>
          <w:b/>
          <w:i w:val="false"/>
          <w:caps w:val="false"/>
          <w:smallCaps w:val="false"/>
          <w:sz w:val="20"/>
        </w:rPr>
        <w:t>10 Jay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Brooklyn, </w:t>
      </w:r>
      <w:bookmarkStart w:id="11" w:name="xdx_906_edei--EntityAddressStateOrProvin"/>
      <w:bookmarkEnd w:id="11"/>
      <w:r>
        <w:rPr>
          <w:rFonts w:ascii="Times New Roman;Times;Serif" w:hAnsi="Times New Roman;Times;Serif"/>
          <w:b/>
          <w:i w:val="false"/>
          <w:caps w:val="false"/>
          <w:smallCaps w:val="false"/>
          <w:sz w:val="20"/>
        </w:rPr>
        <w:t xml:space="preserve">New York </w:t>
      </w:r>
      <w:bookmarkStart w:id="12" w:name="xdx_909_edei--EntityAddressPostalZipCode"/>
      <w:bookmarkEnd w:id="12"/>
      <w:r>
        <w:rPr>
          <w:rFonts w:ascii="Times New Roman;Times;Serif" w:hAnsi="Times New Roman;Times;Serif"/>
          <w:b/>
          <w:i w:val="false"/>
          <w:caps w:val="false"/>
          <w:smallCaps w:val="false"/>
          <w:sz w:val="20"/>
        </w:rPr>
        <w:t>11201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(Address of principal executive offices, including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5_edei--CityAreaCode_c20260901__20"/>
      <w:bookmarkEnd w:id="13"/>
      <w:r>
        <w:rPr>
          <w:rFonts w:ascii="Times New Roman;Times;Serif" w:hAnsi="Times New Roman;Times;Serif"/>
          <w:b/>
          <w:i w:val="false"/>
          <w:caps w:val="false"/>
          <w:smallCaps w:val="false"/>
          <w:sz w:val="20"/>
        </w:rPr>
        <w:t xml:space="preserve">212) </w:t>
      </w:r>
      <w:bookmarkStart w:id="14" w:name="xdx_90C_edei--LocalPhoneNumber_c20260901"/>
      <w:bookmarkEnd w:id="14"/>
      <w:r>
        <w:rPr>
          <w:rFonts w:ascii="Times New Roman;Times;Serif" w:hAnsi="Times New Roman;Times;Serif"/>
          <w:b/>
          <w:i w:val="false"/>
          <w:caps w:val="false"/>
          <w:smallCaps w:val="false"/>
          <w:sz w:val="20"/>
        </w:rPr>
        <w:t xml:space="preserve">524-6860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color w:val="000000"/>
              </w:rPr>
            </w:pPr>
            <w:bookmarkStart w:id="15" w:name="xdx_908_edei--WrittenCommunications_c202"/>
            <w:bookmarkEnd w:id="15"/>
            <w:r>
              <w:rPr>
                <w:color w:val="000000"/>
              </w:rPr>
              <w:t>☐</w:t>
            </w:r>
          </w:p>
        </w:tc>
        <w:tc>
          <w:tcPr>
            <w:tcW w:w="7295" w:type="dxa"/>
            <w:tcBorders/>
            <w:vAlign w:val="center"/>
          </w:tcPr>
          <w:p>
            <w:pPr>
              <w:pStyle w:val="TableContents"/>
              <w:bidi w:val="0"/>
              <w:spacing w:before="0" w:after="283"/>
              <w:jc w:val="left"/>
              <w:rPr>
                <w:color w:val="000000"/>
                <w:sz w:val="20"/>
              </w:rPr>
            </w:pPr>
            <w:r>
              <w:rPr>
                <w:color w:val="000000"/>
                <w:sz w:val="20"/>
              </w:rPr>
              <w:t>Written communications pursuant to Rule 425 under the Securities Act (17 CFR 230.425)</w:t>
            </w:r>
          </w:p>
        </w:tc>
      </w:tr>
    </w:tbl>
    <w:p>
      <w:pPr>
        <w:pStyle w:val="TextBody"/>
        <w:bidi w:val="0"/>
        <w:spacing w:before="0" w:after="283"/>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bookmarkStart w:id="16" w:name="xdx_90F_edei--SolicitingMaterial_c202609"/>
            <w:bookmarkEnd w:id="16"/>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283"/>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bookmarkStart w:id="17" w:name="xdx_909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283"/>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bookmarkStart w:id="18" w:name="xdx_904_edei--PreCommencementIssuerTende"/>
            <w:bookmarkEnd w:id="18"/>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4280"/>
        <w:gridCol w:w="60"/>
        <w:gridCol w:w="860"/>
        <w:gridCol w:w="60"/>
        <w:gridCol w:w="3710"/>
      </w:tblGrid>
      <w:tr>
        <w:trPr/>
        <w:tc>
          <w:tcPr>
            <w:tcW w:w="4280"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Title of each class</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b/>
                <w:sz w:val="20"/>
              </w:rPr>
            </w:pPr>
            <w:bookmarkStart w:id="19" w:name="xdx_907_edei--Security12bTitle_c20260901"/>
            <w:bookmarkEnd w:id="19"/>
            <w:r>
              <w:rPr>
                <w:b/>
                <w:sz w:val="20"/>
              </w:rPr>
              <w:t>Class A 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b/>
                <w:sz w:val="20"/>
              </w:rPr>
            </w:pPr>
            <w:bookmarkStart w:id="20" w:name="xdx_90F_edei--TradingSymbol_c20260901__2"/>
            <w:bookmarkEnd w:id="20"/>
            <w:r>
              <w:rPr>
                <w:b/>
                <w:sz w:val="20"/>
              </w:rPr>
              <w:t>RENT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b/>
                <w:sz w:val="20"/>
              </w:rPr>
            </w:pPr>
            <w:bookmarkStart w:id="21" w:name="xdx_905_edei--SecurityExchangeName_c2026"/>
            <w:bookmarkEnd w:id="21"/>
            <w:r>
              <w:rPr>
                <w:b/>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4585" w:type="dxa"/>
        <w:jc w:val="left"/>
        <w:tblInd w:w="0" w:type="dxa"/>
        <w:tblLayout w:type="fixed"/>
        <w:tblCellMar>
          <w:top w:w="0" w:type="dxa"/>
          <w:left w:w="0" w:type="dxa"/>
          <w:bottom w:w="0" w:type="dxa"/>
          <w:right w:w="0" w:type="dxa"/>
        </w:tblCellMar>
      </w:tblPr>
      <w:tblGrid>
        <w:gridCol w:w="830"/>
        <w:gridCol w:w="3755"/>
      </w:tblGrid>
      <w:tr>
        <w:trPr/>
        <w:tc>
          <w:tcPr>
            <w:tcW w:w="830" w:type="dxa"/>
            <w:tcBorders/>
            <w:vAlign w:val="center"/>
          </w:tcPr>
          <w:p>
            <w:pPr>
              <w:pStyle w:val="TableContents"/>
              <w:bidi w:val="0"/>
              <w:spacing w:before="0" w:after="283"/>
              <w:jc w:val="left"/>
              <w:rPr>
                <w:b/>
                <w:sz w:val="20"/>
              </w:rPr>
            </w:pPr>
            <w:r>
              <w:rPr>
                <w:b/>
                <w:sz w:val="20"/>
              </w:rPr>
              <w:t>Item 1.01</w:t>
            </w:r>
          </w:p>
        </w:tc>
        <w:tc>
          <w:tcPr>
            <w:tcW w:w="3755" w:type="dxa"/>
            <w:tcBorders/>
            <w:vAlign w:val="center"/>
          </w:tcPr>
          <w:p>
            <w:pPr>
              <w:pStyle w:val="TableContents"/>
              <w:bidi w:val="0"/>
              <w:spacing w:before="0" w:after="283"/>
              <w:jc w:val="left"/>
              <w:rPr>
                <w:b/>
                <w:sz w:val="20"/>
              </w:rPr>
            </w:pPr>
            <w:r>
              <w:rPr>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Third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Rent the Runway, Inc. (the “Company”) entered into the Third Amendment to Amended and Restated Credit Agreement (the “Third Amendment”), by and among the Company, as borrower, the lenders party thereto (the “Lenders”) and CHS (US) Management LLC, as administrative agent (the “Agent”), which amends the Amended and Restated Credit Agreement, dated as of October 28, 2025 (as amended by that certain First Amendment to Amended and Restated Credit Agreement, dated as of January 28, 2026, that certain Second Amendment to Amended and Restated Credit Agreement, dated as of April 1, 2026, and as further amended, restated, amended and restated, supplemented or otherwise modified from time to time, the “Credit Agreement”). The Third Amendment establishes an incremental term loan facility in the aggregate principal amount of $10,000,000, the proceeds of which will be used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terms of the Third Amendment does not purport to be complete and is qualified in its entirety by the full text of the agreement, a copy of which is attached hereto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left"/>
              <w:rPr>
                <w:b/>
                <w:sz w:val="20"/>
              </w:rPr>
            </w:pPr>
            <w:r>
              <w:rPr>
                <w:b/>
                <w:sz w:val="20"/>
              </w:rPr>
              <w:t>Exhibits.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1"/>
        <w:gridCol w:w="120"/>
        <w:gridCol w:w="9174"/>
      </w:tblGrid>
      <w:tr>
        <w:trPr/>
        <w:tc>
          <w:tcPr>
            <w:tcW w:w="911"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Exhibit No.</w:t>
            </w:r>
          </w:p>
        </w:tc>
        <w:tc>
          <w:tcPr>
            <w:tcW w:w="120" w:type="dxa"/>
            <w:tcBorders/>
            <w:tcMar>
              <w:bottom w:w="0" w:type="dxa"/>
            </w:tcMar>
            <w:vAlign w:val="center"/>
          </w:tcPr>
          <w:p>
            <w:pPr>
              <w:pStyle w:val="TableContents"/>
              <w:bidi w:val="0"/>
              <w:spacing w:before="0" w:after="283"/>
              <w:jc w:val="left"/>
              <w:rPr>
                <w:color w:val="000000"/>
              </w:rPr>
            </w:pPr>
            <w:r>
              <w:rPr>
                <w:color w:val="000000"/>
              </w:rPr>
              <w:t>  </w:t>
            </w:r>
          </w:p>
        </w:tc>
        <w:tc>
          <w:tcPr>
            <w:tcW w:w="9174" w:type="dxa"/>
            <w:tcBorders>
              <w:bottom w:val="single" w:sz="8" w:space="0" w:color="000000"/>
            </w:tcBorders>
            <w:vAlign w:val="center"/>
          </w:tcPr>
          <w:p>
            <w:pPr>
              <w:pStyle w:val="TableContents"/>
              <w:bidi w:val="0"/>
              <w:spacing w:before="0" w:after="283"/>
              <w:jc w:val="center"/>
              <w:rPr>
                <w:b/>
                <w:color w:val="000000"/>
                <w:sz w:val="20"/>
              </w:rPr>
            </w:pPr>
            <w:r>
              <w:rPr>
                <w:b/>
                <w:color w:val="000000"/>
                <w:sz w:val="20"/>
              </w:rPr>
              <w:t>Description</w:t>
            </w:r>
          </w:p>
        </w:tc>
      </w:tr>
      <w:tr>
        <w:trPr/>
        <w:tc>
          <w:tcPr>
            <w:tcW w:w="911" w:type="dxa"/>
            <w:tcBorders/>
            <w:tcMar>
              <w:bottom w:w="0" w:type="dxa"/>
            </w:tcMar>
            <w:vAlign w:val="center"/>
          </w:tcPr>
          <w:p>
            <w:pPr>
              <w:pStyle w:val="TableContents"/>
              <w:bidi w:val="0"/>
              <w:spacing w:before="0" w:after="283"/>
              <w:jc w:val="left"/>
              <w:rPr/>
            </w:pPr>
            <w:r>
              <w:rPr/>
              <w:t> </w:t>
            </w:r>
          </w:p>
        </w:tc>
        <w:tc>
          <w:tcPr>
            <w:tcW w:w="9294" w:type="dxa"/>
            <w:gridSpan w:val="2"/>
            <w:tcBorders/>
            <w:tcMar>
              <w:bottom w:w="0" w:type="dxa"/>
            </w:tcMar>
            <w:vAlign w:val="center"/>
          </w:tcPr>
          <w:p>
            <w:pPr>
              <w:pStyle w:val="TableContents"/>
              <w:bidi w:val="0"/>
              <w:spacing w:before="0" w:after="283"/>
              <w:jc w:val="left"/>
              <w:rPr/>
            </w:pPr>
            <w:r>
              <w:rPr/>
              <w:t> </w:t>
            </w:r>
          </w:p>
        </w:tc>
      </w:tr>
      <w:tr>
        <w:trPr/>
        <w:tc>
          <w:tcPr>
            <w:tcW w:w="911" w:type="dxa"/>
            <w:tcBorders/>
            <w:tcMar>
              <w:bottom w:w="0" w:type="dxa"/>
            </w:tcMar>
            <w:vAlign w:val="center"/>
          </w:tcPr>
          <w:p>
            <w:pPr>
              <w:pStyle w:val="TableContents"/>
              <w:bidi w:val="0"/>
              <w:spacing w:before="0" w:after="283"/>
              <w:jc w:val="center"/>
              <w:rPr/>
            </w:pPr>
            <w:hyperlink w:anchor="dp252774_ex1001.htm">
              <w:r>
                <w:rPr>
                  <w:rStyle w:val="InternetLink"/>
                  <w:color w:val="000000"/>
                  <w:sz w:val="20"/>
                </w:rPr>
                <w:t>10.1</w:t>
              </w:r>
            </w:hyperlink>
          </w:p>
        </w:tc>
        <w:tc>
          <w:tcPr>
            <w:tcW w:w="120" w:type="dxa"/>
            <w:tcBorders/>
            <w:tcMar>
              <w:bottom w:w="0" w:type="dxa"/>
            </w:tcMar>
            <w:vAlign w:val="center"/>
          </w:tcPr>
          <w:p>
            <w:pPr>
              <w:pStyle w:val="TableContents"/>
              <w:bidi w:val="0"/>
              <w:spacing w:before="0" w:after="283"/>
              <w:jc w:val="left"/>
              <w:rPr>
                <w:color w:val="000000"/>
              </w:rPr>
            </w:pPr>
            <w:r>
              <w:rPr>
                <w:color w:val="000000"/>
              </w:rPr>
              <w:t>  </w:t>
            </w:r>
          </w:p>
        </w:tc>
        <w:tc>
          <w:tcPr>
            <w:tcW w:w="9174" w:type="dxa"/>
            <w:tcBorders/>
            <w:tcMar>
              <w:bottom w:w="0" w:type="dxa"/>
            </w:tcMar>
            <w:vAlign w:val="center"/>
          </w:tcPr>
          <w:p>
            <w:pPr>
              <w:pStyle w:val="TableContents"/>
              <w:bidi w:val="0"/>
              <w:spacing w:before="0" w:after="283"/>
              <w:jc w:val="left"/>
              <w:rPr/>
            </w:pPr>
            <w:hyperlink w:anchor="dp252774_ex1001.htm">
              <w:r>
                <w:rPr>
                  <w:rStyle w:val="InternetLink"/>
                  <w:rFonts w:ascii="Times New Roman;Times;Serif" w:hAnsi="Times New Roman;Times;Serif"/>
                  <w:sz w:val="20"/>
                </w:rPr>
                <w:t xml:space="preserve">Third Amendment to Amended and Restated Credit Agreement, dated September 1, 2026, by and among the Company, the Agent, and the Lenders </w:t>
              </w:r>
            </w:hyperlink>
          </w:p>
        </w:tc>
      </w:tr>
      <w:tr>
        <w:trPr/>
        <w:tc>
          <w:tcPr>
            <w:tcW w:w="911" w:type="dxa"/>
            <w:tcBorders/>
            <w:tcMar>
              <w:bottom w:w="0" w:type="dxa"/>
            </w:tcMar>
            <w:vAlign w:val="center"/>
          </w:tcPr>
          <w:p>
            <w:pPr>
              <w:pStyle w:val="TableContents"/>
              <w:bidi w:val="0"/>
              <w:spacing w:before="0" w:after="283"/>
              <w:jc w:val="left"/>
              <w:rPr/>
            </w:pPr>
            <w:r>
              <w:rPr/>
              <w:t> </w:t>
            </w:r>
          </w:p>
        </w:tc>
        <w:tc>
          <w:tcPr>
            <w:tcW w:w="9294" w:type="dxa"/>
            <w:gridSpan w:val="2"/>
            <w:tcBorders/>
            <w:tcMar>
              <w:bottom w:w="0" w:type="dxa"/>
            </w:tcMar>
            <w:vAlign w:val="center"/>
          </w:tcPr>
          <w:p>
            <w:pPr>
              <w:pStyle w:val="TableContents"/>
              <w:bidi w:val="0"/>
              <w:spacing w:before="0" w:after="283"/>
              <w:jc w:val="left"/>
              <w:rPr/>
            </w:pPr>
            <w:r>
              <w:rPr/>
              <w:t> </w:t>
            </w:r>
          </w:p>
        </w:tc>
      </w:tr>
      <w:tr>
        <w:trPr/>
        <w:tc>
          <w:tcPr>
            <w:tcW w:w="911" w:type="dxa"/>
            <w:tcBorders/>
            <w:tcMar>
              <w:bottom w:w="0" w:type="dxa"/>
            </w:tcMar>
            <w:vAlign w:val="center"/>
          </w:tcPr>
          <w:p>
            <w:pPr>
              <w:pStyle w:val="TableContents"/>
              <w:bidi w:val="0"/>
              <w:spacing w:before="0" w:after="283"/>
              <w:jc w:val="left"/>
              <w:rPr/>
            </w:pPr>
            <w:r>
              <w:rPr/>
              <w:t> </w:t>
            </w:r>
          </w:p>
        </w:tc>
        <w:tc>
          <w:tcPr>
            <w:tcW w:w="9294" w:type="dxa"/>
            <w:gridSpan w:val="2"/>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030"/>
        <w:gridCol w:w="60"/>
        <w:gridCol w:w="320"/>
        <w:gridCol w:w="60"/>
        <w:gridCol w:w="2525"/>
      </w:tblGrid>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5" w:type="dxa"/>
            <w:gridSpan w:val="3"/>
            <w:tcBorders/>
            <w:vAlign w:val="center"/>
          </w:tcPr>
          <w:p>
            <w:pPr>
              <w:pStyle w:val="TableContents"/>
              <w:bidi w:val="0"/>
              <w:spacing w:before="0" w:after="283"/>
              <w:jc w:val="left"/>
              <w:rPr>
                <w:b/>
                <w:color w:val="000000"/>
                <w:sz w:val="20"/>
              </w:rPr>
            </w:pPr>
            <w:r>
              <w:rPr>
                <w:b/>
                <w:color w:val="000000"/>
                <w:sz w:val="20"/>
              </w:rPr>
              <w:t>RENT THE RUNWAY, INC.</w:t>
            </w:r>
          </w:p>
        </w:tc>
      </w:tr>
      <w:tr>
        <w:trPr/>
        <w:tc>
          <w:tcPr>
            <w:tcW w:w="2030" w:type="dxa"/>
            <w:tcBorders/>
            <w:vAlign w:val="center"/>
          </w:tcPr>
          <w:p>
            <w:pPr>
              <w:pStyle w:val="TableContents"/>
              <w:bidi w:val="0"/>
              <w:spacing w:before="0" w:after="283"/>
              <w:jc w:val="left"/>
              <w:rPr/>
            </w:pPr>
            <w:r>
              <w:rPr/>
              <w:t> </w:t>
            </w:r>
          </w:p>
        </w:tc>
        <w:tc>
          <w:tcPr>
            <w:tcW w:w="380" w:type="dxa"/>
            <w:gridSpan w:val="2"/>
            <w:tcBorders/>
            <w:vAlign w:val="center"/>
          </w:tcPr>
          <w:p>
            <w:pPr>
              <w:pStyle w:val="TableContents"/>
              <w:bidi w:val="0"/>
              <w:spacing w:before="0" w:after="283"/>
              <w:jc w:val="left"/>
              <w:rPr/>
            </w:pPr>
            <w:r>
              <w:rPr/>
              <w:t> </w:t>
            </w:r>
          </w:p>
        </w:tc>
        <w:tc>
          <w:tcPr>
            <w:tcW w:w="258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color w:val="000000"/>
                <w:sz w:val="20"/>
              </w:rPr>
            </w:pPr>
            <w:r>
              <w:rPr>
                <w:color w:val="000000"/>
                <w:sz w:val="20"/>
              </w:rPr>
              <w:t>Date: September 1,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olor w:val="000000"/>
                <w:sz w:val="20"/>
              </w:rPr>
            </w:pPr>
            <w:r>
              <w:rPr>
                <w:color w:val="000000"/>
                <w:sz w:val="20"/>
              </w:rPr>
              <w:t>By:</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left"/>
              <w:rPr>
                <w:color w:val="000000"/>
                <w:sz w:val="20"/>
              </w:rPr>
            </w:pPr>
            <w:r>
              <w:rPr>
                <w:color w:val="000000"/>
                <w:sz w:val="20"/>
              </w:rPr>
              <w:t>/s/ David Loretta</w:t>
            </w:r>
          </w:p>
        </w:tc>
      </w:tr>
      <w:tr>
        <w:trPr/>
        <w:tc>
          <w:tcPr>
            <w:tcW w:w="2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Loretta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4" w:name="dp252774_ex1001.htm"/>
      <w:bookmarkStart w:id="25" w:name="ksdp252774_ex1001"/>
      <w:bookmarkEnd w:id="24"/>
      <w:bookmarkEnd w:id="25"/>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 Version</w:t>
      </w:r>
    </w:p>
    <w:p>
      <w:pPr>
        <w:pStyle w:val="TextBody"/>
        <w:bidi w:val="0"/>
        <w:spacing w:before="0" w:after="0"/>
        <w:ind w:left="0" w:right="0" w:hanging="0"/>
        <w:jc w:val="left"/>
        <w:rPr/>
      </w:pPr>
      <w:r>
        <w:rPr/>
        <w:t> </w:t>
      </w:r>
    </w:p>
    <w:p>
      <w:pPr>
        <w:pStyle w:val="TextBody"/>
        <w:bidi w:val="0"/>
        <w:spacing w:before="0" w:after="0"/>
        <w:jc w:val="center"/>
        <w:rPr>
          <w:b/>
          <w:caps/>
          <w:sz w:val="20"/>
          <w:u w:val="single"/>
        </w:rPr>
      </w:pPr>
      <w:r>
        <w:rPr>
          <w:b/>
          <w:caps/>
          <w:sz w:val="20"/>
          <w:u w:val="single"/>
        </w:rPr>
        <w:t>THIRD AMENDMENT TO amended and restated CREDIT AGREEMENT</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THIRD AMENDMENT TO AMENDED AND RESTATED CREDIT AGREEMENT</w:t>
      </w:r>
      <w:r>
        <w:rPr>
          <w:rFonts w:ascii="Times New Roman;Times;Serif" w:hAnsi="Times New Roman;Times;Serif"/>
          <w:b w:val="false"/>
          <w:i w:val="false"/>
          <w:caps w:val="false"/>
          <w:smallCaps w:val="false"/>
          <w:sz w:val="20"/>
        </w:rPr>
        <w:t>, dated as of September 1, 2026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Amended and Restated Credit Agreement, dated as of October 28, 2025 (as amended, amended and restated, supplemented or otherwise modified from time to time,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by and among the lenders from time to time party thereto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CHS (US) Management LLC, as the Agent for the Lenders (in such capacity, together with its successors and assigns in such capacity,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Rent the Runway, Inc., a Delaware corporation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is by and among the Borrower, the Lenders and the Agent.  Unless otherwise defined herein, capitalized terms used herein shall have the meanings provided in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desires to establish Incremental Term Loan Commitments in an aggregate principal amount of $10,000,000.00 pursuant to and in accordance with Section 2.11 of the Credit Agreement and Section 2 below (the “</w:t>
      </w:r>
      <w:r>
        <w:rPr>
          <w:rFonts w:ascii="Times New Roman;Times;Serif" w:hAnsi="Times New Roman;Times;Serif"/>
          <w:b/>
          <w:i w:val="false"/>
          <w:caps w:val="false"/>
          <w:smallCaps w:val="false"/>
          <w:sz w:val="20"/>
        </w:rPr>
        <w:t>Third Amendment Incremental Term Loan Commitments</w:t>
      </w:r>
      <w:r>
        <w:rPr>
          <w:rFonts w:ascii="Times New Roman;Times;Serif" w:hAnsi="Times New Roman;Times;Serif"/>
          <w:b w:val="false"/>
          <w:i w:val="false"/>
          <w:caps w:val="false"/>
          <w:smallCaps w:val="false"/>
          <w:sz w:val="20"/>
        </w:rPr>
        <w:t>” and the Loans thereunder, the “</w:t>
      </w:r>
      <w:r>
        <w:rPr>
          <w:rFonts w:ascii="Times New Roman;Times;Serif" w:hAnsi="Times New Roman;Times;Serif"/>
          <w:b/>
          <w:i w:val="false"/>
          <w:caps w:val="false"/>
          <w:smallCaps w:val="false"/>
          <w:sz w:val="20"/>
        </w:rPr>
        <w:t>Third Amendment Incremental Term Loans</w:t>
      </w:r>
      <w:r>
        <w:rPr>
          <w:rFonts w:ascii="Times New Roman;Times;Serif" w:hAnsi="Times New Roman;Times;Serif"/>
          <w:b w:val="false"/>
          <w:i w:val="false"/>
          <w:caps w:val="false"/>
          <w:smallCaps w:val="false"/>
          <w:sz w:val="20"/>
        </w:rPr>
        <w:t>”), and has requested that each Lender listed on Exhibit B hereto (each, a “</w:t>
      </w:r>
      <w:r>
        <w:rPr>
          <w:rFonts w:ascii="Times New Roman;Times;Serif" w:hAnsi="Times New Roman;Times;Serif"/>
          <w:b/>
          <w:i w:val="false"/>
          <w:caps w:val="false"/>
          <w:smallCaps w:val="false"/>
          <w:sz w:val="20"/>
        </w:rPr>
        <w:t>Third Amendment Incremental Term Lender</w:t>
      </w:r>
      <w:r>
        <w:rPr>
          <w:rFonts w:ascii="Times New Roman;Times;Serif" w:hAnsi="Times New Roman;Times;Serif"/>
          <w:b w:val="false"/>
          <w:i w:val="false"/>
          <w:caps w:val="false"/>
          <w:smallCaps w:val="false"/>
          <w:sz w:val="20"/>
        </w:rPr>
        <w:t xml:space="preserve">”) provide Third Amendment Incremental Term Loans in the principal amount set forth opposite its name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Third Amendment Incremental Term Lender has agreed to provide a Third Amendment Incremental Term Loan Commitment to the Borrower on the Third Amendment Effective Date (as defined below) on the terms set forth herein and in the Credit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Borrower, the Agent and the Lenders desire to amend certain provisions of the Credit Agreement as provided more fully herein, subject to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contained in the Credit Agreement and herein and for other good and valuable consideration, the receipt and sufficiency of which are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w:t>
        <w:tab/>
      </w:r>
      <w:r>
        <w:rPr>
          <w:rFonts w:ascii="Times New Roman;Times;Serif" w:hAnsi="Times New Roman;Times;Serif"/>
          <w:b/>
          <w:i w:val="false"/>
          <w:caps w:val="false"/>
          <w:smallCaps w:val="false"/>
          <w:sz w:val="20"/>
          <w:u w:val="single"/>
        </w:rPr>
        <w:t>Amendments to the Credit Agreement; Acknowledgment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val="false"/>
          <w:i w:val="false"/>
          <w:caps w:val="false"/>
          <w:smallCaps w:val="false"/>
          <w:sz w:val="20"/>
        </w:rPr>
        <w:t xml:space="preserve">The Credit Agreement is hereby amended (a) to delete the red or green stricken text (indicated textually in the same manner as the following examples: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trike/>
          <w:color w:val="00B050"/>
          <w:sz w:val="20"/>
        </w:rPr>
        <w:t>stricken text</w:t>
      </w:r>
      <w:r>
        <w:rPr>
          <w:rFonts w:ascii="Times New Roman;Times;Serif" w:hAnsi="Times New Roman;Times;Serif"/>
          <w:b w:val="false"/>
          <w:i w:val="false"/>
          <w:caps w:val="false"/>
          <w:smallCaps w:val="false"/>
          <w:sz w:val="20"/>
        </w:rPr>
        <w:t xml:space="preserve">) and (b) to add the blue or green double-underlined text (indicated textually in the same manner as the following examples: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color w:val="00B050"/>
          <w:sz w:val="20"/>
          <w:u w:val="single"/>
        </w:rPr>
        <w:t>double-underlined text</w:t>
      </w:r>
      <w:r>
        <w:rPr>
          <w:rFonts w:ascii="Times New Roman;Times;Serif" w:hAnsi="Times New Roman;Times;Serif"/>
          <w:b w:val="false"/>
          <w:i w:val="false"/>
          <w:caps w:val="false"/>
          <w:smallCaps w:val="false"/>
          <w:sz w:val="20"/>
        </w:rPr>
        <w:t xml:space="preserve">), in each case, as set forth in the marked copy of the Credit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made a part hereof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val="false"/>
          <w:caps w:val="false"/>
          <w:smallCaps w:val="false"/>
          <w:sz w:val="20"/>
          <w:u w:val="single"/>
        </w:rPr>
        <w:t>Annex I</w:t>
      </w:r>
      <w:r>
        <w:rPr>
          <w:rFonts w:ascii="Times New Roman;Times;Serif" w:hAnsi="Times New Roman;Times;Serif"/>
          <w:b w:val="false"/>
          <w:i w:val="false"/>
          <w:caps w:val="false"/>
          <w:smallCaps w:val="false"/>
          <w:sz w:val="20"/>
        </w:rPr>
        <w:t xml:space="preserve">.  Annex I to the Credit Agreement is hereby amended and restated by deleting such Annex in its entirety and replacing such Annex with the Annex set forth on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Schedules</w:t>
      </w:r>
      <w:r>
        <w:rPr>
          <w:rFonts w:ascii="Times New Roman;Times;Serif" w:hAnsi="Times New Roman;Times;Serif"/>
          <w:b w:val="false"/>
          <w:i w:val="false"/>
          <w:caps w:val="false"/>
          <w:smallCaps w:val="false"/>
          <w:sz w:val="20"/>
        </w:rPr>
        <w:t xml:space="preserve">.  Schedule 4.1(c)(iii) (UCC Filing Jurisdictions), Schedule 5.3(b) (Real Property) and Schedule 7.6 (Existing Investments) to the Credit Agreement are hereby amended and restated by deleting such schedules in their entirety and replacing such schedules with the schedules set forth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w:t>
      </w:r>
      <w:r>
        <w:rPr>
          <w:rFonts w:ascii="Times New Roman;Times;Serif" w:hAnsi="Times New Roman;Times;Serif"/>
          <w:b w:val="false"/>
          <w:i w:val="false"/>
          <w:caps w:val="false"/>
          <w:smallCaps w:val="false"/>
          <w:sz w:val="20"/>
        </w:rPr>
        <w:t>The amendments in this Section 1 shall be effective only in this specific instance and for the specific purposes set forth herein and do not allow for any other or further departure from the terms and conditions of the Credit Agreement or any other Loan Document, which terms and conditions shall continue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w:t>
        <w:tab/>
      </w:r>
      <w:r>
        <w:rPr>
          <w:rFonts w:ascii="Times New Roman;Times;Serif" w:hAnsi="Times New Roman;Times;Serif"/>
          <w:b/>
          <w:i w:val="false"/>
          <w:caps w:val="false"/>
          <w:smallCaps w:val="false"/>
          <w:sz w:val="20"/>
          <w:u w:val="single"/>
        </w:rPr>
        <w:t>Incremental Term Loans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val="false"/>
          <w:i w:val="false"/>
          <w:caps w:val="false"/>
          <w:smallCaps w:val="false"/>
          <w:sz w:val="20"/>
        </w:rPr>
        <w:t xml:space="preserve">On the Third Amendment Effective Date, each Third Amendment Incremental Term Lender, severally and not jointly, agrees to make Third Amendment Incremental Term Loans to the Borrower in the amount set forth opposite such Third Amendment Incremental Term Lender’s name under the heading “Third Amendment Incremental Term Loan Commitment”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subject to the terms and conditions set forth in this Amendment and the Credit Agreement. The Third Amendment Incremental Term Loan Commitments shall terminate concurrently with the making of the Third Amendment Incremental Term Loans on the Third Amendment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val="false"/>
          <w:i w:val="false"/>
          <w:caps w:val="false"/>
          <w:smallCaps w:val="false"/>
          <w:sz w:val="20"/>
        </w:rPr>
        <w:t>The Third Amendment Incremental Term Loans shall constitute part of the Term Loan under the Credit Agreement and each other Loan Document and, except to the extent otherwise expressly set forth in this Amendment, the Credit Agreement and, solely with respect to the Prepayment Premium, the Fourth Amended and Restated Fee Letter, executed and delivered by the Agent and the Borrower (the “</w:t>
      </w:r>
      <w:r>
        <w:rPr>
          <w:rFonts w:ascii="Times New Roman;Times;Serif" w:hAnsi="Times New Roman;Times;Serif"/>
          <w:b/>
          <w:i w:val="false"/>
          <w:caps w:val="false"/>
          <w:smallCaps w:val="false"/>
          <w:sz w:val="20"/>
        </w:rPr>
        <w:t>Fourth A&amp;R Fee Letter</w:t>
      </w:r>
      <w:r>
        <w:rPr>
          <w:rFonts w:ascii="Times New Roman;Times;Serif" w:hAnsi="Times New Roman;Times;Serif"/>
          <w:b w:val="false"/>
          <w:i w:val="false"/>
          <w:caps w:val="false"/>
          <w:smallCaps w:val="false"/>
          <w:sz w:val="20"/>
        </w:rPr>
        <w:t>”), the Third Amendment Incremental Term Loans shall have terms and conditions identical to those applicable to the existing Term Loans (for the avoidance of doubt, as amended by this Amendment) but shall be a separate Class of Term Loans from the existing Term Loans. Without limiting the generality of the foregoing, the Third Amendment Incremental Term Loans shall (i) constitute Obligations under the Loan Documents and have all the benefits thereof, (ii) have all the rights, remedies, privileges and protections applicable to the Term Loans under the Credit Agreement and the other Loan Documents, (iii) be secured by the Liens on the Collateral granted to the Agent under any Loan Document on a pari passu basis with the existing Term Loans, and (iv) be guaranteed in the same manner and to the same extent by the Guarantors that guarantee the existing Term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val="false"/>
          <w:i w:val="false"/>
          <w:caps w:val="false"/>
          <w:smallCaps w:val="false"/>
          <w:sz w:val="20"/>
        </w:rPr>
        <w:t>This Amendment constitutes, in part, a Joinder Agreement to the Credit Agreement as referred to in Section 2.11(b)(ii) of the Credit Agreement.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val="false"/>
          <w:i w:val="false"/>
          <w:caps w:val="false"/>
          <w:smallCaps w:val="false"/>
          <w:sz w:val="20"/>
        </w:rPr>
        <w:t xml:space="preserve"> Each Third Amendment Incremental Term Lender that is not, prior to the Third Amendment Effective Date, a Lender under the Credit Agreement (each, an “</w:t>
      </w:r>
      <w:r>
        <w:rPr>
          <w:rFonts w:ascii="Times New Roman;Times;Serif" w:hAnsi="Times New Roman;Times;Serif"/>
          <w:b/>
          <w:i w:val="false"/>
          <w:caps w:val="false"/>
          <w:smallCaps w:val="false"/>
          <w:sz w:val="20"/>
        </w:rPr>
        <w:t>Additional Incremental Term Lender</w:t>
      </w:r>
      <w:r>
        <w:rPr>
          <w:rFonts w:ascii="Times New Roman;Times;Serif" w:hAnsi="Times New Roman;Times;Serif"/>
          <w:b w:val="false"/>
          <w:i w:val="false"/>
          <w:caps w:val="false"/>
          <w:smallCaps w:val="false"/>
          <w:sz w:val="20"/>
        </w:rPr>
        <w:t>”), hereby agrees that upon and subject to the occurrence of the Third Amendment Effective Date, such Additional Incremental Term Lender (a) shall be deemed, and shall be, a Lender for all purposes of, and subject to all obligations and privileges of a Lender under, the Credit Agreement and other Loan Documents, (b) confirms that it has received a copy of the Credit Agreement, the other Loan Documents and such other documents and information as it has deemed appropriate to make its own credit analysis and decision to enter into this Amendment, and (c) appoints and authorizes the Agent to take such actions on its behalf and to exercise such powers and discretion as are delegated to the Agent under the Credit Agreement and the other Loan Documents, together with all powers and discretion reasonably incidental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w:t>
        <w:tab/>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Borrower hereby represents and warrants to the Lenders and the Agent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val="false"/>
          <w:caps w:val="false"/>
          <w:smallCaps w:val="false"/>
          <w:sz w:val="20"/>
          <w:u w:val="single"/>
        </w:rPr>
        <w:t>No Default</w:t>
      </w:r>
      <w:r>
        <w:rPr>
          <w:rFonts w:ascii="Times New Roman;Times;Serif" w:hAnsi="Times New Roman;Times;Serif"/>
          <w:b w:val="false"/>
          <w:i w:val="false"/>
          <w:caps w:val="false"/>
          <w:smallCaps w:val="false"/>
          <w:sz w:val="20"/>
        </w:rPr>
        <w:t>.  At and as of the date of this Amendment and after giving effect to this Amendment, (a) no Default has occurred and is continuing (to the knowledge of any Responsible Officer of the Borrower) and (b) no Event of Default has occurred and is continuing.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val="false"/>
          <w:caps w:val="false"/>
          <w:smallCaps w:val="false"/>
          <w:sz w:val="20"/>
          <w:u w:val="single"/>
        </w:rPr>
        <w:t>Representations and Warranties True and Correct</w:t>
      </w:r>
      <w:r>
        <w:rPr>
          <w:rFonts w:ascii="Times New Roman;Times;Serif" w:hAnsi="Times New Roman;Times;Serif"/>
          <w:b w:val="false"/>
          <w:i w:val="false"/>
          <w:caps w:val="false"/>
          <w:smallCaps w:val="false"/>
          <w:sz w:val="20"/>
        </w:rPr>
        <w:t>.  At and as of the date of this Amendment and immediately after giving effect to this Amendment, each of the representations and warranties made by any Credit Party in or pursuant to the Loan Documents (as amended hereby)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3.03       </w:t>
      </w:r>
      <w:r>
        <w:rPr>
          <w:rFonts w:ascii="Times New Roman;Times;Serif" w:hAnsi="Times New Roman;Times;Serif"/>
          <w:b/>
          <w:i w:val="false"/>
          <w:caps w:val="false"/>
          <w:smallCaps w:val="false"/>
          <w:sz w:val="20"/>
          <w:u w:val="single"/>
        </w:rPr>
        <w:t>Due Authorization</w:t>
      </w:r>
      <w:r>
        <w:rPr>
          <w:rFonts w:ascii="Times New Roman;Times;Serif" w:hAnsi="Times New Roman;Times;Serif"/>
          <w:b w:val="false"/>
          <w:i w:val="false"/>
          <w:caps w:val="false"/>
          <w:smallCaps w:val="false"/>
          <w:sz w:val="20"/>
        </w:rPr>
        <w:t>. The execution, delivery and performance of this Amendment and the performance of the Credit Agreement (as amended hereby) (i) are within the Borrower's corporate power, (ii) have been duly authorized by all necessary action, and (iii) are not in contravention of any Requirement of Law applicable to the Borrower or the terms of the Borrower's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3.04       </w:t>
      </w:r>
      <w:r>
        <w:rPr>
          <w:rFonts w:ascii="Times New Roman;Times;Serif" w:hAnsi="Times New Roman;Times;Serif"/>
          <w:b/>
          <w:i w:val="false"/>
          <w:caps w:val="false"/>
          <w:smallCaps w:val="false"/>
          <w:sz w:val="20"/>
          <w:u w:val="single"/>
        </w:rPr>
        <w:t>Enforceability of Agreement and Loan Documents.</w:t>
      </w:r>
      <w:r>
        <w:rPr>
          <w:rFonts w:ascii="Times New Roman;Times;Serif" w:hAnsi="Times New Roman;Times;Serif"/>
          <w:b w:val="false"/>
          <w:i w:val="false"/>
          <w:caps w:val="false"/>
          <w:smallCaps w:val="false"/>
          <w:sz w:val="20"/>
        </w:rPr>
        <w:t>  This Amendment has been duly executed and delivered by the Borrower's duly authorized officers.  This Amendment and the Credit Agreement (as amended hereby) constitute the valid and binding obligations of the Borrower, enforceable against the Borrower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3.05       </w:t>
      </w:r>
      <w:r>
        <w:rPr>
          <w:rFonts w:ascii="Times New Roman;Times;Serif" w:hAnsi="Times New Roman;Times;Serif"/>
          <w:b/>
          <w:i w:val="false"/>
          <w:caps w:val="false"/>
          <w:smallCaps w:val="false"/>
          <w:sz w:val="20"/>
          <w:u w:val="single"/>
        </w:rPr>
        <w:t xml:space="preserve"> Consents, Approvals and Filings, Etc.</w:t>
      </w:r>
      <w:r>
        <w:rPr>
          <w:rFonts w:ascii="Times New Roman;Times;Serif" w:hAnsi="Times New Roman;Times;Serif"/>
          <w:b w:val="false"/>
          <w:i w:val="false"/>
          <w:caps w:val="false"/>
          <w:smallCaps w:val="false"/>
          <w:sz w:val="20"/>
        </w:rPr>
        <w:t xml:space="preserve">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(i) the execution and delivery of this Amendment and (ii) performance by the Borrower of this Amendment and the Credit Agreement (as amended hereby), in each case, except for such matters which have been previously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w:t>
        <w:tab/>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and be deemed effective as of the date when, and only when, all of the following conditions have been satisfied as determined in the Agent's and the Lenders' reasonable discretion (the date of such effectiveness being herein called the "</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Amendment</w:t>
      </w:r>
      <w:r>
        <w:rPr>
          <w:rFonts w:ascii="Times New Roman;Times;Serif" w:hAnsi="Times New Roman;Times;Serif"/>
          <w:b w:val="false"/>
          <w:i w:val="false"/>
          <w:caps w:val="false"/>
          <w:smallCaps w:val="false"/>
          <w:sz w:val="20"/>
        </w:rPr>
        <w:t>.  The Agent shall have received this Amendment, duly executed by the Agent, the Borrower and the Lenders (including the Third Amendment Incremental Term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Documents</w:t>
      </w:r>
      <w:r>
        <w:rPr>
          <w:rFonts w:ascii="Times New Roman;Times;Serif" w:hAnsi="Times New Roman;Times;Serif"/>
          <w:b w:val="false"/>
          <w:i w:val="false"/>
          <w:caps w:val="false"/>
          <w:smallCaps w:val="false"/>
          <w:sz w:val="20"/>
        </w:rPr>
        <w:t>. The Agent shall have received the following documents, each in form and substance satisfactory to the Agent and fully executed by each party thereto and dated as of the Third Amendment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Fourth A&amp;R Fee Letter, executed and delivered by the Agent and the Borrower;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customary legal opinions of Davis Polk &amp; Wardwell LLP and Morris, Nichols Arsht &amp; Tunnell LLP covering such matters as reasonably required by and otherwise reasonably satisfactory in form and substance to the Agent and each of the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the chief financial officer of the Borrower, certifying that the Borrower is Solvent (after giving effect to the making of the Third Amendment Incremental Term Loans);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certificate of a Responsible Officer of the Borrower dated the Third Amendment Effective Date, stating that to the best of his or her respective knowledge after due inquiry, (i) the conditions set forth in Section 4.05 hereof have been satisfied and (ii) since January 31, 2026, no Material Adverse Effect has occurred;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fully executed Request for Loan in respect of the Third Amendment Incremental Term Loans;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Flow of Funds Agreement, duly executed by the Agent, the Third Amendment Incremental Term Lenders and the Borrower.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Corporate Authority</w:t>
      </w:r>
      <w:r>
        <w:rPr>
          <w:rFonts w:ascii="Times New Roman;Times;Serif" w:hAnsi="Times New Roman;Times;Serif"/>
          <w:b w:val="false"/>
          <w:i w:val="false"/>
          <w:caps w:val="false"/>
          <w:smallCaps w:val="false"/>
          <w:sz w:val="20"/>
        </w:rPr>
        <w:t>.  The Agent shall have received from the Borrower, a certificate of its Secretary, Assistant Secretary or Chief Financial Officer, dated as of the Third Amendment Effective Date, as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resolutions (or the equivalent) of the Borrower authorizing the transactions contemplated by this Amendment, the Credit Agreement (as amended hereby), the other Loan Documents executed in connection herewith, approving this Amendment, the Credit Agreement (as amended hereby), the other Loan Documents executed in connection herewith, in each case to which the Borrower is party, and authorizing the execution and delivery of this Amendment, the other Loan Documents executed in connection herewith,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incumbency and signature of the officers or other authorized persons of the Borrower executing any Loan Document,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good standing or continued existence (or the equivalent thereof) from the state of its incorporation or formation,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copies of such articles of incorporation and bylaws or other constitutional documents of the Borrower (collectively, the "</w:t>
      </w:r>
      <w:r>
        <w:rPr>
          <w:rFonts w:ascii="Times New Roman;Times;Serif" w:hAnsi="Times New Roman;Times;Serif"/>
          <w:b/>
          <w:i w:val="false"/>
          <w:caps w:val="false"/>
          <w:smallCaps w:val="false"/>
          <w:sz w:val="20"/>
        </w:rPr>
        <w:t>Governing Documents</w:t>
      </w:r>
      <w:r>
        <w:rPr>
          <w:rFonts w:ascii="Times New Roman;Times;Serif" w:hAnsi="Times New Roman;Times;Serif"/>
          <w:b w:val="false"/>
          <w:i w:val="false"/>
          <w:caps w:val="false"/>
          <w:smallCaps w:val="false"/>
          <w:sz w:val="20"/>
        </w:rPr>
        <w:t>"), as in effect on the Third Amendment Effective Date (or, to the extent such Governing Documents have not been amended, modified or supplemented since the Restatement Date, a certificate from a Responsible Officer of the Borrower certifying that the Governing Documents have not been amended, modified or supplemented since the Restatement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4.04       Lien Searches</w:t>
      </w:r>
      <w:r>
        <w:rPr>
          <w:rFonts w:ascii="Times New Roman;Times;Serif" w:hAnsi="Times New Roman;Times;Serif"/>
          <w:b w:val="false"/>
          <w:i w:val="false"/>
          <w:caps w:val="false"/>
          <w:smallCaps w:val="false"/>
          <w:sz w:val="20"/>
        </w:rPr>
        <w:t>.  The Agent shall have received the results of searches for any effective UCC financing statements, tax Liens or judgment Liens filed against the Borrower or its properties, which results shall not show any such Liens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4.05       Representations and Warranties; No Event of Default</w:t>
      </w:r>
      <w:r>
        <w:rPr>
          <w:rFonts w:ascii="Times New Roman;Times;Serif" w:hAnsi="Times New Roman;Times;Serif"/>
          <w:b w:val="false"/>
          <w:i w:val="false"/>
          <w:caps w:val="false"/>
          <w:smallCaps w:val="false"/>
          <w:sz w:val="20"/>
        </w:rPr>
        <w:t>.  At and as of the date of this Amendment, both before and immediately after giving effect to this Amendment, each of the representations and warranties made by any Credit Party herein or in or pursuant to any other Loan Document (as amended hereby)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At and as of the date of this Amendment and after giving effect to this Amendment, no Default or Event of Default shall have occurred and be continuing.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4.06       Fees and Expenses</w:t>
      </w:r>
      <w:r>
        <w:rPr>
          <w:rFonts w:ascii="Times New Roman;Times;Serif" w:hAnsi="Times New Roman;Times;Serif"/>
          <w:b w:val="false"/>
          <w:i w:val="false"/>
          <w:caps w:val="false"/>
          <w:smallCaps w:val="false"/>
          <w:sz w:val="20"/>
        </w:rPr>
        <w:t>.  Subject to Legal Counsel Limitations, the Agent and the Lenders shall have been paid all costs and expenses then payable on or before the Third Amendment Effective Date pursuant to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4.07        KYC</w:t>
      </w:r>
      <w:r>
        <w:rPr>
          <w:rFonts w:ascii="Times New Roman;Times;Serif" w:hAnsi="Times New Roman;Times;Serif"/>
          <w:b w:val="false"/>
          <w:i w:val="false"/>
          <w:caps w:val="false"/>
          <w:smallCaps w:val="false"/>
          <w:sz w:val="20"/>
        </w:rPr>
        <w:t>.  The Agent and the Third Amendment Incremental Term Lenders shall have each received (to the extent requested prior to the Third Amendment Effective Date) a W-9 and all documentation and other information required by regulatory authorities with respect to the Borrower under applicable “know your customer” and anti-money laundering rules and regulations, including, without limitation, the PATRIOT Act, in form and substance satisfactory to the Agent and the Third Amendment Incremental Term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w:t>
        <w:tab/>
      </w:r>
      <w:r>
        <w:rPr>
          <w:rFonts w:ascii="Times New Roman;Times;Serif" w:hAnsi="Times New Roman;Times;Serif"/>
          <w:b/>
          <w:i w:val="false"/>
          <w:caps w:val="false"/>
          <w:smallCaps w:val="false"/>
          <w:sz w:val="20"/>
          <w:u w:val="single"/>
        </w:rPr>
        <w:t>Release</w:t>
      </w:r>
      <w:r>
        <w:rPr>
          <w:rFonts w:ascii="Times New Roman;Times;Serif" w:hAnsi="Times New Roman;Times;Serif"/>
          <w:b w:val="false"/>
          <w:i w:val="false"/>
          <w:caps w:val="false"/>
          <w:smallCaps w:val="false"/>
          <w:sz w:val="20"/>
        </w:rPr>
        <w:t>.  Each Credit Party hereby acknowledges and agrees that:  (i) neither it nor any of its Subsidiaries has any claim or cause of action against the Agent or any Lender (or any of their respective Affiliates, officers, directors, employees, attorneys, consultants or agents in their capacities for the Agent or any Lender) in connection with the Loan Documents and (ii) the Agent and each Lender has heretofore properly performed and satisfied in a timely manner all of its obligations to the Credit Parties and their Subsidiaries under the Credit Agreement and the other Loan Documents  that are required to have been performed on or prior to the date hereof.  Notwithstanding the foregoing, the Agent and the Lenders wish (and the Credit Parties agree) to eliminate any possibility that any past conditions, acts, omissions, events or circumstances would impair or otherwise adversely affect any of the Agent's and the Lenders' rights, interests, security and/or remedies under the Credit Agreement and the other Loan Documents.  Accordingly, for and in consideration of the agreements contained in this Amendment and other good and valuable consideration, each Credit Party (for itself and its Subsidiaries and the successors, assigns, heirs and representatives of each of the foregoing) (collectively, the "</w:t>
      </w:r>
      <w:r>
        <w:rPr>
          <w:rFonts w:ascii="Times New Roman;Times;Serif" w:hAnsi="Times New Roman;Times;Serif"/>
          <w:b/>
          <w:i w:val="false"/>
          <w:caps w:val="false"/>
          <w:smallCaps w:val="false"/>
          <w:sz w:val="20"/>
        </w:rPr>
        <w:t>Releasors</w:t>
      </w:r>
      <w:r>
        <w:rPr>
          <w:rFonts w:ascii="Times New Roman;Times;Serif" w:hAnsi="Times New Roman;Times;Serif"/>
          <w:b w:val="false"/>
          <w:i w:val="false"/>
          <w:caps w:val="false"/>
          <w:smallCaps w:val="false"/>
          <w:sz w:val="20"/>
        </w:rPr>
        <w:t>") does hereby fully, finally, unconditionally and irrevocably release and forever discharge the Agent, each Lender and each of their respective Affiliates, officers, directors, employees, attorneys, consultants and agents in their capacities as the Agent or any Lender (collectively, the "</w:t>
      </w:r>
      <w:r>
        <w:rPr>
          <w:rFonts w:ascii="Times New Roman;Times;Serif" w:hAnsi="Times New Roman;Times;Serif"/>
          <w:b/>
          <w:i w:val="false"/>
          <w:caps w:val="false"/>
          <w:smallCaps w:val="false"/>
          <w:sz w:val="20"/>
        </w:rPr>
        <w:t>Released Parties</w:t>
      </w:r>
      <w:r>
        <w:rPr>
          <w:rFonts w:ascii="Times New Roman;Times;Serif" w:hAnsi="Times New Roman;Times;Serif"/>
          <w:b w:val="false"/>
          <w:i w:val="false"/>
          <w:caps w:val="false"/>
          <w:smallCaps w:val="false"/>
          <w:sz w:val="20"/>
        </w:rPr>
        <w:t>") from any and all debts, claims, obligations, damages, costs, attorneys' fees, suits, demands, liabilities, actions, proceedings and causes of action, in each case, whether known or unknown, contingent or fixed, direct or indirect, and of whatever nature or description, and whether in law or in equity, under contract, tort, statute or otherwise, which any Releasor has heretofore had or now or hereafter can, shall or may have against any Released Party by reason of any act, omission or thing whatsoever done or omitted to be done on or prior to the Third Amendment Effective Date arising out of, connected with or related in any way to this Amendment, the Credit Agreement or any other Loan Document, or any act, event or transaction related or attendant thereto, or the agreements of the Agent or any Lender contained therein, or the possession, use, operation or control of any of the assets of any Credit Party, or the making of any Loans or other advances, or the management of such Loans or advances or the Collateral prior to the Third Amendment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w:t>
        <w:tab/>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val="false"/>
          <w:caps w:val="false"/>
          <w:smallCaps w:val="false"/>
          <w:sz w:val="20"/>
          <w:u w:val="single"/>
        </w:rPr>
        <w:t xml:space="preserve"> Continuing Effect; No Waiver</w:t>
      </w:r>
      <w:r>
        <w:rPr>
          <w:rFonts w:ascii="Times New Roman;Times;Serif" w:hAnsi="Times New Roman;Times;Serif"/>
          <w:b w:val="false"/>
          <w:i w:val="false"/>
          <w:caps w:val="false"/>
          <w:smallCaps w:val="false"/>
          <w:sz w:val="20"/>
        </w:rPr>
        <w:t>.  Except as otherwise expressly provided herein, the Credit Agreement and the other Loan Documents are, and shall continue to be, in full force and effect and are hereby ratified and confirmed in all respects, except that on and after the Third Amendment Effective Date (i) all references in the Credit Agreement to "this Agreement", "hereto", "hereof", "hereunder" or words of like import referring to the Credit Agreement shall mean the Credit Agreement as modified by this Amendment, and (ii) all references in the other Loan Documents to the "Credit Agreement", "thereto", "thereof", "thereunder" or words of like import referring to the Credit Agreement shall mean the Credit Agreement as modified by this Amendment.  To the extent that the Credit Agreement or any other Loan Document purports to pledge to the Agent, or to grant to the Agent, a security interest or lien, such pledge or grant is hereby ratified and confirmed in all respects. This Amendment does not and shall not affect any of the obligations of the Credit Parties, other than as expressly provided herein, including, without limitation, the Credit Parties' obligations to repay the Loans in accordance with the terms of Credit Agreement, or the obligations of the Credit Parties under any Loan Document  to which they are a party, all of which obligations shall remain in full force and effect, and nothing herein contained shall be construed as a substitution or novation of the obligations outstanding under the Credit Agreement  or instruments securing the same.  Nothing expressed or implied in this Amendment shall be construed as a release or other discharge of any Credit Party under the Credit Agreement, as amended hereby, or the other Loan Documents from any of its obligations and liabilities as a "Borrower" or "Credit Party" thereunder.  Except as expressly provided herein, the execution, delivery and effectiveness of this Amendment shall not operate as a waiver of any right, power or remedy of the Agent and the Lenders under the Credit Agreement or any other Loan Document, nor constitute a waiver of any provision of the Credit Agreement or any other Loan Document.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a Loan Document under and as defined in the Credit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and by different parties on separate counterparts, each of which, when executed and delivered, shall be deemed to be an original, and all of which, when taken together, shall constitute but one and the same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of the various subdivisions hereof are for convenience of reference only and shall in no way modify or affect any of the terms or provisions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val="false"/>
          <w:caps w:val="false"/>
          <w:smallCaps w:val="false"/>
          <w:sz w:val="20"/>
          <w:u w:val="single"/>
        </w:rPr>
        <w:t>Binding Effect; Assignment</w:t>
      </w:r>
      <w:r>
        <w:rPr>
          <w:rFonts w:ascii="Times New Roman;Times;Serif" w:hAnsi="Times New Roman;Times;Serif"/>
          <w:b w:val="false"/>
          <w:i w:val="false"/>
          <w:caps w:val="false"/>
          <w:smallCaps w:val="false"/>
          <w:sz w:val="20"/>
        </w:rPr>
        <w:t>.  This Amendment shall be binding upon and inure to the benefit of the Credit Parties, the Agent and the Lenders and their respective successors and assigns in accordance with the terms of the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Amendment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val="false"/>
          <w:caps w:val="false"/>
          <w:smallCaps w:val="false"/>
          <w:sz w:val="20"/>
          <w:u w:val="single"/>
        </w:rPr>
        <w:t xml:space="preserve"> Costs and Expenses</w:t>
      </w:r>
      <w:r>
        <w:rPr>
          <w:rFonts w:ascii="Times New Roman;Times;Serif" w:hAnsi="Times New Roman;Times;Serif"/>
          <w:b w:val="false"/>
          <w:i w:val="false"/>
          <w:caps w:val="false"/>
          <w:smallCaps w:val="false"/>
          <w:sz w:val="20"/>
        </w:rPr>
        <w:t>.  The Borrower agrees to pay on demand all reasonable and documented costs and expenses of the Agent in connection with the preparation, execution and delivery of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val="false"/>
          <w:caps w:val="false"/>
          <w:smallCaps w:val="false"/>
          <w:sz w:val="20"/>
          <w:u w:val="single"/>
        </w:rPr>
        <w:t>Consent to Jurisdiction; Governing Law; Waiver of Jury Trial</w:t>
      </w:r>
      <w:r>
        <w:rPr>
          <w:rFonts w:ascii="Times New Roman;Times;Serif" w:hAnsi="Times New Roman;Times;Serif"/>
          <w:b w:val="false"/>
          <w:i w:val="false"/>
          <w:caps w:val="false"/>
          <w:smallCaps w:val="false"/>
          <w:sz w:val="20"/>
        </w:rPr>
        <w:t xml:space="preserve">.  Sections 12.2, 12.3 and 12.13 of the Credit Agreement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by their respective officers thereunto duly authorized,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3559" w:type="dxa"/>
        <w:jc w:val="left"/>
        <w:tblInd w:w="0" w:type="dxa"/>
        <w:tblLayout w:type="fixed"/>
        <w:tblCellMar>
          <w:top w:w="0" w:type="dxa"/>
          <w:left w:w="0" w:type="dxa"/>
          <w:bottom w:w="0" w:type="dxa"/>
          <w:right w:w="0" w:type="dxa"/>
        </w:tblCellMar>
      </w:tblPr>
      <w:tblGrid>
        <w:gridCol w:w="75"/>
        <w:gridCol w:w="618"/>
        <w:gridCol w:w="2866"/>
      </w:tblGrid>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sz w:val="20"/>
              </w:rPr>
            </w:pPr>
            <w:r>
              <w:rPr>
                <w:b/>
                <w:sz w:val="20"/>
              </w:rPr>
              <w:t xml:space="preserve">RENT THE RUNWAY, INC., </w:t>
            </w:r>
            <w:r>
              <w:rPr>
                <w:sz w:val="20"/>
              </w:rPr>
              <w:t>as Borrower</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sz w:val="20"/>
              </w:rPr>
            </w:pPr>
            <w:r>
              <w:rPr>
                <w:sz w:val="20"/>
              </w:rPr>
              <w:t>By:</w:t>
            </w:r>
          </w:p>
        </w:tc>
        <w:tc>
          <w:tcPr>
            <w:tcW w:w="286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Loretta</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sz w:val="20"/>
              </w:rPr>
            </w:pPr>
            <w:r>
              <w:rPr>
                <w:sz w:val="20"/>
              </w:rPr>
              <w:t>Name:</w:t>
            </w:r>
          </w:p>
        </w:tc>
        <w:tc>
          <w:tcPr>
            <w:tcW w:w="286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Loretta</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sz w:val="20"/>
              </w:rPr>
            </w:pPr>
            <w:r>
              <w:rPr>
                <w:sz w:val="20"/>
              </w:rPr>
              <w:t>Title:</w:t>
            </w:r>
          </w:p>
        </w:tc>
        <w:tc>
          <w:tcPr>
            <w:tcW w:w="286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pPr>
            <w:r>
              <w:rPr/>
              <w:t> </w:t>
            </w:r>
          </w:p>
        </w:tc>
        <w:tc>
          <w:tcPr>
            <w:tcW w:w="348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3649" w:type="dxa"/>
        <w:jc w:val="left"/>
        <w:tblInd w:w="0" w:type="dxa"/>
        <w:tblLayout w:type="fixed"/>
        <w:tblCellMar>
          <w:top w:w="0" w:type="dxa"/>
          <w:left w:w="0" w:type="dxa"/>
          <w:bottom w:w="0" w:type="dxa"/>
          <w:right w:w="0" w:type="dxa"/>
        </w:tblCellMar>
      </w:tblPr>
      <w:tblGrid>
        <w:gridCol w:w="75"/>
        <w:gridCol w:w="834"/>
        <w:gridCol w:w="2740"/>
      </w:tblGrid>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sz w:val="20"/>
              </w:rPr>
            </w:pPr>
            <w:r>
              <w:rPr>
                <w:b/>
                <w:sz w:val="20"/>
              </w:rPr>
              <w:t>CHS (US) MANAGEMENT LLC</w:t>
            </w:r>
            <w:r>
              <w:rPr>
                <w:sz w:val="20"/>
              </w:rPr>
              <w:t>, as Agent</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20"/>
              </w:rPr>
            </w:pPr>
            <w:r>
              <w:rPr>
                <w:sz w:val="20"/>
              </w:rPr>
              <w:t>By:</w:t>
            </w:r>
          </w:p>
        </w:tc>
        <w:tc>
          <w:tcPr>
            <w:tcW w:w="27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Zhang</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20"/>
              </w:rPr>
            </w:pPr>
            <w:r>
              <w:rPr>
                <w:sz w:val="20"/>
              </w:rPr>
              <w:t>Name:</w:t>
            </w:r>
          </w:p>
        </w:tc>
        <w:tc>
          <w:tcPr>
            <w:tcW w:w="27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Zhang</w:t>
            </w:r>
          </w:p>
        </w:tc>
      </w:tr>
      <w:tr>
        <w:trPr/>
        <w:tc>
          <w:tcPr>
            <w:tcW w:w="75"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20"/>
              </w:rPr>
            </w:pPr>
            <w:r>
              <w:rPr>
                <w:sz w:val="20"/>
              </w:rPr>
              <w:t>Title:</w:t>
            </w:r>
          </w:p>
        </w:tc>
        <w:tc>
          <w:tcPr>
            <w:tcW w:w="274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3859" w:type="dxa"/>
        <w:jc w:val="left"/>
        <w:tblInd w:w="0" w:type="dxa"/>
        <w:tblLayout w:type="fixed"/>
        <w:tblCellMar>
          <w:top w:w="0" w:type="dxa"/>
          <w:left w:w="0" w:type="dxa"/>
          <w:bottom w:w="0" w:type="dxa"/>
          <w:right w:w="0" w:type="dxa"/>
        </w:tblCellMar>
      </w:tblPr>
      <w:tblGrid>
        <w:gridCol w:w="75"/>
        <w:gridCol w:w="883"/>
        <w:gridCol w:w="2901"/>
      </w:tblGrid>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sz w:val="20"/>
              </w:rPr>
            </w:pPr>
            <w:r>
              <w:rPr>
                <w:b/>
                <w:sz w:val="20"/>
              </w:rPr>
              <w:t>CHS (US) INVESTMENTS LLC</w:t>
            </w:r>
            <w:r>
              <w:rPr>
                <w:sz w:val="20"/>
              </w:rPr>
              <w:t xml:space="preserve">, as a Lender </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283"/>
              <w:jc w:val="left"/>
              <w:rPr>
                <w:sz w:val="20"/>
              </w:rPr>
            </w:pPr>
            <w:r>
              <w:rPr>
                <w:sz w:val="20"/>
              </w:rPr>
              <w:t>By: CHS GP LP, as manager</w:t>
            </w:r>
          </w:p>
        </w:tc>
      </w:tr>
      <w:tr>
        <w:trPr/>
        <w:tc>
          <w:tcPr>
            <w:tcW w:w="75" w:type="dxa"/>
            <w:tcBorders/>
            <w:vAlign w:val="center"/>
          </w:tcPr>
          <w:p>
            <w:pPr>
              <w:pStyle w:val="TableContents"/>
              <w:bidi w:val="0"/>
              <w:spacing w:before="0" w:after="283"/>
              <w:jc w:val="left"/>
              <w:rPr/>
            </w:pPr>
            <w:r>
              <w:rPr/>
              <w:t> </w:t>
            </w:r>
          </w:p>
        </w:tc>
        <w:tc>
          <w:tcPr>
            <w:tcW w:w="3784"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CHS UGP LLC, as general partner</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sz w:val="20"/>
              </w:rPr>
            </w:pPr>
            <w:r>
              <w:rPr>
                <w:sz w:val="20"/>
              </w:rPr>
              <w:t>By:</w:t>
            </w:r>
          </w:p>
        </w:tc>
        <w:tc>
          <w:tcPr>
            <w:tcW w:w="2901"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Zhang</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sz w:val="20"/>
              </w:rPr>
            </w:pPr>
            <w:r>
              <w:rPr>
                <w:sz w:val="20"/>
              </w:rPr>
              <w:t>Name:</w:t>
            </w:r>
          </w:p>
        </w:tc>
        <w:tc>
          <w:tcPr>
            <w:tcW w:w="2901"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Zhang</w:t>
            </w:r>
          </w:p>
        </w:tc>
      </w:tr>
      <w:tr>
        <w:trPr/>
        <w:tc>
          <w:tcPr>
            <w:tcW w:w="75"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left"/>
              <w:rPr>
                <w:sz w:val="20"/>
              </w:rPr>
            </w:pPr>
            <w:r>
              <w:rPr>
                <w:sz w:val="20"/>
              </w:rPr>
              <w:t>Title:</w:t>
            </w:r>
          </w:p>
        </w:tc>
        <w:tc>
          <w:tcPr>
            <w:tcW w:w="2901"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6379" w:type="dxa"/>
        <w:jc w:val="left"/>
        <w:tblInd w:w="0" w:type="dxa"/>
        <w:tblLayout w:type="fixed"/>
        <w:tblCellMar>
          <w:top w:w="0" w:type="dxa"/>
          <w:left w:w="0" w:type="dxa"/>
          <w:bottom w:w="0" w:type="dxa"/>
          <w:right w:w="0" w:type="dxa"/>
        </w:tblCellMar>
      </w:tblPr>
      <w:tblGrid>
        <w:gridCol w:w="75"/>
        <w:gridCol w:w="1471"/>
        <w:gridCol w:w="4833"/>
      </w:tblGrid>
      <w:tr>
        <w:trPr/>
        <w:tc>
          <w:tcPr>
            <w:tcW w:w="75" w:type="dxa"/>
            <w:tcBorders/>
            <w:vAlign w:val="center"/>
          </w:tcPr>
          <w:p>
            <w:pPr>
              <w:pStyle w:val="TableContents"/>
              <w:bidi w:val="0"/>
              <w:spacing w:before="0" w:after="283"/>
              <w:jc w:val="left"/>
              <w:rPr/>
            </w:pPr>
            <w:r>
              <w:rPr/>
              <w:t> </w:t>
            </w:r>
          </w:p>
        </w:tc>
        <w:tc>
          <w:tcPr>
            <w:tcW w:w="6304" w:type="dxa"/>
            <w:gridSpan w:val="2"/>
            <w:tcBorders/>
            <w:vAlign w:val="center"/>
          </w:tcPr>
          <w:p>
            <w:pPr>
              <w:pStyle w:val="TableContents"/>
              <w:bidi w:val="0"/>
              <w:spacing w:before="0" w:after="283"/>
              <w:jc w:val="left"/>
              <w:rPr/>
            </w:pPr>
            <w:r>
              <w:rPr>
                <w:rFonts w:ascii="Times New Roman;Times;Serif" w:hAnsi="Times New Roman;Times;Serif"/>
                <w:b/>
                <w:caps/>
                <w:sz w:val="20"/>
              </w:rPr>
              <w:t>APS RTR Blocker Inc.</w:t>
            </w:r>
            <w:r>
              <w:rPr>
                <w:sz w:val="20"/>
              </w:rPr>
              <w:t>, as a Third Amendment Incremental Term Lender</w:t>
            </w:r>
          </w:p>
        </w:tc>
      </w:tr>
      <w:tr>
        <w:trPr/>
        <w:tc>
          <w:tcPr>
            <w:tcW w:w="75" w:type="dxa"/>
            <w:tcBorders/>
            <w:vAlign w:val="center"/>
          </w:tcPr>
          <w:p>
            <w:pPr>
              <w:pStyle w:val="TableContents"/>
              <w:bidi w:val="0"/>
              <w:spacing w:before="0" w:after="283"/>
              <w:jc w:val="left"/>
              <w:rPr/>
            </w:pPr>
            <w:r>
              <w:rPr/>
              <w:t> </w:t>
            </w:r>
          </w:p>
        </w:tc>
        <w:tc>
          <w:tcPr>
            <w:tcW w:w="63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sz w:val="20"/>
              </w:rPr>
            </w:pPr>
            <w:r>
              <w:rPr>
                <w:sz w:val="20"/>
              </w:rPr>
              <w:t>By:</w:t>
            </w:r>
          </w:p>
        </w:tc>
        <w:tc>
          <w:tcPr>
            <w:tcW w:w="483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Brady Schuck</w:t>
            </w:r>
          </w:p>
        </w:tc>
      </w:tr>
      <w:tr>
        <w:trPr/>
        <w:tc>
          <w:tcPr>
            <w:tcW w:w="75"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sz w:val="20"/>
              </w:rPr>
            </w:pPr>
            <w:r>
              <w:rPr>
                <w:sz w:val="20"/>
              </w:rPr>
              <w:t>Name:</w:t>
            </w:r>
          </w:p>
        </w:tc>
        <w:tc>
          <w:tcPr>
            <w:tcW w:w="483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Brady Schuck</w:t>
            </w:r>
          </w:p>
        </w:tc>
      </w:tr>
      <w:tr>
        <w:trPr/>
        <w:tc>
          <w:tcPr>
            <w:tcW w:w="75"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jc w:val="left"/>
              <w:rPr>
                <w:sz w:val="20"/>
              </w:rPr>
            </w:pPr>
            <w:r>
              <w:rPr>
                <w:sz w:val="20"/>
              </w:rPr>
              <w:t>Title:</w:t>
            </w:r>
          </w:p>
        </w:tc>
        <w:tc>
          <w:tcPr>
            <w:tcW w:w="483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7639" w:type="dxa"/>
        <w:jc w:val="left"/>
        <w:tblInd w:w="0" w:type="dxa"/>
        <w:tblLayout w:type="fixed"/>
        <w:tblCellMar>
          <w:top w:w="0" w:type="dxa"/>
          <w:left w:w="0" w:type="dxa"/>
          <w:bottom w:w="0" w:type="dxa"/>
          <w:right w:w="0" w:type="dxa"/>
        </w:tblCellMar>
      </w:tblPr>
      <w:tblGrid>
        <w:gridCol w:w="75"/>
        <w:gridCol w:w="1591"/>
        <w:gridCol w:w="5973"/>
      </w:tblGrid>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rFonts w:ascii="Times New Roman;Times;Serif" w:hAnsi="Times New Roman;Times;Serif"/>
                <w:b/>
                <w:caps/>
                <w:sz w:val="20"/>
              </w:rPr>
              <w:t>Gateway Runway, LLC</w:t>
            </w:r>
            <w:r>
              <w:rPr>
                <w:sz w:val="20"/>
              </w:rPr>
              <w:t>, as a Lender and a Third Amendment Incremental Term Lender</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sz w:val="20"/>
              </w:rPr>
            </w:pPr>
            <w:r>
              <w:rPr>
                <w:sz w:val="20"/>
              </w:rPr>
              <w:t>By:</w:t>
            </w:r>
          </w:p>
        </w:tc>
        <w:tc>
          <w:tcPr>
            <w:tcW w:w="597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Damian Giangiacomo</w:t>
            </w:r>
          </w:p>
        </w:tc>
      </w:tr>
      <w:tr>
        <w:trPr/>
        <w:tc>
          <w:tcPr>
            <w:tcW w:w="75"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sz w:val="20"/>
              </w:rPr>
            </w:pPr>
            <w:r>
              <w:rPr>
                <w:sz w:val="20"/>
              </w:rPr>
              <w:t>Name:</w:t>
            </w:r>
          </w:p>
        </w:tc>
        <w:tc>
          <w:tcPr>
            <w:tcW w:w="597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Damian Giangiacomo</w:t>
            </w:r>
          </w:p>
        </w:tc>
      </w:tr>
      <w:tr>
        <w:trPr/>
        <w:tc>
          <w:tcPr>
            <w:tcW w:w="75"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sz w:val="20"/>
              </w:rPr>
            </w:pPr>
            <w:r>
              <w:rPr>
                <w:sz w:val="20"/>
              </w:rPr>
              <w:t>Title:</w:t>
            </w:r>
          </w:p>
        </w:tc>
        <w:tc>
          <w:tcPr>
            <w:tcW w:w="5973"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7684" w:type="dxa"/>
        <w:jc w:val="left"/>
        <w:tblInd w:w="0" w:type="dxa"/>
        <w:tblLayout w:type="fixed"/>
        <w:tblCellMar>
          <w:top w:w="0" w:type="dxa"/>
          <w:left w:w="0" w:type="dxa"/>
          <w:bottom w:w="0" w:type="dxa"/>
          <w:right w:w="0" w:type="dxa"/>
        </w:tblCellMar>
      </w:tblPr>
      <w:tblGrid>
        <w:gridCol w:w="75"/>
        <w:gridCol w:w="1505"/>
        <w:gridCol w:w="6104"/>
      </w:tblGrid>
      <w:tr>
        <w:trPr/>
        <w:tc>
          <w:tcPr>
            <w:tcW w:w="75" w:type="dxa"/>
            <w:tcBorders/>
            <w:vAlign w:val="center"/>
          </w:tcPr>
          <w:p>
            <w:pPr>
              <w:pStyle w:val="TableContents"/>
              <w:bidi w:val="0"/>
              <w:spacing w:before="0" w:after="283"/>
              <w:jc w:val="left"/>
              <w:rPr/>
            </w:pPr>
            <w:r>
              <w:rPr/>
              <w:t> </w:t>
            </w:r>
          </w:p>
        </w:tc>
        <w:tc>
          <w:tcPr>
            <w:tcW w:w="7609" w:type="dxa"/>
            <w:gridSpan w:val="2"/>
            <w:tcBorders/>
            <w:vAlign w:val="center"/>
          </w:tcPr>
          <w:p>
            <w:pPr>
              <w:pStyle w:val="TableContents"/>
              <w:bidi w:val="0"/>
              <w:spacing w:before="0" w:after="283"/>
              <w:jc w:val="left"/>
              <w:rPr/>
            </w:pPr>
            <w:r>
              <w:rPr>
                <w:b/>
                <w:caps/>
                <w:sz w:val="20"/>
              </w:rPr>
              <w:t>S3 RR Aggregator, LLC</w:t>
            </w:r>
            <w:r>
              <w:rPr>
                <w:sz w:val="20"/>
              </w:rPr>
              <w:t>, as a Lender and a Third Amendment Incremental Term Lender</w:t>
            </w:r>
          </w:p>
        </w:tc>
      </w:tr>
      <w:tr>
        <w:trPr/>
        <w:tc>
          <w:tcPr>
            <w:tcW w:w="75" w:type="dxa"/>
            <w:tcBorders/>
            <w:vAlign w:val="center"/>
          </w:tcPr>
          <w:p>
            <w:pPr>
              <w:pStyle w:val="TableContents"/>
              <w:bidi w:val="0"/>
              <w:spacing w:before="0" w:after="283"/>
              <w:jc w:val="left"/>
              <w:rPr/>
            </w:pPr>
            <w:r>
              <w:rPr/>
              <w:t> </w:t>
            </w:r>
          </w:p>
        </w:tc>
        <w:tc>
          <w:tcPr>
            <w:tcW w:w="76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0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sz w:val="20"/>
              </w:rPr>
            </w:pPr>
            <w:r>
              <w:rPr>
                <w:sz w:val="20"/>
              </w:rPr>
              <w:t>By:</w:t>
            </w:r>
          </w:p>
        </w:tc>
        <w:tc>
          <w:tcPr>
            <w:tcW w:w="610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Comisar</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sz w:val="20"/>
              </w:rPr>
            </w:pPr>
            <w:r>
              <w:rPr>
                <w:sz w:val="20"/>
              </w:rPr>
              <w:t>Name:</w:t>
            </w:r>
          </w:p>
        </w:tc>
        <w:tc>
          <w:tcPr>
            <w:tcW w:w="610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Comisar</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sz w:val="20"/>
              </w:rPr>
            </w:pPr>
            <w:r>
              <w:rPr>
                <w:sz w:val="20"/>
              </w:rPr>
              <w:t>Title:</w:t>
            </w:r>
          </w:p>
        </w:tc>
        <w:tc>
          <w:tcPr>
            <w:tcW w:w="6104"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Representative</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[Signature Page to Third Amendment to Amended and Restated Credit Agreement]</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Conformed through Third Amendment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1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DATED AS OF October 28,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RENT THE RUNWAY, INC.,</w:t>
        <w:b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THE LENDERS FROM TIME TO TIME PARTY HERETO,</w:t>
        <w:br/>
        <w:t>AS LENDERS,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trike w:val="false"/>
          <w:dstrike w:val="false"/>
          <w:sz w:val="20"/>
          <w:u w:val="none"/>
          <w:effect w:val="none"/>
        </w:rPr>
        <w:t>CHS (US) Management LLC</w:t>
      </w:r>
      <w:r>
        <w:rPr>
          <w:rFonts w:ascii="Times New Roman;Times;Serif" w:hAnsi="Times New Roman;Times;Serif"/>
          <w:b/>
          <w:i w:val="false"/>
          <w:caps w:val="false"/>
          <w:smallCaps w:val="false"/>
          <w:strike w:val="false"/>
          <w:dstrike w:val="false"/>
          <w:sz w:val="20"/>
          <w:u w:val="none"/>
          <w:effect w:val="none"/>
        </w:rPr>
        <w:t>,</w:t>
        <w:br/>
        <w:t>AS ADMINISTRATIVE AGENT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12" w:space="0" w:color="000000"/>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140"/>
        <w:gridCol w:w="440"/>
        <w:gridCol w:w="6185"/>
        <w:gridCol w:w="260"/>
      </w:tblGrid>
      <w:tr>
        <w:trPr/>
        <w:tc>
          <w:tcPr>
            <w:tcW w:w="140" w:type="dxa"/>
            <w:tcBorders/>
            <w:vAlign w:val="center"/>
          </w:tcPr>
          <w:p>
            <w:pPr>
              <w:pStyle w:val="TableContents"/>
              <w:bidi w:val="0"/>
              <w:spacing w:before="0" w:after="283"/>
              <w:jc w:val="left"/>
              <w:rPr/>
            </w:pPr>
            <w:r>
              <w:rPr/>
              <w:t>1</w:t>
            </w:r>
          </w:p>
        </w:tc>
        <w:tc>
          <w:tcPr>
            <w:tcW w:w="6625" w:type="dxa"/>
            <w:gridSpan w:val="2"/>
            <w:tcBorders/>
            <w:vAlign w:val="center"/>
          </w:tcPr>
          <w:p>
            <w:pPr>
              <w:pStyle w:val="TableContents"/>
              <w:bidi w:val="0"/>
              <w:spacing w:before="0" w:after="283"/>
              <w:jc w:val="left"/>
              <w:rPr/>
            </w:pPr>
            <w:r>
              <w:rPr/>
              <w:t>DEFINITIONS</w:t>
            </w:r>
          </w:p>
        </w:tc>
        <w:tc>
          <w:tcPr>
            <w:tcW w:w="260" w:type="dxa"/>
            <w:tcBorders/>
            <w:vAlign w:val="center"/>
          </w:tcPr>
          <w:p>
            <w:pPr>
              <w:pStyle w:val="TableContents"/>
              <w:bidi w:val="0"/>
              <w:spacing w:before="0" w:after="283"/>
              <w:jc w:val="right"/>
              <w:rPr/>
            </w:pPr>
            <w:r>
              <w:rPr/>
              <w:t>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1.1</w:t>
            </w:r>
          </w:p>
        </w:tc>
        <w:tc>
          <w:tcPr>
            <w:tcW w:w="6185" w:type="dxa"/>
            <w:tcBorders/>
            <w:vAlign w:val="center"/>
          </w:tcPr>
          <w:p>
            <w:pPr>
              <w:pStyle w:val="TableContents"/>
              <w:bidi w:val="0"/>
              <w:spacing w:before="0" w:after="283"/>
              <w:jc w:val="left"/>
              <w:rPr/>
            </w:pPr>
            <w:r>
              <w:rPr/>
              <w:t>Certain Defined Terms</w:t>
            </w:r>
          </w:p>
        </w:tc>
        <w:tc>
          <w:tcPr>
            <w:tcW w:w="260" w:type="dxa"/>
            <w:tcBorders/>
            <w:vAlign w:val="center"/>
          </w:tcPr>
          <w:p>
            <w:pPr>
              <w:pStyle w:val="TableContents"/>
              <w:bidi w:val="0"/>
              <w:spacing w:before="0" w:after="283"/>
              <w:jc w:val="right"/>
              <w:rPr/>
            </w:pPr>
            <w:r>
              <w:rPr/>
              <w:t>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1.2</w:t>
            </w:r>
          </w:p>
        </w:tc>
        <w:tc>
          <w:tcPr>
            <w:tcW w:w="6185" w:type="dxa"/>
            <w:tcBorders/>
            <w:vAlign w:val="center"/>
          </w:tcPr>
          <w:p>
            <w:pPr>
              <w:pStyle w:val="TableContents"/>
              <w:bidi w:val="0"/>
              <w:spacing w:before="0" w:after="283"/>
              <w:jc w:val="left"/>
              <w:rPr/>
            </w:pPr>
            <w:r>
              <w:rPr/>
              <w:t>Other Interpretive Provisions</w:t>
            </w:r>
          </w:p>
        </w:tc>
        <w:tc>
          <w:tcPr>
            <w:tcW w:w="260" w:type="dxa"/>
            <w:tcBorders/>
            <w:vAlign w:val="center"/>
          </w:tcPr>
          <w:p>
            <w:pPr>
              <w:pStyle w:val="TableContents"/>
              <w:bidi w:val="0"/>
              <w:spacing w:before="0" w:after="283"/>
              <w:jc w:val="right"/>
              <w:rPr/>
            </w:pPr>
            <w:r>
              <w:rPr/>
              <w:t>33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1.3</w:t>
            </w:r>
          </w:p>
        </w:tc>
        <w:tc>
          <w:tcPr>
            <w:tcW w:w="6185" w:type="dxa"/>
            <w:tcBorders/>
            <w:vAlign w:val="center"/>
          </w:tcPr>
          <w:p>
            <w:pPr>
              <w:pStyle w:val="TableContents"/>
              <w:bidi w:val="0"/>
              <w:spacing w:before="0" w:after="283"/>
              <w:jc w:val="left"/>
              <w:rPr/>
            </w:pPr>
            <w:r>
              <w:rPr/>
              <w:t>Accounting Terms</w:t>
            </w:r>
          </w:p>
        </w:tc>
        <w:tc>
          <w:tcPr>
            <w:tcW w:w="260" w:type="dxa"/>
            <w:tcBorders/>
            <w:vAlign w:val="center"/>
          </w:tcPr>
          <w:p>
            <w:pPr>
              <w:pStyle w:val="TableContents"/>
              <w:bidi w:val="0"/>
              <w:spacing w:before="0" w:after="283"/>
              <w:jc w:val="right"/>
              <w:rPr/>
            </w:pPr>
            <w:r>
              <w:rPr/>
              <w:t>34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1.4</w:t>
            </w:r>
          </w:p>
        </w:tc>
        <w:tc>
          <w:tcPr>
            <w:tcW w:w="6185" w:type="dxa"/>
            <w:tcBorders/>
            <w:vAlign w:val="center"/>
          </w:tcPr>
          <w:p>
            <w:pPr>
              <w:pStyle w:val="TableContents"/>
              <w:bidi w:val="0"/>
              <w:spacing w:before="0" w:after="283"/>
              <w:jc w:val="left"/>
              <w:rPr/>
            </w:pPr>
            <w:r>
              <w:rPr/>
              <w:t>Rounding</w:t>
            </w:r>
          </w:p>
        </w:tc>
        <w:tc>
          <w:tcPr>
            <w:tcW w:w="260" w:type="dxa"/>
            <w:tcBorders/>
            <w:vAlign w:val="center"/>
          </w:tcPr>
          <w:p>
            <w:pPr>
              <w:pStyle w:val="TableContents"/>
              <w:bidi w:val="0"/>
              <w:spacing w:before="0" w:after="283"/>
              <w:jc w:val="right"/>
              <w:rPr/>
            </w:pPr>
            <w:r>
              <w:rPr/>
              <w:t>35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1.5</w:t>
            </w:r>
          </w:p>
        </w:tc>
        <w:tc>
          <w:tcPr>
            <w:tcW w:w="6185" w:type="dxa"/>
            <w:tcBorders/>
            <w:vAlign w:val="center"/>
          </w:tcPr>
          <w:p>
            <w:pPr>
              <w:pStyle w:val="TableContents"/>
              <w:bidi w:val="0"/>
              <w:spacing w:before="0" w:after="283"/>
              <w:jc w:val="left"/>
              <w:rPr/>
            </w:pPr>
            <w:r>
              <w:rPr/>
              <w:t>Times of Day</w:t>
            </w:r>
          </w:p>
        </w:tc>
        <w:tc>
          <w:tcPr>
            <w:tcW w:w="260" w:type="dxa"/>
            <w:tcBorders/>
            <w:vAlign w:val="center"/>
          </w:tcPr>
          <w:p>
            <w:pPr>
              <w:pStyle w:val="TableContents"/>
              <w:bidi w:val="0"/>
              <w:spacing w:before="0" w:after="283"/>
              <w:jc w:val="right"/>
              <w:rPr/>
            </w:pPr>
            <w:r>
              <w:rPr/>
              <w:t>35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1.6</w:t>
            </w:r>
          </w:p>
        </w:tc>
        <w:tc>
          <w:tcPr>
            <w:tcW w:w="6185" w:type="dxa"/>
            <w:tcBorders/>
            <w:vAlign w:val="center"/>
          </w:tcPr>
          <w:p>
            <w:pPr>
              <w:pStyle w:val="TableContents"/>
              <w:bidi w:val="0"/>
              <w:spacing w:before="0" w:after="283"/>
              <w:jc w:val="left"/>
              <w:rPr/>
            </w:pPr>
            <w:r>
              <w:rPr/>
              <w:t>Divisions</w:t>
            </w:r>
          </w:p>
        </w:tc>
        <w:tc>
          <w:tcPr>
            <w:tcW w:w="260" w:type="dxa"/>
            <w:tcBorders/>
            <w:vAlign w:val="center"/>
          </w:tcPr>
          <w:p>
            <w:pPr>
              <w:pStyle w:val="TableContents"/>
              <w:bidi w:val="0"/>
              <w:spacing w:before="0" w:after="283"/>
              <w:jc w:val="right"/>
              <w:rPr/>
            </w:pPr>
            <w:r>
              <w:rPr/>
              <w:t>35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1.7</w:t>
            </w:r>
          </w:p>
        </w:tc>
        <w:tc>
          <w:tcPr>
            <w:tcW w:w="6185" w:type="dxa"/>
            <w:tcBorders/>
            <w:vAlign w:val="center"/>
          </w:tcPr>
          <w:p>
            <w:pPr>
              <w:pStyle w:val="TableContents"/>
              <w:bidi w:val="0"/>
              <w:spacing w:before="0" w:after="283"/>
              <w:jc w:val="left"/>
              <w:rPr/>
            </w:pPr>
            <w:r>
              <w:rPr/>
              <w:t>Senior Loan Documents and Specified Subordination Agreement</w:t>
            </w:r>
          </w:p>
        </w:tc>
        <w:tc>
          <w:tcPr>
            <w:tcW w:w="260" w:type="dxa"/>
            <w:tcBorders/>
            <w:vAlign w:val="center"/>
          </w:tcPr>
          <w:p>
            <w:pPr>
              <w:pStyle w:val="TableContents"/>
              <w:bidi w:val="0"/>
              <w:spacing w:before="0" w:after="283"/>
              <w:jc w:val="right"/>
              <w:rPr/>
            </w:pPr>
            <w:r>
              <w:rPr/>
              <w:t>35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1.8</w:t>
            </w:r>
          </w:p>
        </w:tc>
        <w:tc>
          <w:tcPr>
            <w:tcW w:w="6185" w:type="dxa"/>
            <w:tcBorders/>
            <w:vAlign w:val="center"/>
          </w:tcPr>
          <w:p>
            <w:pPr>
              <w:pStyle w:val="TableContents"/>
              <w:bidi w:val="0"/>
              <w:spacing w:before="0" w:after="283"/>
              <w:jc w:val="left"/>
              <w:rPr/>
            </w:pPr>
            <w:r>
              <w:rPr/>
              <w:t>Rates</w:t>
            </w:r>
          </w:p>
        </w:tc>
        <w:tc>
          <w:tcPr>
            <w:tcW w:w="260" w:type="dxa"/>
            <w:tcBorders/>
            <w:vAlign w:val="center"/>
          </w:tcPr>
          <w:p>
            <w:pPr>
              <w:pStyle w:val="TableContents"/>
              <w:bidi w:val="0"/>
              <w:spacing w:before="0" w:after="283"/>
              <w:jc w:val="right"/>
              <w:rPr/>
            </w:pPr>
            <w:r>
              <w:rPr/>
              <w:t>35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2</w:t>
            </w:r>
          </w:p>
        </w:tc>
        <w:tc>
          <w:tcPr>
            <w:tcW w:w="6625" w:type="dxa"/>
            <w:gridSpan w:val="2"/>
            <w:tcBorders/>
            <w:vAlign w:val="center"/>
          </w:tcPr>
          <w:p>
            <w:pPr>
              <w:pStyle w:val="TableContents"/>
              <w:bidi w:val="0"/>
              <w:spacing w:before="0" w:after="283"/>
              <w:jc w:val="left"/>
              <w:rPr/>
            </w:pPr>
            <w:r>
              <w:rPr/>
              <w:t>TERM LOANS</w:t>
            </w:r>
          </w:p>
        </w:tc>
        <w:tc>
          <w:tcPr>
            <w:tcW w:w="260" w:type="dxa"/>
            <w:tcBorders/>
            <w:vAlign w:val="center"/>
          </w:tcPr>
          <w:p>
            <w:pPr>
              <w:pStyle w:val="TableContents"/>
              <w:bidi w:val="0"/>
              <w:spacing w:before="0" w:after="283"/>
              <w:jc w:val="right"/>
              <w:rPr/>
            </w:pPr>
            <w:r>
              <w:rPr/>
              <w:t>36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w:t>
            </w:r>
          </w:p>
        </w:tc>
        <w:tc>
          <w:tcPr>
            <w:tcW w:w="6185" w:type="dxa"/>
            <w:tcBorders/>
            <w:vAlign w:val="center"/>
          </w:tcPr>
          <w:p>
            <w:pPr>
              <w:pStyle w:val="TableContents"/>
              <w:bidi w:val="0"/>
              <w:spacing w:before="0" w:after="283"/>
              <w:jc w:val="left"/>
              <w:rPr/>
            </w:pPr>
            <w:r>
              <w:rPr/>
              <w:t>Restatement Date Transactions; Loans and Commitments</w:t>
            </w:r>
          </w:p>
        </w:tc>
        <w:tc>
          <w:tcPr>
            <w:tcW w:w="260" w:type="dxa"/>
            <w:tcBorders/>
            <w:vAlign w:val="center"/>
          </w:tcPr>
          <w:p>
            <w:pPr>
              <w:pStyle w:val="TableContents"/>
              <w:bidi w:val="0"/>
              <w:spacing w:before="0" w:after="283"/>
              <w:jc w:val="right"/>
              <w:rPr/>
            </w:pPr>
            <w:r>
              <w:rPr/>
              <w:t>36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2.2</w:t>
            </w:r>
          </w:p>
        </w:tc>
        <w:tc>
          <w:tcPr>
            <w:tcW w:w="6185" w:type="dxa"/>
            <w:tcBorders/>
            <w:vAlign w:val="center"/>
          </w:tcPr>
          <w:p>
            <w:pPr>
              <w:pStyle w:val="TableContents"/>
              <w:bidi w:val="0"/>
              <w:spacing w:before="0" w:after="283"/>
              <w:jc w:val="left"/>
              <w:rPr/>
            </w:pPr>
            <w:r>
              <w:rPr/>
              <w:t>Accrual of Interest and Maturity; Evidence of Indebtedness</w:t>
            </w:r>
          </w:p>
        </w:tc>
        <w:tc>
          <w:tcPr>
            <w:tcW w:w="260" w:type="dxa"/>
            <w:tcBorders/>
            <w:vAlign w:val="center"/>
          </w:tcPr>
          <w:p>
            <w:pPr>
              <w:pStyle w:val="TableContents"/>
              <w:bidi w:val="0"/>
              <w:spacing w:before="0" w:after="283"/>
              <w:jc w:val="right"/>
              <w:rPr/>
            </w:pPr>
            <w:r>
              <w:rPr/>
              <w:t>37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2.3</w:t>
            </w:r>
          </w:p>
        </w:tc>
        <w:tc>
          <w:tcPr>
            <w:tcW w:w="6185" w:type="dxa"/>
            <w:tcBorders/>
            <w:vAlign w:val="center"/>
          </w:tcPr>
          <w:p>
            <w:pPr>
              <w:pStyle w:val="TableContents"/>
              <w:bidi w:val="0"/>
              <w:spacing w:before="0" w:after="283"/>
              <w:jc w:val="left"/>
              <w:rPr/>
            </w:pPr>
            <w:r>
              <w:rPr/>
              <w:t>Requests for Loans</w:t>
            </w:r>
          </w:p>
        </w:tc>
        <w:tc>
          <w:tcPr>
            <w:tcW w:w="260" w:type="dxa"/>
            <w:tcBorders/>
            <w:vAlign w:val="center"/>
          </w:tcPr>
          <w:p>
            <w:pPr>
              <w:pStyle w:val="TableContents"/>
              <w:bidi w:val="0"/>
              <w:spacing w:before="0" w:after="283"/>
              <w:jc w:val="right"/>
              <w:rPr/>
            </w:pPr>
            <w:r>
              <w:rPr/>
              <w:t>38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2.4</w:t>
            </w:r>
          </w:p>
        </w:tc>
        <w:tc>
          <w:tcPr>
            <w:tcW w:w="6185" w:type="dxa"/>
            <w:tcBorders/>
            <w:vAlign w:val="center"/>
          </w:tcPr>
          <w:p>
            <w:pPr>
              <w:pStyle w:val="TableContents"/>
              <w:bidi w:val="0"/>
              <w:spacing w:before="0" w:after="283"/>
              <w:jc w:val="left"/>
              <w:rPr/>
            </w:pPr>
            <w:r>
              <w:rPr/>
              <w:t>Disbursement of Loans</w:t>
            </w:r>
          </w:p>
        </w:tc>
        <w:tc>
          <w:tcPr>
            <w:tcW w:w="260" w:type="dxa"/>
            <w:tcBorders/>
            <w:vAlign w:val="center"/>
          </w:tcPr>
          <w:p>
            <w:pPr>
              <w:pStyle w:val="TableContents"/>
              <w:bidi w:val="0"/>
              <w:spacing w:before="0" w:after="283"/>
              <w:jc w:val="right"/>
              <w:rPr/>
            </w:pPr>
            <w:r>
              <w:rPr/>
              <w:t>39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2.5</w:t>
            </w:r>
          </w:p>
        </w:tc>
        <w:tc>
          <w:tcPr>
            <w:tcW w:w="6185" w:type="dxa"/>
            <w:tcBorders/>
            <w:vAlign w:val="center"/>
          </w:tcPr>
          <w:p>
            <w:pPr>
              <w:pStyle w:val="TableContents"/>
              <w:bidi w:val="0"/>
              <w:spacing w:before="0" w:after="283"/>
              <w:jc w:val="left"/>
              <w:rPr/>
            </w:pPr>
            <w:r>
              <w:rPr/>
              <w:t>Fees</w:t>
            </w:r>
          </w:p>
        </w:tc>
        <w:tc>
          <w:tcPr>
            <w:tcW w:w="260" w:type="dxa"/>
            <w:tcBorders/>
            <w:vAlign w:val="center"/>
          </w:tcPr>
          <w:p>
            <w:pPr>
              <w:pStyle w:val="TableContents"/>
              <w:bidi w:val="0"/>
              <w:spacing w:before="0" w:after="283"/>
              <w:jc w:val="right"/>
              <w:rPr/>
            </w:pPr>
            <w:r>
              <w:rPr/>
              <w:t>39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2.6</w:t>
            </w:r>
          </w:p>
        </w:tc>
        <w:tc>
          <w:tcPr>
            <w:tcW w:w="6185" w:type="dxa"/>
            <w:tcBorders/>
            <w:vAlign w:val="center"/>
          </w:tcPr>
          <w:p>
            <w:pPr>
              <w:pStyle w:val="TableContents"/>
              <w:bidi w:val="0"/>
              <w:spacing w:before="0" w:after="283"/>
              <w:jc w:val="left"/>
              <w:rPr/>
            </w:pPr>
            <w:r>
              <w:rPr/>
              <w:t>Interest Payments; Default Interest</w:t>
            </w:r>
          </w:p>
        </w:tc>
        <w:tc>
          <w:tcPr>
            <w:tcW w:w="260" w:type="dxa"/>
            <w:tcBorders/>
            <w:vAlign w:val="center"/>
          </w:tcPr>
          <w:p>
            <w:pPr>
              <w:pStyle w:val="TableContents"/>
              <w:bidi w:val="0"/>
              <w:spacing w:before="0" w:after="283"/>
              <w:jc w:val="right"/>
              <w:rPr/>
            </w:pPr>
            <w:r>
              <w:rPr/>
              <w:t>39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2.7</w:t>
            </w:r>
          </w:p>
        </w:tc>
        <w:tc>
          <w:tcPr>
            <w:tcW w:w="6185" w:type="dxa"/>
            <w:tcBorders/>
            <w:vAlign w:val="center"/>
          </w:tcPr>
          <w:p>
            <w:pPr>
              <w:pStyle w:val="TableContents"/>
              <w:bidi w:val="0"/>
              <w:spacing w:before="0" w:after="283"/>
              <w:jc w:val="left"/>
              <w:rPr/>
            </w:pPr>
            <w:r>
              <w:rPr/>
              <w:t>Optional Prepayments</w:t>
            </w:r>
          </w:p>
        </w:tc>
        <w:tc>
          <w:tcPr>
            <w:tcW w:w="260" w:type="dxa"/>
            <w:tcBorders/>
            <w:vAlign w:val="center"/>
          </w:tcPr>
          <w:p>
            <w:pPr>
              <w:pStyle w:val="TableContents"/>
              <w:bidi w:val="0"/>
              <w:spacing w:before="0" w:after="283"/>
              <w:jc w:val="right"/>
              <w:rPr/>
            </w:pPr>
            <w:r>
              <w:rPr/>
              <w:t>40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2.8</w:t>
            </w:r>
          </w:p>
        </w:tc>
        <w:tc>
          <w:tcPr>
            <w:tcW w:w="6185" w:type="dxa"/>
            <w:tcBorders/>
            <w:vAlign w:val="center"/>
          </w:tcPr>
          <w:p>
            <w:pPr>
              <w:pStyle w:val="TableContents"/>
              <w:bidi w:val="0"/>
              <w:spacing w:before="0" w:after="283"/>
              <w:jc w:val="left"/>
              <w:rPr/>
            </w:pPr>
            <w:r>
              <w:rPr/>
              <w:t>Mandatory Repayment of Loans</w:t>
            </w:r>
          </w:p>
        </w:tc>
        <w:tc>
          <w:tcPr>
            <w:tcW w:w="260" w:type="dxa"/>
            <w:tcBorders/>
            <w:vAlign w:val="center"/>
          </w:tcPr>
          <w:p>
            <w:pPr>
              <w:pStyle w:val="TableContents"/>
              <w:bidi w:val="0"/>
              <w:spacing w:before="0" w:after="283"/>
              <w:jc w:val="right"/>
              <w:rPr/>
            </w:pPr>
            <w:r>
              <w:rPr/>
              <w:t>41</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2.9</w:t>
            </w:r>
          </w:p>
        </w:tc>
        <w:tc>
          <w:tcPr>
            <w:tcW w:w="6185" w:type="dxa"/>
            <w:tcBorders/>
            <w:vAlign w:val="center"/>
          </w:tcPr>
          <w:p>
            <w:pPr>
              <w:pStyle w:val="TableContents"/>
              <w:bidi w:val="0"/>
              <w:spacing w:before="0" w:after="283"/>
              <w:jc w:val="left"/>
              <w:rPr/>
            </w:pPr>
            <w:r>
              <w:rPr/>
              <w:t>Application of Payments</w:t>
            </w:r>
          </w:p>
        </w:tc>
        <w:tc>
          <w:tcPr>
            <w:tcW w:w="260" w:type="dxa"/>
            <w:tcBorders/>
            <w:vAlign w:val="center"/>
          </w:tcPr>
          <w:p>
            <w:pPr>
              <w:pStyle w:val="TableContents"/>
              <w:bidi w:val="0"/>
              <w:spacing w:before="0" w:after="283"/>
              <w:jc w:val="right"/>
              <w:rPr/>
            </w:pPr>
            <w:r>
              <w:rPr/>
              <w:t>42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w:t>
            </w:r>
          </w:p>
        </w:tc>
        <w:tc>
          <w:tcPr>
            <w:tcW w:w="6185" w:type="dxa"/>
            <w:tcBorders/>
            <w:vAlign w:val="center"/>
          </w:tcPr>
          <w:p>
            <w:pPr>
              <w:pStyle w:val="TableContents"/>
              <w:bidi w:val="0"/>
              <w:spacing w:before="0" w:after="283"/>
              <w:jc w:val="left"/>
              <w:rPr/>
            </w:pPr>
            <w:r>
              <w:rPr/>
              <w:t>Use of Proceeds of Loans</w:t>
            </w:r>
          </w:p>
        </w:tc>
        <w:tc>
          <w:tcPr>
            <w:tcW w:w="260" w:type="dxa"/>
            <w:tcBorders/>
            <w:vAlign w:val="center"/>
          </w:tcPr>
          <w:p>
            <w:pPr>
              <w:pStyle w:val="TableContents"/>
              <w:bidi w:val="0"/>
              <w:spacing w:before="0" w:after="283"/>
              <w:jc w:val="right"/>
              <w:rPr/>
            </w:pPr>
            <w:r>
              <w:rPr/>
              <w:t>43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2.11</w:t>
            </w:r>
          </w:p>
        </w:tc>
        <w:tc>
          <w:tcPr>
            <w:tcW w:w="6185" w:type="dxa"/>
            <w:tcBorders/>
            <w:vAlign w:val="center"/>
          </w:tcPr>
          <w:p>
            <w:pPr>
              <w:pStyle w:val="TableContents"/>
              <w:bidi w:val="0"/>
              <w:spacing w:before="0" w:after="283"/>
              <w:jc w:val="left"/>
              <w:rPr/>
            </w:pPr>
            <w:r>
              <w:rPr/>
              <w:t>Incremental Facilities</w:t>
            </w:r>
          </w:p>
        </w:tc>
        <w:tc>
          <w:tcPr>
            <w:tcW w:w="260" w:type="dxa"/>
            <w:tcBorders/>
            <w:vAlign w:val="center"/>
          </w:tcPr>
          <w:p>
            <w:pPr>
              <w:pStyle w:val="TableContents"/>
              <w:bidi w:val="0"/>
              <w:spacing w:before="0" w:after="283"/>
              <w:jc w:val="right"/>
              <w:rPr/>
            </w:pPr>
            <w:r>
              <w:rPr/>
              <w:t>43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2.12</w:t>
            </w:r>
          </w:p>
        </w:tc>
        <w:tc>
          <w:tcPr>
            <w:tcW w:w="6185" w:type="dxa"/>
            <w:tcBorders/>
            <w:vAlign w:val="center"/>
          </w:tcPr>
          <w:p>
            <w:pPr>
              <w:pStyle w:val="TableContents"/>
              <w:bidi w:val="0"/>
              <w:spacing w:before="0" w:after="283"/>
              <w:jc w:val="left"/>
              <w:rPr/>
            </w:pPr>
            <w:r>
              <w:rPr/>
              <w:t>SOFR Option</w:t>
            </w:r>
          </w:p>
        </w:tc>
        <w:tc>
          <w:tcPr>
            <w:tcW w:w="260" w:type="dxa"/>
            <w:tcBorders/>
            <w:vAlign w:val="center"/>
          </w:tcPr>
          <w:p>
            <w:pPr>
              <w:pStyle w:val="TableContents"/>
              <w:bidi w:val="0"/>
              <w:spacing w:before="0" w:after="283"/>
              <w:jc w:val="right"/>
              <w:rPr/>
            </w:pPr>
            <w:r>
              <w:rPr/>
              <w:t>45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2.13</w:t>
            </w:r>
          </w:p>
        </w:tc>
        <w:tc>
          <w:tcPr>
            <w:tcW w:w="6185" w:type="dxa"/>
            <w:tcBorders/>
            <w:vAlign w:val="center"/>
          </w:tcPr>
          <w:p>
            <w:pPr>
              <w:pStyle w:val="TableContents"/>
              <w:bidi w:val="0"/>
              <w:spacing w:before="0" w:after="283"/>
              <w:jc w:val="left"/>
              <w:rPr/>
            </w:pPr>
            <w:r>
              <w:rPr/>
              <w:t>Funding Losses</w:t>
            </w:r>
          </w:p>
        </w:tc>
        <w:tc>
          <w:tcPr>
            <w:tcW w:w="260" w:type="dxa"/>
            <w:tcBorders/>
            <w:vAlign w:val="center"/>
          </w:tcPr>
          <w:p>
            <w:pPr>
              <w:pStyle w:val="TableContents"/>
              <w:bidi w:val="0"/>
              <w:spacing w:before="0" w:after="283"/>
              <w:jc w:val="right"/>
              <w:rPr/>
            </w:pPr>
            <w:r>
              <w:rPr/>
              <w:t>48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2.14</w:t>
            </w:r>
          </w:p>
        </w:tc>
        <w:tc>
          <w:tcPr>
            <w:tcW w:w="6185" w:type="dxa"/>
            <w:tcBorders/>
            <w:vAlign w:val="center"/>
          </w:tcPr>
          <w:p>
            <w:pPr>
              <w:pStyle w:val="TableContents"/>
              <w:bidi w:val="0"/>
              <w:spacing w:before="0" w:after="283"/>
              <w:jc w:val="left"/>
              <w:rPr/>
            </w:pPr>
            <w:r>
              <w:rPr/>
              <w:t>Impracticability or Illegality</w:t>
            </w:r>
          </w:p>
        </w:tc>
        <w:tc>
          <w:tcPr>
            <w:tcW w:w="260" w:type="dxa"/>
            <w:tcBorders/>
            <w:vAlign w:val="center"/>
          </w:tcPr>
          <w:p>
            <w:pPr>
              <w:pStyle w:val="TableContents"/>
              <w:bidi w:val="0"/>
              <w:spacing w:before="0" w:after="283"/>
              <w:jc w:val="right"/>
              <w:rPr/>
            </w:pPr>
            <w:r>
              <w:rPr/>
              <w:t>48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3</w:t>
            </w:r>
          </w:p>
        </w:tc>
        <w:tc>
          <w:tcPr>
            <w:tcW w:w="6625" w:type="dxa"/>
            <w:gridSpan w:val="2"/>
            <w:tcBorders/>
            <w:vAlign w:val="center"/>
          </w:tcPr>
          <w:p>
            <w:pPr>
              <w:pStyle w:val="TableContents"/>
              <w:bidi w:val="0"/>
              <w:spacing w:before="0" w:after="283"/>
              <w:jc w:val="left"/>
              <w:rPr/>
            </w:pPr>
            <w:r>
              <w:rPr/>
              <w:t>[INTENTIONALLY OMITTED]</w:t>
            </w:r>
          </w:p>
        </w:tc>
        <w:tc>
          <w:tcPr>
            <w:tcW w:w="260" w:type="dxa"/>
            <w:tcBorders/>
            <w:vAlign w:val="center"/>
          </w:tcPr>
          <w:p>
            <w:pPr>
              <w:pStyle w:val="TableContents"/>
              <w:bidi w:val="0"/>
              <w:spacing w:before="0" w:after="283"/>
              <w:jc w:val="right"/>
              <w:rPr/>
            </w:pPr>
            <w:r>
              <w:rPr/>
              <w:t>49</w:t>
            </w:r>
          </w:p>
        </w:tc>
      </w:tr>
      <w:tr>
        <w:trPr/>
        <w:tc>
          <w:tcPr>
            <w:tcW w:w="140" w:type="dxa"/>
            <w:tcBorders/>
            <w:vAlign w:val="center"/>
          </w:tcPr>
          <w:p>
            <w:pPr>
              <w:pStyle w:val="TableContents"/>
              <w:bidi w:val="0"/>
              <w:spacing w:before="0" w:after="283"/>
              <w:jc w:val="left"/>
              <w:rPr/>
            </w:pPr>
            <w:r>
              <w:rPr/>
              <w:t> </w:t>
            </w:r>
          </w:p>
        </w:tc>
        <w:tc>
          <w:tcPr>
            <w:tcW w:w="6625" w:type="dxa"/>
            <w:gridSpan w:val="2"/>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4</w:t>
            </w:r>
          </w:p>
        </w:tc>
        <w:tc>
          <w:tcPr>
            <w:tcW w:w="6625" w:type="dxa"/>
            <w:gridSpan w:val="2"/>
            <w:tcBorders/>
            <w:vAlign w:val="center"/>
          </w:tcPr>
          <w:p>
            <w:pPr>
              <w:pStyle w:val="TableContents"/>
              <w:bidi w:val="0"/>
              <w:spacing w:before="0" w:after="283"/>
              <w:jc w:val="left"/>
              <w:rPr/>
            </w:pPr>
            <w:r>
              <w:rPr/>
              <w:t>CONDITIONS</w:t>
            </w:r>
          </w:p>
        </w:tc>
        <w:tc>
          <w:tcPr>
            <w:tcW w:w="260" w:type="dxa"/>
            <w:tcBorders/>
            <w:vAlign w:val="center"/>
          </w:tcPr>
          <w:p>
            <w:pPr>
              <w:pStyle w:val="TableContents"/>
              <w:bidi w:val="0"/>
              <w:spacing w:before="0" w:after="283"/>
              <w:jc w:val="right"/>
              <w:rPr/>
            </w:pPr>
            <w:r>
              <w:rPr/>
              <w:t>49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4.1</w:t>
            </w:r>
          </w:p>
        </w:tc>
        <w:tc>
          <w:tcPr>
            <w:tcW w:w="6185" w:type="dxa"/>
            <w:tcBorders/>
            <w:vAlign w:val="center"/>
          </w:tcPr>
          <w:p>
            <w:pPr>
              <w:pStyle w:val="TableContents"/>
              <w:bidi w:val="0"/>
              <w:spacing w:before="0" w:after="283"/>
              <w:jc w:val="left"/>
              <w:rPr/>
            </w:pPr>
            <w:r>
              <w:rPr/>
              <w:t>Conditions to Effectiveness</w:t>
            </w:r>
          </w:p>
        </w:tc>
        <w:tc>
          <w:tcPr>
            <w:tcW w:w="260" w:type="dxa"/>
            <w:tcBorders/>
            <w:vAlign w:val="center"/>
          </w:tcPr>
          <w:p>
            <w:pPr>
              <w:pStyle w:val="TableContents"/>
              <w:bidi w:val="0"/>
              <w:spacing w:before="0" w:after="283"/>
              <w:jc w:val="right"/>
              <w:rPr/>
            </w:pPr>
            <w:r>
              <w:rPr/>
              <w:t>49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4.2</w:t>
            </w:r>
          </w:p>
        </w:tc>
        <w:tc>
          <w:tcPr>
            <w:tcW w:w="6185" w:type="dxa"/>
            <w:tcBorders/>
            <w:vAlign w:val="center"/>
          </w:tcPr>
          <w:p>
            <w:pPr>
              <w:pStyle w:val="TableContents"/>
              <w:bidi w:val="0"/>
              <w:spacing w:before="0" w:after="283"/>
              <w:jc w:val="left"/>
              <w:rPr/>
            </w:pPr>
            <w:r>
              <w:rPr/>
              <w:t>Conditions to all Loans</w:t>
            </w:r>
          </w:p>
        </w:tc>
        <w:tc>
          <w:tcPr>
            <w:tcW w:w="260" w:type="dxa"/>
            <w:tcBorders/>
            <w:vAlign w:val="center"/>
          </w:tcPr>
          <w:p>
            <w:pPr>
              <w:pStyle w:val="TableContents"/>
              <w:bidi w:val="0"/>
              <w:spacing w:before="0" w:after="283"/>
              <w:jc w:val="right"/>
              <w:rPr/>
            </w:pPr>
            <w:r>
              <w:rPr/>
              <w:t>52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4.3</w:t>
            </w:r>
          </w:p>
        </w:tc>
        <w:tc>
          <w:tcPr>
            <w:tcW w:w="6185" w:type="dxa"/>
            <w:tcBorders/>
            <w:vAlign w:val="center"/>
          </w:tcPr>
          <w:p>
            <w:pPr>
              <w:pStyle w:val="TableContents"/>
              <w:bidi w:val="0"/>
              <w:spacing w:before="0" w:after="283"/>
              <w:jc w:val="left"/>
              <w:rPr/>
            </w:pPr>
            <w:r>
              <w:rPr/>
              <w:t>Conditions Subsequent to Effectiveness</w:t>
            </w:r>
          </w:p>
        </w:tc>
        <w:tc>
          <w:tcPr>
            <w:tcW w:w="260" w:type="dxa"/>
            <w:tcBorders/>
            <w:vAlign w:val="center"/>
          </w:tcPr>
          <w:p>
            <w:pPr>
              <w:pStyle w:val="TableContents"/>
              <w:bidi w:val="0"/>
              <w:spacing w:before="0" w:after="283"/>
              <w:jc w:val="right"/>
              <w:rPr/>
            </w:pPr>
            <w:r>
              <w:rPr/>
              <w:t>53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5</w:t>
            </w:r>
          </w:p>
        </w:tc>
        <w:tc>
          <w:tcPr>
            <w:tcW w:w="6625" w:type="dxa"/>
            <w:gridSpan w:val="2"/>
            <w:tcBorders/>
            <w:vAlign w:val="center"/>
          </w:tcPr>
          <w:p>
            <w:pPr>
              <w:pStyle w:val="TableContents"/>
              <w:bidi w:val="0"/>
              <w:spacing w:before="0" w:after="283"/>
              <w:jc w:val="left"/>
              <w:rPr/>
            </w:pPr>
            <w:r>
              <w:rPr/>
              <w:t>REPRESENTATIONS AND WARRANTIES</w:t>
            </w:r>
          </w:p>
        </w:tc>
        <w:tc>
          <w:tcPr>
            <w:tcW w:w="260" w:type="dxa"/>
            <w:tcBorders/>
            <w:vAlign w:val="center"/>
          </w:tcPr>
          <w:p>
            <w:pPr>
              <w:pStyle w:val="TableContents"/>
              <w:bidi w:val="0"/>
              <w:spacing w:before="0" w:after="283"/>
              <w:jc w:val="right"/>
              <w:rPr/>
            </w:pPr>
            <w:r>
              <w:rPr/>
              <w:t>53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w:t>
            </w:r>
          </w:p>
        </w:tc>
        <w:tc>
          <w:tcPr>
            <w:tcW w:w="6185" w:type="dxa"/>
            <w:tcBorders/>
            <w:vAlign w:val="center"/>
          </w:tcPr>
          <w:p>
            <w:pPr>
              <w:pStyle w:val="TableContents"/>
              <w:bidi w:val="0"/>
              <w:spacing w:before="0" w:after="283"/>
              <w:jc w:val="left"/>
              <w:rPr/>
            </w:pPr>
            <w:r>
              <w:rPr/>
              <w:t>Corporate Authority</w:t>
            </w:r>
          </w:p>
        </w:tc>
        <w:tc>
          <w:tcPr>
            <w:tcW w:w="260" w:type="dxa"/>
            <w:tcBorders/>
            <w:vAlign w:val="center"/>
          </w:tcPr>
          <w:p>
            <w:pPr>
              <w:pStyle w:val="TableContents"/>
              <w:bidi w:val="0"/>
              <w:spacing w:before="0" w:after="283"/>
              <w:jc w:val="right"/>
              <w:rPr/>
            </w:pPr>
            <w:r>
              <w:rPr/>
              <w:t>53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w:t>
            </w:r>
          </w:p>
        </w:tc>
        <w:tc>
          <w:tcPr>
            <w:tcW w:w="6185" w:type="dxa"/>
            <w:tcBorders/>
            <w:vAlign w:val="center"/>
          </w:tcPr>
          <w:p>
            <w:pPr>
              <w:pStyle w:val="TableContents"/>
              <w:bidi w:val="0"/>
              <w:spacing w:before="0" w:after="283"/>
              <w:jc w:val="left"/>
              <w:rPr/>
            </w:pPr>
            <w:r>
              <w:rPr/>
              <w:t>Due Authorization</w:t>
            </w:r>
          </w:p>
        </w:tc>
        <w:tc>
          <w:tcPr>
            <w:tcW w:w="260" w:type="dxa"/>
            <w:tcBorders/>
            <w:vAlign w:val="center"/>
          </w:tcPr>
          <w:p>
            <w:pPr>
              <w:pStyle w:val="TableContents"/>
              <w:bidi w:val="0"/>
              <w:spacing w:before="0" w:after="283"/>
              <w:jc w:val="right"/>
              <w:rPr/>
            </w:pPr>
            <w:r>
              <w:rPr/>
              <w:t>53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w:t>
            </w:r>
          </w:p>
        </w:tc>
        <w:tc>
          <w:tcPr>
            <w:tcW w:w="6185" w:type="dxa"/>
            <w:tcBorders/>
            <w:vAlign w:val="center"/>
          </w:tcPr>
          <w:p>
            <w:pPr>
              <w:pStyle w:val="TableContents"/>
              <w:bidi w:val="0"/>
              <w:spacing w:before="0" w:after="283"/>
              <w:jc w:val="left"/>
              <w:rPr/>
            </w:pPr>
            <w:r>
              <w:rPr/>
              <w:t>Good Title; Leases; Assets; No Liens</w:t>
            </w:r>
          </w:p>
        </w:tc>
        <w:tc>
          <w:tcPr>
            <w:tcW w:w="260" w:type="dxa"/>
            <w:tcBorders/>
            <w:vAlign w:val="center"/>
          </w:tcPr>
          <w:p>
            <w:pPr>
              <w:pStyle w:val="TableContents"/>
              <w:bidi w:val="0"/>
              <w:spacing w:before="0" w:after="283"/>
              <w:jc w:val="right"/>
              <w:rPr/>
            </w:pPr>
            <w:r>
              <w:rPr/>
              <w:t>53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5.4</w:t>
            </w:r>
          </w:p>
        </w:tc>
        <w:tc>
          <w:tcPr>
            <w:tcW w:w="6185" w:type="dxa"/>
            <w:tcBorders/>
            <w:vAlign w:val="center"/>
          </w:tcPr>
          <w:p>
            <w:pPr>
              <w:pStyle w:val="TableContents"/>
              <w:bidi w:val="0"/>
              <w:spacing w:before="0" w:after="283"/>
              <w:jc w:val="left"/>
              <w:rPr/>
            </w:pPr>
            <w:r>
              <w:rPr/>
              <w:t>Taxes</w:t>
            </w:r>
          </w:p>
        </w:tc>
        <w:tc>
          <w:tcPr>
            <w:tcW w:w="260" w:type="dxa"/>
            <w:tcBorders/>
            <w:vAlign w:val="center"/>
          </w:tcPr>
          <w:p>
            <w:pPr>
              <w:pStyle w:val="TableContents"/>
              <w:bidi w:val="0"/>
              <w:spacing w:before="0" w:after="283"/>
              <w:jc w:val="right"/>
              <w:rPr/>
            </w:pPr>
            <w:r>
              <w:rPr/>
              <w:t>54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5.5</w:t>
            </w:r>
          </w:p>
        </w:tc>
        <w:tc>
          <w:tcPr>
            <w:tcW w:w="6185" w:type="dxa"/>
            <w:tcBorders/>
            <w:vAlign w:val="center"/>
          </w:tcPr>
          <w:p>
            <w:pPr>
              <w:pStyle w:val="TableContents"/>
              <w:bidi w:val="0"/>
              <w:spacing w:before="0" w:after="283"/>
              <w:jc w:val="left"/>
              <w:rPr/>
            </w:pPr>
            <w:r>
              <w:rPr/>
              <w:t>No Defaults</w:t>
            </w:r>
          </w:p>
        </w:tc>
        <w:tc>
          <w:tcPr>
            <w:tcW w:w="260" w:type="dxa"/>
            <w:tcBorders/>
            <w:vAlign w:val="center"/>
          </w:tcPr>
          <w:p>
            <w:pPr>
              <w:pStyle w:val="TableContents"/>
              <w:bidi w:val="0"/>
              <w:spacing w:before="0" w:after="283"/>
              <w:jc w:val="right"/>
              <w:rPr/>
            </w:pPr>
            <w:r>
              <w:rPr/>
              <w:t>54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5.6</w:t>
            </w:r>
          </w:p>
        </w:tc>
        <w:tc>
          <w:tcPr>
            <w:tcW w:w="6185" w:type="dxa"/>
            <w:tcBorders/>
            <w:vAlign w:val="center"/>
          </w:tcPr>
          <w:p>
            <w:pPr>
              <w:pStyle w:val="TableContents"/>
              <w:bidi w:val="0"/>
              <w:spacing w:before="0" w:after="283"/>
              <w:jc w:val="left"/>
              <w:rPr/>
            </w:pPr>
            <w:r>
              <w:rPr/>
              <w:t>Enforceability of Agreement and Loan Documents</w:t>
            </w:r>
          </w:p>
        </w:tc>
        <w:tc>
          <w:tcPr>
            <w:tcW w:w="260" w:type="dxa"/>
            <w:tcBorders/>
            <w:vAlign w:val="center"/>
          </w:tcPr>
          <w:p>
            <w:pPr>
              <w:pStyle w:val="TableContents"/>
              <w:bidi w:val="0"/>
              <w:spacing w:before="0" w:after="283"/>
              <w:jc w:val="right"/>
              <w:rPr/>
            </w:pPr>
            <w:r>
              <w:rPr/>
              <w:t>54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5.7</w:t>
            </w:r>
          </w:p>
        </w:tc>
        <w:tc>
          <w:tcPr>
            <w:tcW w:w="6185" w:type="dxa"/>
            <w:tcBorders/>
            <w:vAlign w:val="center"/>
          </w:tcPr>
          <w:p>
            <w:pPr>
              <w:pStyle w:val="TableContents"/>
              <w:bidi w:val="0"/>
              <w:spacing w:before="0" w:after="283"/>
              <w:jc w:val="left"/>
              <w:rPr/>
            </w:pPr>
            <w:r>
              <w:rPr/>
              <w:t>Compliance with Laws</w:t>
            </w:r>
          </w:p>
        </w:tc>
        <w:tc>
          <w:tcPr>
            <w:tcW w:w="260" w:type="dxa"/>
            <w:tcBorders/>
            <w:vAlign w:val="center"/>
          </w:tcPr>
          <w:p>
            <w:pPr>
              <w:pStyle w:val="TableContents"/>
              <w:bidi w:val="0"/>
              <w:spacing w:before="0" w:after="283"/>
              <w:jc w:val="right"/>
              <w:rPr/>
            </w:pPr>
            <w:r>
              <w:rPr/>
              <w:t>55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5.8</w:t>
            </w:r>
          </w:p>
        </w:tc>
        <w:tc>
          <w:tcPr>
            <w:tcW w:w="6185" w:type="dxa"/>
            <w:tcBorders/>
            <w:vAlign w:val="center"/>
          </w:tcPr>
          <w:p>
            <w:pPr>
              <w:pStyle w:val="TableContents"/>
              <w:bidi w:val="0"/>
              <w:spacing w:before="0" w:after="283"/>
              <w:jc w:val="left"/>
              <w:rPr/>
            </w:pPr>
            <w:r>
              <w:rPr/>
              <w:t>Non-contravention</w:t>
            </w:r>
          </w:p>
        </w:tc>
        <w:tc>
          <w:tcPr>
            <w:tcW w:w="260" w:type="dxa"/>
            <w:tcBorders/>
            <w:vAlign w:val="center"/>
          </w:tcPr>
          <w:p>
            <w:pPr>
              <w:pStyle w:val="TableContents"/>
              <w:bidi w:val="0"/>
              <w:spacing w:before="0" w:after="283"/>
              <w:jc w:val="right"/>
              <w:rPr/>
            </w:pPr>
            <w:r>
              <w:rPr/>
              <w:t>55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5.9</w:t>
            </w:r>
          </w:p>
        </w:tc>
        <w:tc>
          <w:tcPr>
            <w:tcW w:w="6185" w:type="dxa"/>
            <w:tcBorders/>
            <w:vAlign w:val="center"/>
          </w:tcPr>
          <w:p>
            <w:pPr>
              <w:pStyle w:val="TableContents"/>
              <w:bidi w:val="0"/>
              <w:spacing w:before="0" w:after="283"/>
              <w:jc w:val="left"/>
              <w:rPr/>
            </w:pPr>
            <w:r>
              <w:rPr/>
              <w:t>Litigation</w:t>
            </w:r>
          </w:p>
        </w:tc>
        <w:tc>
          <w:tcPr>
            <w:tcW w:w="260" w:type="dxa"/>
            <w:tcBorders/>
            <w:vAlign w:val="center"/>
          </w:tcPr>
          <w:p>
            <w:pPr>
              <w:pStyle w:val="TableContents"/>
              <w:bidi w:val="0"/>
              <w:spacing w:before="0" w:after="283"/>
              <w:jc w:val="right"/>
              <w:rPr/>
            </w:pPr>
            <w:r>
              <w:rPr/>
              <w:t>55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w:t>
            </w:r>
          </w:p>
        </w:tc>
        <w:tc>
          <w:tcPr>
            <w:tcW w:w="6185" w:type="dxa"/>
            <w:tcBorders/>
            <w:vAlign w:val="center"/>
          </w:tcPr>
          <w:p>
            <w:pPr>
              <w:pStyle w:val="TableContents"/>
              <w:bidi w:val="0"/>
              <w:spacing w:before="0" w:after="283"/>
              <w:jc w:val="left"/>
              <w:rPr/>
            </w:pPr>
            <w:r>
              <w:rPr/>
              <w:t>Consents, Approvals and Filings, Etc</w:t>
            </w:r>
          </w:p>
        </w:tc>
        <w:tc>
          <w:tcPr>
            <w:tcW w:w="260" w:type="dxa"/>
            <w:tcBorders/>
            <w:vAlign w:val="center"/>
          </w:tcPr>
          <w:p>
            <w:pPr>
              <w:pStyle w:val="TableContents"/>
              <w:bidi w:val="0"/>
              <w:spacing w:before="0" w:after="283"/>
              <w:jc w:val="right"/>
              <w:rPr/>
            </w:pPr>
            <w:r>
              <w:rPr/>
              <w:t>55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5.11</w:t>
            </w:r>
          </w:p>
        </w:tc>
        <w:tc>
          <w:tcPr>
            <w:tcW w:w="6185" w:type="dxa"/>
            <w:tcBorders/>
            <w:vAlign w:val="center"/>
          </w:tcPr>
          <w:p>
            <w:pPr>
              <w:pStyle w:val="TableContents"/>
              <w:bidi w:val="0"/>
              <w:spacing w:before="0" w:after="283"/>
              <w:jc w:val="left"/>
              <w:rPr/>
            </w:pPr>
            <w:r>
              <w:rPr/>
              <w:t>Agreements Affecting Financial Condition</w:t>
            </w:r>
          </w:p>
        </w:tc>
        <w:tc>
          <w:tcPr>
            <w:tcW w:w="260" w:type="dxa"/>
            <w:tcBorders/>
            <w:vAlign w:val="center"/>
          </w:tcPr>
          <w:p>
            <w:pPr>
              <w:pStyle w:val="TableContents"/>
              <w:bidi w:val="0"/>
              <w:spacing w:before="0" w:after="283"/>
              <w:jc w:val="right"/>
              <w:rPr/>
            </w:pPr>
            <w:r>
              <w:rPr/>
              <w:t>56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5.12</w:t>
            </w:r>
          </w:p>
        </w:tc>
        <w:tc>
          <w:tcPr>
            <w:tcW w:w="6185" w:type="dxa"/>
            <w:tcBorders/>
            <w:vAlign w:val="center"/>
          </w:tcPr>
          <w:p>
            <w:pPr>
              <w:pStyle w:val="TableContents"/>
              <w:bidi w:val="0"/>
              <w:spacing w:before="0" w:after="283"/>
              <w:jc w:val="left"/>
              <w:rPr/>
            </w:pPr>
            <w:r>
              <w:rPr/>
              <w:t>No Investment Company or Margin Stock</w:t>
            </w:r>
          </w:p>
        </w:tc>
        <w:tc>
          <w:tcPr>
            <w:tcW w:w="260" w:type="dxa"/>
            <w:tcBorders/>
            <w:vAlign w:val="center"/>
          </w:tcPr>
          <w:p>
            <w:pPr>
              <w:pStyle w:val="TableContents"/>
              <w:bidi w:val="0"/>
              <w:spacing w:before="0" w:after="283"/>
              <w:jc w:val="right"/>
              <w:rPr/>
            </w:pPr>
            <w:r>
              <w:rPr/>
              <w:t>56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5.13</w:t>
            </w:r>
          </w:p>
        </w:tc>
        <w:tc>
          <w:tcPr>
            <w:tcW w:w="6185" w:type="dxa"/>
            <w:tcBorders/>
            <w:vAlign w:val="center"/>
          </w:tcPr>
          <w:p>
            <w:pPr>
              <w:pStyle w:val="TableContents"/>
              <w:bidi w:val="0"/>
              <w:spacing w:before="0" w:after="283"/>
              <w:jc w:val="left"/>
              <w:rPr/>
            </w:pPr>
            <w:r>
              <w:rPr/>
              <w:t>ERISA</w:t>
            </w:r>
          </w:p>
        </w:tc>
        <w:tc>
          <w:tcPr>
            <w:tcW w:w="260" w:type="dxa"/>
            <w:tcBorders/>
            <w:vAlign w:val="center"/>
          </w:tcPr>
          <w:p>
            <w:pPr>
              <w:pStyle w:val="TableContents"/>
              <w:bidi w:val="0"/>
              <w:spacing w:before="0" w:after="283"/>
              <w:jc w:val="right"/>
              <w:rPr/>
            </w:pPr>
            <w:r>
              <w:rPr/>
              <w:t>56</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140"/>
        <w:gridCol w:w="440"/>
        <w:gridCol w:w="7220"/>
        <w:gridCol w:w="260"/>
      </w:tblGrid>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5.14</w:t>
            </w:r>
          </w:p>
        </w:tc>
        <w:tc>
          <w:tcPr>
            <w:tcW w:w="7220" w:type="dxa"/>
            <w:tcBorders/>
            <w:vAlign w:val="center"/>
          </w:tcPr>
          <w:p>
            <w:pPr>
              <w:pStyle w:val="TableContents"/>
              <w:bidi w:val="0"/>
              <w:spacing w:before="0" w:after="283"/>
              <w:jc w:val="left"/>
              <w:rPr/>
            </w:pPr>
            <w:r>
              <w:rPr/>
              <w:t>Conditions Affecting Business or Properties</w:t>
            </w:r>
          </w:p>
        </w:tc>
        <w:tc>
          <w:tcPr>
            <w:tcW w:w="260" w:type="dxa"/>
            <w:tcBorders/>
            <w:vAlign w:val="center"/>
          </w:tcPr>
          <w:p>
            <w:pPr>
              <w:pStyle w:val="TableContents"/>
              <w:bidi w:val="0"/>
              <w:spacing w:before="0" w:after="283"/>
              <w:jc w:val="right"/>
              <w:rPr/>
            </w:pPr>
            <w:r>
              <w:rPr/>
              <w:t>56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5.15</w:t>
            </w:r>
          </w:p>
        </w:tc>
        <w:tc>
          <w:tcPr>
            <w:tcW w:w="7220" w:type="dxa"/>
            <w:tcBorders/>
            <w:vAlign w:val="center"/>
          </w:tcPr>
          <w:p>
            <w:pPr>
              <w:pStyle w:val="TableContents"/>
              <w:bidi w:val="0"/>
              <w:spacing w:before="0" w:after="283"/>
              <w:jc w:val="left"/>
              <w:rPr/>
            </w:pPr>
            <w:r>
              <w:rPr/>
              <w:t>Environmental and Safety Matters</w:t>
            </w:r>
          </w:p>
        </w:tc>
        <w:tc>
          <w:tcPr>
            <w:tcW w:w="260" w:type="dxa"/>
            <w:tcBorders/>
            <w:vAlign w:val="center"/>
          </w:tcPr>
          <w:p>
            <w:pPr>
              <w:pStyle w:val="TableContents"/>
              <w:bidi w:val="0"/>
              <w:spacing w:before="0" w:after="283"/>
              <w:jc w:val="right"/>
              <w:rPr/>
            </w:pPr>
            <w:r>
              <w:rPr/>
              <w:t>56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5.16</w:t>
            </w:r>
          </w:p>
        </w:tc>
        <w:tc>
          <w:tcPr>
            <w:tcW w:w="7220" w:type="dxa"/>
            <w:tcBorders/>
            <w:vAlign w:val="center"/>
          </w:tcPr>
          <w:p>
            <w:pPr>
              <w:pStyle w:val="TableContents"/>
              <w:bidi w:val="0"/>
              <w:spacing w:before="0" w:after="283"/>
              <w:jc w:val="left"/>
              <w:rPr/>
            </w:pPr>
            <w:r>
              <w:rPr/>
              <w:t>Subsidiaries</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5.17</w:t>
            </w:r>
          </w:p>
        </w:tc>
        <w:tc>
          <w:tcPr>
            <w:tcW w:w="7220" w:type="dxa"/>
            <w:tcBorders/>
            <w:vAlign w:val="center"/>
          </w:tcPr>
          <w:p>
            <w:pPr>
              <w:pStyle w:val="TableContents"/>
              <w:bidi w:val="0"/>
              <w:spacing w:before="0" w:after="283"/>
              <w:jc w:val="left"/>
              <w:rPr/>
            </w:pPr>
            <w:r>
              <w:rPr/>
              <w:t>Adverse Agreements, Etc</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5.18</w:t>
            </w:r>
          </w:p>
        </w:tc>
        <w:tc>
          <w:tcPr>
            <w:tcW w:w="7220" w:type="dxa"/>
            <w:tcBorders/>
            <w:vAlign w:val="center"/>
          </w:tcPr>
          <w:p>
            <w:pPr>
              <w:pStyle w:val="TableContents"/>
              <w:bidi w:val="0"/>
              <w:spacing w:before="0" w:after="283"/>
              <w:jc w:val="left"/>
              <w:rPr/>
            </w:pPr>
            <w:r>
              <w:rPr/>
              <w:t>Material Contracts</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5.19</w:t>
            </w:r>
          </w:p>
        </w:tc>
        <w:tc>
          <w:tcPr>
            <w:tcW w:w="7220" w:type="dxa"/>
            <w:tcBorders/>
            <w:vAlign w:val="center"/>
          </w:tcPr>
          <w:p>
            <w:pPr>
              <w:pStyle w:val="TableContents"/>
              <w:bidi w:val="0"/>
              <w:spacing w:before="0" w:after="283"/>
              <w:jc w:val="left"/>
              <w:rPr/>
            </w:pPr>
            <w:r>
              <w:rPr/>
              <w:t>Insurance</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w:t>
            </w:r>
          </w:p>
        </w:tc>
        <w:tc>
          <w:tcPr>
            <w:tcW w:w="7220" w:type="dxa"/>
            <w:tcBorders/>
            <w:vAlign w:val="center"/>
          </w:tcPr>
          <w:p>
            <w:pPr>
              <w:pStyle w:val="TableContents"/>
              <w:bidi w:val="0"/>
              <w:spacing w:before="0" w:after="283"/>
              <w:jc w:val="left"/>
              <w:rPr/>
            </w:pPr>
            <w:r>
              <w:rPr/>
              <w:t>Capital Structure</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5.21</w:t>
            </w:r>
          </w:p>
        </w:tc>
        <w:tc>
          <w:tcPr>
            <w:tcW w:w="7220" w:type="dxa"/>
            <w:tcBorders/>
            <w:vAlign w:val="center"/>
          </w:tcPr>
          <w:p>
            <w:pPr>
              <w:pStyle w:val="TableContents"/>
              <w:bidi w:val="0"/>
              <w:spacing w:before="0" w:after="283"/>
              <w:jc w:val="left"/>
              <w:rPr/>
            </w:pPr>
            <w:r>
              <w:rPr/>
              <w:t>Accuracy of Information</w:t>
            </w:r>
          </w:p>
        </w:tc>
        <w:tc>
          <w:tcPr>
            <w:tcW w:w="260" w:type="dxa"/>
            <w:tcBorders/>
            <w:vAlign w:val="center"/>
          </w:tcPr>
          <w:p>
            <w:pPr>
              <w:pStyle w:val="TableContents"/>
              <w:bidi w:val="0"/>
              <w:spacing w:before="0" w:after="283"/>
              <w:jc w:val="right"/>
              <w:rPr/>
            </w:pPr>
            <w:r>
              <w:rPr/>
              <w:t>57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5.22</w:t>
            </w:r>
          </w:p>
        </w:tc>
        <w:tc>
          <w:tcPr>
            <w:tcW w:w="7220" w:type="dxa"/>
            <w:tcBorders/>
            <w:vAlign w:val="center"/>
          </w:tcPr>
          <w:p>
            <w:pPr>
              <w:pStyle w:val="TableContents"/>
              <w:bidi w:val="0"/>
              <w:spacing w:before="0" w:after="283"/>
              <w:jc w:val="left"/>
              <w:rPr/>
            </w:pPr>
            <w:r>
              <w:rPr/>
              <w:t>Solvency</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5.23</w:t>
            </w:r>
          </w:p>
        </w:tc>
        <w:tc>
          <w:tcPr>
            <w:tcW w:w="7220" w:type="dxa"/>
            <w:tcBorders/>
            <w:vAlign w:val="center"/>
          </w:tcPr>
          <w:p>
            <w:pPr>
              <w:pStyle w:val="TableContents"/>
              <w:bidi w:val="0"/>
              <w:spacing w:before="0" w:after="283"/>
              <w:jc w:val="left"/>
              <w:rPr/>
            </w:pPr>
            <w:r>
              <w:rPr/>
              <w:t>Employee Matters</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5.24</w:t>
            </w:r>
          </w:p>
        </w:tc>
        <w:tc>
          <w:tcPr>
            <w:tcW w:w="7220" w:type="dxa"/>
            <w:tcBorders/>
            <w:vAlign w:val="center"/>
          </w:tcPr>
          <w:p>
            <w:pPr>
              <w:pStyle w:val="TableContents"/>
              <w:bidi w:val="0"/>
              <w:spacing w:before="0" w:after="283"/>
              <w:jc w:val="left"/>
              <w:rPr/>
            </w:pPr>
            <w:r>
              <w:rPr/>
              <w:t>Disclosure</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5.25</w:t>
            </w:r>
          </w:p>
        </w:tc>
        <w:tc>
          <w:tcPr>
            <w:tcW w:w="7220" w:type="dxa"/>
            <w:tcBorders/>
            <w:vAlign w:val="center"/>
          </w:tcPr>
          <w:p>
            <w:pPr>
              <w:pStyle w:val="TableContents"/>
              <w:bidi w:val="0"/>
              <w:spacing w:before="0" w:after="283"/>
              <w:jc w:val="left"/>
              <w:rPr/>
            </w:pPr>
            <w:r>
              <w:rPr/>
              <w:t>Corporate Documents and Corporate Existence</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5.26</w:t>
            </w:r>
          </w:p>
        </w:tc>
        <w:tc>
          <w:tcPr>
            <w:tcW w:w="7220" w:type="dxa"/>
            <w:tcBorders/>
            <w:vAlign w:val="center"/>
          </w:tcPr>
          <w:p>
            <w:pPr>
              <w:pStyle w:val="TableContents"/>
              <w:bidi w:val="0"/>
              <w:spacing w:before="0" w:after="283"/>
              <w:jc w:val="left"/>
              <w:rPr/>
            </w:pPr>
            <w:r>
              <w:rPr/>
              <w:t>Anti-Money Laundering/Anti-Terrorism</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5.27</w:t>
            </w:r>
          </w:p>
        </w:tc>
        <w:tc>
          <w:tcPr>
            <w:tcW w:w="7220" w:type="dxa"/>
            <w:tcBorders/>
            <w:vAlign w:val="center"/>
          </w:tcPr>
          <w:p>
            <w:pPr>
              <w:pStyle w:val="TableContents"/>
              <w:bidi w:val="0"/>
              <w:spacing w:before="0" w:after="283"/>
              <w:jc w:val="left"/>
              <w:rPr/>
            </w:pPr>
            <w:r>
              <w:rPr/>
              <w:t>EEA Financial Institution</w:t>
            </w:r>
          </w:p>
        </w:tc>
        <w:tc>
          <w:tcPr>
            <w:tcW w:w="260" w:type="dxa"/>
            <w:tcBorders/>
            <w:vAlign w:val="center"/>
          </w:tcPr>
          <w:p>
            <w:pPr>
              <w:pStyle w:val="TableContents"/>
              <w:bidi w:val="0"/>
              <w:spacing w:before="0" w:after="283"/>
              <w:jc w:val="right"/>
              <w:rPr/>
            </w:pPr>
            <w:r>
              <w:rPr/>
              <w:t>58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5.28</w:t>
            </w:r>
          </w:p>
        </w:tc>
        <w:tc>
          <w:tcPr>
            <w:tcW w:w="7220" w:type="dxa"/>
            <w:tcBorders/>
            <w:vAlign w:val="center"/>
          </w:tcPr>
          <w:p>
            <w:pPr>
              <w:pStyle w:val="TableContents"/>
              <w:bidi w:val="0"/>
              <w:spacing w:before="0" w:after="283"/>
              <w:jc w:val="left"/>
              <w:rPr/>
            </w:pPr>
            <w:r>
              <w:rPr/>
              <w:t>Intellectual Property</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5.29</w:t>
            </w:r>
          </w:p>
        </w:tc>
        <w:tc>
          <w:tcPr>
            <w:tcW w:w="7220" w:type="dxa"/>
            <w:tcBorders/>
            <w:vAlign w:val="center"/>
          </w:tcPr>
          <w:p>
            <w:pPr>
              <w:pStyle w:val="TableContents"/>
              <w:bidi w:val="0"/>
              <w:spacing w:before="0" w:after="283"/>
              <w:jc w:val="left"/>
              <w:rPr/>
            </w:pPr>
            <w:r>
              <w:rPr/>
              <w:t>Inbound Licenses</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w:t>
            </w:r>
          </w:p>
        </w:tc>
        <w:tc>
          <w:tcPr>
            <w:tcW w:w="7220" w:type="dxa"/>
            <w:tcBorders/>
            <w:vAlign w:val="center"/>
          </w:tcPr>
          <w:p>
            <w:pPr>
              <w:pStyle w:val="TableContents"/>
              <w:bidi w:val="0"/>
              <w:spacing w:before="0" w:after="283"/>
              <w:jc w:val="left"/>
              <w:rPr/>
            </w:pPr>
            <w:r>
              <w:rPr/>
              <w:t>Use of Proceeds</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5.31</w:t>
            </w:r>
          </w:p>
        </w:tc>
        <w:tc>
          <w:tcPr>
            <w:tcW w:w="7220" w:type="dxa"/>
            <w:tcBorders/>
            <w:vAlign w:val="center"/>
          </w:tcPr>
          <w:p>
            <w:pPr>
              <w:pStyle w:val="TableContents"/>
              <w:bidi w:val="0"/>
              <w:spacing w:before="0" w:after="283"/>
              <w:jc w:val="left"/>
              <w:rPr/>
            </w:pPr>
            <w:r>
              <w:rPr/>
              <w:t>Security Documents</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5.32</w:t>
            </w:r>
          </w:p>
        </w:tc>
        <w:tc>
          <w:tcPr>
            <w:tcW w:w="7220" w:type="dxa"/>
            <w:tcBorders/>
            <w:vAlign w:val="center"/>
          </w:tcPr>
          <w:p>
            <w:pPr>
              <w:pStyle w:val="TableContents"/>
              <w:bidi w:val="0"/>
              <w:spacing w:before="0" w:after="283"/>
              <w:jc w:val="left"/>
              <w:rPr/>
            </w:pPr>
            <w:r>
              <w:rPr/>
              <w:t>Customers and Suppliers</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5.33</w:t>
            </w:r>
          </w:p>
        </w:tc>
        <w:tc>
          <w:tcPr>
            <w:tcW w:w="7220" w:type="dxa"/>
            <w:tcBorders/>
            <w:vAlign w:val="center"/>
          </w:tcPr>
          <w:p>
            <w:pPr>
              <w:pStyle w:val="TableContents"/>
              <w:bidi w:val="0"/>
              <w:spacing w:before="0" w:after="283"/>
              <w:jc w:val="left"/>
              <w:rPr/>
            </w:pPr>
            <w:r>
              <w:rPr/>
              <w:t>Technology Security Systems</w:t>
            </w:r>
          </w:p>
        </w:tc>
        <w:tc>
          <w:tcPr>
            <w:tcW w:w="260" w:type="dxa"/>
            <w:tcBorders/>
            <w:vAlign w:val="center"/>
          </w:tcPr>
          <w:p>
            <w:pPr>
              <w:pStyle w:val="TableContents"/>
              <w:bidi w:val="0"/>
              <w:spacing w:before="0" w:after="283"/>
              <w:jc w:val="right"/>
              <w:rPr/>
            </w:pPr>
            <w:r>
              <w:rPr/>
              <w:t>59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6</w:t>
            </w:r>
          </w:p>
        </w:tc>
        <w:tc>
          <w:tcPr>
            <w:tcW w:w="7660" w:type="dxa"/>
            <w:gridSpan w:val="2"/>
            <w:tcBorders/>
            <w:vAlign w:val="center"/>
          </w:tcPr>
          <w:p>
            <w:pPr>
              <w:pStyle w:val="TableContents"/>
              <w:bidi w:val="0"/>
              <w:spacing w:before="0" w:after="283"/>
              <w:jc w:val="left"/>
              <w:rPr/>
            </w:pPr>
            <w:r>
              <w:rPr/>
              <w:t>AFFIRMATIVE COVENANTS</w:t>
            </w:r>
          </w:p>
        </w:tc>
        <w:tc>
          <w:tcPr>
            <w:tcW w:w="260" w:type="dxa"/>
            <w:tcBorders/>
            <w:vAlign w:val="center"/>
          </w:tcPr>
          <w:p>
            <w:pPr>
              <w:pStyle w:val="TableContents"/>
              <w:bidi w:val="0"/>
              <w:spacing w:before="0" w:after="283"/>
              <w:jc w:val="right"/>
              <w:rPr/>
            </w:pPr>
            <w:r>
              <w:rPr/>
              <w:t>60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w:t>
            </w:r>
          </w:p>
        </w:tc>
        <w:tc>
          <w:tcPr>
            <w:tcW w:w="7220" w:type="dxa"/>
            <w:tcBorders/>
            <w:vAlign w:val="center"/>
          </w:tcPr>
          <w:p>
            <w:pPr>
              <w:pStyle w:val="TableContents"/>
              <w:bidi w:val="0"/>
              <w:spacing w:before="0" w:after="283"/>
              <w:jc w:val="left"/>
              <w:rPr/>
            </w:pPr>
            <w:r>
              <w:rPr/>
              <w:t>Financial Statements</w:t>
            </w:r>
          </w:p>
        </w:tc>
        <w:tc>
          <w:tcPr>
            <w:tcW w:w="260" w:type="dxa"/>
            <w:tcBorders/>
            <w:vAlign w:val="center"/>
          </w:tcPr>
          <w:p>
            <w:pPr>
              <w:pStyle w:val="TableContents"/>
              <w:bidi w:val="0"/>
              <w:spacing w:before="0" w:after="283"/>
              <w:jc w:val="right"/>
              <w:rPr/>
            </w:pPr>
            <w:r>
              <w:rPr/>
              <w:t>60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6.2</w:t>
            </w:r>
          </w:p>
        </w:tc>
        <w:tc>
          <w:tcPr>
            <w:tcW w:w="7220" w:type="dxa"/>
            <w:tcBorders/>
            <w:vAlign w:val="center"/>
          </w:tcPr>
          <w:p>
            <w:pPr>
              <w:pStyle w:val="TableContents"/>
              <w:bidi w:val="0"/>
              <w:spacing w:before="0" w:after="283"/>
              <w:jc w:val="left"/>
              <w:rPr/>
            </w:pPr>
            <w:r>
              <w:rPr/>
              <w:t>Certificates; Other Information</w:t>
            </w:r>
          </w:p>
        </w:tc>
        <w:tc>
          <w:tcPr>
            <w:tcW w:w="260" w:type="dxa"/>
            <w:tcBorders/>
            <w:vAlign w:val="center"/>
          </w:tcPr>
          <w:p>
            <w:pPr>
              <w:pStyle w:val="TableContents"/>
              <w:bidi w:val="0"/>
              <w:spacing w:before="0" w:after="283"/>
              <w:jc w:val="right"/>
              <w:rPr/>
            </w:pPr>
            <w:r>
              <w:rPr/>
              <w:t>61</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6.3</w:t>
            </w:r>
          </w:p>
        </w:tc>
        <w:tc>
          <w:tcPr>
            <w:tcW w:w="7220" w:type="dxa"/>
            <w:tcBorders/>
            <w:vAlign w:val="center"/>
          </w:tcPr>
          <w:p>
            <w:pPr>
              <w:pStyle w:val="TableContents"/>
              <w:bidi w:val="0"/>
              <w:spacing w:before="0" w:after="283"/>
              <w:jc w:val="left"/>
              <w:rPr/>
            </w:pPr>
            <w:r>
              <w:rPr/>
              <w:t>Payment of Taxes and Other Obligations</w:t>
            </w:r>
          </w:p>
        </w:tc>
        <w:tc>
          <w:tcPr>
            <w:tcW w:w="260" w:type="dxa"/>
            <w:tcBorders/>
            <w:vAlign w:val="center"/>
          </w:tcPr>
          <w:p>
            <w:pPr>
              <w:pStyle w:val="TableContents"/>
              <w:bidi w:val="0"/>
              <w:spacing w:before="0" w:after="283"/>
              <w:jc w:val="right"/>
              <w:rPr/>
            </w:pPr>
            <w:r>
              <w:rPr/>
              <w:t>62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6.4</w:t>
            </w:r>
          </w:p>
        </w:tc>
        <w:tc>
          <w:tcPr>
            <w:tcW w:w="7220" w:type="dxa"/>
            <w:tcBorders/>
            <w:vAlign w:val="center"/>
          </w:tcPr>
          <w:p>
            <w:pPr>
              <w:pStyle w:val="TableContents"/>
              <w:bidi w:val="0"/>
              <w:spacing w:before="0" w:after="283"/>
              <w:jc w:val="left"/>
              <w:rPr/>
            </w:pPr>
            <w:r>
              <w:rPr/>
              <w:t>Conduct of Business and Maintenance of Existence; Compliance with Laws</w:t>
            </w:r>
          </w:p>
        </w:tc>
        <w:tc>
          <w:tcPr>
            <w:tcW w:w="260" w:type="dxa"/>
            <w:tcBorders/>
            <w:vAlign w:val="center"/>
          </w:tcPr>
          <w:p>
            <w:pPr>
              <w:pStyle w:val="TableContents"/>
              <w:bidi w:val="0"/>
              <w:spacing w:before="0" w:after="283"/>
              <w:jc w:val="right"/>
              <w:rPr/>
            </w:pPr>
            <w:r>
              <w:rPr/>
              <w:t>63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6.5</w:t>
            </w:r>
          </w:p>
        </w:tc>
        <w:tc>
          <w:tcPr>
            <w:tcW w:w="7220" w:type="dxa"/>
            <w:tcBorders/>
            <w:vAlign w:val="center"/>
          </w:tcPr>
          <w:p>
            <w:pPr>
              <w:pStyle w:val="TableContents"/>
              <w:bidi w:val="0"/>
              <w:spacing w:before="0" w:after="283"/>
              <w:jc w:val="left"/>
              <w:rPr/>
            </w:pPr>
            <w:r>
              <w:rPr/>
              <w:t>Maintenance of Property; Insurance</w:t>
            </w:r>
          </w:p>
        </w:tc>
        <w:tc>
          <w:tcPr>
            <w:tcW w:w="260" w:type="dxa"/>
            <w:tcBorders/>
            <w:vAlign w:val="center"/>
          </w:tcPr>
          <w:p>
            <w:pPr>
              <w:pStyle w:val="TableContents"/>
              <w:bidi w:val="0"/>
              <w:spacing w:before="0" w:after="283"/>
              <w:jc w:val="right"/>
              <w:rPr/>
            </w:pPr>
            <w:r>
              <w:rPr/>
              <w:t>63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6.6</w:t>
            </w:r>
          </w:p>
        </w:tc>
        <w:tc>
          <w:tcPr>
            <w:tcW w:w="7220" w:type="dxa"/>
            <w:tcBorders/>
            <w:vAlign w:val="center"/>
          </w:tcPr>
          <w:p>
            <w:pPr>
              <w:pStyle w:val="TableContents"/>
              <w:bidi w:val="0"/>
              <w:spacing w:before="0" w:after="283"/>
              <w:jc w:val="left"/>
              <w:rPr/>
            </w:pPr>
            <w:r>
              <w:rPr/>
              <w:t>Inspection of Property; Books and Records, Discussions</w:t>
            </w:r>
          </w:p>
        </w:tc>
        <w:tc>
          <w:tcPr>
            <w:tcW w:w="260" w:type="dxa"/>
            <w:tcBorders/>
            <w:vAlign w:val="center"/>
          </w:tcPr>
          <w:p>
            <w:pPr>
              <w:pStyle w:val="TableContents"/>
              <w:bidi w:val="0"/>
              <w:spacing w:before="0" w:after="283"/>
              <w:jc w:val="right"/>
              <w:rPr/>
            </w:pPr>
            <w:r>
              <w:rPr/>
              <w:t>64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6.7</w:t>
            </w:r>
          </w:p>
        </w:tc>
        <w:tc>
          <w:tcPr>
            <w:tcW w:w="7220" w:type="dxa"/>
            <w:tcBorders/>
            <w:vAlign w:val="center"/>
          </w:tcPr>
          <w:p>
            <w:pPr>
              <w:pStyle w:val="TableContents"/>
              <w:bidi w:val="0"/>
              <w:spacing w:before="0" w:after="283"/>
              <w:jc w:val="left"/>
              <w:rPr/>
            </w:pPr>
            <w:r>
              <w:rPr/>
              <w:t>Notices</w:t>
            </w:r>
          </w:p>
        </w:tc>
        <w:tc>
          <w:tcPr>
            <w:tcW w:w="260" w:type="dxa"/>
            <w:tcBorders/>
            <w:vAlign w:val="center"/>
          </w:tcPr>
          <w:p>
            <w:pPr>
              <w:pStyle w:val="TableContents"/>
              <w:bidi w:val="0"/>
              <w:spacing w:before="0" w:after="283"/>
              <w:jc w:val="right"/>
              <w:rPr/>
            </w:pPr>
            <w:r>
              <w:rPr/>
              <w:t>64</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6.8</w:t>
            </w:r>
          </w:p>
        </w:tc>
        <w:tc>
          <w:tcPr>
            <w:tcW w:w="7220" w:type="dxa"/>
            <w:tcBorders/>
            <w:vAlign w:val="center"/>
          </w:tcPr>
          <w:p>
            <w:pPr>
              <w:pStyle w:val="TableContents"/>
              <w:bidi w:val="0"/>
              <w:spacing w:before="0" w:after="283"/>
              <w:jc w:val="left"/>
              <w:rPr/>
            </w:pPr>
            <w:r>
              <w:rPr/>
              <w:t>Hazardous Material Laws</w:t>
            </w:r>
          </w:p>
        </w:tc>
        <w:tc>
          <w:tcPr>
            <w:tcW w:w="260" w:type="dxa"/>
            <w:tcBorders/>
            <w:vAlign w:val="center"/>
          </w:tcPr>
          <w:p>
            <w:pPr>
              <w:pStyle w:val="TableContents"/>
              <w:bidi w:val="0"/>
              <w:spacing w:before="0" w:after="283"/>
              <w:jc w:val="right"/>
              <w:rPr/>
            </w:pPr>
            <w:r>
              <w:rPr/>
              <w:t>66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6.9</w:t>
            </w:r>
          </w:p>
        </w:tc>
        <w:tc>
          <w:tcPr>
            <w:tcW w:w="7220" w:type="dxa"/>
            <w:tcBorders/>
            <w:vAlign w:val="center"/>
          </w:tcPr>
          <w:p>
            <w:pPr>
              <w:pStyle w:val="TableContents"/>
              <w:bidi w:val="0"/>
              <w:spacing w:before="0" w:after="283"/>
              <w:jc w:val="left"/>
              <w:rPr/>
            </w:pPr>
            <w:r>
              <w:rPr/>
              <w:t>Board Observation Rights</w:t>
            </w:r>
          </w:p>
        </w:tc>
        <w:tc>
          <w:tcPr>
            <w:tcW w:w="260" w:type="dxa"/>
            <w:tcBorders/>
            <w:vAlign w:val="center"/>
          </w:tcPr>
          <w:p>
            <w:pPr>
              <w:pStyle w:val="TableContents"/>
              <w:bidi w:val="0"/>
              <w:spacing w:before="0" w:after="283"/>
              <w:jc w:val="right"/>
              <w:rPr/>
            </w:pPr>
            <w:r>
              <w:rPr/>
              <w:t>66</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w:t>
            </w:r>
          </w:p>
        </w:tc>
        <w:tc>
          <w:tcPr>
            <w:tcW w:w="7220" w:type="dxa"/>
            <w:tcBorders/>
            <w:vAlign w:val="center"/>
          </w:tcPr>
          <w:p>
            <w:pPr>
              <w:pStyle w:val="TableContents"/>
              <w:bidi w:val="0"/>
              <w:spacing w:before="0" w:after="283"/>
              <w:jc w:val="left"/>
              <w:rPr/>
            </w:pPr>
            <w:r>
              <w:rPr/>
              <w:t>Governmental and Other Approvals</w:t>
            </w:r>
          </w:p>
        </w:tc>
        <w:tc>
          <w:tcPr>
            <w:tcW w:w="260" w:type="dxa"/>
            <w:tcBorders/>
            <w:vAlign w:val="center"/>
          </w:tcPr>
          <w:p>
            <w:pPr>
              <w:pStyle w:val="TableContents"/>
              <w:bidi w:val="0"/>
              <w:spacing w:before="0" w:after="283"/>
              <w:jc w:val="right"/>
              <w:rPr/>
            </w:pPr>
            <w:r>
              <w:rPr/>
              <w:t>67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6.11</w:t>
            </w:r>
          </w:p>
        </w:tc>
        <w:tc>
          <w:tcPr>
            <w:tcW w:w="7220" w:type="dxa"/>
            <w:tcBorders/>
            <w:vAlign w:val="center"/>
          </w:tcPr>
          <w:p>
            <w:pPr>
              <w:pStyle w:val="TableContents"/>
              <w:bidi w:val="0"/>
              <w:spacing w:before="0" w:after="283"/>
              <w:jc w:val="left"/>
              <w:rPr/>
            </w:pPr>
            <w:r>
              <w:rPr/>
              <w:t>Compliance with ERISA; ERISA Notices</w:t>
            </w:r>
          </w:p>
        </w:tc>
        <w:tc>
          <w:tcPr>
            <w:tcW w:w="260" w:type="dxa"/>
            <w:tcBorders/>
            <w:vAlign w:val="center"/>
          </w:tcPr>
          <w:p>
            <w:pPr>
              <w:pStyle w:val="TableContents"/>
              <w:bidi w:val="0"/>
              <w:spacing w:before="0" w:after="283"/>
              <w:jc w:val="right"/>
              <w:rPr/>
            </w:pPr>
            <w:r>
              <w:rPr/>
              <w:t>67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6.12</w:t>
            </w:r>
          </w:p>
        </w:tc>
        <w:tc>
          <w:tcPr>
            <w:tcW w:w="7220" w:type="dxa"/>
            <w:tcBorders/>
            <w:vAlign w:val="center"/>
          </w:tcPr>
          <w:p>
            <w:pPr>
              <w:pStyle w:val="TableContents"/>
              <w:bidi w:val="0"/>
              <w:spacing w:before="0" w:after="283"/>
              <w:jc w:val="left"/>
              <w:rPr/>
            </w:pPr>
            <w:r>
              <w:rPr/>
              <w:t>Defense of Collateral</w:t>
            </w:r>
          </w:p>
        </w:tc>
        <w:tc>
          <w:tcPr>
            <w:tcW w:w="260" w:type="dxa"/>
            <w:tcBorders/>
            <w:vAlign w:val="center"/>
          </w:tcPr>
          <w:p>
            <w:pPr>
              <w:pStyle w:val="TableContents"/>
              <w:bidi w:val="0"/>
              <w:spacing w:before="0" w:after="283"/>
              <w:jc w:val="right"/>
              <w:rPr/>
            </w:pPr>
            <w:r>
              <w:rPr/>
              <w:t>67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6.13</w:t>
            </w:r>
          </w:p>
        </w:tc>
        <w:tc>
          <w:tcPr>
            <w:tcW w:w="7220" w:type="dxa"/>
            <w:tcBorders/>
            <w:vAlign w:val="center"/>
          </w:tcPr>
          <w:p>
            <w:pPr>
              <w:pStyle w:val="TableContents"/>
              <w:bidi w:val="0"/>
              <w:spacing w:before="0" w:after="283"/>
              <w:jc w:val="left"/>
              <w:rPr/>
            </w:pPr>
            <w:r>
              <w:rPr/>
              <w:t>Future Subsidiaries; Additional Collateral</w:t>
            </w:r>
          </w:p>
        </w:tc>
        <w:tc>
          <w:tcPr>
            <w:tcW w:w="260" w:type="dxa"/>
            <w:tcBorders/>
            <w:vAlign w:val="center"/>
          </w:tcPr>
          <w:p>
            <w:pPr>
              <w:pStyle w:val="TableContents"/>
              <w:bidi w:val="0"/>
              <w:spacing w:before="0" w:after="283"/>
              <w:jc w:val="right"/>
              <w:rPr/>
            </w:pPr>
            <w:r>
              <w:rPr/>
              <w:t>68</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6.14</w:t>
            </w:r>
          </w:p>
        </w:tc>
        <w:tc>
          <w:tcPr>
            <w:tcW w:w="7220" w:type="dxa"/>
            <w:tcBorders/>
            <w:vAlign w:val="center"/>
          </w:tcPr>
          <w:p>
            <w:pPr>
              <w:pStyle w:val="TableContents"/>
              <w:bidi w:val="0"/>
              <w:spacing w:before="0" w:after="283"/>
              <w:jc w:val="left"/>
              <w:rPr/>
            </w:pPr>
            <w:r>
              <w:rPr/>
              <w:t>Accounts</w:t>
            </w:r>
          </w:p>
        </w:tc>
        <w:tc>
          <w:tcPr>
            <w:tcW w:w="260" w:type="dxa"/>
            <w:tcBorders/>
            <w:vAlign w:val="center"/>
          </w:tcPr>
          <w:p>
            <w:pPr>
              <w:pStyle w:val="TableContents"/>
              <w:bidi w:val="0"/>
              <w:spacing w:before="0" w:after="283"/>
              <w:jc w:val="right"/>
              <w:rPr/>
            </w:pPr>
            <w:r>
              <w:rPr/>
              <w:t>69</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6.15</w:t>
            </w:r>
          </w:p>
        </w:tc>
        <w:tc>
          <w:tcPr>
            <w:tcW w:w="7220" w:type="dxa"/>
            <w:tcBorders/>
            <w:vAlign w:val="center"/>
          </w:tcPr>
          <w:p>
            <w:pPr>
              <w:pStyle w:val="TableContents"/>
              <w:bidi w:val="0"/>
              <w:spacing w:before="0" w:after="283"/>
              <w:jc w:val="left"/>
              <w:rPr/>
            </w:pPr>
            <w:r>
              <w:rPr/>
              <w:t>Use of Proceeds</w:t>
            </w:r>
          </w:p>
        </w:tc>
        <w:tc>
          <w:tcPr>
            <w:tcW w:w="260" w:type="dxa"/>
            <w:tcBorders/>
            <w:vAlign w:val="center"/>
          </w:tcPr>
          <w:p>
            <w:pPr>
              <w:pStyle w:val="TableContents"/>
              <w:bidi w:val="0"/>
              <w:spacing w:before="0" w:after="283"/>
              <w:jc w:val="right"/>
              <w:rPr/>
            </w:pPr>
            <w:r>
              <w:rPr/>
              <w:t>70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6.16</w:t>
            </w:r>
          </w:p>
        </w:tc>
        <w:tc>
          <w:tcPr>
            <w:tcW w:w="7220" w:type="dxa"/>
            <w:tcBorders/>
            <w:vAlign w:val="center"/>
          </w:tcPr>
          <w:p>
            <w:pPr>
              <w:pStyle w:val="TableContents"/>
              <w:bidi w:val="0"/>
              <w:spacing w:before="0" w:after="283"/>
              <w:jc w:val="left"/>
              <w:rPr/>
            </w:pPr>
            <w:r>
              <w:rPr/>
              <w:t>Intellectual Property</w:t>
            </w:r>
          </w:p>
        </w:tc>
        <w:tc>
          <w:tcPr>
            <w:tcW w:w="260" w:type="dxa"/>
            <w:tcBorders/>
            <w:vAlign w:val="center"/>
          </w:tcPr>
          <w:p>
            <w:pPr>
              <w:pStyle w:val="TableContents"/>
              <w:bidi w:val="0"/>
              <w:spacing w:before="0" w:after="283"/>
              <w:jc w:val="right"/>
              <w:rPr/>
            </w:pPr>
            <w:r>
              <w:rPr/>
              <w:t>70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6.17</w:t>
            </w:r>
          </w:p>
        </w:tc>
        <w:tc>
          <w:tcPr>
            <w:tcW w:w="7220" w:type="dxa"/>
            <w:tcBorders/>
            <w:vAlign w:val="center"/>
          </w:tcPr>
          <w:p>
            <w:pPr>
              <w:pStyle w:val="TableContents"/>
              <w:bidi w:val="0"/>
              <w:spacing w:before="0" w:after="283"/>
              <w:jc w:val="left"/>
              <w:rPr/>
            </w:pPr>
            <w:r>
              <w:rPr/>
              <w:t>Consent of Inbound Licensors</w:t>
            </w:r>
          </w:p>
        </w:tc>
        <w:tc>
          <w:tcPr>
            <w:tcW w:w="260" w:type="dxa"/>
            <w:tcBorders/>
            <w:vAlign w:val="center"/>
          </w:tcPr>
          <w:p>
            <w:pPr>
              <w:pStyle w:val="TableContents"/>
              <w:bidi w:val="0"/>
              <w:spacing w:before="0" w:after="283"/>
              <w:jc w:val="right"/>
              <w:rPr/>
            </w:pPr>
            <w:r>
              <w:rPr/>
              <w:t>70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6.18</w:t>
            </w:r>
          </w:p>
        </w:tc>
        <w:tc>
          <w:tcPr>
            <w:tcW w:w="7220" w:type="dxa"/>
            <w:tcBorders/>
            <w:vAlign w:val="center"/>
          </w:tcPr>
          <w:p>
            <w:pPr>
              <w:pStyle w:val="TableContents"/>
              <w:bidi w:val="0"/>
              <w:spacing w:before="0" w:after="283"/>
              <w:jc w:val="left"/>
              <w:rPr/>
            </w:pPr>
            <w:r>
              <w:rPr/>
              <w:t>Anti-Terrorism</w:t>
            </w:r>
          </w:p>
        </w:tc>
        <w:tc>
          <w:tcPr>
            <w:tcW w:w="260" w:type="dxa"/>
            <w:tcBorders/>
            <w:vAlign w:val="center"/>
          </w:tcPr>
          <w:p>
            <w:pPr>
              <w:pStyle w:val="TableContents"/>
              <w:bidi w:val="0"/>
              <w:spacing w:before="0" w:after="283"/>
              <w:jc w:val="right"/>
              <w:rPr/>
            </w:pPr>
            <w:r>
              <w:rPr/>
              <w:t>70</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6.19</w:t>
            </w:r>
          </w:p>
        </w:tc>
        <w:tc>
          <w:tcPr>
            <w:tcW w:w="7220" w:type="dxa"/>
            <w:tcBorders/>
            <w:vAlign w:val="center"/>
          </w:tcPr>
          <w:p>
            <w:pPr>
              <w:pStyle w:val="TableContents"/>
              <w:bidi w:val="0"/>
              <w:spacing w:before="0" w:after="283"/>
              <w:jc w:val="left"/>
              <w:rPr/>
            </w:pPr>
            <w:r>
              <w:rPr/>
              <w:t>Further Assurances and Information</w:t>
            </w:r>
          </w:p>
        </w:tc>
        <w:tc>
          <w:tcPr>
            <w:tcW w:w="260" w:type="dxa"/>
            <w:tcBorders/>
            <w:vAlign w:val="center"/>
          </w:tcPr>
          <w:p>
            <w:pPr>
              <w:pStyle w:val="TableContents"/>
              <w:bidi w:val="0"/>
              <w:spacing w:before="0" w:after="283"/>
              <w:jc w:val="right"/>
              <w:rPr/>
            </w:pPr>
            <w:r>
              <w:rPr/>
              <w:t>71</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140" w:type="dxa"/>
            <w:tcBorders/>
            <w:vAlign w:val="center"/>
          </w:tcPr>
          <w:p>
            <w:pPr>
              <w:pStyle w:val="TableContents"/>
              <w:bidi w:val="0"/>
              <w:spacing w:before="0" w:after="283"/>
              <w:jc w:val="left"/>
              <w:rPr/>
            </w:pPr>
            <w:r>
              <w:rPr/>
              <w:t>7</w:t>
            </w:r>
          </w:p>
        </w:tc>
        <w:tc>
          <w:tcPr>
            <w:tcW w:w="7660" w:type="dxa"/>
            <w:gridSpan w:val="2"/>
            <w:tcBorders/>
            <w:vAlign w:val="center"/>
          </w:tcPr>
          <w:p>
            <w:pPr>
              <w:pStyle w:val="TableContents"/>
              <w:bidi w:val="0"/>
              <w:spacing w:before="0" w:after="283"/>
              <w:jc w:val="left"/>
              <w:rPr/>
            </w:pPr>
            <w:r>
              <w:rPr/>
              <w:t>NEGATIVE COVENANTS</w:t>
            </w:r>
          </w:p>
        </w:tc>
        <w:tc>
          <w:tcPr>
            <w:tcW w:w="260" w:type="dxa"/>
            <w:tcBorders/>
            <w:vAlign w:val="center"/>
          </w:tcPr>
          <w:p>
            <w:pPr>
              <w:pStyle w:val="TableContents"/>
              <w:bidi w:val="0"/>
              <w:spacing w:before="0" w:after="283"/>
              <w:jc w:val="right"/>
              <w:rPr/>
            </w:pPr>
            <w:r>
              <w:rPr/>
              <w:t>71</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7.1</w:t>
            </w:r>
          </w:p>
        </w:tc>
        <w:tc>
          <w:tcPr>
            <w:tcW w:w="7220" w:type="dxa"/>
            <w:tcBorders/>
            <w:vAlign w:val="center"/>
          </w:tcPr>
          <w:p>
            <w:pPr>
              <w:pStyle w:val="TableContents"/>
              <w:bidi w:val="0"/>
              <w:spacing w:before="0" w:after="283"/>
              <w:jc w:val="left"/>
              <w:rPr/>
            </w:pPr>
            <w:r>
              <w:rPr/>
              <w:t>Limitation on Debt</w:t>
            </w:r>
          </w:p>
        </w:tc>
        <w:tc>
          <w:tcPr>
            <w:tcW w:w="260" w:type="dxa"/>
            <w:tcBorders/>
            <w:vAlign w:val="center"/>
          </w:tcPr>
          <w:p>
            <w:pPr>
              <w:pStyle w:val="TableContents"/>
              <w:bidi w:val="0"/>
              <w:spacing w:before="0" w:after="283"/>
              <w:jc w:val="right"/>
              <w:rPr/>
            </w:pPr>
            <w:r>
              <w:rPr/>
              <w:t>71</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7.2</w:t>
            </w:r>
          </w:p>
        </w:tc>
        <w:tc>
          <w:tcPr>
            <w:tcW w:w="7220" w:type="dxa"/>
            <w:tcBorders/>
            <w:vAlign w:val="center"/>
          </w:tcPr>
          <w:p>
            <w:pPr>
              <w:pStyle w:val="TableContents"/>
              <w:bidi w:val="0"/>
              <w:spacing w:before="0" w:after="283"/>
              <w:jc w:val="left"/>
              <w:rPr/>
            </w:pPr>
            <w:r>
              <w:rPr/>
              <w:t>Limitation on Liens</w:t>
            </w:r>
          </w:p>
        </w:tc>
        <w:tc>
          <w:tcPr>
            <w:tcW w:w="260" w:type="dxa"/>
            <w:tcBorders/>
            <w:vAlign w:val="center"/>
          </w:tcPr>
          <w:p>
            <w:pPr>
              <w:pStyle w:val="TableContents"/>
              <w:bidi w:val="0"/>
              <w:spacing w:before="0" w:after="283"/>
              <w:jc w:val="right"/>
              <w:rPr/>
            </w:pPr>
            <w:r>
              <w:rPr/>
              <w:t>72</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7.3</w:t>
            </w:r>
          </w:p>
        </w:tc>
        <w:tc>
          <w:tcPr>
            <w:tcW w:w="7220" w:type="dxa"/>
            <w:tcBorders/>
            <w:vAlign w:val="center"/>
          </w:tcPr>
          <w:p>
            <w:pPr>
              <w:pStyle w:val="TableContents"/>
              <w:bidi w:val="0"/>
              <w:spacing w:before="0" w:after="283"/>
              <w:jc w:val="left"/>
              <w:rPr/>
            </w:pPr>
            <w:r>
              <w:rPr/>
              <w:t>Material Assets</w:t>
            </w:r>
          </w:p>
        </w:tc>
        <w:tc>
          <w:tcPr>
            <w:tcW w:w="260" w:type="dxa"/>
            <w:tcBorders/>
            <w:vAlign w:val="center"/>
          </w:tcPr>
          <w:p>
            <w:pPr>
              <w:pStyle w:val="TableContents"/>
              <w:bidi w:val="0"/>
              <w:spacing w:before="0" w:after="283"/>
              <w:jc w:val="right"/>
              <w:rPr/>
            </w:pPr>
            <w:r>
              <w:rPr/>
              <w:t>73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7.4</w:t>
            </w:r>
          </w:p>
        </w:tc>
        <w:tc>
          <w:tcPr>
            <w:tcW w:w="7220" w:type="dxa"/>
            <w:tcBorders/>
            <w:vAlign w:val="center"/>
          </w:tcPr>
          <w:p>
            <w:pPr>
              <w:pStyle w:val="TableContents"/>
              <w:bidi w:val="0"/>
              <w:spacing w:before="0" w:after="283"/>
              <w:jc w:val="left"/>
              <w:rPr/>
            </w:pPr>
            <w:r>
              <w:rPr/>
              <w:t>Limitation on Mergers, Dissolution or Sale of Assets</w:t>
            </w:r>
          </w:p>
        </w:tc>
        <w:tc>
          <w:tcPr>
            <w:tcW w:w="260" w:type="dxa"/>
            <w:tcBorders/>
            <w:vAlign w:val="center"/>
          </w:tcPr>
          <w:p>
            <w:pPr>
              <w:pStyle w:val="TableContents"/>
              <w:bidi w:val="0"/>
              <w:spacing w:before="0" w:after="283"/>
              <w:jc w:val="right"/>
              <w:rPr/>
            </w:pPr>
            <w:r>
              <w:rPr/>
              <w:t>73</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7.5</w:t>
            </w:r>
          </w:p>
        </w:tc>
        <w:tc>
          <w:tcPr>
            <w:tcW w:w="7220" w:type="dxa"/>
            <w:tcBorders/>
            <w:vAlign w:val="center"/>
          </w:tcPr>
          <w:p>
            <w:pPr>
              <w:pStyle w:val="TableContents"/>
              <w:bidi w:val="0"/>
              <w:spacing w:before="0" w:after="283"/>
              <w:jc w:val="left"/>
              <w:rPr/>
            </w:pPr>
            <w:r>
              <w:rPr/>
              <w:t>Restricted Payments</w:t>
            </w:r>
          </w:p>
        </w:tc>
        <w:tc>
          <w:tcPr>
            <w:tcW w:w="260" w:type="dxa"/>
            <w:tcBorders/>
            <w:vAlign w:val="center"/>
          </w:tcPr>
          <w:p>
            <w:pPr>
              <w:pStyle w:val="TableContents"/>
              <w:bidi w:val="0"/>
              <w:spacing w:before="0" w:after="283"/>
              <w:jc w:val="right"/>
              <w:rPr/>
            </w:pPr>
            <w:r>
              <w:rPr/>
              <w:t>75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7.6</w:t>
            </w:r>
          </w:p>
        </w:tc>
        <w:tc>
          <w:tcPr>
            <w:tcW w:w="7220" w:type="dxa"/>
            <w:tcBorders/>
            <w:vAlign w:val="center"/>
          </w:tcPr>
          <w:p>
            <w:pPr>
              <w:pStyle w:val="TableContents"/>
              <w:bidi w:val="0"/>
              <w:spacing w:before="0" w:after="283"/>
              <w:jc w:val="left"/>
              <w:rPr/>
            </w:pPr>
            <w:r>
              <w:rPr/>
              <w:t>Limitation on Investments, Loans and Advances</w:t>
            </w:r>
          </w:p>
        </w:tc>
        <w:tc>
          <w:tcPr>
            <w:tcW w:w="260" w:type="dxa"/>
            <w:tcBorders/>
            <w:vAlign w:val="center"/>
          </w:tcPr>
          <w:p>
            <w:pPr>
              <w:pStyle w:val="TableContents"/>
              <w:bidi w:val="0"/>
              <w:spacing w:before="0" w:after="283"/>
              <w:jc w:val="right"/>
              <w:rPr/>
            </w:pPr>
            <w:r>
              <w:rPr/>
              <w:t>75</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7.7</w:t>
            </w:r>
          </w:p>
        </w:tc>
        <w:tc>
          <w:tcPr>
            <w:tcW w:w="7220" w:type="dxa"/>
            <w:tcBorders/>
            <w:vAlign w:val="center"/>
          </w:tcPr>
          <w:p>
            <w:pPr>
              <w:pStyle w:val="TableContents"/>
              <w:bidi w:val="0"/>
              <w:spacing w:before="0" w:after="283"/>
              <w:jc w:val="left"/>
              <w:rPr/>
            </w:pPr>
            <w:r>
              <w:rPr/>
              <w:t>Transactions with Affiliates</w:t>
            </w:r>
          </w:p>
        </w:tc>
        <w:tc>
          <w:tcPr>
            <w:tcW w:w="260" w:type="dxa"/>
            <w:tcBorders/>
            <w:vAlign w:val="center"/>
          </w:tcPr>
          <w:p>
            <w:pPr>
              <w:pStyle w:val="TableContents"/>
              <w:bidi w:val="0"/>
              <w:spacing w:before="0" w:after="283"/>
              <w:jc w:val="right"/>
              <w:rPr/>
            </w:pPr>
            <w:r>
              <w:rPr/>
              <w:t>77</w:t>
            </w:r>
          </w:p>
        </w:tc>
      </w:tr>
      <w:tr>
        <w:trPr/>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7.8</w:t>
            </w:r>
          </w:p>
        </w:tc>
        <w:tc>
          <w:tcPr>
            <w:tcW w:w="7220" w:type="dxa"/>
            <w:tcBorders/>
            <w:vAlign w:val="center"/>
          </w:tcPr>
          <w:p>
            <w:pPr>
              <w:pStyle w:val="TableContents"/>
              <w:bidi w:val="0"/>
              <w:spacing w:before="0" w:after="283"/>
              <w:jc w:val="left"/>
              <w:rPr/>
            </w:pPr>
            <w:r>
              <w:rPr/>
              <w:t>Sale-Leaseback Transactions</w:t>
            </w:r>
          </w:p>
        </w:tc>
        <w:tc>
          <w:tcPr>
            <w:tcW w:w="260" w:type="dxa"/>
            <w:tcBorders/>
            <w:vAlign w:val="center"/>
          </w:tcPr>
          <w:p>
            <w:pPr>
              <w:pStyle w:val="TableContents"/>
              <w:bidi w:val="0"/>
              <w:spacing w:before="0" w:after="283"/>
              <w:jc w:val="right"/>
              <w:rPr/>
            </w:pPr>
            <w:r>
              <w:rPr/>
              <w:t>77</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014" w:type="dxa"/>
        <w:jc w:val="left"/>
        <w:tblInd w:w="0" w:type="dxa"/>
        <w:tblLayout w:type="fixed"/>
        <w:tblCellMar>
          <w:top w:w="0" w:type="dxa"/>
          <w:left w:w="0" w:type="dxa"/>
          <w:bottom w:w="0" w:type="dxa"/>
          <w:right w:w="0" w:type="dxa"/>
        </w:tblCellMar>
      </w:tblPr>
      <w:tblGrid>
        <w:gridCol w:w="260"/>
        <w:gridCol w:w="612"/>
        <w:gridCol w:w="7882"/>
        <w:gridCol w:w="260"/>
      </w:tblGrid>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7.9</w:t>
            </w:r>
          </w:p>
        </w:tc>
        <w:tc>
          <w:tcPr>
            <w:tcW w:w="7882" w:type="dxa"/>
            <w:tcBorders/>
            <w:vAlign w:val="center"/>
          </w:tcPr>
          <w:p>
            <w:pPr>
              <w:pStyle w:val="TableContents"/>
              <w:bidi w:val="0"/>
              <w:spacing w:before="0" w:after="283"/>
              <w:jc w:val="left"/>
              <w:rPr/>
            </w:pPr>
            <w:r>
              <w:rPr/>
              <w:t>Limitations on Other Restrictions</w:t>
            </w:r>
          </w:p>
        </w:tc>
        <w:tc>
          <w:tcPr>
            <w:tcW w:w="260" w:type="dxa"/>
            <w:tcBorders/>
            <w:vAlign w:val="center"/>
          </w:tcPr>
          <w:p>
            <w:pPr>
              <w:pStyle w:val="TableContents"/>
              <w:bidi w:val="0"/>
              <w:spacing w:before="0" w:after="283"/>
              <w:jc w:val="right"/>
              <w:rPr/>
            </w:pPr>
            <w:r>
              <w:rPr/>
              <w:t>77</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w:t>
            </w:r>
          </w:p>
        </w:tc>
        <w:tc>
          <w:tcPr>
            <w:tcW w:w="7882" w:type="dxa"/>
            <w:tcBorders/>
            <w:vAlign w:val="center"/>
          </w:tcPr>
          <w:p>
            <w:pPr>
              <w:pStyle w:val="TableContents"/>
              <w:bidi w:val="0"/>
              <w:spacing w:before="0" w:after="283"/>
              <w:jc w:val="left"/>
              <w:rPr/>
            </w:pPr>
            <w:r>
              <w:rPr/>
              <w:t>Prepayment of Subordinated Debt</w:t>
            </w:r>
          </w:p>
        </w:tc>
        <w:tc>
          <w:tcPr>
            <w:tcW w:w="260" w:type="dxa"/>
            <w:tcBorders/>
            <w:vAlign w:val="center"/>
          </w:tcPr>
          <w:p>
            <w:pPr>
              <w:pStyle w:val="TableContents"/>
              <w:bidi w:val="0"/>
              <w:spacing w:before="0" w:after="283"/>
              <w:jc w:val="right"/>
              <w:rPr/>
            </w:pPr>
            <w:r>
              <w:rPr/>
              <w:t>77</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7.11</w:t>
            </w:r>
          </w:p>
        </w:tc>
        <w:tc>
          <w:tcPr>
            <w:tcW w:w="7882" w:type="dxa"/>
            <w:tcBorders/>
            <w:vAlign w:val="center"/>
          </w:tcPr>
          <w:p>
            <w:pPr>
              <w:pStyle w:val="TableContents"/>
              <w:bidi w:val="0"/>
              <w:spacing w:before="0" w:after="283"/>
              <w:jc w:val="left"/>
              <w:rPr/>
            </w:pPr>
            <w:r>
              <w:rPr/>
              <w:t>Amendment of Senior Loan Documents and Subordinated Debt Documents</w:t>
            </w:r>
          </w:p>
        </w:tc>
        <w:tc>
          <w:tcPr>
            <w:tcW w:w="260" w:type="dxa"/>
            <w:tcBorders/>
            <w:vAlign w:val="center"/>
          </w:tcPr>
          <w:p>
            <w:pPr>
              <w:pStyle w:val="TableContents"/>
              <w:bidi w:val="0"/>
              <w:spacing w:before="0" w:after="283"/>
              <w:jc w:val="right"/>
              <w:rPr/>
            </w:pPr>
            <w:r>
              <w:rPr/>
              <w:t>77</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7.12</w:t>
            </w:r>
          </w:p>
        </w:tc>
        <w:tc>
          <w:tcPr>
            <w:tcW w:w="7882" w:type="dxa"/>
            <w:tcBorders/>
            <w:vAlign w:val="center"/>
          </w:tcPr>
          <w:p>
            <w:pPr>
              <w:pStyle w:val="TableContents"/>
              <w:bidi w:val="0"/>
              <w:spacing w:before="0" w:after="283"/>
              <w:jc w:val="left"/>
              <w:rPr/>
            </w:pPr>
            <w:r>
              <w:rPr/>
              <w:t>Modification of Certain Agreements</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7.13</w:t>
            </w:r>
          </w:p>
        </w:tc>
        <w:tc>
          <w:tcPr>
            <w:tcW w:w="7882" w:type="dxa"/>
            <w:tcBorders/>
            <w:vAlign w:val="center"/>
          </w:tcPr>
          <w:p>
            <w:pPr>
              <w:pStyle w:val="TableContents"/>
              <w:bidi w:val="0"/>
              <w:spacing w:before="0" w:after="283"/>
              <w:jc w:val="left"/>
              <w:rPr/>
            </w:pPr>
            <w:r>
              <w:rPr/>
              <w:t>Fiscal Year</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7.14</w:t>
            </w:r>
          </w:p>
        </w:tc>
        <w:tc>
          <w:tcPr>
            <w:tcW w:w="7882" w:type="dxa"/>
            <w:tcBorders/>
            <w:vAlign w:val="center"/>
          </w:tcPr>
          <w:p>
            <w:pPr>
              <w:pStyle w:val="TableContents"/>
              <w:bidi w:val="0"/>
              <w:spacing w:before="0" w:after="283"/>
              <w:jc w:val="left"/>
              <w:rPr/>
            </w:pPr>
            <w:r>
              <w:rPr/>
              <w:t>[Reserved]</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7.15</w:t>
            </w:r>
          </w:p>
        </w:tc>
        <w:tc>
          <w:tcPr>
            <w:tcW w:w="7882" w:type="dxa"/>
            <w:tcBorders/>
            <w:vAlign w:val="center"/>
          </w:tcPr>
          <w:p>
            <w:pPr>
              <w:pStyle w:val="TableContents"/>
              <w:bidi w:val="0"/>
              <w:spacing w:before="0" w:after="283"/>
              <w:jc w:val="left"/>
              <w:rPr/>
            </w:pPr>
            <w:r>
              <w:rPr/>
              <w:t>Divisions</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7.16</w:t>
            </w:r>
          </w:p>
        </w:tc>
        <w:tc>
          <w:tcPr>
            <w:tcW w:w="7882" w:type="dxa"/>
            <w:tcBorders/>
            <w:vAlign w:val="center"/>
          </w:tcPr>
          <w:p>
            <w:pPr>
              <w:pStyle w:val="TableContents"/>
              <w:bidi w:val="0"/>
              <w:spacing w:before="0" w:after="283"/>
              <w:jc w:val="left"/>
              <w:rPr/>
            </w:pPr>
            <w:r>
              <w:rPr/>
              <w:t>[Reserved]</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7.17</w:t>
            </w:r>
          </w:p>
        </w:tc>
        <w:tc>
          <w:tcPr>
            <w:tcW w:w="7882" w:type="dxa"/>
            <w:tcBorders/>
            <w:vAlign w:val="center"/>
          </w:tcPr>
          <w:p>
            <w:pPr>
              <w:pStyle w:val="TableContents"/>
              <w:bidi w:val="0"/>
              <w:spacing w:before="0" w:after="283"/>
              <w:jc w:val="left"/>
              <w:rPr/>
            </w:pPr>
            <w:r>
              <w:rPr/>
              <w:t>ERISA</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7.18</w:t>
            </w:r>
          </w:p>
        </w:tc>
        <w:tc>
          <w:tcPr>
            <w:tcW w:w="7882" w:type="dxa"/>
            <w:tcBorders/>
            <w:vAlign w:val="center"/>
          </w:tcPr>
          <w:p>
            <w:pPr>
              <w:pStyle w:val="TableContents"/>
              <w:bidi w:val="0"/>
              <w:spacing w:before="0" w:after="283"/>
              <w:jc w:val="left"/>
              <w:rPr/>
            </w:pPr>
            <w:r>
              <w:rPr/>
              <w:t>Environmental</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7.19</w:t>
            </w:r>
          </w:p>
        </w:tc>
        <w:tc>
          <w:tcPr>
            <w:tcW w:w="7882" w:type="dxa"/>
            <w:tcBorders/>
            <w:vAlign w:val="center"/>
          </w:tcPr>
          <w:p>
            <w:pPr>
              <w:pStyle w:val="TableContents"/>
              <w:bidi w:val="0"/>
              <w:spacing w:before="0" w:after="283"/>
              <w:jc w:val="left"/>
              <w:rPr/>
            </w:pPr>
            <w:r>
              <w:rPr/>
              <w:t>Accounting Methods</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7.2</w:t>
            </w:r>
          </w:p>
        </w:tc>
        <w:tc>
          <w:tcPr>
            <w:tcW w:w="7882" w:type="dxa"/>
            <w:tcBorders/>
            <w:vAlign w:val="center"/>
          </w:tcPr>
          <w:p>
            <w:pPr>
              <w:pStyle w:val="TableContents"/>
              <w:bidi w:val="0"/>
              <w:spacing w:before="0" w:after="283"/>
              <w:jc w:val="left"/>
              <w:rPr/>
            </w:pPr>
            <w:r>
              <w:rPr/>
              <w:t>Sanctioned Persons; Anti-Corruption Laws; Anti-Money Laundering Laws</w:t>
            </w:r>
          </w:p>
        </w:tc>
        <w:tc>
          <w:tcPr>
            <w:tcW w:w="260" w:type="dxa"/>
            <w:tcBorders/>
            <w:vAlign w:val="center"/>
          </w:tcPr>
          <w:p>
            <w:pPr>
              <w:pStyle w:val="TableContents"/>
              <w:bidi w:val="0"/>
              <w:spacing w:before="0" w:after="283"/>
              <w:jc w:val="right"/>
              <w:rPr/>
            </w:pPr>
            <w:r>
              <w:rPr/>
              <w:t>78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7.21</w:t>
            </w:r>
          </w:p>
        </w:tc>
        <w:tc>
          <w:tcPr>
            <w:tcW w:w="7882" w:type="dxa"/>
            <w:tcBorders/>
            <w:vAlign w:val="center"/>
          </w:tcPr>
          <w:p>
            <w:pPr>
              <w:pStyle w:val="TableContents"/>
              <w:bidi w:val="0"/>
              <w:spacing w:before="0" w:after="283"/>
              <w:jc w:val="left"/>
              <w:rPr/>
            </w:pPr>
            <w:r>
              <w:rPr/>
              <w:t>Federal Reserve Regulations</w:t>
            </w:r>
          </w:p>
        </w:tc>
        <w:tc>
          <w:tcPr>
            <w:tcW w:w="260" w:type="dxa"/>
            <w:tcBorders/>
            <w:vAlign w:val="center"/>
          </w:tcPr>
          <w:p>
            <w:pPr>
              <w:pStyle w:val="TableContents"/>
              <w:bidi w:val="0"/>
              <w:spacing w:before="0" w:after="283"/>
              <w:jc w:val="right"/>
              <w:rPr/>
            </w:pPr>
            <w:r>
              <w:rPr/>
              <w:t>79</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78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pPr>
            <w:r>
              <w:rPr/>
              <w:t>8</w:t>
            </w:r>
          </w:p>
        </w:tc>
        <w:tc>
          <w:tcPr>
            <w:tcW w:w="8494" w:type="dxa"/>
            <w:gridSpan w:val="2"/>
            <w:tcBorders/>
            <w:vAlign w:val="center"/>
          </w:tcPr>
          <w:p>
            <w:pPr>
              <w:pStyle w:val="TableContents"/>
              <w:bidi w:val="0"/>
              <w:spacing w:before="0" w:after="283"/>
              <w:jc w:val="left"/>
              <w:rPr/>
            </w:pPr>
            <w:r>
              <w:rPr/>
              <w:t>DEFAULTS</w:t>
            </w:r>
          </w:p>
        </w:tc>
        <w:tc>
          <w:tcPr>
            <w:tcW w:w="260" w:type="dxa"/>
            <w:tcBorders/>
            <w:vAlign w:val="center"/>
          </w:tcPr>
          <w:p>
            <w:pPr>
              <w:pStyle w:val="TableContents"/>
              <w:bidi w:val="0"/>
              <w:spacing w:before="0" w:after="283"/>
              <w:jc w:val="right"/>
              <w:rPr/>
            </w:pPr>
            <w:r>
              <w:rPr/>
              <w:t>79</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8.1</w:t>
            </w:r>
          </w:p>
        </w:tc>
        <w:tc>
          <w:tcPr>
            <w:tcW w:w="7882" w:type="dxa"/>
            <w:tcBorders/>
            <w:vAlign w:val="center"/>
          </w:tcPr>
          <w:p>
            <w:pPr>
              <w:pStyle w:val="TableContents"/>
              <w:bidi w:val="0"/>
              <w:spacing w:before="0" w:after="283"/>
              <w:jc w:val="left"/>
              <w:rPr/>
            </w:pPr>
            <w:r>
              <w:rPr/>
              <w:t>Events of Default</w:t>
            </w:r>
          </w:p>
        </w:tc>
        <w:tc>
          <w:tcPr>
            <w:tcW w:w="260" w:type="dxa"/>
            <w:tcBorders/>
            <w:vAlign w:val="center"/>
          </w:tcPr>
          <w:p>
            <w:pPr>
              <w:pStyle w:val="TableContents"/>
              <w:bidi w:val="0"/>
              <w:spacing w:before="0" w:after="283"/>
              <w:jc w:val="right"/>
              <w:rPr/>
            </w:pPr>
            <w:r>
              <w:rPr/>
              <w:t>79</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8.2</w:t>
            </w:r>
          </w:p>
        </w:tc>
        <w:tc>
          <w:tcPr>
            <w:tcW w:w="7882" w:type="dxa"/>
            <w:tcBorders/>
            <w:vAlign w:val="center"/>
          </w:tcPr>
          <w:p>
            <w:pPr>
              <w:pStyle w:val="TableContents"/>
              <w:bidi w:val="0"/>
              <w:spacing w:before="0" w:after="283"/>
              <w:jc w:val="left"/>
              <w:rPr/>
            </w:pPr>
            <w:r>
              <w:rPr/>
              <w:t>Exercise of Remedies</w:t>
            </w:r>
          </w:p>
        </w:tc>
        <w:tc>
          <w:tcPr>
            <w:tcW w:w="260" w:type="dxa"/>
            <w:tcBorders/>
            <w:vAlign w:val="center"/>
          </w:tcPr>
          <w:p>
            <w:pPr>
              <w:pStyle w:val="TableContents"/>
              <w:bidi w:val="0"/>
              <w:spacing w:before="0" w:after="283"/>
              <w:jc w:val="right"/>
              <w:rPr/>
            </w:pPr>
            <w:r>
              <w:rPr/>
              <w:t>81</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8.3</w:t>
            </w:r>
          </w:p>
        </w:tc>
        <w:tc>
          <w:tcPr>
            <w:tcW w:w="7882" w:type="dxa"/>
            <w:tcBorders/>
            <w:vAlign w:val="center"/>
          </w:tcPr>
          <w:p>
            <w:pPr>
              <w:pStyle w:val="TableContents"/>
              <w:bidi w:val="0"/>
              <w:spacing w:before="0" w:after="283"/>
              <w:jc w:val="left"/>
              <w:rPr/>
            </w:pPr>
            <w:r>
              <w:rPr/>
              <w:t>Rights Cumulative</w:t>
            </w:r>
          </w:p>
        </w:tc>
        <w:tc>
          <w:tcPr>
            <w:tcW w:w="260" w:type="dxa"/>
            <w:tcBorders/>
            <w:vAlign w:val="center"/>
          </w:tcPr>
          <w:p>
            <w:pPr>
              <w:pStyle w:val="TableContents"/>
              <w:bidi w:val="0"/>
              <w:spacing w:before="0" w:after="283"/>
              <w:jc w:val="right"/>
              <w:rPr/>
            </w:pPr>
            <w:r>
              <w:rPr/>
              <w:t>82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8.4</w:t>
            </w:r>
          </w:p>
        </w:tc>
        <w:tc>
          <w:tcPr>
            <w:tcW w:w="7882" w:type="dxa"/>
            <w:tcBorders/>
            <w:vAlign w:val="center"/>
          </w:tcPr>
          <w:p>
            <w:pPr>
              <w:pStyle w:val="TableContents"/>
              <w:bidi w:val="0"/>
              <w:spacing w:before="0" w:after="283"/>
              <w:jc w:val="left"/>
              <w:rPr/>
            </w:pPr>
            <w:r>
              <w:rPr/>
              <w:t>Waiver by the Borrower of Certain Laws</w:t>
            </w:r>
          </w:p>
        </w:tc>
        <w:tc>
          <w:tcPr>
            <w:tcW w:w="260" w:type="dxa"/>
            <w:tcBorders/>
            <w:vAlign w:val="center"/>
          </w:tcPr>
          <w:p>
            <w:pPr>
              <w:pStyle w:val="TableContents"/>
              <w:bidi w:val="0"/>
              <w:spacing w:before="0" w:after="283"/>
              <w:jc w:val="right"/>
              <w:rPr/>
            </w:pPr>
            <w:r>
              <w:rPr/>
              <w:t>82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8.5</w:t>
            </w:r>
          </w:p>
        </w:tc>
        <w:tc>
          <w:tcPr>
            <w:tcW w:w="7882" w:type="dxa"/>
            <w:tcBorders/>
            <w:vAlign w:val="center"/>
          </w:tcPr>
          <w:p>
            <w:pPr>
              <w:pStyle w:val="TableContents"/>
              <w:bidi w:val="0"/>
              <w:spacing w:before="0" w:after="283"/>
              <w:jc w:val="left"/>
              <w:rPr/>
            </w:pPr>
            <w:r>
              <w:rPr/>
              <w:t>Waiver of Defaults</w:t>
            </w:r>
          </w:p>
        </w:tc>
        <w:tc>
          <w:tcPr>
            <w:tcW w:w="260" w:type="dxa"/>
            <w:tcBorders/>
            <w:vAlign w:val="center"/>
          </w:tcPr>
          <w:p>
            <w:pPr>
              <w:pStyle w:val="TableContents"/>
              <w:bidi w:val="0"/>
              <w:spacing w:before="0" w:after="283"/>
              <w:jc w:val="right"/>
              <w:rPr/>
            </w:pPr>
            <w:r>
              <w:rPr/>
              <w:t>82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8.6</w:t>
            </w:r>
          </w:p>
        </w:tc>
        <w:tc>
          <w:tcPr>
            <w:tcW w:w="7882" w:type="dxa"/>
            <w:tcBorders/>
            <w:vAlign w:val="center"/>
          </w:tcPr>
          <w:p>
            <w:pPr>
              <w:pStyle w:val="TableContents"/>
              <w:bidi w:val="0"/>
              <w:spacing w:before="0" w:after="283"/>
              <w:jc w:val="left"/>
              <w:rPr/>
            </w:pPr>
            <w:r>
              <w:rPr/>
              <w:t>Set Off</w:t>
            </w:r>
          </w:p>
        </w:tc>
        <w:tc>
          <w:tcPr>
            <w:tcW w:w="260" w:type="dxa"/>
            <w:tcBorders/>
            <w:vAlign w:val="center"/>
          </w:tcPr>
          <w:p>
            <w:pPr>
              <w:pStyle w:val="TableContents"/>
              <w:bidi w:val="0"/>
              <w:spacing w:before="0" w:after="283"/>
              <w:jc w:val="right"/>
              <w:rPr/>
            </w:pPr>
            <w:r>
              <w:rPr/>
              <w:t>82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78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pPr>
            <w:r>
              <w:rPr/>
              <w:t>9</w:t>
            </w:r>
          </w:p>
        </w:tc>
        <w:tc>
          <w:tcPr>
            <w:tcW w:w="8494" w:type="dxa"/>
            <w:gridSpan w:val="2"/>
            <w:tcBorders/>
            <w:vAlign w:val="center"/>
          </w:tcPr>
          <w:p>
            <w:pPr>
              <w:pStyle w:val="TableContents"/>
              <w:bidi w:val="0"/>
              <w:spacing w:before="0" w:after="283"/>
              <w:jc w:val="left"/>
              <w:rPr/>
            </w:pPr>
            <w:r>
              <w:rPr/>
              <w:t>PAYMENTS, RECOVERIES AND COLLECTIONS</w:t>
            </w:r>
          </w:p>
        </w:tc>
        <w:tc>
          <w:tcPr>
            <w:tcW w:w="260" w:type="dxa"/>
            <w:tcBorders/>
            <w:vAlign w:val="center"/>
          </w:tcPr>
          <w:p>
            <w:pPr>
              <w:pStyle w:val="TableContents"/>
              <w:bidi w:val="0"/>
              <w:spacing w:before="0" w:after="283"/>
              <w:jc w:val="right"/>
              <w:rPr/>
            </w:pPr>
            <w:r>
              <w:rPr/>
              <w:t>83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9.1</w:t>
            </w:r>
          </w:p>
        </w:tc>
        <w:tc>
          <w:tcPr>
            <w:tcW w:w="7882" w:type="dxa"/>
            <w:tcBorders/>
            <w:vAlign w:val="center"/>
          </w:tcPr>
          <w:p>
            <w:pPr>
              <w:pStyle w:val="TableContents"/>
              <w:bidi w:val="0"/>
              <w:spacing w:before="0" w:after="283"/>
              <w:jc w:val="left"/>
              <w:rPr/>
            </w:pPr>
            <w:r>
              <w:rPr/>
              <w:t>Payment Procedure</w:t>
            </w:r>
          </w:p>
        </w:tc>
        <w:tc>
          <w:tcPr>
            <w:tcW w:w="260" w:type="dxa"/>
            <w:tcBorders/>
            <w:vAlign w:val="center"/>
          </w:tcPr>
          <w:p>
            <w:pPr>
              <w:pStyle w:val="TableContents"/>
              <w:bidi w:val="0"/>
              <w:spacing w:before="0" w:after="283"/>
              <w:jc w:val="right"/>
              <w:rPr/>
            </w:pPr>
            <w:r>
              <w:rPr/>
              <w:t>83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9.2</w:t>
            </w:r>
          </w:p>
        </w:tc>
        <w:tc>
          <w:tcPr>
            <w:tcW w:w="7882" w:type="dxa"/>
            <w:tcBorders/>
            <w:vAlign w:val="center"/>
          </w:tcPr>
          <w:p>
            <w:pPr>
              <w:pStyle w:val="TableContents"/>
              <w:bidi w:val="0"/>
              <w:spacing w:before="0" w:after="283"/>
              <w:jc w:val="left"/>
              <w:rPr/>
            </w:pPr>
            <w:r>
              <w:rPr/>
              <w:t>Application of Payments</w:t>
            </w:r>
          </w:p>
        </w:tc>
        <w:tc>
          <w:tcPr>
            <w:tcW w:w="260" w:type="dxa"/>
            <w:tcBorders/>
            <w:vAlign w:val="center"/>
          </w:tcPr>
          <w:p>
            <w:pPr>
              <w:pStyle w:val="TableContents"/>
              <w:bidi w:val="0"/>
              <w:spacing w:before="0" w:after="283"/>
              <w:jc w:val="right"/>
              <w:rPr/>
            </w:pPr>
            <w:r>
              <w:rPr/>
              <w:t>83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9.3</w:t>
            </w:r>
          </w:p>
        </w:tc>
        <w:tc>
          <w:tcPr>
            <w:tcW w:w="7882" w:type="dxa"/>
            <w:tcBorders/>
            <w:vAlign w:val="center"/>
          </w:tcPr>
          <w:p>
            <w:pPr>
              <w:pStyle w:val="TableContents"/>
              <w:bidi w:val="0"/>
              <w:spacing w:before="0" w:after="283"/>
              <w:jc w:val="left"/>
              <w:rPr/>
            </w:pPr>
            <w:r>
              <w:rPr/>
              <w:t>Ratable Sharing</w:t>
            </w:r>
          </w:p>
        </w:tc>
        <w:tc>
          <w:tcPr>
            <w:tcW w:w="260" w:type="dxa"/>
            <w:tcBorders/>
            <w:vAlign w:val="center"/>
          </w:tcPr>
          <w:p>
            <w:pPr>
              <w:pStyle w:val="TableContents"/>
              <w:bidi w:val="0"/>
              <w:spacing w:before="0" w:after="283"/>
              <w:jc w:val="right"/>
              <w:rPr/>
            </w:pPr>
            <w:r>
              <w:rPr/>
              <w:t>84</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9.4</w:t>
            </w:r>
          </w:p>
        </w:tc>
        <w:tc>
          <w:tcPr>
            <w:tcW w:w="7882" w:type="dxa"/>
            <w:tcBorders/>
            <w:vAlign w:val="center"/>
          </w:tcPr>
          <w:p>
            <w:pPr>
              <w:pStyle w:val="TableContents"/>
              <w:bidi w:val="0"/>
              <w:spacing w:before="0" w:after="283"/>
              <w:jc w:val="left"/>
              <w:rPr/>
            </w:pPr>
            <w:r>
              <w:rPr/>
              <w:t>Treatment of a Defaulting Lender</w:t>
            </w:r>
          </w:p>
        </w:tc>
        <w:tc>
          <w:tcPr>
            <w:tcW w:w="260" w:type="dxa"/>
            <w:tcBorders/>
            <w:vAlign w:val="center"/>
          </w:tcPr>
          <w:p>
            <w:pPr>
              <w:pStyle w:val="TableContents"/>
              <w:bidi w:val="0"/>
              <w:spacing w:before="0" w:after="283"/>
              <w:jc w:val="right"/>
              <w:rPr/>
            </w:pPr>
            <w:r>
              <w:rPr/>
              <w:t>85</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78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pPr>
            <w:r>
              <w:rPr/>
              <w:t>10</w:t>
            </w:r>
          </w:p>
        </w:tc>
        <w:tc>
          <w:tcPr>
            <w:tcW w:w="8494" w:type="dxa"/>
            <w:gridSpan w:val="2"/>
            <w:tcBorders/>
            <w:vAlign w:val="center"/>
          </w:tcPr>
          <w:p>
            <w:pPr>
              <w:pStyle w:val="TableContents"/>
              <w:bidi w:val="0"/>
              <w:spacing w:before="0" w:after="283"/>
              <w:jc w:val="left"/>
              <w:rPr/>
            </w:pPr>
            <w:r>
              <w:rPr/>
              <w:t>YIELD PROTECTION; INCREASED COSTS; MARGIN ADJUSTMENTS; TAXES</w:t>
            </w:r>
          </w:p>
        </w:tc>
        <w:tc>
          <w:tcPr>
            <w:tcW w:w="260" w:type="dxa"/>
            <w:tcBorders/>
            <w:vAlign w:val="center"/>
          </w:tcPr>
          <w:p>
            <w:pPr>
              <w:pStyle w:val="TableContents"/>
              <w:bidi w:val="0"/>
              <w:spacing w:before="0" w:after="283"/>
              <w:jc w:val="right"/>
              <w:rPr/>
            </w:pPr>
            <w:r>
              <w:rPr/>
              <w:t>85</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10.1</w:t>
            </w:r>
          </w:p>
        </w:tc>
        <w:tc>
          <w:tcPr>
            <w:tcW w:w="7882" w:type="dxa"/>
            <w:tcBorders/>
            <w:vAlign w:val="center"/>
          </w:tcPr>
          <w:p>
            <w:pPr>
              <w:pStyle w:val="TableContents"/>
              <w:bidi w:val="0"/>
              <w:spacing w:before="0" w:after="283"/>
              <w:jc w:val="left"/>
              <w:rPr/>
            </w:pPr>
            <w:r>
              <w:rPr/>
              <w:t>Capital Adequacy and Other Increased Costs</w:t>
            </w:r>
          </w:p>
        </w:tc>
        <w:tc>
          <w:tcPr>
            <w:tcW w:w="260" w:type="dxa"/>
            <w:tcBorders/>
            <w:vAlign w:val="center"/>
          </w:tcPr>
          <w:p>
            <w:pPr>
              <w:pStyle w:val="TableContents"/>
              <w:bidi w:val="0"/>
              <w:spacing w:before="0" w:after="283"/>
              <w:jc w:val="right"/>
              <w:rPr/>
            </w:pPr>
            <w:r>
              <w:rPr/>
              <w:t>85</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10.2</w:t>
            </w:r>
          </w:p>
        </w:tc>
        <w:tc>
          <w:tcPr>
            <w:tcW w:w="7882" w:type="dxa"/>
            <w:tcBorders/>
            <w:vAlign w:val="center"/>
          </w:tcPr>
          <w:p>
            <w:pPr>
              <w:pStyle w:val="TableContents"/>
              <w:bidi w:val="0"/>
              <w:spacing w:before="0" w:after="283"/>
              <w:jc w:val="left"/>
              <w:rPr/>
            </w:pPr>
            <w:r>
              <w:rPr/>
              <w:t>Right of Lenders to Fund through Branches and Affiliates</w:t>
            </w:r>
          </w:p>
        </w:tc>
        <w:tc>
          <w:tcPr>
            <w:tcW w:w="260" w:type="dxa"/>
            <w:tcBorders/>
            <w:vAlign w:val="center"/>
          </w:tcPr>
          <w:p>
            <w:pPr>
              <w:pStyle w:val="TableContents"/>
              <w:bidi w:val="0"/>
              <w:spacing w:before="0" w:after="283"/>
              <w:jc w:val="right"/>
              <w:rPr/>
            </w:pPr>
            <w:r>
              <w:rPr/>
              <w:t>86</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10.3</w:t>
            </w:r>
          </w:p>
        </w:tc>
        <w:tc>
          <w:tcPr>
            <w:tcW w:w="7882" w:type="dxa"/>
            <w:tcBorders/>
            <w:vAlign w:val="center"/>
          </w:tcPr>
          <w:p>
            <w:pPr>
              <w:pStyle w:val="TableContents"/>
              <w:bidi w:val="0"/>
              <w:spacing w:before="0" w:after="283"/>
              <w:jc w:val="left"/>
              <w:rPr/>
            </w:pPr>
            <w:r>
              <w:rPr/>
              <w:t>Delay in Requests</w:t>
            </w:r>
          </w:p>
        </w:tc>
        <w:tc>
          <w:tcPr>
            <w:tcW w:w="260" w:type="dxa"/>
            <w:tcBorders/>
            <w:vAlign w:val="center"/>
          </w:tcPr>
          <w:p>
            <w:pPr>
              <w:pStyle w:val="TableContents"/>
              <w:bidi w:val="0"/>
              <w:spacing w:before="0" w:after="283"/>
              <w:jc w:val="right"/>
              <w:rPr/>
            </w:pPr>
            <w:r>
              <w:rPr/>
              <w:t>86</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10.4</w:t>
            </w:r>
          </w:p>
        </w:tc>
        <w:tc>
          <w:tcPr>
            <w:tcW w:w="7882" w:type="dxa"/>
            <w:tcBorders/>
            <w:vAlign w:val="center"/>
          </w:tcPr>
          <w:p>
            <w:pPr>
              <w:pStyle w:val="TableContents"/>
              <w:bidi w:val="0"/>
              <w:spacing w:before="0" w:after="283"/>
              <w:jc w:val="left"/>
              <w:rPr/>
            </w:pPr>
            <w:r>
              <w:rPr/>
              <w:t>Taxes</w:t>
            </w:r>
          </w:p>
        </w:tc>
        <w:tc>
          <w:tcPr>
            <w:tcW w:w="260" w:type="dxa"/>
            <w:tcBorders/>
            <w:vAlign w:val="center"/>
          </w:tcPr>
          <w:p>
            <w:pPr>
              <w:pStyle w:val="TableContents"/>
              <w:bidi w:val="0"/>
              <w:spacing w:before="0" w:after="283"/>
              <w:jc w:val="right"/>
              <w:rPr/>
            </w:pPr>
            <w:r>
              <w:rPr/>
              <w:t>86</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78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pPr>
            <w:r>
              <w:rPr/>
              <w:t>11</w:t>
            </w:r>
          </w:p>
        </w:tc>
        <w:tc>
          <w:tcPr>
            <w:tcW w:w="8494" w:type="dxa"/>
            <w:gridSpan w:val="2"/>
            <w:tcBorders/>
            <w:vAlign w:val="center"/>
          </w:tcPr>
          <w:p>
            <w:pPr>
              <w:pStyle w:val="TableContents"/>
              <w:bidi w:val="0"/>
              <w:spacing w:before="0" w:after="283"/>
              <w:jc w:val="left"/>
              <w:rPr/>
            </w:pPr>
            <w:r>
              <w:rPr/>
              <w:t>AGENT</w:t>
            </w:r>
          </w:p>
        </w:tc>
        <w:tc>
          <w:tcPr>
            <w:tcW w:w="260" w:type="dxa"/>
            <w:tcBorders/>
            <w:vAlign w:val="center"/>
          </w:tcPr>
          <w:p>
            <w:pPr>
              <w:pStyle w:val="TableContents"/>
              <w:bidi w:val="0"/>
              <w:spacing w:before="0" w:after="283"/>
              <w:jc w:val="right"/>
              <w:rPr/>
            </w:pPr>
            <w:r>
              <w:rPr/>
              <w:t>88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w:t>
            </w:r>
          </w:p>
        </w:tc>
        <w:tc>
          <w:tcPr>
            <w:tcW w:w="7882" w:type="dxa"/>
            <w:tcBorders/>
            <w:vAlign w:val="center"/>
          </w:tcPr>
          <w:p>
            <w:pPr>
              <w:pStyle w:val="TableContents"/>
              <w:bidi w:val="0"/>
              <w:spacing w:before="0" w:after="283"/>
              <w:jc w:val="left"/>
              <w:rPr/>
            </w:pPr>
            <w:r>
              <w:rPr/>
              <w:t>Appointment of the Agent</w:t>
            </w:r>
          </w:p>
        </w:tc>
        <w:tc>
          <w:tcPr>
            <w:tcW w:w="260" w:type="dxa"/>
            <w:tcBorders/>
            <w:vAlign w:val="center"/>
          </w:tcPr>
          <w:p>
            <w:pPr>
              <w:pStyle w:val="TableContents"/>
              <w:bidi w:val="0"/>
              <w:spacing w:before="0" w:after="283"/>
              <w:jc w:val="right"/>
              <w:rPr/>
            </w:pPr>
            <w:r>
              <w:rPr/>
              <w:t>88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11.2</w:t>
            </w:r>
          </w:p>
        </w:tc>
        <w:tc>
          <w:tcPr>
            <w:tcW w:w="7882" w:type="dxa"/>
            <w:tcBorders/>
            <w:vAlign w:val="center"/>
          </w:tcPr>
          <w:p>
            <w:pPr>
              <w:pStyle w:val="TableContents"/>
              <w:bidi w:val="0"/>
              <w:spacing w:before="0" w:after="283"/>
              <w:jc w:val="left"/>
              <w:rPr/>
            </w:pPr>
            <w:r>
              <w:rPr/>
              <w:t>Agency for Perfection</w:t>
            </w:r>
          </w:p>
        </w:tc>
        <w:tc>
          <w:tcPr>
            <w:tcW w:w="260" w:type="dxa"/>
            <w:tcBorders/>
            <w:vAlign w:val="center"/>
          </w:tcPr>
          <w:p>
            <w:pPr>
              <w:pStyle w:val="TableContents"/>
              <w:bidi w:val="0"/>
              <w:spacing w:before="0" w:after="283"/>
              <w:jc w:val="right"/>
              <w:rPr/>
            </w:pPr>
            <w:r>
              <w:rPr/>
              <w:t>88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11.3</w:t>
            </w:r>
          </w:p>
        </w:tc>
        <w:tc>
          <w:tcPr>
            <w:tcW w:w="7882" w:type="dxa"/>
            <w:tcBorders/>
            <w:vAlign w:val="center"/>
          </w:tcPr>
          <w:p>
            <w:pPr>
              <w:pStyle w:val="TableContents"/>
              <w:bidi w:val="0"/>
              <w:spacing w:before="0" w:after="283"/>
              <w:jc w:val="left"/>
              <w:rPr/>
            </w:pPr>
            <w:r>
              <w:rPr/>
              <w:t>Scope of the Agent’s Duties</w:t>
            </w:r>
          </w:p>
        </w:tc>
        <w:tc>
          <w:tcPr>
            <w:tcW w:w="260" w:type="dxa"/>
            <w:tcBorders/>
            <w:vAlign w:val="center"/>
          </w:tcPr>
          <w:p>
            <w:pPr>
              <w:pStyle w:val="TableContents"/>
              <w:bidi w:val="0"/>
              <w:spacing w:before="0" w:after="283"/>
              <w:jc w:val="right"/>
              <w:rPr/>
            </w:pPr>
            <w:r>
              <w:rPr/>
              <w:t>88</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11.4</w:t>
            </w:r>
          </w:p>
        </w:tc>
        <w:tc>
          <w:tcPr>
            <w:tcW w:w="7882" w:type="dxa"/>
            <w:tcBorders/>
            <w:vAlign w:val="center"/>
          </w:tcPr>
          <w:p>
            <w:pPr>
              <w:pStyle w:val="TableContents"/>
              <w:bidi w:val="0"/>
              <w:spacing w:before="0" w:after="283"/>
              <w:jc w:val="left"/>
              <w:rPr/>
            </w:pPr>
            <w:r>
              <w:rPr/>
              <w:t>Successor Agent</w:t>
            </w:r>
          </w:p>
        </w:tc>
        <w:tc>
          <w:tcPr>
            <w:tcW w:w="260" w:type="dxa"/>
            <w:tcBorders/>
            <w:vAlign w:val="center"/>
          </w:tcPr>
          <w:p>
            <w:pPr>
              <w:pStyle w:val="TableContents"/>
              <w:bidi w:val="0"/>
              <w:spacing w:before="0" w:after="283"/>
              <w:jc w:val="right"/>
              <w:rPr/>
            </w:pPr>
            <w:r>
              <w:rPr/>
              <w:t>89</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11.5</w:t>
            </w:r>
          </w:p>
        </w:tc>
        <w:tc>
          <w:tcPr>
            <w:tcW w:w="7882" w:type="dxa"/>
            <w:tcBorders/>
            <w:vAlign w:val="center"/>
          </w:tcPr>
          <w:p>
            <w:pPr>
              <w:pStyle w:val="TableContents"/>
              <w:bidi w:val="0"/>
              <w:spacing w:before="0" w:after="283"/>
              <w:jc w:val="left"/>
              <w:rPr/>
            </w:pPr>
            <w:r>
              <w:rPr/>
              <w:t>Credit Decisions</w:t>
            </w:r>
          </w:p>
        </w:tc>
        <w:tc>
          <w:tcPr>
            <w:tcW w:w="260" w:type="dxa"/>
            <w:tcBorders/>
            <w:vAlign w:val="center"/>
          </w:tcPr>
          <w:p>
            <w:pPr>
              <w:pStyle w:val="TableContents"/>
              <w:bidi w:val="0"/>
              <w:spacing w:before="0" w:after="283"/>
              <w:jc w:val="right"/>
              <w:rPr/>
            </w:pPr>
            <w:r>
              <w:rPr/>
              <w:t>90</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11.6</w:t>
            </w:r>
          </w:p>
        </w:tc>
        <w:tc>
          <w:tcPr>
            <w:tcW w:w="7882" w:type="dxa"/>
            <w:tcBorders/>
            <w:vAlign w:val="center"/>
          </w:tcPr>
          <w:p>
            <w:pPr>
              <w:pStyle w:val="TableContents"/>
              <w:bidi w:val="0"/>
              <w:spacing w:before="0" w:after="283"/>
              <w:jc w:val="left"/>
              <w:rPr/>
            </w:pPr>
            <w:r>
              <w:rPr/>
              <w:t>Authority of the Agent to Enforce This Agreement</w:t>
            </w:r>
          </w:p>
        </w:tc>
        <w:tc>
          <w:tcPr>
            <w:tcW w:w="260" w:type="dxa"/>
            <w:tcBorders/>
            <w:vAlign w:val="center"/>
          </w:tcPr>
          <w:p>
            <w:pPr>
              <w:pStyle w:val="TableContents"/>
              <w:bidi w:val="0"/>
              <w:spacing w:before="0" w:after="283"/>
              <w:jc w:val="right"/>
              <w:rPr/>
            </w:pPr>
            <w:r>
              <w:rPr/>
              <w:t>90</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11.7</w:t>
            </w:r>
          </w:p>
        </w:tc>
        <w:tc>
          <w:tcPr>
            <w:tcW w:w="7882" w:type="dxa"/>
            <w:tcBorders/>
            <w:vAlign w:val="center"/>
          </w:tcPr>
          <w:p>
            <w:pPr>
              <w:pStyle w:val="TableContents"/>
              <w:bidi w:val="0"/>
              <w:spacing w:before="0" w:after="283"/>
              <w:jc w:val="left"/>
              <w:rPr/>
            </w:pPr>
            <w:r>
              <w:rPr/>
              <w:t>Indemnification of the Agent</w:t>
            </w:r>
          </w:p>
        </w:tc>
        <w:tc>
          <w:tcPr>
            <w:tcW w:w="260" w:type="dxa"/>
            <w:tcBorders/>
            <w:vAlign w:val="center"/>
          </w:tcPr>
          <w:p>
            <w:pPr>
              <w:pStyle w:val="TableContents"/>
              <w:bidi w:val="0"/>
              <w:spacing w:before="0" w:after="283"/>
              <w:jc w:val="right"/>
              <w:rPr/>
            </w:pPr>
            <w:r>
              <w:rPr/>
              <w:t>90</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11.8</w:t>
            </w:r>
          </w:p>
        </w:tc>
        <w:tc>
          <w:tcPr>
            <w:tcW w:w="7882" w:type="dxa"/>
            <w:tcBorders/>
            <w:vAlign w:val="center"/>
          </w:tcPr>
          <w:p>
            <w:pPr>
              <w:pStyle w:val="TableContents"/>
              <w:bidi w:val="0"/>
              <w:spacing w:before="0" w:after="283"/>
              <w:jc w:val="left"/>
              <w:rPr/>
            </w:pPr>
            <w:r>
              <w:rPr/>
              <w:t>Knowledge of Default</w:t>
            </w:r>
          </w:p>
        </w:tc>
        <w:tc>
          <w:tcPr>
            <w:tcW w:w="260" w:type="dxa"/>
            <w:tcBorders/>
            <w:vAlign w:val="center"/>
          </w:tcPr>
          <w:p>
            <w:pPr>
              <w:pStyle w:val="TableContents"/>
              <w:bidi w:val="0"/>
              <w:spacing w:before="0" w:after="283"/>
              <w:jc w:val="right"/>
              <w:rPr/>
            </w:pPr>
            <w:r>
              <w:rPr/>
              <w:t>91</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11.9</w:t>
            </w:r>
          </w:p>
        </w:tc>
        <w:tc>
          <w:tcPr>
            <w:tcW w:w="7882" w:type="dxa"/>
            <w:tcBorders/>
            <w:vAlign w:val="center"/>
          </w:tcPr>
          <w:p>
            <w:pPr>
              <w:pStyle w:val="TableContents"/>
              <w:bidi w:val="0"/>
              <w:spacing w:before="0" w:after="283"/>
              <w:jc w:val="left"/>
              <w:rPr/>
            </w:pPr>
            <w:r>
              <w:rPr/>
              <w:t>The Agent’s Authorization; Action by Lenders</w:t>
            </w:r>
          </w:p>
        </w:tc>
        <w:tc>
          <w:tcPr>
            <w:tcW w:w="260" w:type="dxa"/>
            <w:tcBorders/>
            <w:vAlign w:val="center"/>
          </w:tcPr>
          <w:p>
            <w:pPr>
              <w:pStyle w:val="TableContents"/>
              <w:bidi w:val="0"/>
              <w:spacing w:before="0" w:after="283"/>
              <w:jc w:val="right"/>
              <w:rPr/>
            </w:pPr>
            <w:r>
              <w:rPr/>
              <w:t>91</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w:t>
            </w:r>
          </w:p>
        </w:tc>
        <w:tc>
          <w:tcPr>
            <w:tcW w:w="7882" w:type="dxa"/>
            <w:tcBorders/>
            <w:vAlign w:val="center"/>
          </w:tcPr>
          <w:p>
            <w:pPr>
              <w:pStyle w:val="TableContents"/>
              <w:bidi w:val="0"/>
              <w:spacing w:before="0" w:after="283"/>
              <w:jc w:val="left"/>
              <w:rPr/>
            </w:pPr>
            <w:r>
              <w:rPr/>
              <w:t>Enforcement Actions by the Agent</w:t>
            </w:r>
          </w:p>
        </w:tc>
        <w:tc>
          <w:tcPr>
            <w:tcW w:w="260" w:type="dxa"/>
            <w:tcBorders/>
            <w:vAlign w:val="center"/>
          </w:tcPr>
          <w:p>
            <w:pPr>
              <w:pStyle w:val="TableContents"/>
              <w:bidi w:val="0"/>
              <w:spacing w:before="0" w:after="283"/>
              <w:jc w:val="right"/>
              <w:rPr/>
            </w:pPr>
            <w:r>
              <w:rPr/>
              <w:t>92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11.11</w:t>
            </w:r>
          </w:p>
        </w:tc>
        <w:tc>
          <w:tcPr>
            <w:tcW w:w="7882" w:type="dxa"/>
            <w:tcBorders/>
            <w:vAlign w:val="center"/>
          </w:tcPr>
          <w:p>
            <w:pPr>
              <w:pStyle w:val="TableContents"/>
              <w:bidi w:val="0"/>
              <w:spacing w:before="0" w:after="283"/>
              <w:jc w:val="left"/>
              <w:rPr/>
            </w:pPr>
            <w:r>
              <w:rPr/>
              <w:t>Collateral Matters</w:t>
            </w:r>
          </w:p>
        </w:tc>
        <w:tc>
          <w:tcPr>
            <w:tcW w:w="260" w:type="dxa"/>
            <w:tcBorders/>
            <w:vAlign w:val="center"/>
          </w:tcPr>
          <w:p>
            <w:pPr>
              <w:pStyle w:val="TableContents"/>
              <w:bidi w:val="0"/>
              <w:spacing w:before="0" w:after="283"/>
              <w:jc w:val="right"/>
              <w:rPr/>
            </w:pPr>
            <w:r>
              <w:rPr/>
              <w:t>92</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11.12</w:t>
            </w:r>
          </w:p>
        </w:tc>
        <w:tc>
          <w:tcPr>
            <w:tcW w:w="7882" w:type="dxa"/>
            <w:tcBorders/>
            <w:vAlign w:val="center"/>
          </w:tcPr>
          <w:p>
            <w:pPr>
              <w:pStyle w:val="TableContents"/>
              <w:bidi w:val="0"/>
              <w:spacing w:before="0" w:after="283"/>
              <w:jc w:val="left"/>
              <w:rPr/>
            </w:pPr>
            <w:r>
              <w:rPr/>
              <w:t>The Agent in its Individual Capacity</w:t>
            </w:r>
          </w:p>
        </w:tc>
        <w:tc>
          <w:tcPr>
            <w:tcW w:w="260" w:type="dxa"/>
            <w:tcBorders/>
            <w:vAlign w:val="center"/>
          </w:tcPr>
          <w:p>
            <w:pPr>
              <w:pStyle w:val="TableContents"/>
              <w:bidi w:val="0"/>
              <w:spacing w:before="0" w:after="283"/>
              <w:jc w:val="right"/>
              <w:rPr/>
            </w:pPr>
            <w:r>
              <w:rPr/>
              <w:t>93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11.13</w:t>
            </w:r>
          </w:p>
        </w:tc>
        <w:tc>
          <w:tcPr>
            <w:tcW w:w="7882" w:type="dxa"/>
            <w:tcBorders/>
            <w:vAlign w:val="center"/>
          </w:tcPr>
          <w:p>
            <w:pPr>
              <w:pStyle w:val="TableContents"/>
              <w:bidi w:val="0"/>
              <w:spacing w:before="0" w:after="283"/>
              <w:jc w:val="left"/>
              <w:rPr/>
            </w:pPr>
            <w:r>
              <w:rPr/>
              <w:t>Specified Subordination Agreement and Subordination Agreements</w:t>
            </w:r>
          </w:p>
        </w:tc>
        <w:tc>
          <w:tcPr>
            <w:tcW w:w="260" w:type="dxa"/>
            <w:tcBorders/>
            <w:vAlign w:val="center"/>
          </w:tcPr>
          <w:p>
            <w:pPr>
              <w:pStyle w:val="TableContents"/>
              <w:bidi w:val="0"/>
              <w:spacing w:before="0" w:after="283"/>
              <w:jc w:val="right"/>
              <w:rPr/>
            </w:pPr>
            <w:r>
              <w:rPr/>
              <w:t>93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11.14</w:t>
            </w:r>
          </w:p>
        </w:tc>
        <w:tc>
          <w:tcPr>
            <w:tcW w:w="7882" w:type="dxa"/>
            <w:tcBorders/>
            <w:vAlign w:val="center"/>
          </w:tcPr>
          <w:p>
            <w:pPr>
              <w:pStyle w:val="TableContents"/>
              <w:bidi w:val="0"/>
              <w:spacing w:before="0" w:after="283"/>
              <w:jc w:val="left"/>
              <w:rPr/>
            </w:pPr>
            <w:r>
              <w:rPr/>
              <w:t>No Reliance on the Agent’s Customer Identification Program</w:t>
            </w:r>
          </w:p>
        </w:tc>
        <w:tc>
          <w:tcPr>
            <w:tcW w:w="260" w:type="dxa"/>
            <w:tcBorders/>
            <w:vAlign w:val="center"/>
          </w:tcPr>
          <w:p>
            <w:pPr>
              <w:pStyle w:val="TableContents"/>
              <w:bidi w:val="0"/>
              <w:spacing w:before="0" w:after="283"/>
              <w:jc w:val="right"/>
              <w:rPr/>
            </w:pPr>
            <w:r>
              <w:rPr/>
              <w:t>93</w:t>
            </w:r>
          </w:p>
        </w:tc>
      </w:tr>
      <w:tr>
        <w:trPr/>
        <w:tc>
          <w:tcPr>
            <w:tcW w:w="26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left"/>
              <w:rPr/>
            </w:pPr>
            <w:r>
              <w:rPr/>
              <w:t> </w:t>
            </w:r>
          </w:p>
        </w:tc>
        <w:tc>
          <w:tcPr>
            <w:tcW w:w="78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940" w:type="dxa"/>
        <w:jc w:val="left"/>
        <w:tblInd w:w="0" w:type="dxa"/>
        <w:tblLayout w:type="fixed"/>
        <w:tblCellMar>
          <w:top w:w="0" w:type="dxa"/>
          <w:left w:w="0" w:type="dxa"/>
          <w:bottom w:w="0" w:type="dxa"/>
          <w:right w:w="0" w:type="dxa"/>
        </w:tblCellMar>
      </w:tblPr>
      <w:tblGrid>
        <w:gridCol w:w="260"/>
        <w:gridCol w:w="560"/>
        <w:gridCol w:w="6740"/>
        <w:gridCol w:w="380"/>
      </w:tblGrid>
      <w:tr>
        <w:trPr/>
        <w:tc>
          <w:tcPr>
            <w:tcW w:w="260" w:type="dxa"/>
            <w:tcBorders/>
            <w:vAlign w:val="center"/>
          </w:tcPr>
          <w:p>
            <w:pPr>
              <w:pStyle w:val="TableContents"/>
              <w:bidi w:val="0"/>
              <w:spacing w:before="0" w:after="283"/>
              <w:jc w:val="left"/>
              <w:rPr/>
            </w:pPr>
            <w:r>
              <w:rPr/>
              <w:t>12</w:t>
            </w:r>
          </w:p>
        </w:tc>
        <w:tc>
          <w:tcPr>
            <w:tcW w:w="7300" w:type="dxa"/>
            <w:gridSpan w:val="2"/>
            <w:tcBorders/>
            <w:vAlign w:val="center"/>
          </w:tcPr>
          <w:p>
            <w:pPr>
              <w:pStyle w:val="TableContents"/>
              <w:bidi w:val="0"/>
              <w:spacing w:before="0" w:after="283"/>
              <w:jc w:val="left"/>
              <w:rPr/>
            </w:pPr>
            <w:r>
              <w:rPr/>
              <w:t>MISCELLANEOUS</w:t>
            </w:r>
          </w:p>
        </w:tc>
        <w:tc>
          <w:tcPr>
            <w:tcW w:w="380" w:type="dxa"/>
            <w:tcBorders/>
            <w:vAlign w:val="center"/>
          </w:tcPr>
          <w:p>
            <w:pPr>
              <w:pStyle w:val="TableContents"/>
              <w:bidi w:val="0"/>
              <w:spacing w:before="0" w:after="283"/>
              <w:jc w:val="right"/>
              <w:rPr/>
            </w:pPr>
            <w:r>
              <w:rPr/>
              <w:t>94</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w:t>
            </w:r>
          </w:p>
        </w:tc>
        <w:tc>
          <w:tcPr>
            <w:tcW w:w="6740" w:type="dxa"/>
            <w:tcBorders/>
            <w:vAlign w:val="center"/>
          </w:tcPr>
          <w:p>
            <w:pPr>
              <w:pStyle w:val="TableContents"/>
              <w:bidi w:val="0"/>
              <w:spacing w:before="0" w:after="283"/>
              <w:jc w:val="left"/>
              <w:rPr/>
            </w:pPr>
            <w:r>
              <w:rPr/>
              <w:t>[Reserved]</w:t>
            </w:r>
          </w:p>
        </w:tc>
        <w:tc>
          <w:tcPr>
            <w:tcW w:w="380" w:type="dxa"/>
            <w:tcBorders/>
            <w:vAlign w:val="center"/>
          </w:tcPr>
          <w:p>
            <w:pPr>
              <w:pStyle w:val="TableContents"/>
              <w:bidi w:val="0"/>
              <w:spacing w:before="0" w:after="283"/>
              <w:jc w:val="right"/>
              <w:rPr/>
            </w:pPr>
            <w:r>
              <w:rPr/>
              <w:t>94</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w:t>
            </w:r>
          </w:p>
        </w:tc>
        <w:tc>
          <w:tcPr>
            <w:tcW w:w="6740" w:type="dxa"/>
            <w:tcBorders/>
            <w:vAlign w:val="center"/>
          </w:tcPr>
          <w:p>
            <w:pPr>
              <w:pStyle w:val="TableContents"/>
              <w:bidi w:val="0"/>
              <w:spacing w:before="0" w:after="283"/>
              <w:jc w:val="left"/>
              <w:rPr/>
            </w:pPr>
            <w:r>
              <w:rPr/>
              <w:t>Consent to Jurisdiction</w:t>
            </w:r>
          </w:p>
        </w:tc>
        <w:tc>
          <w:tcPr>
            <w:tcW w:w="380" w:type="dxa"/>
            <w:tcBorders/>
            <w:vAlign w:val="center"/>
          </w:tcPr>
          <w:p>
            <w:pPr>
              <w:pStyle w:val="TableContents"/>
              <w:bidi w:val="0"/>
              <w:spacing w:before="0" w:after="283"/>
              <w:jc w:val="right"/>
              <w:rPr/>
            </w:pPr>
            <w:r>
              <w:rPr/>
              <w:t>94</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12.3</w:t>
            </w:r>
          </w:p>
        </w:tc>
        <w:tc>
          <w:tcPr>
            <w:tcW w:w="6740" w:type="dxa"/>
            <w:tcBorders/>
            <w:vAlign w:val="center"/>
          </w:tcPr>
          <w:p>
            <w:pPr>
              <w:pStyle w:val="TableContents"/>
              <w:bidi w:val="0"/>
              <w:spacing w:before="0" w:after="283"/>
              <w:jc w:val="left"/>
              <w:rPr/>
            </w:pPr>
            <w:r>
              <w:rPr/>
              <w:t>Governing Law</w:t>
            </w:r>
          </w:p>
        </w:tc>
        <w:tc>
          <w:tcPr>
            <w:tcW w:w="380" w:type="dxa"/>
            <w:tcBorders/>
            <w:vAlign w:val="center"/>
          </w:tcPr>
          <w:p>
            <w:pPr>
              <w:pStyle w:val="TableContents"/>
              <w:bidi w:val="0"/>
              <w:spacing w:before="0" w:after="283"/>
              <w:jc w:val="right"/>
              <w:rPr/>
            </w:pPr>
            <w:r>
              <w:rPr/>
              <w:t>94</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12.4</w:t>
            </w:r>
          </w:p>
        </w:tc>
        <w:tc>
          <w:tcPr>
            <w:tcW w:w="6740" w:type="dxa"/>
            <w:tcBorders/>
            <w:vAlign w:val="center"/>
          </w:tcPr>
          <w:p>
            <w:pPr>
              <w:pStyle w:val="TableContents"/>
              <w:bidi w:val="0"/>
              <w:spacing w:before="0" w:after="283"/>
              <w:jc w:val="left"/>
              <w:rPr/>
            </w:pPr>
            <w:r>
              <w:rPr/>
              <w:t>Closing Costs and Other Costs; Indemnification</w:t>
            </w:r>
          </w:p>
        </w:tc>
        <w:tc>
          <w:tcPr>
            <w:tcW w:w="380" w:type="dxa"/>
            <w:tcBorders/>
            <w:vAlign w:val="center"/>
          </w:tcPr>
          <w:p>
            <w:pPr>
              <w:pStyle w:val="TableContents"/>
              <w:bidi w:val="0"/>
              <w:spacing w:before="0" w:after="283"/>
              <w:jc w:val="right"/>
              <w:rPr/>
            </w:pPr>
            <w:r>
              <w:rPr/>
              <w:t>94</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12.5</w:t>
            </w:r>
          </w:p>
        </w:tc>
        <w:tc>
          <w:tcPr>
            <w:tcW w:w="6740" w:type="dxa"/>
            <w:tcBorders/>
            <w:vAlign w:val="center"/>
          </w:tcPr>
          <w:p>
            <w:pPr>
              <w:pStyle w:val="TableContents"/>
              <w:bidi w:val="0"/>
              <w:spacing w:before="0" w:after="283"/>
              <w:jc w:val="left"/>
              <w:rPr/>
            </w:pPr>
            <w:r>
              <w:rPr/>
              <w:t>Notices</w:t>
            </w:r>
          </w:p>
        </w:tc>
        <w:tc>
          <w:tcPr>
            <w:tcW w:w="380" w:type="dxa"/>
            <w:tcBorders/>
            <w:vAlign w:val="center"/>
          </w:tcPr>
          <w:p>
            <w:pPr>
              <w:pStyle w:val="TableContents"/>
              <w:bidi w:val="0"/>
              <w:spacing w:before="0" w:after="283"/>
              <w:jc w:val="right"/>
              <w:rPr/>
            </w:pPr>
            <w:r>
              <w:rPr/>
              <w:t>96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12.6</w:t>
            </w:r>
          </w:p>
        </w:tc>
        <w:tc>
          <w:tcPr>
            <w:tcW w:w="6740" w:type="dxa"/>
            <w:tcBorders/>
            <w:vAlign w:val="center"/>
          </w:tcPr>
          <w:p>
            <w:pPr>
              <w:pStyle w:val="TableContents"/>
              <w:bidi w:val="0"/>
              <w:spacing w:before="0" w:after="283"/>
              <w:jc w:val="left"/>
              <w:rPr/>
            </w:pPr>
            <w:r>
              <w:rPr/>
              <w:t>Further Action</w:t>
            </w:r>
          </w:p>
        </w:tc>
        <w:tc>
          <w:tcPr>
            <w:tcW w:w="380" w:type="dxa"/>
            <w:tcBorders/>
            <w:vAlign w:val="center"/>
          </w:tcPr>
          <w:p>
            <w:pPr>
              <w:pStyle w:val="TableContents"/>
              <w:bidi w:val="0"/>
              <w:spacing w:before="0" w:after="283"/>
              <w:jc w:val="right"/>
              <w:rPr/>
            </w:pPr>
            <w:r>
              <w:rPr/>
              <w:t>96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12.7</w:t>
            </w:r>
          </w:p>
        </w:tc>
        <w:tc>
          <w:tcPr>
            <w:tcW w:w="6740" w:type="dxa"/>
            <w:tcBorders/>
            <w:vAlign w:val="center"/>
          </w:tcPr>
          <w:p>
            <w:pPr>
              <w:pStyle w:val="TableContents"/>
              <w:bidi w:val="0"/>
              <w:spacing w:before="0" w:after="283"/>
              <w:jc w:val="left"/>
              <w:rPr/>
            </w:pPr>
            <w:r>
              <w:rPr/>
              <w:t>Successors and Assigns; Participations; Assignments</w:t>
            </w:r>
          </w:p>
        </w:tc>
        <w:tc>
          <w:tcPr>
            <w:tcW w:w="380" w:type="dxa"/>
            <w:tcBorders/>
            <w:vAlign w:val="center"/>
          </w:tcPr>
          <w:p>
            <w:pPr>
              <w:pStyle w:val="TableContents"/>
              <w:bidi w:val="0"/>
              <w:spacing w:before="0" w:after="283"/>
              <w:jc w:val="right"/>
              <w:rPr/>
            </w:pPr>
            <w:r>
              <w:rPr/>
              <w:t>97</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12.8</w:t>
            </w:r>
          </w:p>
        </w:tc>
        <w:tc>
          <w:tcPr>
            <w:tcW w:w="6740" w:type="dxa"/>
            <w:tcBorders/>
            <w:vAlign w:val="center"/>
          </w:tcPr>
          <w:p>
            <w:pPr>
              <w:pStyle w:val="TableContents"/>
              <w:bidi w:val="0"/>
              <w:spacing w:before="0" w:after="283"/>
              <w:jc w:val="left"/>
              <w:rPr/>
            </w:pPr>
            <w:r>
              <w:rPr/>
              <w:t>Counterparts</w:t>
            </w:r>
          </w:p>
        </w:tc>
        <w:tc>
          <w:tcPr>
            <w:tcW w:w="380" w:type="dxa"/>
            <w:tcBorders/>
            <w:vAlign w:val="center"/>
          </w:tcPr>
          <w:p>
            <w:pPr>
              <w:pStyle w:val="TableContents"/>
              <w:bidi w:val="0"/>
              <w:spacing w:before="0" w:after="283"/>
              <w:jc w:val="right"/>
              <w:rPr/>
            </w:pPr>
            <w:r>
              <w:rPr/>
              <w:t>99</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12.9</w:t>
            </w:r>
          </w:p>
        </w:tc>
        <w:tc>
          <w:tcPr>
            <w:tcW w:w="6740" w:type="dxa"/>
            <w:tcBorders/>
            <w:vAlign w:val="center"/>
          </w:tcPr>
          <w:p>
            <w:pPr>
              <w:pStyle w:val="TableContents"/>
              <w:bidi w:val="0"/>
              <w:spacing w:before="0" w:after="283"/>
              <w:jc w:val="left"/>
              <w:rPr/>
            </w:pPr>
            <w:r>
              <w:rPr/>
              <w:t>Amendment and Waiver</w:t>
            </w:r>
          </w:p>
        </w:tc>
        <w:tc>
          <w:tcPr>
            <w:tcW w:w="380" w:type="dxa"/>
            <w:tcBorders/>
            <w:vAlign w:val="center"/>
          </w:tcPr>
          <w:p>
            <w:pPr>
              <w:pStyle w:val="TableContents"/>
              <w:bidi w:val="0"/>
              <w:spacing w:before="0" w:after="283"/>
              <w:jc w:val="right"/>
              <w:rPr/>
            </w:pPr>
            <w:r>
              <w:rPr/>
              <w:t>100</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w:t>
            </w:r>
          </w:p>
        </w:tc>
        <w:tc>
          <w:tcPr>
            <w:tcW w:w="6740" w:type="dxa"/>
            <w:tcBorders/>
            <w:vAlign w:val="center"/>
          </w:tcPr>
          <w:p>
            <w:pPr>
              <w:pStyle w:val="TableContents"/>
              <w:bidi w:val="0"/>
              <w:spacing w:before="0" w:after="283"/>
              <w:jc w:val="left"/>
              <w:rPr/>
            </w:pPr>
            <w:r>
              <w:rPr/>
              <w:t>Confidentiality</w:t>
            </w:r>
          </w:p>
        </w:tc>
        <w:tc>
          <w:tcPr>
            <w:tcW w:w="380" w:type="dxa"/>
            <w:tcBorders/>
            <w:vAlign w:val="center"/>
          </w:tcPr>
          <w:p>
            <w:pPr>
              <w:pStyle w:val="TableContents"/>
              <w:bidi w:val="0"/>
              <w:spacing w:before="0" w:after="283"/>
              <w:jc w:val="right"/>
              <w:rPr/>
            </w:pPr>
            <w:r>
              <w:rPr/>
              <w:t>102</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12.11</w:t>
            </w:r>
          </w:p>
        </w:tc>
        <w:tc>
          <w:tcPr>
            <w:tcW w:w="6740" w:type="dxa"/>
            <w:tcBorders/>
            <w:vAlign w:val="center"/>
          </w:tcPr>
          <w:p>
            <w:pPr>
              <w:pStyle w:val="TableContents"/>
              <w:bidi w:val="0"/>
              <w:spacing w:before="0" w:after="283"/>
              <w:jc w:val="left"/>
              <w:rPr/>
            </w:pPr>
            <w:r>
              <w:rPr/>
              <w:t>Substitution or Removal of Lenders</w:t>
            </w:r>
          </w:p>
        </w:tc>
        <w:tc>
          <w:tcPr>
            <w:tcW w:w="380" w:type="dxa"/>
            <w:tcBorders/>
            <w:vAlign w:val="center"/>
          </w:tcPr>
          <w:p>
            <w:pPr>
              <w:pStyle w:val="TableContents"/>
              <w:bidi w:val="0"/>
              <w:spacing w:before="0" w:after="283"/>
              <w:jc w:val="right"/>
              <w:rPr/>
            </w:pPr>
            <w:r>
              <w:rPr/>
              <w:t>103</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12.12</w:t>
            </w:r>
          </w:p>
        </w:tc>
        <w:tc>
          <w:tcPr>
            <w:tcW w:w="6740" w:type="dxa"/>
            <w:tcBorders/>
            <w:vAlign w:val="center"/>
          </w:tcPr>
          <w:p>
            <w:pPr>
              <w:pStyle w:val="TableContents"/>
              <w:bidi w:val="0"/>
              <w:spacing w:before="0" w:after="283"/>
              <w:jc w:val="left"/>
              <w:rPr/>
            </w:pPr>
            <w:r>
              <w:rPr/>
              <w:t>Withholding Taxes</w:t>
            </w:r>
          </w:p>
        </w:tc>
        <w:tc>
          <w:tcPr>
            <w:tcW w:w="380" w:type="dxa"/>
            <w:tcBorders/>
            <w:vAlign w:val="center"/>
          </w:tcPr>
          <w:p>
            <w:pPr>
              <w:pStyle w:val="TableContents"/>
              <w:bidi w:val="0"/>
              <w:spacing w:before="0" w:after="283"/>
              <w:jc w:val="right"/>
              <w:rPr/>
            </w:pPr>
            <w:r>
              <w:rPr/>
              <w:t>103</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12.13</w:t>
            </w:r>
          </w:p>
        </w:tc>
        <w:tc>
          <w:tcPr>
            <w:tcW w:w="6740" w:type="dxa"/>
            <w:tcBorders/>
            <w:vAlign w:val="center"/>
          </w:tcPr>
          <w:p>
            <w:pPr>
              <w:pStyle w:val="TableContents"/>
              <w:bidi w:val="0"/>
              <w:spacing w:before="0" w:after="283"/>
              <w:jc w:val="left"/>
              <w:rPr/>
            </w:pPr>
            <w:r>
              <w:rPr/>
              <w:t>WAIVER OF JURY TRIAL</w:t>
            </w:r>
          </w:p>
        </w:tc>
        <w:tc>
          <w:tcPr>
            <w:tcW w:w="380" w:type="dxa"/>
            <w:tcBorders/>
            <w:vAlign w:val="center"/>
          </w:tcPr>
          <w:p>
            <w:pPr>
              <w:pStyle w:val="TableContents"/>
              <w:bidi w:val="0"/>
              <w:spacing w:before="0" w:after="283"/>
              <w:jc w:val="right"/>
              <w:rPr/>
            </w:pPr>
            <w:r>
              <w:rPr/>
              <w:t>105</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12.14</w:t>
            </w:r>
          </w:p>
        </w:tc>
        <w:tc>
          <w:tcPr>
            <w:tcW w:w="6740" w:type="dxa"/>
            <w:tcBorders/>
            <w:vAlign w:val="center"/>
          </w:tcPr>
          <w:p>
            <w:pPr>
              <w:pStyle w:val="TableContents"/>
              <w:bidi w:val="0"/>
              <w:spacing w:before="0" w:after="283"/>
              <w:jc w:val="left"/>
              <w:rPr/>
            </w:pPr>
            <w:r>
              <w:rPr/>
              <w:t>USA Patriot Act Notice; Beneficial Ownership Certification</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12.15</w:t>
            </w:r>
          </w:p>
        </w:tc>
        <w:tc>
          <w:tcPr>
            <w:tcW w:w="6740" w:type="dxa"/>
            <w:tcBorders/>
            <w:vAlign w:val="center"/>
          </w:tcPr>
          <w:p>
            <w:pPr>
              <w:pStyle w:val="TableContents"/>
              <w:bidi w:val="0"/>
              <w:spacing w:before="0" w:after="283"/>
              <w:jc w:val="left"/>
              <w:rPr/>
            </w:pPr>
            <w:r>
              <w:rPr/>
              <w:t>Complete Agreement; Conflicts</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12.16</w:t>
            </w:r>
          </w:p>
        </w:tc>
        <w:tc>
          <w:tcPr>
            <w:tcW w:w="6740" w:type="dxa"/>
            <w:tcBorders/>
            <w:vAlign w:val="center"/>
          </w:tcPr>
          <w:p>
            <w:pPr>
              <w:pStyle w:val="TableContents"/>
              <w:bidi w:val="0"/>
              <w:spacing w:before="0" w:after="283"/>
              <w:jc w:val="left"/>
              <w:rPr/>
            </w:pPr>
            <w:r>
              <w:rPr/>
              <w:t>Severability</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12.17</w:t>
            </w:r>
          </w:p>
        </w:tc>
        <w:tc>
          <w:tcPr>
            <w:tcW w:w="6740" w:type="dxa"/>
            <w:tcBorders/>
            <w:vAlign w:val="center"/>
          </w:tcPr>
          <w:p>
            <w:pPr>
              <w:pStyle w:val="TableContents"/>
              <w:bidi w:val="0"/>
              <w:spacing w:before="0" w:after="283"/>
              <w:jc w:val="left"/>
              <w:rPr/>
            </w:pPr>
            <w:r>
              <w:rPr/>
              <w:t>Table of Contents and Headings; Section References</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12.18</w:t>
            </w:r>
          </w:p>
        </w:tc>
        <w:tc>
          <w:tcPr>
            <w:tcW w:w="6740" w:type="dxa"/>
            <w:tcBorders/>
            <w:vAlign w:val="center"/>
          </w:tcPr>
          <w:p>
            <w:pPr>
              <w:pStyle w:val="TableContents"/>
              <w:bidi w:val="0"/>
              <w:spacing w:before="0" w:after="283"/>
              <w:jc w:val="left"/>
              <w:rPr/>
            </w:pPr>
            <w:r>
              <w:rPr/>
              <w:t>Construction of Certain Provisions</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12.19</w:t>
            </w:r>
          </w:p>
        </w:tc>
        <w:tc>
          <w:tcPr>
            <w:tcW w:w="6740" w:type="dxa"/>
            <w:tcBorders/>
            <w:vAlign w:val="center"/>
          </w:tcPr>
          <w:p>
            <w:pPr>
              <w:pStyle w:val="TableContents"/>
              <w:bidi w:val="0"/>
              <w:spacing w:before="0" w:after="283"/>
              <w:jc w:val="left"/>
              <w:rPr/>
            </w:pPr>
            <w:r>
              <w:rPr/>
              <w:t>Independence of Covenants</w:t>
            </w:r>
          </w:p>
        </w:tc>
        <w:tc>
          <w:tcPr>
            <w:tcW w:w="380" w:type="dxa"/>
            <w:tcBorders/>
            <w:vAlign w:val="center"/>
          </w:tcPr>
          <w:p>
            <w:pPr>
              <w:pStyle w:val="TableContents"/>
              <w:bidi w:val="0"/>
              <w:spacing w:before="0" w:after="283"/>
              <w:jc w:val="right"/>
              <w:rPr/>
            </w:pPr>
            <w:r>
              <w:rPr/>
              <w:t>106</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w:t>
            </w:r>
          </w:p>
        </w:tc>
        <w:tc>
          <w:tcPr>
            <w:tcW w:w="6740" w:type="dxa"/>
            <w:tcBorders/>
            <w:vAlign w:val="center"/>
          </w:tcPr>
          <w:p>
            <w:pPr>
              <w:pStyle w:val="TableContents"/>
              <w:bidi w:val="0"/>
              <w:spacing w:before="0" w:after="283"/>
              <w:jc w:val="left"/>
              <w:rPr/>
            </w:pPr>
            <w:r>
              <w:rPr/>
              <w:t>Electronic Transmissions</w:t>
            </w:r>
          </w:p>
        </w:tc>
        <w:tc>
          <w:tcPr>
            <w:tcW w:w="380" w:type="dxa"/>
            <w:tcBorders/>
            <w:vAlign w:val="center"/>
          </w:tcPr>
          <w:p>
            <w:pPr>
              <w:pStyle w:val="TableContents"/>
              <w:bidi w:val="0"/>
              <w:spacing w:before="0" w:after="283"/>
              <w:jc w:val="right"/>
              <w:rPr/>
            </w:pPr>
            <w:r>
              <w:rPr/>
              <w:t>107</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12.21</w:t>
            </w:r>
          </w:p>
        </w:tc>
        <w:tc>
          <w:tcPr>
            <w:tcW w:w="6740" w:type="dxa"/>
            <w:tcBorders/>
            <w:vAlign w:val="center"/>
          </w:tcPr>
          <w:p>
            <w:pPr>
              <w:pStyle w:val="TableContents"/>
              <w:bidi w:val="0"/>
              <w:spacing w:before="0" w:after="283"/>
              <w:jc w:val="left"/>
              <w:rPr/>
            </w:pPr>
            <w:r>
              <w:rPr/>
              <w:t>Advertisements</w:t>
            </w:r>
          </w:p>
        </w:tc>
        <w:tc>
          <w:tcPr>
            <w:tcW w:w="380" w:type="dxa"/>
            <w:tcBorders/>
            <w:vAlign w:val="center"/>
          </w:tcPr>
          <w:p>
            <w:pPr>
              <w:pStyle w:val="TableContents"/>
              <w:bidi w:val="0"/>
              <w:spacing w:before="0" w:after="283"/>
              <w:jc w:val="right"/>
              <w:rPr/>
            </w:pPr>
            <w:r>
              <w:rPr/>
              <w:t>107</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12.22</w:t>
            </w:r>
          </w:p>
        </w:tc>
        <w:tc>
          <w:tcPr>
            <w:tcW w:w="6740" w:type="dxa"/>
            <w:tcBorders/>
            <w:vAlign w:val="center"/>
          </w:tcPr>
          <w:p>
            <w:pPr>
              <w:pStyle w:val="TableContents"/>
              <w:bidi w:val="0"/>
              <w:spacing w:before="0" w:after="283"/>
              <w:jc w:val="left"/>
              <w:rPr/>
            </w:pPr>
            <w:r>
              <w:rPr/>
              <w:t>Reliance on and Survival of Provisions</w:t>
            </w:r>
          </w:p>
        </w:tc>
        <w:tc>
          <w:tcPr>
            <w:tcW w:w="380" w:type="dxa"/>
            <w:tcBorders/>
            <w:vAlign w:val="center"/>
          </w:tcPr>
          <w:p>
            <w:pPr>
              <w:pStyle w:val="TableContents"/>
              <w:bidi w:val="0"/>
              <w:spacing w:before="0" w:after="283"/>
              <w:jc w:val="right"/>
              <w:rPr/>
            </w:pPr>
            <w:r>
              <w:rPr/>
              <w:t>107</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12.23</w:t>
            </w:r>
          </w:p>
        </w:tc>
        <w:tc>
          <w:tcPr>
            <w:tcW w:w="6740" w:type="dxa"/>
            <w:tcBorders/>
            <w:vAlign w:val="center"/>
          </w:tcPr>
          <w:p>
            <w:pPr>
              <w:pStyle w:val="TableContents"/>
              <w:bidi w:val="0"/>
              <w:spacing w:before="0" w:after="283"/>
              <w:jc w:val="left"/>
              <w:rPr/>
            </w:pPr>
            <w:r>
              <w:rPr/>
              <w:t>Interest</w:t>
            </w:r>
          </w:p>
        </w:tc>
        <w:tc>
          <w:tcPr>
            <w:tcW w:w="380" w:type="dxa"/>
            <w:tcBorders/>
            <w:vAlign w:val="center"/>
          </w:tcPr>
          <w:p>
            <w:pPr>
              <w:pStyle w:val="TableContents"/>
              <w:bidi w:val="0"/>
              <w:spacing w:before="0" w:after="283"/>
              <w:jc w:val="right"/>
              <w:rPr/>
            </w:pPr>
            <w:r>
              <w:rPr/>
              <w:t>108</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12.24</w:t>
            </w:r>
          </w:p>
        </w:tc>
        <w:tc>
          <w:tcPr>
            <w:tcW w:w="6740" w:type="dxa"/>
            <w:tcBorders/>
            <w:vAlign w:val="center"/>
          </w:tcPr>
          <w:p>
            <w:pPr>
              <w:pStyle w:val="TableContents"/>
              <w:bidi w:val="0"/>
              <w:spacing w:before="0" w:after="283"/>
              <w:jc w:val="left"/>
              <w:rPr/>
            </w:pPr>
            <w:r>
              <w:rPr/>
              <w:t>Acknowledgment and Consent to Bail-In of EEA Financial Institutions</w:t>
            </w:r>
          </w:p>
        </w:tc>
        <w:tc>
          <w:tcPr>
            <w:tcW w:w="380" w:type="dxa"/>
            <w:tcBorders/>
            <w:vAlign w:val="center"/>
          </w:tcPr>
          <w:p>
            <w:pPr>
              <w:pStyle w:val="TableContents"/>
              <w:bidi w:val="0"/>
              <w:spacing w:before="0" w:after="283"/>
              <w:jc w:val="right"/>
              <w:rPr/>
            </w:pPr>
            <w:r>
              <w:rPr/>
              <w:t>108</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12.25</w:t>
            </w:r>
          </w:p>
        </w:tc>
        <w:tc>
          <w:tcPr>
            <w:tcW w:w="6740" w:type="dxa"/>
            <w:tcBorders/>
            <w:vAlign w:val="center"/>
          </w:tcPr>
          <w:p>
            <w:pPr>
              <w:pStyle w:val="TableContents"/>
              <w:bidi w:val="0"/>
              <w:spacing w:before="0" w:after="283"/>
              <w:jc w:val="left"/>
              <w:rPr/>
            </w:pPr>
            <w:r>
              <w:rPr/>
              <w:t>Specified Subordination Agreement</w:t>
            </w:r>
          </w:p>
        </w:tc>
        <w:tc>
          <w:tcPr>
            <w:tcW w:w="380" w:type="dxa"/>
            <w:tcBorders/>
            <w:vAlign w:val="center"/>
          </w:tcPr>
          <w:p>
            <w:pPr>
              <w:pStyle w:val="TableContents"/>
              <w:bidi w:val="0"/>
              <w:spacing w:before="0" w:after="283"/>
              <w:jc w:val="right"/>
              <w:rPr/>
            </w:pPr>
            <w:r>
              <w:rPr/>
              <w:t>109</w:t>
            </w:r>
          </w:p>
        </w:tc>
      </w:tr>
      <w:tr>
        <w:trPr/>
        <w:tc>
          <w:tcPr>
            <w:tcW w:w="2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12.26</w:t>
            </w:r>
          </w:p>
        </w:tc>
        <w:tc>
          <w:tcPr>
            <w:tcW w:w="6740" w:type="dxa"/>
            <w:tcBorders/>
            <w:vAlign w:val="center"/>
          </w:tcPr>
          <w:p>
            <w:pPr>
              <w:pStyle w:val="TableContents"/>
              <w:bidi w:val="0"/>
              <w:spacing w:before="0" w:after="283"/>
              <w:jc w:val="left"/>
              <w:rPr/>
            </w:pPr>
            <w:r>
              <w:rPr/>
              <w:t>Restatement of Original Credit Agreement</w:t>
            </w:r>
          </w:p>
        </w:tc>
        <w:tc>
          <w:tcPr>
            <w:tcW w:w="380" w:type="dxa"/>
            <w:tcBorders/>
            <w:vAlign w:val="center"/>
          </w:tcPr>
          <w:p>
            <w:pPr>
              <w:pStyle w:val="TableContents"/>
              <w:bidi w:val="0"/>
              <w:spacing w:before="0" w:after="283"/>
              <w:jc w:val="right"/>
              <w:rPr/>
            </w:pPr>
            <w:r>
              <w:rPr/>
              <w:t>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 </w:t>
      </w:r>
    </w:p>
    <w:p>
      <w:pPr>
        <w:pStyle w:val="TextBody"/>
        <w:bidi w:val="0"/>
        <w:spacing w:before="0" w:after="0"/>
        <w:ind w:left="0" w:right="0" w:hanging="0"/>
        <w:jc w:val="left"/>
        <w:rPr/>
      </w:pPr>
      <w:r>
        <w:rPr/>
        <w:t> </w:t>
      </w:r>
    </w:p>
    <w:tbl>
      <w:tblPr>
        <w:tblW w:w="4195" w:type="dxa"/>
        <w:jc w:val="left"/>
        <w:tblInd w:w="0" w:type="dxa"/>
        <w:tblLayout w:type="fixed"/>
        <w:tblCellMar>
          <w:top w:w="0" w:type="dxa"/>
          <w:left w:w="0" w:type="dxa"/>
          <w:bottom w:w="0" w:type="dxa"/>
          <w:right w:w="0" w:type="dxa"/>
        </w:tblCellMar>
      </w:tblPr>
      <w:tblGrid>
        <w:gridCol w:w="800"/>
        <w:gridCol w:w="3395"/>
      </w:tblGrid>
      <w:tr>
        <w:trPr/>
        <w:tc>
          <w:tcPr>
            <w:tcW w:w="4195" w:type="dxa"/>
            <w:gridSpan w:val="2"/>
            <w:tcBorders/>
            <w:vAlign w:val="center"/>
          </w:tcPr>
          <w:p>
            <w:pPr>
              <w:pStyle w:val="TableContents"/>
              <w:bidi w:val="0"/>
              <w:spacing w:before="0" w:after="283"/>
              <w:jc w:val="left"/>
              <w:rPr>
                <w:sz w:val="20"/>
                <w:u w:val="single"/>
              </w:rPr>
            </w:pPr>
            <w:r>
              <w:rPr>
                <w:sz w:val="20"/>
                <w:u w:val="single"/>
              </w:rPr>
              <w:t>EXHIBITS</w:t>
            </w:r>
          </w:p>
        </w:tc>
      </w:tr>
      <w:tr>
        <w:trPr/>
        <w:tc>
          <w:tcPr>
            <w:tcW w:w="4195" w:type="dxa"/>
            <w:gridSpan w:val="2"/>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A</w:t>
            </w:r>
          </w:p>
        </w:tc>
        <w:tc>
          <w:tcPr>
            <w:tcW w:w="3395" w:type="dxa"/>
            <w:tcBorders/>
            <w:vAlign w:val="center"/>
          </w:tcPr>
          <w:p>
            <w:pPr>
              <w:pStyle w:val="TableContents"/>
              <w:bidi w:val="0"/>
              <w:spacing w:before="0" w:after="283"/>
              <w:jc w:val="left"/>
              <w:rPr>
                <w:sz w:val="20"/>
              </w:rPr>
            </w:pPr>
            <w:r>
              <w:rPr>
                <w:sz w:val="20"/>
              </w:rPr>
              <w:t>FORM OF SECURITY AGREEMENT</w:t>
            </w:r>
          </w:p>
        </w:tc>
      </w:tr>
      <w:tr>
        <w:trPr/>
        <w:tc>
          <w:tcPr>
            <w:tcW w:w="800" w:type="dxa"/>
            <w:tcBorders/>
            <w:vAlign w:val="center"/>
          </w:tcPr>
          <w:p>
            <w:pPr>
              <w:pStyle w:val="TableContents"/>
              <w:bidi w:val="0"/>
              <w:spacing w:before="0" w:after="283"/>
              <w:jc w:val="left"/>
              <w:rPr>
                <w:sz w:val="20"/>
              </w:rPr>
            </w:pPr>
            <w:r>
              <w:rPr>
                <w:sz w:val="20"/>
              </w:rPr>
              <w:t>B</w:t>
            </w:r>
          </w:p>
        </w:tc>
        <w:tc>
          <w:tcPr>
            <w:tcW w:w="3395" w:type="dxa"/>
            <w:tcBorders/>
            <w:vAlign w:val="center"/>
          </w:tcPr>
          <w:p>
            <w:pPr>
              <w:pStyle w:val="TableContents"/>
              <w:bidi w:val="0"/>
              <w:spacing w:before="0" w:after="283"/>
              <w:jc w:val="left"/>
              <w:rPr>
                <w:sz w:val="20"/>
              </w:rPr>
            </w:pPr>
            <w:r>
              <w:rPr>
                <w:sz w:val="20"/>
              </w:rPr>
              <w:t>FORM OF ASSIGNMENT AGREEMENT</w:t>
            </w:r>
          </w:p>
        </w:tc>
      </w:tr>
      <w:tr>
        <w:trPr/>
        <w:tc>
          <w:tcPr>
            <w:tcW w:w="800" w:type="dxa"/>
            <w:tcBorders/>
            <w:vAlign w:val="center"/>
          </w:tcPr>
          <w:p>
            <w:pPr>
              <w:pStyle w:val="TableContents"/>
              <w:bidi w:val="0"/>
              <w:spacing w:before="0" w:after="283"/>
              <w:jc w:val="left"/>
              <w:rPr>
                <w:sz w:val="20"/>
              </w:rPr>
            </w:pPr>
            <w:r>
              <w:rPr>
                <w:sz w:val="20"/>
              </w:rPr>
              <w:t>C</w:t>
            </w:r>
          </w:p>
        </w:tc>
        <w:tc>
          <w:tcPr>
            <w:tcW w:w="3395" w:type="dxa"/>
            <w:tcBorders/>
            <w:vAlign w:val="center"/>
          </w:tcPr>
          <w:p>
            <w:pPr>
              <w:pStyle w:val="TableContents"/>
              <w:bidi w:val="0"/>
              <w:spacing w:before="0" w:after="283"/>
              <w:jc w:val="left"/>
              <w:rPr>
                <w:sz w:val="20"/>
              </w:rPr>
            </w:pPr>
            <w:r>
              <w:rPr>
                <w:sz w:val="20"/>
              </w:rPr>
              <w:t>FORM OF GUARANTY</w:t>
            </w:r>
          </w:p>
        </w:tc>
      </w:tr>
      <w:tr>
        <w:trPr/>
        <w:tc>
          <w:tcPr>
            <w:tcW w:w="800" w:type="dxa"/>
            <w:tcBorders/>
            <w:vAlign w:val="center"/>
          </w:tcPr>
          <w:p>
            <w:pPr>
              <w:pStyle w:val="TableContents"/>
              <w:bidi w:val="0"/>
              <w:spacing w:before="0" w:after="283"/>
              <w:jc w:val="left"/>
              <w:rPr>
                <w:sz w:val="20"/>
              </w:rPr>
            </w:pPr>
            <w:r>
              <w:rPr>
                <w:sz w:val="20"/>
              </w:rPr>
              <w:t>D</w:t>
            </w:r>
          </w:p>
        </w:tc>
        <w:tc>
          <w:tcPr>
            <w:tcW w:w="3395" w:type="dxa"/>
            <w:tcBorders/>
            <w:vAlign w:val="center"/>
          </w:tcPr>
          <w:p>
            <w:pPr>
              <w:pStyle w:val="TableContents"/>
              <w:bidi w:val="0"/>
              <w:spacing w:before="0" w:after="283"/>
              <w:jc w:val="left"/>
              <w:rPr>
                <w:sz w:val="20"/>
              </w:rPr>
            </w:pPr>
            <w:r>
              <w:rPr>
                <w:sz w:val="20"/>
              </w:rPr>
              <w:t>FORM OF REQUEST FOR LOAN</w:t>
            </w:r>
          </w:p>
        </w:tc>
      </w:tr>
      <w:tr>
        <w:trPr/>
        <w:tc>
          <w:tcPr>
            <w:tcW w:w="800" w:type="dxa"/>
            <w:tcBorders/>
            <w:vAlign w:val="center"/>
          </w:tcPr>
          <w:p>
            <w:pPr>
              <w:pStyle w:val="TableContents"/>
              <w:bidi w:val="0"/>
              <w:spacing w:before="0" w:after="283"/>
              <w:jc w:val="left"/>
              <w:rPr>
                <w:sz w:val="20"/>
              </w:rPr>
            </w:pPr>
            <w:r>
              <w:rPr>
                <w:sz w:val="20"/>
              </w:rPr>
              <w:t>E</w:t>
            </w:r>
          </w:p>
        </w:tc>
        <w:tc>
          <w:tcPr>
            <w:tcW w:w="3395" w:type="dxa"/>
            <w:tcBorders/>
            <w:vAlign w:val="center"/>
          </w:tcPr>
          <w:p>
            <w:pPr>
              <w:pStyle w:val="TableContents"/>
              <w:bidi w:val="0"/>
              <w:spacing w:before="0" w:after="283"/>
              <w:jc w:val="left"/>
              <w:rPr>
                <w:sz w:val="20"/>
              </w:rPr>
            </w:pPr>
            <w:r>
              <w:rPr>
                <w:sz w:val="20"/>
              </w:rPr>
              <w:t>FORMS OF U.S. TAX CERTIFICATES</w:t>
            </w:r>
          </w:p>
        </w:tc>
      </w:tr>
      <w:tr>
        <w:trPr/>
        <w:tc>
          <w:tcPr>
            <w:tcW w:w="800" w:type="dxa"/>
            <w:tcBorders/>
            <w:vAlign w:val="center"/>
          </w:tcPr>
          <w:p>
            <w:pPr>
              <w:pStyle w:val="TableContents"/>
              <w:bidi w:val="0"/>
              <w:spacing w:before="0" w:after="283"/>
              <w:jc w:val="left"/>
              <w:rPr>
                <w:sz w:val="20"/>
              </w:rPr>
            </w:pPr>
            <w:r>
              <w:rPr>
                <w:sz w:val="20"/>
              </w:rPr>
              <w:t>F</w:t>
            </w:r>
          </w:p>
        </w:tc>
        <w:tc>
          <w:tcPr>
            <w:tcW w:w="3395" w:type="dxa"/>
            <w:tcBorders/>
            <w:vAlign w:val="center"/>
          </w:tcPr>
          <w:p>
            <w:pPr>
              <w:pStyle w:val="TableContents"/>
              <w:bidi w:val="0"/>
              <w:spacing w:before="0" w:after="283"/>
              <w:jc w:val="left"/>
              <w:rPr>
                <w:sz w:val="20"/>
              </w:rPr>
            </w:pPr>
            <w:r>
              <w:rPr>
                <w:sz w:val="20"/>
              </w:rPr>
              <w:t>FORM OF NOTE</w:t>
            </w:r>
          </w:p>
        </w:tc>
      </w:tr>
      <w:tr>
        <w:trPr/>
        <w:tc>
          <w:tcPr>
            <w:tcW w:w="800" w:type="dxa"/>
            <w:tcBorders/>
            <w:vAlign w:val="center"/>
          </w:tcPr>
          <w:p>
            <w:pPr>
              <w:pStyle w:val="TableContents"/>
              <w:bidi w:val="0"/>
              <w:spacing w:before="0" w:after="283"/>
              <w:jc w:val="left"/>
              <w:rPr>
                <w:sz w:val="20"/>
              </w:rPr>
            </w:pPr>
            <w:r>
              <w:rPr>
                <w:sz w:val="20"/>
              </w:rPr>
              <w:t>G</w:t>
            </w:r>
          </w:p>
        </w:tc>
        <w:tc>
          <w:tcPr>
            <w:tcW w:w="3395" w:type="dxa"/>
            <w:tcBorders/>
            <w:vAlign w:val="center"/>
          </w:tcPr>
          <w:p>
            <w:pPr>
              <w:pStyle w:val="TableContents"/>
              <w:bidi w:val="0"/>
              <w:spacing w:before="0" w:after="283"/>
              <w:jc w:val="left"/>
              <w:rPr>
                <w:sz w:val="20"/>
              </w:rPr>
            </w:pPr>
            <w:r>
              <w:rPr>
                <w:sz w:val="20"/>
              </w:rPr>
              <w:t>FORM OF SOFR NOTICE</w:t>
            </w:r>
          </w:p>
        </w:tc>
      </w:tr>
      <w:tr>
        <w:trPr/>
        <w:tc>
          <w:tcPr>
            <w:tcW w:w="80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4195" w:type="dxa"/>
            <w:gridSpan w:val="2"/>
            <w:tcBorders/>
            <w:vAlign w:val="center"/>
          </w:tcPr>
          <w:p>
            <w:pPr>
              <w:pStyle w:val="TableContents"/>
              <w:bidi w:val="0"/>
              <w:spacing w:before="0" w:after="283"/>
              <w:jc w:val="left"/>
              <w:rPr>
                <w:sz w:val="20"/>
                <w:u w:val="single"/>
              </w:rPr>
            </w:pPr>
            <w:r>
              <w:rPr>
                <w:sz w:val="20"/>
                <w:u w:val="single"/>
              </w:rPr>
              <w:t>ANNEXES</w:t>
            </w:r>
          </w:p>
        </w:tc>
      </w:tr>
      <w:tr>
        <w:trPr/>
        <w:tc>
          <w:tcPr>
            <w:tcW w:w="4195" w:type="dxa"/>
            <w:gridSpan w:val="2"/>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I</w:t>
            </w:r>
          </w:p>
        </w:tc>
        <w:tc>
          <w:tcPr>
            <w:tcW w:w="3395" w:type="dxa"/>
            <w:tcBorders/>
            <w:vAlign w:val="center"/>
          </w:tcPr>
          <w:p>
            <w:pPr>
              <w:pStyle w:val="TableContents"/>
              <w:bidi w:val="0"/>
              <w:spacing w:before="0" w:after="283"/>
              <w:jc w:val="left"/>
              <w:rPr>
                <w:sz w:val="20"/>
              </w:rPr>
            </w:pPr>
            <w:r>
              <w:rPr>
                <w:sz w:val="20"/>
              </w:rPr>
              <w:t>Loans and Commitments</w:t>
            </w:r>
          </w:p>
        </w:tc>
      </w:tr>
      <w:tr>
        <w:trPr/>
        <w:tc>
          <w:tcPr>
            <w:tcW w:w="800" w:type="dxa"/>
            <w:tcBorders/>
            <w:vAlign w:val="center"/>
          </w:tcPr>
          <w:p>
            <w:pPr>
              <w:pStyle w:val="TableContents"/>
              <w:bidi w:val="0"/>
              <w:spacing w:before="0" w:after="283"/>
              <w:jc w:val="left"/>
              <w:rPr>
                <w:sz w:val="20"/>
              </w:rPr>
            </w:pPr>
            <w:r>
              <w:rPr>
                <w:sz w:val="20"/>
              </w:rPr>
              <w:t>II</w:t>
            </w:r>
          </w:p>
        </w:tc>
        <w:tc>
          <w:tcPr>
            <w:tcW w:w="3395" w:type="dxa"/>
            <w:tcBorders/>
            <w:vAlign w:val="center"/>
          </w:tcPr>
          <w:p>
            <w:pPr>
              <w:pStyle w:val="TableContents"/>
              <w:bidi w:val="0"/>
              <w:spacing w:before="0" w:after="283"/>
              <w:jc w:val="left"/>
              <w:rPr>
                <w:sz w:val="20"/>
              </w:rPr>
            </w:pPr>
            <w:r>
              <w:rPr>
                <w:sz w:val="20"/>
              </w:rPr>
              <w:t>Notices</w:t>
            </w:r>
          </w:p>
        </w:tc>
      </w:tr>
      <w:tr>
        <w:trPr/>
        <w:tc>
          <w:tcPr>
            <w:tcW w:w="800" w:type="dxa"/>
            <w:tcBorders/>
            <w:vAlign w:val="center"/>
          </w:tcPr>
          <w:p>
            <w:pPr>
              <w:pStyle w:val="TableContents"/>
              <w:bidi w:val="0"/>
              <w:spacing w:before="0" w:after="283"/>
              <w:jc w:val="left"/>
              <w:rPr>
                <w:sz w:val="20"/>
              </w:rPr>
            </w:pPr>
            <w:r>
              <w:rPr>
                <w:sz w:val="20"/>
              </w:rPr>
              <w:t>III</w:t>
            </w:r>
          </w:p>
        </w:tc>
        <w:tc>
          <w:tcPr>
            <w:tcW w:w="3395" w:type="dxa"/>
            <w:tcBorders/>
            <w:vAlign w:val="center"/>
          </w:tcPr>
          <w:p>
            <w:pPr>
              <w:pStyle w:val="TableContents"/>
              <w:bidi w:val="0"/>
              <w:spacing w:before="0" w:after="283"/>
              <w:jc w:val="left"/>
              <w:rPr>
                <w:sz w:val="20"/>
              </w:rPr>
            </w:pPr>
            <w:r>
              <w:rPr>
                <w:sz w:val="20"/>
              </w:rPr>
              <w:t>Principal Office</w:t>
            </w:r>
          </w:p>
        </w:tc>
      </w:tr>
      <w:tr>
        <w:trPr/>
        <w:tc>
          <w:tcPr>
            <w:tcW w:w="80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4195" w:type="dxa"/>
            <w:gridSpan w:val="2"/>
            <w:tcBorders/>
            <w:vAlign w:val="center"/>
          </w:tcPr>
          <w:p>
            <w:pPr>
              <w:pStyle w:val="TableContents"/>
              <w:bidi w:val="0"/>
              <w:spacing w:before="0" w:after="283"/>
              <w:jc w:val="left"/>
              <w:rPr>
                <w:sz w:val="20"/>
                <w:u w:val="single"/>
              </w:rPr>
            </w:pPr>
            <w:r>
              <w:rPr>
                <w:sz w:val="20"/>
                <w:u w:val="single"/>
              </w:rPr>
              <w:t>SCHEDULES</w:t>
            </w:r>
          </w:p>
        </w:tc>
      </w:tr>
      <w:tr>
        <w:trPr/>
        <w:tc>
          <w:tcPr>
            <w:tcW w:w="4195" w:type="dxa"/>
            <w:gridSpan w:val="2"/>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20"/>
              </w:rPr>
            </w:pPr>
            <w:r>
              <w:rPr>
                <w:sz w:val="20"/>
              </w:rPr>
              <w:t>1.1</w:t>
            </w:r>
          </w:p>
        </w:tc>
        <w:tc>
          <w:tcPr>
            <w:tcW w:w="3395" w:type="dxa"/>
            <w:tcBorders/>
            <w:vAlign w:val="center"/>
          </w:tcPr>
          <w:p>
            <w:pPr>
              <w:pStyle w:val="TableContents"/>
              <w:bidi w:val="0"/>
              <w:spacing w:before="0" w:after="283"/>
              <w:jc w:val="left"/>
              <w:rPr>
                <w:sz w:val="20"/>
              </w:rPr>
            </w:pPr>
            <w:r>
              <w:rPr>
                <w:sz w:val="20"/>
              </w:rPr>
              <w:t>Compliance Information</w:t>
            </w:r>
          </w:p>
        </w:tc>
      </w:tr>
      <w:tr>
        <w:trPr/>
        <w:tc>
          <w:tcPr>
            <w:tcW w:w="800" w:type="dxa"/>
            <w:tcBorders/>
            <w:vAlign w:val="center"/>
          </w:tcPr>
          <w:p>
            <w:pPr>
              <w:pStyle w:val="TableContents"/>
              <w:bidi w:val="0"/>
              <w:spacing w:before="0" w:after="283"/>
              <w:jc w:val="left"/>
              <w:rPr>
                <w:sz w:val="20"/>
              </w:rPr>
            </w:pPr>
            <w:r>
              <w:rPr>
                <w:sz w:val="20"/>
              </w:rPr>
              <w:t>4.1(b)</w:t>
            </w:r>
          </w:p>
        </w:tc>
        <w:tc>
          <w:tcPr>
            <w:tcW w:w="3395" w:type="dxa"/>
            <w:tcBorders/>
            <w:vAlign w:val="center"/>
          </w:tcPr>
          <w:p>
            <w:pPr>
              <w:pStyle w:val="TableContents"/>
              <w:bidi w:val="0"/>
              <w:spacing w:before="0" w:after="283"/>
              <w:jc w:val="left"/>
              <w:rPr>
                <w:sz w:val="20"/>
              </w:rPr>
            </w:pPr>
            <w:r>
              <w:rPr>
                <w:sz w:val="20"/>
              </w:rPr>
              <w:t>Qualified Jurisdictions</w:t>
            </w:r>
          </w:p>
        </w:tc>
      </w:tr>
      <w:tr>
        <w:trPr/>
        <w:tc>
          <w:tcPr>
            <w:tcW w:w="800" w:type="dxa"/>
            <w:tcBorders/>
            <w:vAlign w:val="center"/>
          </w:tcPr>
          <w:p>
            <w:pPr>
              <w:pStyle w:val="TableContents"/>
              <w:bidi w:val="0"/>
              <w:spacing w:before="0" w:after="283"/>
              <w:jc w:val="left"/>
              <w:rPr>
                <w:sz w:val="20"/>
              </w:rPr>
            </w:pPr>
            <w:r>
              <w:rPr>
                <w:sz w:val="20"/>
              </w:rPr>
              <w:t>4.1(c)(iii)</w:t>
            </w:r>
          </w:p>
        </w:tc>
        <w:tc>
          <w:tcPr>
            <w:tcW w:w="3395" w:type="dxa"/>
            <w:tcBorders/>
            <w:vAlign w:val="center"/>
          </w:tcPr>
          <w:p>
            <w:pPr>
              <w:pStyle w:val="TableContents"/>
              <w:bidi w:val="0"/>
              <w:spacing w:before="0" w:after="283"/>
              <w:jc w:val="left"/>
              <w:rPr>
                <w:sz w:val="20"/>
              </w:rPr>
            </w:pPr>
            <w:r>
              <w:rPr>
                <w:sz w:val="20"/>
              </w:rPr>
              <w:t>UCC Filing Jurisdictions</w:t>
            </w:r>
          </w:p>
        </w:tc>
      </w:tr>
      <w:tr>
        <w:trPr/>
        <w:tc>
          <w:tcPr>
            <w:tcW w:w="800" w:type="dxa"/>
            <w:tcBorders/>
            <w:vAlign w:val="center"/>
          </w:tcPr>
          <w:p>
            <w:pPr>
              <w:pStyle w:val="TableContents"/>
              <w:bidi w:val="0"/>
              <w:spacing w:before="0" w:after="283"/>
              <w:jc w:val="left"/>
              <w:rPr>
                <w:sz w:val="20"/>
              </w:rPr>
            </w:pPr>
            <w:r>
              <w:rPr>
                <w:sz w:val="20"/>
              </w:rPr>
              <w:t>5.3(b)</w:t>
            </w:r>
          </w:p>
        </w:tc>
        <w:tc>
          <w:tcPr>
            <w:tcW w:w="3395" w:type="dxa"/>
            <w:tcBorders/>
            <w:vAlign w:val="center"/>
          </w:tcPr>
          <w:p>
            <w:pPr>
              <w:pStyle w:val="TableContents"/>
              <w:bidi w:val="0"/>
              <w:spacing w:before="0" w:after="283"/>
              <w:jc w:val="left"/>
              <w:rPr>
                <w:sz w:val="20"/>
              </w:rPr>
            </w:pPr>
            <w:r>
              <w:rPr>
                <w:sz w:val="20"/>
              </w:rPr>
              <w:t>Real Property</w:t>
            </w:r>
          </w:p>
        </w:tc>
      </w:tr>
      <w:tr>
        <w:trPr/>
        <w:tc>
          <w:tcPr>
            <w:tcW w:w="800" w:type="dxa"/>
            <w:tcBorders/>
            <w:vAlign w:val="center"/>
          </w:tcPr>
          <w:p>
            <w:pPr>
              <w:pStyle w:val="TableContents"/>
              <w:bidi w:val="0"/>
              <w:spacing w:before="0" w:after="283"/>
              <w:jc w:val="left"/>
              <w:rPr>
                <w:sz w:val="20"/>
              </w:rPr>
            </w:pPr>
            <w:r>
              <w:rPr>
                <w:sz w:val="20"/>
              </w:rPr>
              <w:t>5.7</w:t>
            </w:r>
          </w:p>
        </w:tc>
        <w:tc>
          <w:tcPr>
            <w:tcW w:w="3395" w:type="dxa"/>
            <w:tcBorders/>
            <w:vAlign w:val="center"/>
          </w:tcPr>
          <w:p>
            <w:pPr>
              <w:pStyle w:val="TableContents"/>
              <w:bidi w:val="0"/>
              <w:spacing w:before="0" w:after="283"/>
              <w:jc w:val="left"/>
              <w:rPr>
                <w:sz w:val="20"/>
              </w:rPr>
            </w:pPr>
            <w:r>
              <w:rPr>
                <w:sz w:val="20"/>
              </w:rPr>
              <w:t>Compliance with Laws</w:t>
            </w:r>
          </w:p>
        </w:tc>
      </w:tr>
      <w:tr>
        <w:trPr/>
        <w:tc>
          <w:tcPr>
            <w:tcW w:w="800" w:type="dxa"/>
            <w:tcBorders/>
            <w:vAlign w:val="center"/>
          </w:tcPr>
          <w:p>
            <w:pPr>
              <w:pStyle w:val="TableContents"/>
              <w:bidi w:val="0"/>
              <w:spacing w:before="0" w:after="283"/>
              <w:jc w:val="left"/>
              <w:rPr>
                <w:sz w:val="20"/>
              </w:rPr>
            </w:pPr>
            <w:r>
              <w:rPr>
                <w:sz w:val="20"/>
              </w:rPr>
              <w:t>5.9</w:t>
            </w:r>
          </w:p>
        </w:tc>
        <w:tc>
          <w:tcPr>
            <w:tcW w:w="3395" w:type="dxa"/>
            <w:tcBorders/>
            <w:vAlign w:val="center"/>
          </w:tcPr>
          <w:p>
            <w:pPr>
              <w:pStyle w:val="TableContents"/>
              <w:bidi w:val="0"/>
              <w:spacing w:before="0" w:after="283"/>
              <w:jc w:val="left"/>
              <w:rPr>
                <w:sz w:val="20"/>
              </w:rPr>
            </w:pPr>
            <w:r>
              <w:rPr>
                <w:sz w:val="20"/>
              </w:rPr>
              <w:t>Litigation</w:t>
            </w:r>
          </w:p>
        </w:tc>
      </w:tr>
      <w:tr>
        <w:trPr/>
        <w:tc>
          <w:tcPr>
            <w:tcW w:w="800" w:type="dxa"/>
            <w:tcBorders/>
            <w:vAlign w:val="center"/>
          </w:tcPr>
          <w:p>
            <w:pPr>
              <w:pStyle w:val="TableContents"/>
              <w:bidi w:val="0"/>
              <w:spacing w:before="0" w:after="283"/>
              <w:jc w:val="left"/>
              <w:rPr>
                <w:sz w:val="20"/>
              </w:rPr>
            </w:pPr>
            <w:r>
              <w:rPr>
                <w:sz w:val="20"/>
              </w:rPr>
              <w:t>5.10</w:t>
            </w:r>
          </w:p>
        </w:tc>
        <w:tc>
          <w:tcPr>
            <w:tcW w:w="3395" w:type="dxa"/>
            <w:tcBorders/>
            <w:vAlign w:val="center"/>
          </w:tcPr>
          <w:p>
            <w:pPr>
              <w:pStyle w:val="TableContents"/>
              <w:bidi w:val="0"/>
              <w:spacing w:before="0" w:after="283"/>
              <w:jc w:val="left"/>
              <w:rPr>
                <w:sz w:val="20"/>
              </w:rPr>
            </w:pPr>
            <w:r>
              <w:rPr>
                <w:sz w:val="20"/>
              </w:rPr>
              <w:t>Required Consents</w:t>
            </w:r>
          </w:p>
        </w:tc>
      </w:tr>
      <w:tr>
        <w:trPr/>
        <w:tc>
          <w:tcPr>
            <w:tcW w:w="800" w:type="dxa"/>
            <w:tcBorders/>
            <w:vAlign w:val="center"/>
          </w:tcPr>
          <w:p>
            <w:pPr>
              <w:pStyle w:val="TableContents"/>
              <w:bidi w:val="0"/>
              <w:spacing w:before="0" w:after="283"/>
              <w:jc w:val="left"/>
              <w:rPr>
                <w:sz w:val="20"/>
              </w:rPr>
            </w:pPr>
            <w:r>
              <w:rPr>
                <w:sz w:val="20"/>
              </w:rPr>
              <w:t>5.15</w:t>
            </w:r>
          </w:p>
        </w:tc>
        <w:tc>
          <w:tcPr>
            <w:tcW w:w="3395" w:type="dxa"/>
            <w:tcBorders/>
            <w:vAlign w:val="center"/>
          </w:tcPr>
          <w:p>
            <w:pPr>
              <w:pStyle w:val="TableContents"/>
              <w:bidi w:val="0"/>
              <w:spacing w:before="0" w:after="283"/>
              <w:jc w:val="left"/>
              <w:rPr>
                <w:sz w:val="20"/>
              </w:rPr>
            </w:pPr>
            <w:r>
              <w:rPr>
                <w:sz w:val="20"/>
              </w:rPr>
              <w:t>Environmental and Safety Matters</w:t>
            </w:r>
          </w:p>
        </w:tc>
      </w:tr>
      <w:tr>
        <w:trPr/>
        <w:tc>
          <w:tcPr>
            <w:tcW w:w="800" w:type="dxa"/>
            <w:tcBorders/>
            <w:vAlign w:val="center"/>
          </w:tcPr>
          <w:p>
            <w:pPr>
              <w:pStyle w:val="TableContents"/>
              <w:bidi w:val="0"/>
              <w:spacing w:before="0" w:after="283"/>
              <w:jc w:val="left"/>
              <w:rPr>
                <w:sz w:val="20"/>
              </w:rPr>
            </w:pPr>
            <w:r>
              <w:rPr>
                <w:sz w:val="20"/>
              </w:rPr>
              <w:t>5.16</w:t>
            </w:r>
          </w:p>
        </w:tc>
        <w:tc>
          <w:tcPr>
            <w:tcW w:w="3395" w:type="dxa"/>
            <w:tcBorders/>
            <w:vAlign w:val="center"/>
          </w:tcPr>
          <w:p>
            <w:pPr>
              <w:pStyle w:val="TableContents"/>
              <w:bidi w:val="0"/>
              <w:spacing w:before="0" w:after="283"/>
              <w:jc w:val="left"/>
              <w:rPr>
                <w:sz w:val="20"/>
              </w:rPr>
            </w:pPr>
            <w:r>
              <w:rPr>
                <w:sz w:val="20"/>
              </w:rPr>
              <w:t>Subsidiaries</w:t>
            </w:r>
          </w:p>
        </w:tc>
      </w:tr>
      <w:tr>
        <w:trPr/>
        <w:tc>
          <w:tcPr>
            <w:tcW w:w="800" w:type="dxa"/>
            <w:tcBorders/>
            <w:vAlign w:val="center"/>
          </w:tcPr>
          <w:p>
            <w:pPr>
              <w:pStyle w:val="TableContents"/>
              <w:bidi w:val="0"/>
              <w:spacing w:before="0" w:after="283"/>
              <w:jc w:val="left"/>
              <w:rPr>
                <w:sz w:val="20"/>
              </w:rPr>
            </w:pPr>
            <w:r>
              <w:rPr>
                <w:sz w:val="20"/>
              </w:rPr>
              <w:t>5.17</w:t>
            </w:r>
          </w:p>
        </w:tc>
        <w:tc>
          <w:tcPr>
            <w:tcW w:w="3395" w:type="dxa"/>
            <w:tcBorders/>
            <w:vAlign w:val="center"/>
          </w:tcPr>
          <w:p>
            <w:pPr>
              <w:pStyle w:val="TableContents"/>
              <w:bidi w:val="0"/>
              <w:spacing w:before="0" w:after="283"/>
              <w:jc w:val="left"/>
              <w:rPr>
                <w:sz w:val="20"/>
              </w:rPr>
            </w:pPr>
            <w:r>
              <w:rPr>
                <w:sz w:val="20"/>
              </w:rPr>
              <w:t>Employment Agreements</w:t>
            </w:r>
          </w:p>
        </w:tc>
      </w:tr>
      <w:tr>
        <w:trPr/>
        <w:tc>
          <w:tcPr>
            <w:tcW w:w="800" w:type="dxa"/>
            <w:tcBorders/>
            <w:vAlign w:val="center"/>
          </w:tcPr>
          <w:p>
            <w:pPr>
              <w:pStyle w:val="TableContents"/>
              <w:bidi w:val="0"/>
              <w:spacing w:before="0" w:after="283"/>
              <w:jc w:val="left"/>
              <w:rPr>
                <w:sz w:val="20"/>
              </w:rPr>
            </w:pPr>
            <w:r>
              <w:rPr>
                <w:sz w:val="20"/>
              </w:rPr>
              <w:t>5.18</w:t>
            </w:r>
          </w:p>
        </w:tc>
        <w:tc>
          <w:tcPr>
            <w:tcW w:w="3395" w:type="dxa"/>
            <w:tcBorders/>
            <w:vAlign w:val="center"/>
          </w:tcPr>
          <w:p>
            <w:pPr>
              <w:pStyle w:val="TableContents"/>
              <w:bidi w:val="0"/>
              <w:spacing w:before="0" w:after="283"/>
              <w:jc w:val="left"/>
              <w:rPr>
                <w:sz w:val="20"/>
              </w:rPr>
            </w:pPr>
            <w:r>
              <w:rPr>
                <w:sz w:val="20"/>
              </w:rPr>
              <w:t>Material Contracts</w:t>
            </w:r>
          </w:p>
        </w:tc>
      </w:tr>
      <w:tr>
        <w:trPr/>
        <w:tc>
          <w:tcPr>
            <w:tcW w:w="800" w:type="dxa"/>
            <w:tcBorders/>
            <w:vAlign w:val="center"/>
          </w:tcPr>
          <w:p>
            <w:pPr>
              <w:pStyle w:val="TableContents"/>
              <w:bidi w:val="0"/>
              <w:spacing w:before="0" w:after="283"/>
              <w:jc w:val="left"/>
              <w:rPr>
                <w:sz w:val="20"/>
              </w:rPr>
            </w:pPr>
            <w:r>
              <w:rPr>
                <w:sz w:val="20"/>
              </w:rPr>
              <w:t>5.20</w:t>
            </w:r>
          </w:p>
        </w:tc>
        <w:tc>
          <w:tcPr>
            <w:tcW w:w="3395" w:type="dxa"/>
            <w:tcBorders/>
            <w:vAlign w:val="center"/>
          </w:tcPr>
          <w:p>
            <w:pPr>
              <w:pStyle w:val="TableContents"/>
              <w:bidi w:val="0"/>
              <w:spacing w:before="0" w:after="283"/>
              <w:jc w:val="left"/>
              <w:rPr>
                <w:sz w:val="20"/>
              </w:rPr>
            </w:pPr>
            <w:r>
              <w:rPr>
                <w:sz w:val="20"/>
              </w:rPr>
              <w:t>Capital Structure</w:t>
            </w:r>
          </w:p>
        </w:tc>
      </w:tr>
      <w:tr>
        <w:trPr/>
        <w:tc>
          <w:tcPr>
            <w:tcW w:w="800" w:type="dxa"/>
            <w:tcBorders/>
            <w:vAlign w:val="center"/>
          </w:tcPr>
          <w:p>
            <w:pPr>
              <w:pStyle w:val="TableContents"/>
              <w:bidi w:val="0"/>
              <w:spacing w:before="0" w:after="283"/>
              <w:jc w:val="left"/>
              <w:rPr>
                <w:sz w:val="20"/>
              </w:rPr>
            </w:pPr>
            <w:r>
              <w:rPr>
                <w:sz w:val="20"/>
              </w:rPr>
              <w:t>5.23</w:t>
            </w:r>
          </w:p>
        </w:tc>
        <w:tc>
          <w:tcPr>
            <w:tcW w:w="3395" w:type="dxa"/>
            <w:tcBorders/>
            <w:vAlign w:val="center"/>
          </w:tcPr>
          <w:p>
            <w:pPr>
              <w:pStyle w:val="TableContents"/>
              <w:bidi w:val="0"/>
              <w:spacing w:before="0" w:after="283"/>
              <w:jc w:val="left"/>
              <w:rPr>
                <w:sz w:val="20"/>
              </w:rPr>
            </w:pPr>
            <w:r>
              <w:rPr>
                <w:sz w:val="20"/>
              </w:rPr>
              <w:t>Employment Matters</w:t>
            </w:r>
          </w:p>
        </w:tc>
      </w:tr>
      <w:tr>
        <w:trPr/>
        <w:tc>
          <w:tcPr>
            <w:tcW w:w="800" w:type="dxa"/>
            <w:tcBorders/>
            <w:vAlign w:val="center"/>
          </w:tcPr>
          <w:p>
            <w:pPr>
              <w:pStyle w:val="TableContents"/>
              <w:bidi w:val="0"/>
              <w:spacing w:before="0" w:after="283"/>
              <w:jc w:val="left"/>
              <w:rPr>
                <w:sz w:val="20"/>
              </w:rPr>
            </w:pPr>
            <w:r>
              <w:rPr>
                <w:sz w:val="20"/>
              </w:rPr>
              <w:t>5.29</w:t>
            </w:r>
          </w:p>
        </w:tc>
        <w:tc>
          <w:tcPr>
            <w:tcW w:w="3395" w:type="dxa"/>
            <w:tcBorders/>
            <w:vAlign w:val="center"/>
          </w:tcPr>
          <w:p>
            <w:pPr>
              <w:pStyle w:val="TableContents"/>
              <w:bidi w:val="0"/>
              <w:spacing w:before="0" w:after="283"/>
              <w:jc w:val="left"/>
              <w:rPr>
                <w:sz w:val="20"/>
              </w:rPr>
            </w:pPr>
            <w:r>
              <w:rPr>
                <w:sz w:val="20"/>
              </w:rPr>
              <w:t>Licenses</w:t>
            </w:r>
          </w:p>
        </w:tc>
      </w:tr>
      <w:tr>
        <w:trPr/>
        <w:tc>
          <w:tcPr>
            <w:tcW w:w="800" w:type="dxa"/>
            <w:tcBorders/>
            <w:vAlign w:val="center"/>
          </w:tcPr>
          <w:p>
            <w:pPr>
              <w:pStyle w:val="TableContents"/>
              <w:bidi w:val="0"/>
              <w:spacing w:before="0" w:after="283"/>
              <w:jc w:val="left"/>
              <w:rPr>
                <w:sz w:val="20"/>
              </w:rPr>
            </w:pPr>
            <w:r>
              <w:rPr>
                <w:sz w:val="20"/>
              </w:rPr>
              <w:t>5.33(b)</w:t>
            </w:r>
          </w:p>
        </w:tc>
        <w:tc>
          <w:tcPr>
            <w:tcW w:w="3395" w:type="dxa"/>
            <w:tcBorders/>
            <w:vAlign w:val="center"/>
          </w:tcPr>
          <w:p>
            <w:pPr>
              <w:pStyle w:val="TableContents"/>
              <w:bidi w:val="0"/>
              <w:spacing w:before="0" w:after="283"/>
              <w:jc w:val="left"/>
              <w:rPr>
                <w:sz w:val="20"/>
              </w:rPr>
            </w:pPr>
            <w:r>
              <w:rPr>
                <w:sz w:val="20"/>
              </w:rPr>
              <w:t>Credit Party Data</w:t>
            </w:r>
          </w:p>
        </w:tc>
      </w:tr>
      <w:tr>
        <w:trPr/>
        <w:tc>
          <w:tcPr>
            <w:tcW w:w="800" w:type="dxa"/>
            <w:tcBorders/>
            <w:vAlign w:val="center"/>
          </w:tcPr>
          <w:p>
            <w:pPr>
              <w:pStyle w:val="TableContents"/>
              <w:bidi w:val="0"/>
              <w:spacing w:before="0" w:after="283"/>
              <w:jc w:val="left"/>
              <w:rPr>
                <w:sz w:val="20"/>
              </w:rPr>
            </w:pPr>
            <w:r>
              <w:rPr>
                <w:sz w:val="20"/>
              </w:rPr>
              <w:t>7.1</w:t>
            </w:r>
          </w:p>
        </w:tc>
        <w:tc>
          <w:tcPr>
            <w:tcW w:w="3395" w:type="dxa"/>
            <w:tcBorders/>
            <w:vAlign w:val="center"/>
          </w:tcPr>
          <w:p>
            <w:pPr>
              <w:pStyle w:val="TableContents"/>
              <w:bidi w:val="0"/>
              <w:spacing w:before="0" w:after="283"/>
              <w:jc w:val="left"/>
              <w:rPr>
                <w:sz w:val="20"/>
              </w:rPr>
            </w:pPr>
            <w:r>
              <w:rPr>
                <w:sz w:val="20"/>
              </w:rPr>
              <w:t>Existing Debt</w:t>
            </w:r>
          </w:p>
        </w:tc>
      </w:tr>
      <w:tr>
        <w:trPr/>
        <w:tc>
          <w:tcPr>
            <w:tcW w:w="800" w:type="dxa"/>
            <w:tcBorders/>
            <w:vAlign w:val="center"/>
          </w:tcPr>
          <w:p>
            <w:pPr>
              <w:pStyle w:val="TableContents"/>
              <w:bidi w:val="0"/>
              <w:spacing w:before="0" w:after="283"/>
              <w:jc w:val="left"/>
              <w:rPr>
                <w:sz w:val="20"/>
              </w:rPr>
            </w:pPr>
            <w:r>
              <w:rPr>
                <w:sz w:val="20"/>
              </w:rPr>
              <w:t>7.2</w:t>
            </w:r>
          </w:p>
        </w:tc>
        <w:tc>
          <w:tcPr>
            <w:tcW w:w="3395" w:type="dxa"/>
            <w:tcBorders/>
            <w:vAlign w:val="center"/>
          </w:tcPr>
          <w:p>
            <w:pPr>
              <w:pStyle w:val="TableContents"/>
              <w:bidi w:val="0"/>
              <w:spacing w:before="0" w:after="283"/>
              <w:jc w:val="left"/>
              <w:rPr>
                <w:sz w:val="20"/>
              </w:rPr>
            </w:pPr>
            <w:r>
              <w:rPr>
                <w:sz w:val="20"/>
              </w:rPr>
              <w:t>Existing Liens</w:t>
            </w:r>
          </w:p>
        </w:tc>
      </w:tr>
      <w:tr>
        <w:trPr/>
        <w:tc>
          <w:tcPr>
            <w:tcW w:w="800" w:type="dxa"/>
            <w:tcBorders/>
            <w:vAlign w:val="center"/>
          </w:tcPr>
          <w:p>
            <w:pPr>
              <w:pStyle w:val="TableContents"/>
              <w:bidi w:val="0"/>
              <w:spacing w:before="0" w:after="283"/>
              <w:jc w:val="left"/>
              <w:rPr>
                <w:sz w:val="20"/>
              </w:rPr>
            </w:pPr>
            <w:r>
              <w:rPr>
                <w:sz w:val="20"/>
              </w:rPr>
              <w:t>7.6</w:t>
            </w:r>
          </w:p>
        </w:tc>
        <w:tc>
          <w:tcPr>
            <w:tcW w:w="3395" w:type="dxa"/>
            <w:tcBorders/>
            <w:vAlign w:val="center"/>
          </w:tcPr>
          <w:p>
            <w:pPr>
              <w:pStyle w:val="TableContents"/>
              <w:bidi w:val="0"/>
              <w:spacing w:before="0" w:after="283"/>
              <w:jc w:val="left"/>
              <w:rPr>
                <w:sz w:val="20"/>
              </w:rPr>
            </w:pPr>
            <w:r>
              <w:rPr>
                <w:sz w:val="20"/>
              </w:rPr>
              <w:t>Existing Investments</w:t>
            </w:r>
          </w:p>
        </w:tc>
      </w:tr>
      <w:tr>
        <w:trPr/>
        <w:tc>
          <w:tcPr>
            <w:tcW w:w="800" w:type="dxa"/>
            <w:tcBorders/>
            <w:vAlign w:val="center"/>
          </w:tcPr>
          <w:p>
            <w:pPr>
              <w:pStyle w:val="TableContents"/>
              <w:bidi w:val="0"/>
              <w:spacing w:before="0" w:after="283"/>
              <w:jc w:val="left"/>
              <w:rPr>
                <w:sz w:val="20"/>
              </w:rPr>
            </w:pPr>
            <w:r>
              <w:rPr>
                <w:sz w:val="20"/>
              </w:rPr>
              <w:t>7.7</w:t>
            </w:r>
          </w:p>
        </w:tc>
        <w:tc>
          <w:tcPr>
            <w:tcW w:w="3395" w:type="dxa"/>
            <w:tcBorders/>
            <w:vAlign w:val="center"/>
          </w:tcPr>
          <w:p>
            <w:pPr>
              <w:pStyle w:val="TableContents"/>
              <w:bidi w:val="0"/>
              <w:spacing w:before="0" w:after="283"/>
              <w:jc w:val="left"/>
              <w:rPr>
                <w:sz w:val="20"/>
              </w:rPr>
            </w:pPr>
            <w:r>
              <w:rPr>
                <w:sz w:val="20"/>
              </w:rPr>
              <w:t>Affiliate Transactions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Credit Agreement is made as of October 28, 2025, by and among the lenders from time to time party hereto (individually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CHS (US) Management LLC (“</w:t>
      </w:r>
      <w:r>
        <w:rPr>
          <w:rFonts w:ascii="Times New Roman;Times;Serif" w:hAnsi="Times New Roman;Times;Serif"/>
          <w:b/>
          <w:i w:val="false"/>
          <w:caps w:val="false"/>
          <w:smallCaps w:val="false"/>
          <w:sz w:val="20"/>
        </w:rPr>
        <w:t>CHS</w:t>
      </w:r>
      <w:r>
        <w:rPr>
          <w:rFonts w:ascii="Times New Roman;Times;Serif" w:hAnsi="Times New Roman;Times;Serif"/>
          <w:b w:val="false"/>
          <w:i w:val="false"/>
          <w:caps w:val="false"/>
          <w:smallCaps w:val="false"/>
          <w:sz w:val="20"/>
        </w:rPr>
        <w:t>”), as the administrative agent for the Lenders (in such capacity, together with its successors and assigns in such capacity,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Rent the Runway, Inc., a Delaware corporation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reference is made to that certain Credit Agreement, dated as of July 23, 2018, by and among the lenders from time to time party thereto (individually, an “</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and any and all such lenders collectively, the “</w:t>
      </w:r>
      <w:r>
        <w:rPr>
          <w:rFonts w:ascii="Times New Roman;Times;Serif" w:hAnsi="Times New Roman;Times;Serif"/>
          <w:b/>
          <w:i w:val="false"/>
          <w:caps w:val="false"/>
          <w:smallCaps w:val="false"/>
          <w:sz w:val="20"/>
        </w:rPr>
        <w:t>Existing Lenders</w:t>
      </w:r>
      <w:r>
        <w:rPr>
          <w:rFonts w:ascii="Times New Roman;Times;Serif" w:hAnsi="Times New Roman;Times;Serif"/>
          <w:b w:val="false"/>
          <w:i w:val="false"/>
          <w:caps w:val="false"/>
          <w:smallCaps w:val="false"/>
          <w:sz w:val="20"/>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Original Credit Agreement, the Existing Lenders extended a credit facility to the Borrower consisting of term loans (the “</w:t>
      </w:r>
      <w:r>
        <w:rPr>
          <w:rFonts w:ascii="Times New Roman;Times;Serif" w:hAnsi="Times New Roman;Times;Serif"/>
          <w:b/>
          <w:i w:val="false"/>
          <w:caps w:val="false"/>
          <w:smallCaps w:val="false"/>
          <w:sz w:val="20"/>
        </w:rPr>
        <w:t>Existing Term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Times New Roman;Times;Serif" w:hAnsi="Times New Roman;Times;Serif"/>
          <w:b/>
          <w:i w:val="false"/>
          <w:caps w:val="false"/>
          <w:smallCaps w:val="false"/>
          <w:sz w:val="20"/>
        </w:rPr>
        <w:t>Interest Capitalization</w:t>
      </w:r>
      <w:r>
        <w:rPr>
          <w:rFonts w:ascii="Times New Roman;Times;Serif" w:hAnsi="Times New Roman;Times;Serif"/>
          <w:b w:val="false"/>
          <w:i w:val="false"/>
          <w:caps w:val="false"/>
          <w:smallCaps w:val="false"/>
          <w:sz w:val="20"/>
        </w:rPr>
        <w:t xml:space="preserve">”), and after giving effect to such capitalization, the aggregate principal amount of Existing Term Loans is set forth opposite each Existing Lender’s name in Section 1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after the Interest Capitalization on the Restatement Date (as hereinafter defined), the Existing Lenders exchanged a portion of their Existing Term Loans in an aggregate principal amount equal to $234,165,275.12 for 26,175,193 shares of Class A Common Stock of the Borrower representing approximately 86% of the issued and outstanding Equity Interests of the Borrower on a fully diluted basis as of the Restatement Date (such exchange, the “</w:t>
      </w:r>
      <w:r>
        <w:rPr>
          <w:rFonts w:ascii="Times New Roman;Times;Serif" w:hAnsi="Times New Roman;Times;Serif"/>
          <w:b/>
          <w:i w:val="false"/>
          <w:caps w:val="false"/>
          <w:smallCaps w:val="false"/>
          <w:sz w:val="20"/>
        </w:rPr>
        <w:t>Debt for Equity Exchange</w:t>
      </w:r>
      <w:r>
        <w:rPr>
          <w:rFonts w:ascii="Times New Roman;Times;Serif" w:hAnsi="Times New Roman;Times;Serif"/>
          <w:b w:val="false"/>
          <w:i w:val="false"/>
          <w:caps w:val="false"/>
          <w:smallCaps w:val="false"/>
          <w:sz w:val="20"/>
        </w:rPr>
        <w:t>”) in accordance with the terms and subject to the conditions in the Exchange Agreement (as hereinafter defined).  After giving effect to the Debt for Equity Exchange, the aggregate outstanding principal amount of Existing Term Loans is $100,000,000;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after giving effect to the Debt for Equity Exchange, each Existing Lender is deemed, pursuant to Section 2.1(b) of this Agreement, to have exchanged all of its Existing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Loans on a dollar-for-dollar cashless basis for Term Loans under this Agreement (such exchange, the “</w:t>
      </w:r>
      <w:r>
        <w:rPr>
          <w:rFonts w:ascii="Times New Roman;Times;Serif" w:hAnsi="Times New Roman;Times;Serif"/>
          <w:b/>
          <w:i w:val="false"/>
          <w:caps w:val="false"/>
          <w:smallCaps w:val="false"/>
          <w:sz w:val="20"/>
        </w:rPr>
        <w:t>Initial Loan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immediately following the Initial Loan Exchange on the Restatement Date, the Existing Lenders shall (a) assign a portion of their Term Loans in an aggregate principal amount equal to $30,000,000 to the Restatement Date Assignees (as hereinafter defined) and (b) sell 7,852,558 shares of Class A Common Stock of the Borrower to the Restatement Date Assignees, in each case, in accordance with the terms and subject to the conditions in the Purchase and Sale Agreement (as hereinafter defined) (the “</w:t>
      </w:r>
      <w:r>
        <w:rPr>
          <w:rFonts w:ascii="Times New Roman;Times;Serif" w:hAnsi="Times New Roman;Times;Serif"/>
          <w:b/>
          <w:i w:val="false"/>
          <w:caps w:val="false"/>
          <w:smallCaps w:val="false"/>
          <w:sz w:val="20"/>
        </w:rPr>
        <w:t>Restatement Date Assignment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Third Amendment Incremental Term Lenders extend credit to the Borrower consisting of Third Amendment Incremental Term Loans in the original principal amount of $10,000,000.00 on the Third Amendment Effective Date in accordance with the terms and subject to the conditions set forth in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are prepared to extend such credit as aforesaid, but only on the terms and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contained herein, the Borrower, the Lenders, and the Agent agree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1105"/>
        <w:gridCol w:w="8891"/>
      </w:tblGrid>
      <w:tr>
        <w:trPr/>
        <w:tc>
          <w:tcPr>
            <w:tcW w:w="2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pPr>
            <w:r>
              <w:rPr/>
              <w:t>1.</w:t>
            </w:r>
          </w:p>
        </w:tc>
        <w:tc>
          <w:tcPr>
            <w:tcW w:w="8891" w:type="dxa"/>
            <w:tcBorders/>
            <w:vAlign w:val="center"/>
          </w:tcPr>
          <w:p>
            <w:pPr>
              <w:pStyle w:val="TableContents"/>
              <w:bidi w:val="0"/>
              <w:spacing w:before="0" w:after="283"/>
              <w:jc w:val="left"/>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For the purposes of this Agreement the following terms will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w:t>
      </w:r>
      <w:r>
        <w:rPr>
          <w:rFonts w:ascii="Times New Roman;Times;Serif" w:hAnsi="Times New Roman;Times;Serif"/>
          <w:b w:val="false"/>
          <w:i w:val="false"/>
          <w:caps w:val="false"/>
          <w:smallCaps w:val="false"/>
          <w:sz w:val="20"/>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Account Control Agreement(s)</w:t>
      </w:r>
      <w:r>
        <w:rPr>
          <w:rFonts w:ascii="Times New Roman;Times;Serif" w:hAnsi="Times New Roman;Times;Serif"/>
          <w:b w:val="false"/>
          <w:i w:val="false"/>
          <w:caps w:val="false"/>
          <w:smallCaps w:val="false"/>
          <w:sz w:val="20"/>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Adjusted Term SOFR</w:t>
      </w:r>
      <w:r>
        <w:rPr>
          <w:rFonts w:ascii="Times New Roman;Times;Serif" w:hAnsi="Times New Roman;Times;Serif"/>
          <w:b w:val="false"/>
          <w:i w:val="false"/>
          <w:caps w:val="false"/>
          <w:smallCaps w:val="false"/>
          <w:sz w:val="20"/>
        </w:rPr>
        <w:t>” means, for purposes of any calculation, the rate per annum equal to Term SOFR for such calculation; provided that if Adjusted Term SOFR as so determined shall ever be less than the Floor, then Adjusted Term SOFR shall be deemed to be the Floor.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Affected Lender</w:t>
      </w:r>
      <w:r>
        <w:rPr>
          <w:rFonts w:ascii="Times New Roman;Times;Serif" w:hAnsi="Times New Roman;Times;Serif"/>
          <w:b w:val="false"/>
          <w:i w:val="false"/>
          <w:caps w:val="false"/>
          <w:smallCaps w:val="false"/>
          <w:sz w:val="20"/>
        </w:rPr>
        <w:t>” shall have the meaning set forth in Section 12.11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shall have the meaning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Agent’s Account</w:t>
      </w:r>
      <w:r>
        <w:rPr>
          <w:rFonts w:ascii="Times New Roman;Times;Serif" w:hAnsi="Times New Roman;Times;Serif"/>
          <w:b w:val="false"/>
          <w:i w:val="false"/>
          <w:caps w:val="false"/>
          <w:smallCaps w:val="false"/>
          <w:sz w:val="20"/>
        </w:rPr>
        <w:t>” shall mean an account at a bank designated by the Agent from time to time as the account into which the Credit Parties shall make all payments to the Agent for the benefit of the Agent and the Lenders under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Aggregate Amounts Due</w:t>
      </w:r>
      <w:r>
        <w:rPr>
          <w:rFonts w:ascii="Times New Roman;Times;Serif" w:hAnsi="Times New Roman;Times;Serif"/>
          <w:b w:val="false"/>
          <w:i w:val="false"/>
          <w:caps w:val="false"/>
          <w:smallCaps w:val="false"/>
          <w:sz w:val="20"/>
        </w:rPr>
        <w:t>” shall have the meaning set forth in Section 9.3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mean this Credit Agreement and any annexes, exhibits and schedules attached hereto, as it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All In Yield</w:t>
      </w:r>
      <w:r>
        <w:rPr>
          <w:rFonts w:ascii="Times New Roman;Times;Serif" w:hAnsi="Times New Roman;Times;Serif"/>
          <w:b w:val="false"/>
          <w:i w:val="false"/>
          <w:caps w:val="false"/>
          <w:smallCaps w:val="false"/>
          <w:sz w:val="20"/>
        </w:rPr>
        <w:t>” shall have the meaning set forth in Section 2.11(b)(v)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Anti-Terrorism Laws</w:t>
      </w:r>
      <w:r>
        <w:rPr>
          <w:rFonts w:ascii="Times New Roman;Times;Serif" w:hAnsi="Times New Roman;Times;Serif"/>
          <w:b w:val="false"/>
          <w:i w:val="false"/>
          <w:caps w:val="false"/>
          <w:smallCaps w:val="false"/>
          <w:sz w:val="20"/>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Margin</w:t>
      </w:r>
      <w:r>
        <w:rPr>
          <w:rFonts w:ascii="Times New Roman;Times;Serif" w:hAnsi="Times New Roman;Times;Serif"/>
          <w:b w:val="false"/>
          <w:i w:val="false"/>
          <w:caps w:val="false"/>
          <w:smallCaps w:val="false"/>
          <w:sz w:val="20"/>
        </w:rPr>
        <w:t>” shall mean, as of any date of determination, with respect to the interest rate of (a) any Reference Rate Loan or any portion thereof, 4.00% per annum and (b) any SOFR Loan or any portion thereof, 5.00%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Application Event</w:t>
      </w:r>
      <w:r>
        <w:rPr>
          <w:rFonts w:ascii="Times New Roman;Times;Serif" w:hAnsi="Times New Roman;Times;Serif"/>
          <w:b w:val="false"/>
          <w:i w:val="false"/>
          <w:caps w:val="false"/>
          <w:smallCaps w:val="false"/>
          <w:sz w:val="20"/>
        </w:rPr>
        <w:t>” shall mean the (a) occurrence of an Event of Default and (b) the election by the Agent or the Majority Lenders during the continuance of such Event of Default to require that payments and proceeds of Collateral be applied pursuant to Section 9.2(a).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Agreement</w:t>
      </w:r>
      <w:r>
        <w:rPr>
          <w:rFonts w:ascii="Times New Roman;Times;Serif" w:hAnsi="Times New Roman;Times;Serif"/>
          <w:b w:val="false"/>
          <w:i w:val="false"/>
          <w:caps w:val="false"/>
          <w:smallCaps w:val="false"/>
          <w:sz w:val="20"/>
        </w:rPr>
        <w:t>” shall mean an Assignment Agreement substantially in the form of Exhibit B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Assignment of Business Interruption Insurance Policy</w:t>
      </w:r>
      <w:r>
        <w:rPr>
          <w:rFonts w:ascii="Times New Roman;Times;Serif" w:hAnsi="Times New Roman;Times;Serif"/>
          <w:b w:val="false"/>
          <w:i w:val="false"/>
          <w:caps w:val="false"/>
          <w:smallCaps w:val="false"/>
          <w:sz w:val="20"/>
        </w:rPr>
        <w:t>” means that certain Assignment of Business Interruption Insurance Policy as Collateral Security, dated as of the Restatement Date, made by the Borrower in favor of the Agent, in form and substance reasonably satisfactory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Authorized Signer</w:t>
      </w:r>
      <w:r>
        <w:rPr>
          <w:rFonts w:ascii="Times New Roman;Times;Serif" w:hAnsi="Times New Roman;Times;Serif"/>
          <w:b w:val="false"/>
          <w:i w:val="false"/>
          <w:caps w:val="false"/>
          <w:smallCaps w:val="false"/>
          <w:sz w:val="20"/>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2.12(g)(iv).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shall mean the exercise of any Write-Down and Conversion Powers by the applicable EEA Resolution Authority in respect of any liability of an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shall mean Title 11 of the United States Code and the rules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xml:space="preserve">” means, with respect to any Benchmark Transition Event, the sum of: (a) the alternate benchmark rate that has been selected by the Agent in consultation with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shall mean the earliest to occur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shall mean the occurrence of one or more of the following events with respect to the then-current Benchmark: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occurred with respect to each then-current Available Tenor of such Benchmark (or the published component used in the calculation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shall have the meaning specified therefor in Section 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BOD Meeting</w:t>
      </w:r>
      <w:r>
        <w:rPr>
          <w:rFonts w:ascii="Times New Roman;Times;Serif" w:hAnsi="Times New Roman;Times;Serif"/>
          <w:b w:val="false"/>
          <w:i w:val="false"/>
          <w:caps w:val="false"/>
          <w:smallCaps w:val="false"/>
          <w:sz w:val="20"/>
        </w:rPr>
        <w:t>” shall have the meaning specified therefor in Section 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shall have the meaning set forth in the preamble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or a Sunday on which commercial banks are open for domestic and international business (including dealings in foreign exchange)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Capitalized Lease</w:t>
      </w:r>
      <w:r>
        <w:rPr>
          <w:rFonts w:ascii="Times New Roman;Times;Serif" w:hAnsi="Times New Roman;Times;Serif"/>
          <w:b w:val="false"/>
          <w:i w:val="false"/>
          <w:caps w:val="false"/>
          <w:smallCaps w:val="false"/>
          <w:sz w:val="20"/>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Secured L/C</w:t>
      </w:r>
      <w:r>
        <w:rPr>
          <w:rFonts w:ascii="Times New Roman;Times;Serif" w:hAnsi="Times New Roman;Times;Serif"/>
          <w:b w:val="false"/>
          <w:i w:val="false"/>
          <w:caps w:val="false"/>
          <w:smallCaps w:val="false"/>
          <w:sz w:val="20"/>
        </w:rPr>
        <w:t>” shall mean, a letter of credit issued for the account of the Borrower or a Guarantor and for which the Borrower or Guarantor, as applicable, has provided cash collateral to the financial institution that is the issuer of such letter of credit.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shall mean a Person that is a controlled foreign corporation under Section 957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CFC Holding Company</w:t>
      </w:r>
      <w:r>
        <w:rPr>
          <w:rFonts w:ascii="Times New Roman;Times;Serif" w:hAnsi="Times New Roman;Times;Serif"/>
          <w:b w:val="false"/>
          <w:i w:val="false"/>
          <w:caps w:val="false"/>
          <w:smallCaps w:val="false"/>
          <w:sz w:val="20"/>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shall mean the occurrence, after the Restatement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Times New Roman;Times;Serif" w:hAnsi="Times New Roman;Times;Serif"/>
          <w:b w:val="false"/>
          <w:i w:val="false"/>
          <w:caps w:val="false"/>
          <w:smallCaps w:val="false"/>
          <w:sz w:val="20"/>
          <w:u w:val="single"/>
        </w:rPr>
        <w:t>Dodd-Frank Wall Street Reform and Consumer Protection Act</w:t>
      </w:r>
      <w:r>
        <w:rPr>
          <w:rFonts w:ascii="Times New Roman;Times;Serif" w:hAnsi="Times New Roman;Times;Serif"/>
          <w:b w:val="false"/>
          <w:i w:val="false"/>
          <w:caps w:val="false"/>
          <w:smallCaps w:val="false"/>
          <w:sz w:val="20"/>
        </w:rPr>
        <w:t xml:space="preserve"> (Pub. L. 111-203, 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CHS</w:t>
      </w:r>
      <w:r>
        <w:rPr>
          <w:rFonts w:ascii="Times New Roman;Times;Serif" w:hAnsi="Times New Roman;Times;Serif"/>
          <w:b w:val="false"/>
          <w:i w:val="false"/>
          <w:caps w:val="false"/>
          <w:smallCaps w:val="false"/>
          <w:sz w:val="20"/>
        </w:rPr>
        <w:t>” has the meaning specified therefor in the preamble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CHS Investments</w:t>
      </w:r>
      <w:r>
        <w:rPr>
          <w:rFonts w:ascii="Times New Roman;Times;Serif" w:hAnsi="Times New Roman;Times;Serif"/>
          <w:b w:val="false"/>
          <w:i w:val="false"/>
          <w:caps w:val="false"/>
          <w:smallCaps w:val="false"/>
          <w:sz w:val="20"/>
        </w:rPr>
        <w:t>” means CHS US Investments LLC and its Controlled Investment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w:t>
      </w:r>
      <w:r>
        <w:rPr>
          <w:rFonts w:ascii="Times New Roman;Times;Serif" w:hAnsi="Times New Roman;Times;Serif"/>
          <w:b w:val="false"/>
          <w:i w:val="false"/>
          <w:caps w:val="false"/>
          <w:smallCaps w:val="false"/>
          <w:sz w:val="20"/>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 (including, without limitation, the Third Amendment Incremental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Access Agreement</w:t>
      </w:r>
      <w:r>
        <w:rPr>
          <w:rFonts w:ascii="Times New Roman;Times;Serif" w:hAnsi="Times New Roman;Times;Serif"/>
          <w:b w:val="false"/>
          <w:i w:val="false"/>
          <w:caps w:val="false"/>
          <w:smallCaps w:val="false"/>
          <w:sz w:val="20"/>
        </w:rPr>
        <w:t>” shall mean an agreement in form and substance satisfactory to the Agent in its reasonable discretion, pursuant to which a mortgagee or lessor of real property on which Collateral is stored or otherwise located, or a warehouseman, processor or other bailee of inventory or 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 Documents</w:t>
      </w:r>
      <w:r>
        <w:rPr>
          <w:rFonts w:ascii="Times New Roman;Times;Serif" w:hAnsi="Times New Roman;Times;Serif"/>
          <w:b w:val="false"/>
          <w:i w:val="false"/>
          <w:caps w:val="false"/>
          <w:smallCaps w:val="false"/>
          <w:sz w:val="20"/>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Commitments</w:t>
      </w:r>
      <w:r>
        <w:rPr>
          <w:rFonts w:ascii="Times New Roman;Times;Serif" w:hAnsi="Times New Roman;Times;Serif"/>
          <w:b w:val="false"/>
          <w:i w:val="false"/>
          <w:caps w:val="false"/>
          <w:smallCaps w:val="false"/>
          <w:sz w:val="20"/>
        </w:rPr>
        <w:t>” shall mean Term Loan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Conforming Changes</w:t>
      </w:r>
      <w:r>
        <w:rPr>
          <w:rFonts w:ascii="Times New Roman;Times;Serif" w:hAnsi="Times New Roman;Times;Serif"/>
          <w:b w:val="false"/>
          <w:i w:val="false"/>
          <w:caps w:val="false"/>
          <w:smallCaps w:val="false"/>
          <w:sz w:val="20"/>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Consolidated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consolidated</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Consolidating</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consolidating</w:t>
      </w:r>
      <w:r>
        <w:rPr>
          <w:rFonts w:ascii="Times New Roman;Times;Serif" w:hAnsi="Times New Roman;Times;Serif"/>
          <w:b w:val="false"/>
          <w:i w:val="false"/>
          <w:caps w:val="false"/>
          <w:smallCaps w:val="false"/>
          <w:sz w:val="20"/>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Contractual Obligation</w:t>
      </w:r>
      <w:r>
        <w:rPr>
          <w:rFonts w:ascii="Times New Roman;Times;Serif" w:hAnsi="Times New Roman;Times;Serif"/>
          <w:b w:val="false"/>
          <w:i w:val="false"/>
          <w:caps w:val="false"/>
          <w:smallCaps w:val="false"/>
          <w:sz w:val="20"/>
        </w:rPr>
        <w:t>” shall mean, as to any Person, any provision of any security issued by such Person or of any material agreement, instrument or other undertaking to which such Person is a party or by which it or any of its property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Controlled Investment Affiliate</w:t>
      </w:r>
      <w:r>
        <w:rPr>
          <w:rFonts w:ascii="Times New Roman;Times;Serif" w:hAnsi="Times New Roman;Times;Serif"/>
          <w:b w:val="false"/>
          <w:i w:val="false"/>
          <w:caps w:val="false"/>
          <w:smallCaps w:val="false"/>
          <w:sz w:val="20"/>
        </w:rPr>
        <w:t>” means, as to any Person, any other Person that (a) directly or indirectly, is in Control of, is Controlled by, or is under common Control with, such Person and (b) is organized by such Person primarily for the purpose of making equity or debt investments in one or more companies.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Dat</w:t>
      </w:r>
      <w:r>
        <w:rPr>
          <w:rFonts w:ascii="Times New Roman;Times;Serif" w:hAnsi="Times New Roman;Times;Serif"/>
          <w:b w:val="false"/>
          <w:i w:val="false"/>
          <w:caps w:val="false"/>
          <w:smallCaps w:val="false"/>
          <w:sz w:val="20"/>
        </w:rPr>
        <w:t>e” shall mean, with respect to each Term Loan, the date such Term Loan is made by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Credit Parties</w:t>
      </w:r>
      <w:r>
        <w:rPr>
          <w:rFonts w:ascii="Times New Roman;Times;Serif" w:hAnsi="Times New Roman;Times;Serif"/>
          <w:b w:val="false"/>
          <w:i w:val="false"/>
          <w:caps w:val="false"/>
          <w:smallCaps w:val="false"/>
          <w:sz w:val="20"/>
        </w:rPr>
        <w:t>” shall mean the Borrower and its Subsidiaries, if any, and “</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shall mean any one of them, as the context indicates or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Security Requirements</w:t>
      </w:r>
      <w:r>
        <w:rPr>
          <w:rFonts w:ascii="Times New Roman;Times;Serif" w:hAnsi="Times New Roman;Times;Serif"/>
          <w:b w:val="false"/>
          <w:i w:val="false"/>
          <w:caps w:val="false"/>
          <w:smallCaps w:val="false"/>
          <w:sz w:val="20"/>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 for Equity Exchange</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Debtor Relief Laws</w:t>
      </w:r>
      <w:r>
        <w:rPr>
          <w:rFonts w:ascii="Times New Roman;Times;Serif" w:hAnsi="Times New Roman;Times;Serif"/>
          <w:b w:val="false"/>
          <w:i w:val="false"/>
          <w:caps w:val="false"/>
          <w:smallCaps w:val="false"/>
          <w:sz w:val="20"/>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shall mean any event that with the giving of notice or the passage of time, or both, would constitute an Event of Default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Disbursement Letter</w:t>
      </w:r>
      <w:r>
        <w:rPr>
          <w:rFonts w:ascii="Times New Roman;Times;Serif" w:hAnsi="Times New Roman;Times;Serif"/>
          <w:b w:val="false"/>
          <w:i w:val="false"/>
          <w:caps w:val="false"/>
          <w:smallCaps w:val="false"/>
          <w:sz w:val="20"/>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is defined in Section 7.5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and the sign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shall mean lawful money of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Domestic Subsidiary</w:t>
      </w:r>
      <w:r>
        <w:rPr>
          <w:rFonts w:ascii="Times New Roman;Times;Serif" w:hAnsi="Times New Roman;Times;Serif"/>
          <w:b w:val="false"/>
          <w:i w:val="false"/>
          <w:caps w:val="false"/>
          <w:smallCaps w:val="false"/>
          <w:sz w:val="20"/>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Times New Roman;Times;Serif" w:hAnsi="Times New Roman;Times;Serif"/>
          <w:b/>
          <w:i w:val="false"/>
          <w:caps w:val="false"/>
          <w:smallCaps w:val="false"/>
          <w:sz w:val="20"/>
        </w:rPr>
        <w:t>Domestic Subsidiaries</w:t>
      </w:r>
      <w:r>
        <w:rPr>
          <w:rFonts w:ascii="Times New Roman;Times;Serif" w:hAnsi="Times New Roman;Times;Serif"/>
          <w:b w:val="false"/>
          <w:i w:val="false"/>
          <w:caps w:val="false"/>
          <w:smallCaps w:val="false"/>
          <w:sz w:val="20"/>
        </w:rPr>
        <w:t>” shall mean any or all of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shall mean any of the member states of the European Union, Iceland, Liechtenstein, and Norway.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shall mean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Electronic Transmission</w:t>
      </w:r>
      <w:r>
        <w:rPr>
          <w:rFonts w:ascii="Times New Roman;Times;Serif" w:hAnsi="Times New Roman;Times;Serif"/>
          <w:b w:val="false"/>
          <w:i w:val="false"/>
          <w:caps w:val="false"/>
          <w:smallCaps w:val="false"/>
          <w:sz w:val="20"/>
        </w:rPr>
        <w:t>” shall mean each document, instruction, authorization, file, information and any other communication transmitted, posted or otherwise made or communicated by e-mail or E-Fax, or otherwise to or from an E-System or other equivalent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Assignee</w:t>
      </w:r>
      <w:r>
        <w:rPr>
          <w:rFonts w:ascii="Times New Roman;Times;Serif" w:hAnsi="Times New Roman;Times;Serif"/>
          <w:b w:val="false"/>
          <w:i w:val="false"/>
          <w:caps w:val="false"/>
          <w:smallCaps w:val="false"/>
          <w:sz w:val="20"/>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Borrower’s consent shall not be required (1) after the occurrence and during the continuance of an Event of Default under Section 8.1(a), 8.1(b), 8.1(c) (solely as a result of a breach of Section 6.1 or 6.2)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 (5) Business Days after having received notice thereof;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Eligible Incremental Lenders</w:t>
      </w:r>
      <w:r>
        <w:rPr>
          <w:rFonts w:ascii="Times New Roman;Times;Serif" w:hAnsi="Times New Roman;Times;Serif"/>
          <w:b w:val="false"/>
          <w:i w:val="false"/>
          <w:caps w:val="false"/>
          <w:smallCaps w:val="false"/>
          <w:sz w:val="20"/>
        </w:rPr>
        <w:t>” shall mean any bank, trust company, savings and loan association, savings bank or other financial institution that (a) regularly engages in the business of extending loans or credit, and whose reported capital and surplus equal at least $250,000,000 and (b) is approved by the Agent and the Majority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Equity Interest</w:t>
      </w:r>
      <w:r>
        <w:rPr>
          <w:rFonts w:ascii="Times New Roman;Times;Serif" w:hAnsi="Times New Roman;Times;Serif"/>
          <w:b w:val="false"/>
          <w:i w:val="false"/>
          <w:caps w:val="false"/>
          <w:smallCaps w:val="false"/>
          <w:sz w:val="20"/>
        </w:rPr>
        <w:t>” shall mean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described in any of the foregoing cases, but excluding, in all of the foregoing cases described in clauses (i), (ii), (iii) and (iv), any Debt that is convertible into or exchangeable for Equity Interests but only prior to any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shall mean the Employee Retirement Income Security Act of 1974, as amended, or any successor act or code and the regulations in effect from time to time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Event</w:t>
      </w:r>
      <w:r>
        <w:rPr>
          <w:rFonts w:ascii="Times New Roman;Times;Serif" w:hAnsi="Times New Roman;Times;Serif"/>
          <w:b w:val="false"/>
          <w:i w:val="false"/>
          <w:caps w:val="false"/>
          <w:smallCaps w:val="false"/>
          <w:sz w:val="20"/>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E-System</w:t>
      </w:r>
      <w:r>
        <w:rPr>
          <w:rFonts w:ascii="Times New Roman;Times;Serif" w:hAnsi="Times New Roman;Times;Serif"/>
          <w:b w:val="false"/>
          <w:i w:val="false"/>
          <w:caps w:val="false"/>
          <w:smallCaps w:val="false"/>
          <w:sz w:val="20"/>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shall mean the EU Bail-In Legislation Schedule published by the Loan Market Association (or any successor person),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mean each of the conditions or events set forth in Section 8.1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xml:space="preserve"> shall mean that certain Exchange Agreement, dated as of August 20, 2025, by and between CHS Investments and Borrower,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Exchanged Term Loans</w:t>
      </w:r>
      <w:r>
        <w:rPr>
          <w:rFonts w:ascii="Times New Roman;Times;Serif" w:hAnsi="Times New Roman;Times;Serif"/>
          <w:b w:val="false"/>
          <w:i w:val="false"/>
          <w:caps w:val="false"/>
          <w:smallCaps w:val="false"/>
          <w:sz w:val="20"/>
        </w:rPr>
        <w:t>” shall mean term loans received by an Existing Lender in exchange for such Lender’s Existing Term Loans as described in the recitals hereto or all of the term loans received by the Existing Lenders in exchange for the Existing Lenders’ Existing Term Loans as described in the recitals hereto,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Account</w:t>
      </w:r>
      <w:r>
        <w:rPr>
          <w:rFonts w:ascii="Times New Roman;Times;Serif" w:hAnsi="Times New Roman;Times;Serif"/>
          <w:b w:val="false"/>
          <w:i w:val="false"/>
          <w:caps w:val="false"/>
          <w:smallCaps w:val="false"/>
          <w:sz w:val="20"/>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L/C Account</w:t>
      </w:r>
      <w:r>
        <w:rPr>
          <w:rFonts w:ascii="Times New Roman;Times;Serif" w:hAnsi="Times New Roman;Times;Serif"/>
          <w:b w:val="false"/>
          <w:i w:val="false"/>
          <w:caps w:val="false"/>
          <w:smallCaps w:val="false"/>
          <w:sz w:val="20"/>
        </w:rPr>
        <w:t>” shall have the meaning specified therefore in Section 7.2(f).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Excluded Taxes</w:t>
      </w:r>
      <w:r>
        <w:rPr>
          <w:rFonts w:ascii="Times New Roman;Times;Serif" w:hAnsi="Times New Roman;Times;Serif"/>
          <w:b w:val="false"/>
          <w:i w:val="false"/>
          <w:caps w:val="false"/>
          <w:smallCaps w:val="false"/>
          <w:sz w:val="20"/>
        </w:rPr>
        <w:t>” shall mean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Term Loans</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 Letter</w:t>
      </w:r>
      <w:r>
        <w:rPr>
          <w:rFonts w:ascii="Times New Roman;Times;Serif" w:hAnsi="Times New Roman;Times;Serif"/>
          <w:b w:val="false"/>
          <w:i w:val="false"/>
          <w:caps w:val="false"/>
          <w:smallCaps w:val="false"/>
          <w:sz w:val="20"/>
        </w:rPr>
        <w:t>” shall mean the third amended and restated fee letter by and between Borrower and Agent, dated as of the Restatement Date, as amended, restated, replaced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Fees</w:t>
      </w:r>
      <w:r>
        <w:rPr>
          <w:rFonts w:ascii="Times New Roman;Times;Serif" w:hAnsi="Times New Roman;Times;Serif"/>
          <w:b w:val="false"/>
          <w:i w:val="false"/>
          <w:caps w:val="false"/>
          <w:smallCaps w:val="false"/>
          <w:sz w:val="20"/>
        </w:rPr>
        <w:t>” shall mean the fees and charges payable by the Borrower to the Lenders or the Agent hereunder or under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shall have the meaning specified therefor in Section 4.1(h).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shall mean the fiscal quarter of the Borrower and its Subsidiaries ending on January 31, April 30, July 31 and October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shall mean the fiscal year of the Borrower and its Subsidiaries ending on January 31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shall mean a rate of interest equal to 1.00%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Benefit Event</w:t>
      </w:r>
      <w:r>
        <w:rPr>
          <w:rFonts w:ascii="Times New Roman;Times;Serif" w:hAnsi="Times New Roman;Times;Serif"/>
          <w:b w:val="false"/>
          <w:i w:val="false"/>
          <w:caps w:val="false"/>
          <w:smallCaps w:val="false"/>
          <w:sz w:val="20"/>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Lender</w:t>
      </w:r>
      <w:r>
        <w:rPr>
          <w:rFonts w:ascii="Times New Roman;Times;Serif" w:hAnsi="Times New Roman;Times;Serif"/>
          <w:b w:val="false"/>
          <w:i w:val="false"/>
          <w:caps w:val="false"/>
          <w:smallCaps w:val="false"/>
          <w:sz w:val="20"/>
        </w:rPr>
        <w:t>” shall mean a Lender that is not a “United States person,” within the meaning of Section 7701(a)(30)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Plan</w:t>
      </w:r>
      <w:r>
        <w:rPr>
          <w:rFonts w:ascii="Times New Roman;Times;Serif" w:hAnsi="Times New Roman;Times;Serif"/>
          <w:b w:val="false"/>
          <w:i w:val="false"/>
          <w:caps w:val="false"/>
          <w:smallCaps w:val="false"/>
          <w:sz w:val="20"/>
        </w:rPr>
        <w:t>” shall mean any employee pension benefit plan (within the meaning of Section 3(2) of ERISA, whether or not subject to ERISA) that is maintained or contributed to by a Credit Party with respect to workers employed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Foreign Subsidiary</w:t>
      </w:r>
      <w:r>
        <w:rPr>
          <w:rFonts w:ascii="Times New Roman;Times;Serif" w:hAnsi="Times New Roman;Times;Serif"/>
          <w:b w:val="false"/>
          <w:i w:val="false"/>
          <w:caps w:val="false"/>
          <w:smallCaps w:val="false"/>
          <w:sz w:val="20"/>
        </w:rPr>
        <w:t>” shall mean any Subsidiary of the Borrower that is not a Domestic Subsidiary, and “Foreign Subsidiaries” shall mean any or all of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Funded Debt</w:t>
      </w:r>
      <w:r>
        <w:rPr>
          <w:rFonts w:ascii="Times New Roman;Times;Serif" w:hAnsi="Times New Roman;Times;Serif"/>
          <w:b w:val="false"/>
          <w:i w:val="false"/>
          <w:caps w:val="false"/>
          <w:smallCaps w:val="false"/>
          <w:sz w:val="20"/>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as in effect from time to time, generally accepted accounting principles in the United States of America that are applicable to the circumstances as of the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Obligations</w:t>
      </w:r>
      <w:r>
        <w:rPr>
          <w:rFonts w:ascii="Times New Roman;Times;Serif" w:hAnsi="Times New Roman;Times;Serif"/>
          <w:b w:val="false"/>
          <w:i w:val="false"/>
          <w:caps w:val="false"/>
          <w:smallCaps w:val="false"/>
          <w:sz w:val="20"/>
        </w:rPr>
        <w:t>” shall mean noncallable direct general obligations of the United States of America or obligations the payment of principal of and interest on which is unconditionally guaranteed by the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Guarantee Obligation</w:t>
      </w:r>
      <w:r>
        <w:rPr>
          <w:rFonts w:ascii="Times New Roman;Times;Serif" w:hAnsi="Times New Roman;Times;Serif"/>
          <w:b w:val="false"/>
          <w:i w:val="false"/>
          <w:caps w:val="false"/>
          <w:smallCaps w:val="false"/>
          <w:sz w:val="20"/>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w:t>
      </w:r>
      <w:r>
        <w:rPr>
          <w:rFonts w:ascii="Times New Roman;Times;Serif" w:hAnsi="Times New Roman;Times;Serif"/>
          <w:b w:val="false"/>
          <w:i w:val="false"/>
          <w:caps w:val="false"/>
          <w:smallCaps w:val="false"/>
          <w:sz w:val="20"/>
        </w:rPr>
        <w:t>” shall mean any hazardous or toxic waste, substance or material defined or regulated as such in or for purposes of the Hazardous Material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 Law(s)</w:t>
      </w:r>
      <w:r>
        <w:rPr>
          <w:rFonts w:ascii="Times New Roman;Times;Serif" w:hAnsi="Times New Roman;Times;Serif"/>
          <w:b w:val="false"/>
          <w:i w:val="false"/>
          <w:caps w:val="false"/>
          <w:smallCaps w:val="false"/>
          <w:sz w:val="20"/>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Hedging Transaction</w:t>
      </w:r>
      <w:r>
        <w:rPr>
          <w:rFonts w:ascii="Times New Roman;Times;Serif" w:hAnsi="Times New Roman;Times;Serif"/>
          <w:b w:val="false"/>
          <w:i w:val="false"/>
          <w:caps w:val="false"/>
          <w:smallCaps w:val="false"/>
          <w:sz w:val="20"/>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Hereof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hereto</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hereunder</w:t>
      </w:r>
      <w:r>
        <w:rPr>
          <w:rFonts w:ascii="Times New Roman;Times;Serif" w:hAnsi="Times New Roman;Times;Serif"/>
          <w:b w:val="false"/>
          <w:i w:val="false"/>
          <w:caps w:val="false"/>
          <w:smallCaps w:val="false"/>
          <w:sz w:val="20"/>
        </w:rPr>
        <w:t>” and similar terms shall refer to this Agreement and not to any particular paragraph or provision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Highest Lawful Rate</w:t>
      </w:r>
      <w:r>
        <w:rPr>
          <w:rFonts w:ascii="Times New Roman;Times;Serif" w:hAnsi="Times New Roman;Times;Serif"/>
          <w:b w:val="false"/>
          <w:i w:val="false"/>
          <w:caps w:val="false"/>
          <w:smallCaps w:val="false"/>
          <w:sz w:val="20"/>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Increased Amount Date</w:t>
      </w:r>
      <w:r>
        <w:rPr>
          <w:rFonts w:ascii="Times New Roman;Times;Serif" w:hAnsi="Times New Roman;Times;Serif"/>
          <w:b w:val="false"/>
          <w:i w:val="false"/>
          <w:caps w:val="false"/>
          <w:smallCaps w:val="false"/>
          <w:sz w:val="20"/>
        </w:rPr>
        <w:t>” has the meaning specified in Section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has the meaning specified in Section 2.11 (including, without limitation, the Third Amendment Incremental Term Loan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Exposure</w:t>
      </w:r>
      <w:r>
        <w:rPr>
          <w:rFonts w:ascii="Times New Roman;Times;Serif" w:hAnsi="Times New Roman;Times;Serif"/>
          <w:b w:val="false"/>
          <w:i w:val="false"/>
          <w:caps w:val="false"/>
          <w:smallCaps w:val="false"/>
          <w:sz w:val="20"/>
        </w:rPr>
        <w:t>” shall mean, with respect to any Lender, as of any date of determination, the sum of (a) such Lender’s undrawn Incremental Term Loan Commitment and (b) the aggregate outstanding principal amount of the Incremental Term Loans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 Lender</w:t>
      </w:r>
      <w:r>
        <w:rPr>
          <w:rFonts w:ascii="Times New Roman;Times;Serif" w:hAnsi="Times New Roman;Times;Serif"/>
          <w:b w:val="false"/>
          <w:i w:val="false"/>
          <w:caps w:val="false"/>
          <w:smallCaps w:val="false"/>
          <w:sz w:val="20"/>
        </w:rPr>
        <w:t>” has the meaning specified in Section 2.11 (including, without limitation, the Third Amendment Incremental Term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Incremental Term Loans</w:t>
      </w:r>
      <w:r>
        <w:rPr>
          <w:rFonts w:ascii="Times New Roman;Times;Serif" w:hAnsi="Times New Roman;Times;Serif"/>
          <w:b w:val="false"/>
          <w:i w:val="false"/>
          <w:caps w:val="false"/>
          <w:smallCaps w:val="false"/>
          <w:sz w:val="20"/>
        </w:rPr>
        <w:t>” has the meaning specified in Section 2.11 (including, without limitation, the Third Amendment Incremental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shall mean all indebtedness and liabilities (including without limitation principal, interest (including without limitation the Term Loan PIK Amount and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 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Liabilities</w:t>
      </w:r>
      <w:r>
        <w:rPr>
          <w:rFonts w:ascii="Times New Roman;Times;Serif" w:hAnsi="Times New Roman;Times;Serif"/>
          <w:b w:val="false"/>
          <w:i w:val="false"/>
          <w:caps w:val="false"/>
          <w:smallCaps w:val="false"/>
          <w:sz w:val="20"/>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shall mean (a) Taxes, other than Excluded Taxes, imposed on or with respect to any payment made by or on account of any obligation of any Credit Party under any Loan Document and (b) to the extent not otherwise described in (a), Other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shall have the meaning assigned to such term in Section 12.4(b).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Initial Loan Exchange</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shall mean any proceeding commenced by or against any Person under any provision of any Debtor Relief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shall have the meaning assigned to such term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License Agreement</w:t>
      </w:r>
      <w:r>
        <w:rPr>
          <w:rFonts w:ascii="Times New Roman;Times;Serif" w:hAnsi="Times New Roman;Times;Serif"/>
          <w:b w:val="false"/>
          <w:i w:val="false"/>
          <w:caps w:val="false"/>
          <w:smallCaps w:val="false"/>
          <w:sz w:val="20"/>
        </w:rPr>
        <w:t>” shall mean that certain License Agreement entered into on September 12, 2019, between the Borrower and Rent the Runway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Intercompany Note</w:t>
      </w:r>
      <w:r>
        <w:rPr>
          <w:rFonts w:ascii="Times New Roman;Times;Serif" w:hAnsi="Times New Roman;Times;Serif"/>
          <w:b w:val="false"/>
          <w:i w:val="false"/>
          <w:caps w:val="false"/>
          <w:smallCaps w:val="false"/>
          <w:sz w:val="20"/>
        </w:rPr>
        <w:t>” shall mean any promissory note issued or to be issued by any Credit Party to evidence an intercompany loan in form and substance satisfactory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Capitalization</w:t>
      </w:r>
      <w:r>
        <w:rPr>
          <w:rFonts w:ascii="Times New Roman;Times;Serif" w:hAnsi="Times New Roman;Times;Serif"/>
          <w:b w:val="false"/>
          <w:i w:val="false"/>
          <w:caps w:val="false"/>
          <w:smallCaps w:val="false"/>
          <w:sz w:val="20"/>
        </w:rPr>
        <w:t>” has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shall mean the Internal Revenue Code of 1986 of the United States of America, as amended from time to time,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Inventory</w:t>
      </w:r>
      <w:r>
        <w:rPr>
          <w:rFonts w:ascii="Times New Roman;Times;Serif" w:hAnsi="Times New Roman;Times;Serif"/>
          <w:b w:val="false"/>
          <w:i w:val="false"/>
          <w:caps w:val="false"/>
          <w:smallCaps w:val="false"/>
          <w:sz w:val="20"/>
        </w:rPr>
        <w:t>” shall mean any inventory as defined under the UCC.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 shall have the meaning set forth in Section 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shall have the meaning set forth in the preamble and any assignee which becomes a Lender pursuant to Section 12.7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shall mean any security interest in or lien on or against any property arising from any pledge, assignment, hypothecation, mortgage, security interest, deposit arrangement, trust receipt, 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shall mean a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Account</w:t>
      </w:r>
      <w:r>
        <w:rPr>
          <w:rFonts w:ascii="Times New Roman;Times;Serif" w:hAnsi="Times New Roman;Times;Serif"/>
          <w:b w:val="false"/>
          <w:i w:val="false"/>
          <w:caps w:val="false"/>
          <w:smallCaps w:val="false"/>
          <w:sz w:val="20"/>
        </w:rPr>
        <w:t>” shall mean an account maintained hereunder by the Agent on its books of account at the Principal Office and with respect to the Borrower, in which it will be charged with all Loans made to, and all other Indebtedness incurred by the Credit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shall mean, collectively, this Agreement, the Fee Letter, the Notes (if issued), the Disbursement Letter, the Guaranty, the Specified Subordination Agreement (if any), the 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Majority Lenders</w:t>
      </w:r>
      <w:r>
        <w:rPr>
          <w:rFonts w:ascii="Times New Roman;Times;Serif" w:hAnsi="Times New Roman;Times;Serif"/>
          <w:b w:val="false"/>
          <w:i w:val="false"/>
          <w:caps w:val="false"/>
          <w:smallCaps w:val="false"/>
          <w:sz w:val="20"/>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determination of Material Adverse Effect to be made on the Restatement Date in connection with the Restatement Date Transactions, “Material Adverse Effect” shall be limited to (1) a “Company Material Adverse Effect” (as defined in the Exchange Agreement) and (2) a Material Adverse Effect pursuant to clauses (iii), (iv) or (v) of the foregoing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Contract</w:t>
      </w:r>
      <w:r>
        <w:rPr>
          <w:rFonts w:ascii="Times New Roman;Times;Serif" w:hAnsi="Times New Roman;Times;Serif"/>
          <w:b w:val="false"/>
          <w:i w:val="false"/>
          <w:caps w:val="false"/>
          <w:smallCaps w:val="false"/>
          <w:sz w:val="20"/>
        </w:rPr>
        <w:t>” shall mean any agreement or contract the loss of which would be reasonably likely to result in a Material Adverse Effect; provided that Material Contracts shall not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to include any Pension Plans, collective bargaining agreements, or casualty or liability or other insurance policies maintained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the earlier to occur of (i) October 28, 2029 (or if such date is not a Business Day, the immediately preceding Business Day), and (ii) the date that the Term Loans shall become due and payable in full hereunder, whether by acceleration or otherwise, and all Commitments have been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Mortgages</w:t>
      </w:r>
      <w:r>
        <w:rPr>
          <w:rFonts w:ascii="Times New Roman;Times;Serif" w:hAnsi="Times New Roman;Times;Serif"/>
          <w:b w:val="false"/>
          <w:i w:val="false"/>
          <w:caps w:val="false"/>
          <w:smallCaps w:val="false"/>
          <w:sz w:val="20"/>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 Agent, and “</w:t>
      </w:r>
      <w:r>
        <w:rPr>
          <w:rFonts w:ascii="Times New Roman;Times;Serif" w:hAnsi="Times New Roman;Times;Serif"/>
          <w:b/>
          <w:i w:val="false"/>
          <w:caps w:val="false"/>
          <w:smallCaps w:val="false"/>
          <w:sz w:val="20"/>
        </w:rPr>
        <w:t>Mortgage</w:t>
      </w:r>
      <w:r>
        <w:rPr>
          <w:rFonts w:ascii="Times New Roman;Times;Serif" w:hAnsi="Times New Roman;Times;Serif"/>
          <w:b w:val="false"/>
          <w:i w:val="false"/>
          <w:caps w:val="false"/>
          <w:smallCaps w:val="false"/>
          <w:sz w:val="20"/>
        </w:rPr>
        <w:t>” shall mean any such document, as such documents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Net Cash Proceeds</w:t>
      </w:r>
      <w:r>
        <w:rPr>
          <w:rFonts w:ascii="Times New Roman;Times;Serif" w:hAnsi="Times New Roman;Times;Serif"/>
          <w:b w:val="false"/>
          <w:i w:val="false"/>
          <w:caps w:val="false"/>
          <w:smallCaps w:val="false"/>
          <w:sz w:val="20"/>
        </w:rPr>
        <w:t xml:space="preserve">” shall mean (a) with respect to any Asset Sale, an amount equal to:  (i) cash payments received by any Credit Party from such Asset Sale,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(A) any documented costs incurred by such Credit Party in connection with the adjustment or settlement of any claims of such Credit Party in respect thereof, and (B) any documented direct costs incurred in connection with any sale of such assets as referred to in </w:t>
      </w:r>
      <w:r>
        <w:rPr>
          <w:rFonts w:ascii="Times New Roman;Times;Serif" w:hAnsi="Times New Roman;Times;Serif"/>
          <w:b w:val="false"/>
          <w:i w:val="false"/>
          <w:caps w:val="false"/>
          <w:smallCaps w:val="false"/>
          <w:sz w:val="20"/>
          <w:u w:val="single"/>
        </w:rPr>
        <w:t>clause (b)(i)(B)</w:t>
      </w:r>
      <w:r>
        <w:rPr>
          <w:rFonts w:ascii="Times New Roman;Times;Serif" w:hAnsi="Times New Roman;Times;Serif"/>
          <w:b w:val="false"/>
          <w:i w:val="false"/>
          <w:caps w:val="false"/>
          <w:smallCaps w:val="false"/>
          <w:sz w:val="20"/>
        </w:rPr>
        <w:t xml:space="preserve"> of this definition to the extent paid or payable to non-Affiliates, including income taxes payable as a result of any gain recognized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Nexus</w:t>
      </w:r>
      <w:r>
        <w:rPr>
          <w:rFonts w:ascii="Times New Roman;Times;Serif" w:hAnsi="Times New Roman;Times;Serif"/>
          <w:b w:val="false"/>
          <w:i w:val="false"/>
          <w:caps w:val="false"/>
          <w:smallCaps w:val="false"/>
          <w:sz w:val="20"/>
        </w:rPr>
        <w:t>” shall mean Nexus Capital Management,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shall have the meaning set forth in Section 12.11.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shall mean any Lender that is not, as of the date of relevance, a Defaulting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shall mean the U.S. Department of the Treasury’s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 Balance Sheet Liability(ies)</w:t>
      </w:r>
      <w:r>
        <w:rPr>
          <w:rFonts w:ascii="Times New Roman;Times;Serif" w:hAnsi="Times New Roman;Times;Serif"/>
          <w:b w:val="false"/>
          <w:i w:val="false"/>
          <w:caps w:val="false"/>
          <w:smallCaps w:val="false"/>
          <w:sz w:val="20"/>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Credit Agreement</w:t>
      </w:r>
      <w:r>
        <w:rPr>
          <w:rFonts w:ascii="Times New Roman;Times;Serif" w:hAnsi="Times New Roman;Times;Serif"/>
          <w:b w:val="false"/>
          <w:i w:val="false"/>
          <w:caps w:val="false"/>
          <w:smallCaps w:val="false"/>
          <w:sz w:val="20"/>
        </w:rPr>
        <w:t>” shall have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Effective Date</w:t>
      </w:r>
      <w:r>
        <w:rPr>
          <w:rFonts w:ascii="Times New Roman;Times;Serif" w:hAnsi="Times New Roman;Times;Serif"/>
          <w:b w:val="false"/>
          <w:i w:val="false"/>
          <w:caps w:val="false"/>
          <w:smallCaps w:val="false"/>
          <w:sz w:val="20"/>
        </w:rPr>
        <w:t>” shall mean July 23, 2018, the “Effective Date” under the Original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Connection Taxes</w:t>
      </w:r>
      <w:r>
        <w:rPr>
          <w:rFonts w:ascii="Times New Roman;Times;Serif" w:hAnsi="Times New Roman;Times;Serif"/>
          <w:b w:val="false"/>
          <w:i w:val="false"/>
          <w:caps w:val="false"/>
          <w:smallCaps w:val="false"/>
          <w:sz w:val="20"/>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specified in Section 12.7(f).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shall mean the Pension Benefit Guaranty Corporation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Pension Plan</w:t>
      </w:r>
      <w:r>
        <w:rPr>
          <w:rFonts w:ascii="Times New Roman;Times;Serif" w:hAnsi="Times New Roman;Times;Serif"/>
          <w:b w:val="false"/>
          <w:i w:val="false"/>
          <w:caps w:val="false"/>
          <w:smallCaps w:val="false"/>
          <w:sz w:val="20"/>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Perfection Certificate</w:t>
      </w:r>
      <w:r>
        <w:rPr>
          <w:rFonts w:ascii="Times New Roman;Times;Serif" w:hAnsi="Times New Roman;Times;Serif"/>
          <w:b w:val="false"/>
          <w:i w:val="false"/>
          <w:caps w:val="false"/>
          <w:smallCaps w:val="false"/>
          <w:sz w:val="20"/>
        </w:rPr>
        <w:t>” shall mean a certificate in form satisfactory to the Agent that provides information with respect to the assets of the Borrower and the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Periodic Term SOFR Determination Day</w:t>
      </w:r>
      <w:r>
        <w:rPr>
          <w:rFonts w:ascii="Times New Roman;Times;Serif" w:hAnsi="Times New Roman;Times;Serif"/>
          <w:b w:val="false"/>
          <w:i w:val="false"/>
          <w:caps w:val="false"/>
          <w:smallCaps w:val="false"/>
          <w:sz w:val="20"/>
        </w:rPr>
        <w:t>” has the meaning specified therefor in the definition of “Term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Account</w:t>
      </w:r>
      <w:r>
        <w:rPr>
          <w:rFonts w:ascii="Times New Roman;Times;Serif" w:hAnsi="Times New Roman;Times;Serif"/>
          <w:b w:val="false"/>
          <w:i w:val="false"/>
          <w:caps w:val="false"/>
          <w:smallCaps w:val="false"/>
          <w:sz w:val="20"/>
        </w:rPr>
        <w:t>” shall mean a deposit account maintained by the Borrower at Comerica Bank, in which such deposits are restricted cash in favor of Comerica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Acquisition</w:t>
      </w:r>
      <w:r>
        <w:rPr>
          <w:rFonts w:ascii="Times New Roman;Times;Serif" w:hAnsi="Times New Roman;Times;Serif"/>
          <w:b w:val="false"/>
          <w:i w:val="false"/>
          <w:caps w:val="false"/>
          <w:smallCaps w:val="false"/>
          <w:sz w:val="20"/>
        </w:rPr>
        <w:t>” shall mean any acquisition by the Borrower or any Guarantor of all or substantially all of the assets of another Person, or of a division or line of business of another Person,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Equity Interests of another Person which satisfies and/or is conducted in accordance with the following requirements: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1.</w:t>
            </w:r>
          </w:p>
        </w:tc>
        <w:tc>
          <w:tcPr>
            <w:tcW w:w="10000" w:type="dxa"/>
            <w:tcBorders/>
            <w:vAlign w:val="center"/>
          </w:tcPr>
          <w:p>
            <w:pPr>
              <w:pStyle w:val="TableContents"/>
              <w:bidi w:val="0"/>
              <w:spacing w:before="0" w:after="283"/>
              <w:jc w:val="both"/>
              <w:rPr/>
            </w:pPr>
            <w:r>
              <w:rPr/>
              <w:t>Such acquisition is of a business or Person engaged in a line of business which is compatible with, or complementary to, the business of the Borrower or such Guarantor or a reasonable extension therefrom;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If such acquisition is structured as an acquisition of the Equity Interests of any Person, then the Person so acquired shall (X) become a wholly-owned direct Domestic Subsidiary of the Borrower or of a Guarantor and the Borrower or the 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t>If such acquisition is structured as the acquisition of assets, such assets shall be acquired directly by the Borrower or a Guarantor (subject to compliance with Section 6.4(a)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both"/>
              <w:rPr/>
            </w:pPr>
            <w:r>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5.</w:t>
            </w:r>
          </w:p>
        </w:tc>
        <w:tc>
          <w:tcPr>
            <w:tcW w:w="10001" w:type="dxa"/>
            <w:tcBorders/>
            <w:vAlign w:val="center"/>
          </w:tcPr>
          <w:p>
            <w:pPr>
              <w:pStyle w:val="TableContents"/>
              <w:bidi w:val="0"/>
              <w:spacing w:before="0" w:after="283"/>
              <w:jc w:val="both"/>
              <w:rPr/>
            </w:pPr>
            <w:r>
              <w:rPr/>
              <w:t>Both immediately before and after the consummation of such acquisition and after giving effect to the Pro Forma Projected Financial Information, no Default or Event of Default shall have occurred and be continuing;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t>The acquisition shall be consensual and the board of directors (or other Person(s) exercising similar functions) of the seller of the assets or issuer of the Equity Interests being acquired shall have approved such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7.</w:t>
            </w:r>
          </w:p>
        </w:tc>
        <w:tc>
          <w:tcPr>
            <w:tcW w:w="10023" w:type="dxa"/>
            <w:tcBorders/>
            <w:vAlign w:val="center"/>
          </w:tcPr>
          <w:p>
            <w:pPr>
              <w:pStyle w:val="TableContents"/>
              <w:bidi w:val="0"/>
              <w:spacing w:before="0" w:after="283"/>
              <w:jc w:val="both"/>
              <w:rPr/>
            </w:pPr>
            <w:r>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8.</w:t>
            </w:r>
          </w:p>
        </w:tc>
        <w:tc>
          <w:tcPr>
            <w:tcW w:w="10023" w:type="dxa"/>
            <w:tcBorders/>
            <w:vAlign w:val="center"/>
          </w:tcPr>
          <w:p>
            <w:pPr>
              <w:pStyle w:val="TableContents"/>
              <w:bidi w:val="0"/>
              <w:spacing w:before="0" w:after="283"/>
              <w:jc w:val="both"/>
              <w:rPr/>
            </w:pPr>
            <w:r>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 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9.</w:t>
            </w:r>
          </w:p>
        </w:tc>
        <w:tc>
          <w:tcPr>
            <w:tcW w:w="10022" w:type="dxa"/>
            <w:tcBorders/>
            <w:vAlign w:val="center"/>
          </w:tcPr>
          <w:p>
            <w:pPr>
              <w:pStyle w:val="TableContents"/>
              <w:bidi w:val="0"/>
              <w:spacing w:before="0" w:after="283"/>
              <w:jc w:val="both"/>
              <w:rPr/>
            </w:pPr>
            <w:r>
              <w:rPr/>
              <w:t xml:space="preserve">(A)The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u w:val="single"/>
              </w:rPr>
              <w:t>provided</w:t>
            </w:r>
            <w:r>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10.</w:t>
            </w:r>
          </w:p>
        </w:tc>
        <w:tc>
          <w:tcPr>
            <w:tcW w:w="9901" w:type="dxa"/>
            <w:tcBorders/>
            <w:vAlign w:val="center"/>
          </w:tcPr>
          <w:p>
            <w:pPr>
              <w:pStyle w:val="TableContents"/>
              <w:bidi w:val="0"/>
              <w:spacing w:before="0" w:after="283"/>
              <w:jc w:val="both"/>
              <w:rPr/>
            </w:pPr>
            <w:r>
              <w:rPr/>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Five Million Dollars ($5,000,000); provided, that, with respect to any Fiscal Year ending on or after January 31, 2027, any unused amounts from such Fiscal Year may be carried forward into the immediately succeeding Fiscal Year; provided, further, that the aggregate amount carried forward to the immediately succeeding Fiscal Year shall not exceed Five Million Dollars ($5,000,000).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shall mean each of CHS Investments, STORY3, Nexus or any Controlled Investment Affiliate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Governmental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commercial paper rated at the time of purchase within the two highest classifications established by not less than two Rating Agencies, and which matures within 270 days after the date of issue;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fund or other pooling arrangement which exclusively purchases and holds the investments itemized in (a) through (e)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shall mean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judgment liens securing judgments and other proceedings not constituting an Event of Default under Section 8.1(g);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precautionary Liens arising pursuant to a transaction permitted under Section 7.8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Refinancing Debt</w:t>
      </w:r>
      <w:r>
        <w:rPr>
          <w:rFonts w:ascii="Times New Roman;Times;Serif" w:hAnsi="Times New Roman;Times;Serif"/>
          <w:b w:val="false"/>
          <w:i w:val="false"/>
          <w:caps w:val="false"/>
          <w:smallCaps w:val="false"/>
          <w:sz w:val="20"/>
        </w:rPr>
        <w:t>” shall mean the extension of maturity, refinancing or modification of the terms of Debt so long 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such extension, refinancing or modification does not result in a shortening of the average weighted maturity (measured as of the extension, refinancing or modification) of the Debt so extended, refinanced or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interest rate, original issue discount and other related economic terms of the Debt being extended, refinanced or modified may be set substantially at the applicable then-prevailing market rate available to the Borrower;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Debt that is extended, refinanced or modified is not recourse to any Credit Party that is liable on account of the obligations other than those Persons which were obligated with respect to the Debt that was refinanced, renewed, or extended.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shall mean all information or data relating to one or more individual(s) that is personally identifying (i.e., data that identifies an individual or, in combination with any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or data, is capable of identifying an individual), including all information or data regulated or protected by one or more federal, state, or foreign data privacy or security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Pledge Agreement(s)</w:t>
      </w:r>
      <w:r>
        <w:rPr>
          <w:rFonts w:ascii="Times New Roman;Times;Serif" w:hAnsi="Times New Roman;Times;Serif"/>
          <w:b w:val="false"/>
          <w:i w:val="false"/>
          <w:caps w:val="false"/>
          <w:smallCaps w:val="false"/>
          <w:sz w:val="20"/>
        </w:rPr>
        <w:t>” shall mean any pledge agreement executed and delivered from time to time after the Original Effective Date by the Borrower or a Guarantor pursuant to Section 6.13 hereof, Section 6.13 of the Original Credit Agreement or otherwise, and any agreements, instruments or documents related thereto, in each case in form and substance satisfactory to the Agent,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Post-Default Rate</w:t>
      </w:r>
      <w:r>
        <w:rPr>
          <w:rFonts w:ascii="Times New Roman;Times;Serif" w:hAnsi="Times New Roman;Times;Serif"/>
          <w:b w:val="false"/>
          <w:i w:val="false"/>
          <w:caps w:val="false"/>
          <w:smallCaps w:val="false"/>
          <w:sz w:val="20"/>
        </w:rPr>
        <w:t>” shall have the meaning specified therefor in Section 2.6(d).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Prepayment Premium</w:t>
      </w:r>
      <w:r>
        <w:rPr>
          <w:rFonts w:ascii="Times New Roman;Times;Serif" w:hAnsi="Times New Roman;Times;Serif"/>
          <w:b w:val="false"/>
          <w:i w:val="false"/>
          <w:caps w:val="false"/>
          <w:smallCaps w:val="false"/>
          <w:sz w:val="20"/>
        </w:rPr>
        <w:t>” shall have the meaning specified therefor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Office</w:t>
      </w:r>
      <w:r>
        <w:rPr>
          <w:rFonts w:ascii="Times New Roman;Times;Serif" w:hAnsi="Times New Roman;Times;Serif"/>
          <w:b w:val="false"/>
          <w:i w:val="false"/>
          <w:caps w:val="false"/>
          <w:smallCaps w:val="false"/>
          <w:sz w:val="20"/>
        </w:rPr>
        <w:t xml:space="preserve">” shall mean the Agent’s “Principal Office” as set forth on </w:t>
      </w:r>
      <w:r>
        <w:rPr>
          <w:rFonts w:ascii="Times New Roman;Times;Serif" w:hAnsi="Times New Roman;Times;Serif"/>
          <w:b w:val="false"/>
          <w:i w:val="false"/>
          <w:caps w:val="false"/>
          <w:smallCaps w:val="false"/>
          <w:sz w:val="20"/>
          <w:u w:val="single"/>
        </w:rPr>
        <w:t>Annex III</w:t>
      </w:r>
      <w:r>
        <w:rPr>
          <w:rFonts w:ascii="Times New Roman;Times;Serif" w:hAnsi="Times New Roman;Times;Serif"/>
          <w:b w:val="false"/>
          <w:i w:val="false"/>
          <w:caps w:val="false"/>
          <w:smallCaps w:val="false"/>
          <w:sz w:val="20"/>
        </w:rPr>
        <w:t>, or such other office as the Agent may from time to time designate in writing to the Borrower and each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Forma Projected Financial Information</w:t>
      </w:r>
      <w:r>
        <w:rPr>
          <w:rFonts w:ascii="Times New Roman;Times;Serif" w:hAnsi="Times New Roman;Times;Serif"/>
          <w:b w:val="false"/>
          <w:i w:val="false"/>
          <w:caps w:val="false"/>
          <w:smallCaps w:val="false"/>
          <w:sz w:val="20"/>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 Rata Share</w:t>
      </w:r>
      <w:r>
        <w:rPr>
          <w:rFonts w:ascii="Times New Roman;Times;Serif" w:hAnsi="Times New Roman;Times;Serif"/>
          <w:b w:val="false"/>
          <w:i w:val="false"/>
          <w:caps w:val="false"/>
          <w:smallCaps w:val="false"/>
          <w:sz w:val="20"/>
        </w:rPr>
        <w:t>” shall mean (a) with respect to all payments, computations, and other matters relating solely to Incremental Term Loan Commitments or Incremental Term Loans, the percentage obtained by dividing (i) the Incremental Term Loan Exposure of that Lender, by (ii) the aggregate Incremental Term Loan Exposure of all Lenders and (b) for all other purposes with respect to each Lender, the percentage obtained by dividing (i) an amount equal to the sum of the Term Loan Exposure and the Incremental Term Loan Exposure of that Lender, by (ii) an amount equal to the sum of the aggregate Term Loan Exposure and the aggregate Incremental Term Loan Exposure of all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Process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Processing</w:t>
      </w:r>
      <w:r>
        <w:rPr>
          <w:rFonts w:ascii="Times New Roman;Times;Serif" w:hAnsi="Times New Roman;Times;Serif"/>
          <w:b w:val="false"/>
          <w:i w:val="false"/>
          <w:caps w:val="false"/>
          <w:smallCaps w:val="false"/>
          <w:sz w:val="20"/>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and Sale Agreement</w:t>
      </w:r>
      <w:r>
        <w:rPr>
          <w:rFonts w:ascii="Times New Roman;Times;Serif" w:hAnsi="Times New Roman;Times;Serif"/>
          <w:b w:val="false"/>
          <w:i w:val="false"/>
          <w:caps w:val="false"/>
          <w:smallCaps w:val="false"/>
          <w:sz w:val="20"/>
        </w:rPr>
        <w:t>” shall mean that certain Debt and Equity Purchase Agreement, dated as of August 20, 2025, by and among CHS Investments, STORY3, Nexus, the Agent and the Borrower, as amended, restated, amended and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Rating Agency</w:t>
      </w:r>
      <w:r>
        <w:rPr>
          <w:rFonts w:ascii="Times New Roman;Times;Serif" w:hAnsi="Times New Roman;Times;Serif"/>
          <w:b w:val="false"/>
          <w:i w:val="false"/>
          <w:caps w:val="false"/>
          <w:smallCaps w:val="false"/>
          <w:sz w:val="20"/>
        </w:rPr>
        <w:t>” shall mean Moody’s Investor Services, Inc., Standard and Poor’s Ratings Services, their respective successors or any other nationally recognized statistical rating organization which is acceptable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Reaffirmation Agreement</w:t>
      </w:r>
      <w:r>
        <w:rPr>
          <w:rFonts w:ascii="Times New Roman;Times;Serif" w:hAnsi="Times New Roman;Times;Serif"/>
          <w:b w:val="false"/>
          <w:i w:val="false"/>
          <w:caps w:val="false"/>
          <w:smallCaps w:val="false"/>
          <w:sz w:val="20"/>
        </w:rPr>
        <w:t>” means that certain Reaffirmation Agreement, dated as of the Restatement Date, made by the Credit Parties in favor of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Recipient</w:t>
      </w:r>
      <w:r>
        <w:rPr>
          <w:rFonts w:ascii="Times New Roman;Times;Serif" w:hAnsi="Times New Roman;Times;Serif"/>
          <w:b w:val="false"/>
          <w:i w:val="false"/>
          <w:caps w:val="false"/>
          <w:smallCaps w:val="false"/>
          <w:sz w:val="20"/>
        </w:rPr>
        <w:t>” shall mean (a) the Agent and (b) any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w:t>
      </w:r>
      <w:r>
        <w:rPr>
          <w:rFonts w:ascii="Times New Roman;Times;Serif" w:hAnsi="Times New Roman;Times;Serif"/>
          <w:b w:val="false"/>
          <w:i w:val="false"/>
          <w:caps w:val="false"/>
          <w:smallCaps w:val="false"/>
          <w:sz w:val="20"/>
        </w:rPr>
        <w:t xml:space="preserve">” means, for any period, the greatest of (a) 2.00% per annum, (b) the Federal Funds Rate plus 0.50% per annum, (c) Adjusted Term SOFR (which rate shall be calculated based upon an Interest Period of three (3) months and shall be determined on a daily basis) plus 1.00% per annum, and (d) the rate last quoted by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as the “Prime Rate” in the United States or, if </w:t>
      </w:r>
      <w:r>
        <w:rPr>
          <w:rFonts w:ascii="Times New Roman;Times;Serif" w:hAnsi="Times New Roman;Times;Serif"/>
          <w:b w:val="false"/>
          <w:i w:val="false"/>
          <w:caps w:val="false"/>
          <w:smallCaps w:val="false"/>
          <w:sz w:val="20"/>
          <w:u w:val="single"/>
        </w:rPr>
        <w:t>The Wall Street Journal</w:t>
      </w:r>
      <w:r>
        <w:rPr>
          <w:rFonts w:ascii="Times New Roman;Times;Serif" w:hAnsi="Times New Roman;Times;Serif"/>
          <w:b w:val="false"/>
          <w:i w:val="false"/>
          <w:caps w:val="false"/>
          <w:smallCaps w:val="false"/>
          <w:sz w:val="20"/>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 Loan</w:t>
      </w:r>
      <w:r>
        <w:rPr>
          <w:rFonts w:ascii="Times New Roman;Times;Serif" w:hAnsi="Times New Roman;Times;Serif"/>
          <w:b w:val="false"/>
          <w:i w:val="false"/>
          <w:caps w:val="false"/>
          <w:smallCaps w:val="false"/>
          <w:sz w:val="20"/>
        </w:rPr>
        <w:t>” shall mean each portion of a Loan that bears interest at a rate determined by reference to the Reference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Rate Term SOFR Determination Day</w:t>
      </w:r>
      <w:r>
        <w:rPr>
          <w:rFonts w:ascii="Times New Roman;Times;Serif" w:hAnsi="Times New Roman;Times;Serif"/>
          <w:b w:val="false"/>
          <w:i w:val="false"/>
          <w:caps w:val="false"/>
          <w:smallCaps w:val="false"/>
          <w:sz w:val="20"/>
        </w:rPr>
        <w:t>” has the meaning specified therefor in the definition of “Term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shall have the meaning specified therefor in Section 12.7(h).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Regulation X</w:t>
      </w:r>
      <w:r>
        <w:rPr>
          <w:rFonts w:ascii="Times New Roman;Times;Serif" w:hAnsi="Times New Roman;Times;Serif"/>
          <w:b w:val="false"/>
          <w:i w:val="false"/>
          <w:caps w:val="false"/>
          <w:smallCaps w:val="false"/>
          <w:sz w:val="20"/>
        </w:rPr>
        <w:t>” mean, respectively, Regulations T, U and X of the Board or any successor, as the same may be amended or supplemented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Reinvestment Amounts</w:t>
      </w:r>
      <w:r>
        <w:rPr>
          <w:rFonts w:ascii="Times New Roman;Times;Serif" w:hAnsi="Times New Roman;Times;Serif"/>
          <w:b w:val="false"/>
          <w:i w:val="false"/>
          <w:caps w:val="false"/>
          <w:smallCaps w:val="false"/>
          <w:sz w:val="20"/>
        </w:rPr>
        <w:t>” shall have the meaning specified therefor in Section 2.8(a).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means, with respect to any Person, an Affiliate of such Person, or a fund or account managed by such Person or an Affiliate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shall have the meaning specified therefor in Section 12.11.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Compliance Event</w:t>
      </w:r>
      <w:r>
        <w:rPr>
          <w:rFonts w:ascii="Times New Roman;Times;Serif" w:hAnsi="Times New Roman;Times;Serif"/>
          <w:b w:val="false"/>
          <w:i w:val="false"/>
          <w:caps w:val="false"/>
          <w:smallCaps w:val="false"/>
          <w:sz w:val="20"/>
        </w:rPr>
        <w:t>” shall mean that any Covered Entity becomes a Sanctioned Person, or is indicted, arraigned, investigated or custodially detained, or receives an inquiry 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Event</w:t>
      </w:r>
      <w:r>
        <w:rPr>
          <w:rFonts w:ascii="Times New Roman;Times;Serif" w:hAnsi="Times New Roman;Times;Serif"/>
          <w:b w:val="false"/>
          <w:i w:val="false"/>
          <w:caps w:val="false"/>
          <w:smallCaps w:val="false"/>
          <w:sz w:val="20"/>
        </w:rPr>
        <w:t>” shall mean an event described in Section 4043 of ERISA (other than an event not subject to the provision for 30-day notice to the PBGC under the regulations promulgated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Request for Loan</w:t>
      </w:r>
      <w:r>
        <w:rPr>
          <w:rFonts w:ascii="Times New Roman;Times;Serif" w:hAnsi="Times New Roman;Times;Serif"/>
          <w:b w:val="false"/>
          <w:i w:val="false"/>
          <w:caps w:val="false"/>
          <w:smallCaps w:val="false"/>
          <w:sz w:val="20"/>
        </w:rPr>
        <w:t>” shall mean a request for a Loan issued by the Borrower under Section 2.3 in the form attached hereto as Exhibit 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Prepayment Date</w:t>
      </w:r>
      <w:r>
        <w:rPr>
          <w:rFonts w:ascii="Times New Roman;Times;Serif" w:hAnsi="Times New Roman;Times;Serif"/>
          <w:b w:val="false"/>
          <w:i w:val="false"/>
          <w:caps w:val="false"/>
          <w:smallCaps w:val="false"/>
          <w:sz w:val="20"/>
        </w:rPr>
        <w:t>” shall have the meaning specified therefor in Section 2.9(b).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Requirement of Law</w:t>
      </w:r>
      <w:r>
        <w:rPr>
          <w:rFonts w:ascii="Times New Roman;Times;Serif" w:hAnsi="Times New Roman;Times;Serif"/>
          <w:b w:val="false"/>
          <w:i w:val="false"/>
          <w:caps w:val="false"/>
          <w:smallCaps w:val="false"/>
          <w:sz w:val="20"/>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shall mean, with respect to any Person, the chief executive officer, chief financial officer, treasurer, president, secretary or controller of such Person or any other officer of such Person having substantially the same authority and responsibility.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w:t>
      </w:r>
      <w:r>
        <w:rPr>
          <w:rFonts w:ascii="Times New Roman;Times;Serif" w:hAnsi="Times New Roman;Times;Serif"/>
          <w:b w:val="false"/>
          <w:i w:val="false"/>
          <w:caps w:val="false"/>
          <w:smallCaps w:val="false"/>
          <w:sz w:val="20"/>
        </w:rPr>
        <w:t>” shall mean the date on which all the conditions precedent set forth in Sections 4.1 and 4.2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Assignees</w:t>
      </w:r>
      <w:r>
        <w:rPr>
          <w:rFonts w:ascii="Times New Roman;Times;Serif" w:hAnsi="Times New Roman;Times;Serif"/>
          <w:b w:val="false"/>
          <w:i w:val="false"/>
          <w:caps w:val="false"/>
          <w:smallCaps w:val="false"/>
          <w:sz w:val="20"/>
        </w:rPr>
        <w:t>” shall mean each of STORY3, Nexus and any of their respective Affiliates and Related Funds that are assigned Term Loans pursuant to the Restatement Date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Assignment</w:t>
      </w:r>
      <w:r>
        <w:rPr>
          <w:rFonts w:ascii="Times New Roman;Times;Serif" w:hAnsi="Times New Roman;Times;Serif"/>
          <w:b w:val="false"/>
          <w:i w:val="false"/>
          <w:caps w:val="false"/>
          <w:smallCaps w:val="false"/>
          <w:sz w:val="20"/>
        </w:rPr>
        <w:t>” shall have the meaning specified therefor in the recitals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Term Loan</w:t>
      </w:r>
      <w:r>
        <w:rPr>
          <w:rFonts w:ascii="Times New Roman;Times;Serif" w:hAnsi="Times New Roman;Times;Serif"/>
          <w:b w:val="false"/>
          <w:i w:val="false"/>
          <w:caps w:val="false"/>
          <w:smallCaps w:val="false"/>
          <w:sz w:val="20"/>
        </w:rPr>
        <w:t>” shall mean a term loan made by a Lender to the Borrower pursuant to Section 2.1(c) or all of the term loans made by the Lenders to the Borrower pursuant to Section 2.1(c), as the context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Term Loan Commitment</w:t>
      </w:r>
      <w:r>
        <w:rPr>
          <w:rFonts w:ascii="Times New Roman;Times;Serif" w:hAnsi="Times New Roman;Times;Serif"/>
          <w:b w:val="false"/>
          <w:i w:val="false"/>
          <w:caps w:val="false"/>
          <w:smallCaps w:val="false"/>
          <w:sz w:val="20"/>
        </w:rPr>
        <w:t>” shall mean the commitment of a Lender to make or otherwise fund a Restatement Date Term Loan and “</w:t>
      </w:r>
      <w:r>
        <w:rPr>
          <w:rFonts w:ascii="Times New Roman;Times;Serif" w:hAnsi="Times New Roman;Times;Serif"/>
          <w:b/>
          <w:i w:val="false"/>
          <w:caps w:val="false"/>
          <w:smallCaps w:val="false"/>
          <w:sz w:val="20"/>
        </w:rPr>
        <w:t>Restatement Date Term Loan Commitments</w:t>
      </w:r>
      <w:r>
        <w:rPr>
          <w:rFonts w:ascii="Times New Roman;Times;Serif" w:hAnsi="Times New Roman;Times;Serif"/>
          <w:b w:val="false"/>
          <w:i w:val="false"/>
          <w:caps w:val="false"/>
          <w:smallCaps w:val="false"/>
          <w:sz w:val="20"/>
        </w:rPr>
        <w:t xml:space="preserve">” shall mean such commitments of all Lenders in the aggregate.  The amount of each Lender’s Restatement Term Loan Commitment, if any, is set forth in Section 2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The aggregate amount of Restatement Term Loan Commitments as of the Restatement Date is $20,000,000.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Restatement Date Transactions</w:t>
      </w:r>
      <w:r>
        <w:rPr>
          <w:rFonts w:ascii="Times New Roman;Times;Serif" w:hAnsi="Times New Roman;Times;Serif"/>
          <w:b w:val="false"/>
          <w:i w:val="false"/>
          <w:caps w:val="false"/>
          <w:smallCaps w:val="false"/>
          <w:sz w:val="20"/>
        </w:rPr>
        <w:t>” has the meaning specified therefor in Section 2.1(c).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shall mean any sanction administered or enforced by the United States Government (including, without limitation, OFAC), the United Nations Security Council, the European Union, Her Majesty’s Treasury or other relevant sanctions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shall mean a country subject to a sanctions program maintained under any Anti-Terrorism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Securities and Exchange Commission or any other similar or successor agency of the Federal government administering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means that certain Second Amendment to Amended and Restated Credit Agreement, dated as of April 1, 2026, by and among the Credit Parties, the Lenders, and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Amendment Effective Date</w:t>
      </w:r>
      <w:r>
        <w:rPr>
          <w:rFonts w:ascii="Times New Roman;Times;Serif" w:hAnsi="Times New Roman;Times;Serif"/>
          <w:b w:val="false"/>
          <w:i w:val="false"/>
          <w:caps w:val="false"/>
          <w:smallCaps w:val="false"/>
          <w:sz w:val="20"/>
        </w:rPr>
        <w:t>” means the “Amendment Effective Date” as set forth in the Second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Agent</w:t>
      </w:r>
      <w:r>
        <w:rPr>
          <w:rFonts w:ascii="Times New Roman;Times;Serif" w:hAnsi="Times New Roman;Times;Serif"/>
          <w:b w:val="false"/>
          <w:i w:val="false"/>
          <w:caps w:val="false"/>
          <w:smallCaps w:val="false"/>
          <w:sz w:val="20"/>
        </w:rPr>
        <w:t>” shall mean the administrative agent and/or collateral agent under the Senior Credit Agreement and its successors and permitted assigns in such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Credit Agreement</w:t>
      </w:r>
      <w:r>
        <w:rPr>
          <w:rFonts w:ascii="Times New Roman;Times;Serif" w:hAnsi="Times New Roman;Times;Serif"/>
          <w:b w:val="false"/>
          <w:i w:val="false"/>
          <w:caps w:val="false"/>
          <w:smallCaps w:val="false"/>
          <w:sz w:val="20"/>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Debt</w:t>
      </w:r>
      <w:r>
        <w:rPr>
          <w:rFonts w:ascii="Times New Roman;Times;Serif" w:hAnsi="Times New Roman;Times;Serif"/>
          <w:b w:val="false"/>
          <w:i w:val="false"/>
          <w:caps w:val="false"/>
          <w:smallCaps w:val="false"/>
          <w:sz w:val="20"/>
        </w:rPr>
        <w:t>” shall mean Debt of the Borrower or any Guarantor under the Senior Loan Documents,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Lenders</w:t>
      </w:r>
      <w:r>
        <w:rPr>
          <w:rFonts w:ascii="Times New Roman;Times;Serif" w:hAnsi="Times New Roman;Times;Serif"/>
          <w:b w:val="false"/>
          <w:i w:val="false"/>
          <w:caps w:val="false"/>
          <w:smallCaps w:val="false"/>
          <w:sz w:val="20"/>
        </w:rPr>
        <w:t>” shall mean the lenders party to the Senior Credit Agreement,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Loan Documents</w:t>
      </w:r>
      <w:r>
        <w:rPr>
          <w:rFonts w:ascii="Times New Roman;Times;Serif" w:hAnsi="Times New Roman;Times;Serif"/>
          <w:b w:val="false"/>
          <w:i w:val="false"/>
          <w:caps w:val="false"/>
          <w:smallCaps w:val="false"/>
          <w:sz w:val="20"/>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shall mean a rate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shall mean the Federal Reserve Bank of New York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Borrowing</w:t>
      </w:r>
      <w:r>
        <w:rPr>
          <w:rFonts w:ascii="Times New Roman;Times;Serif" w:hAnsi="Times New Roman;Times;Serif"/>
          <w:b w:val="false"/>
          <w:i w:val="false"/>
          <w:caps w:val="false"/>
          <w:smallCaps w:val="false"/>
          <w:sz w:val="20"/>
        </w:rPr>
        <w:t>” shall mean, as to any borrowing, the SOFR Loans comprising such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Deadline</w:t>
      </w:r>
      <w:r>
        <w:rPr>
          <w:rFonts w:ascii="Times New Roman;Times;Serif" w:hAnsi="Times New Roman;Times;Serif"/>
          <w:b w:val="false"/>
          <w:i w:val="false"/>
          <w:caps w:val="false"/>
          <w:smallCaps w:val="false"/>
          <w:sz w:val="20"/>
        </w:rPr>
        <w:t>” has the meaning specified therefor in Section 2.12(a).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Loan</w:t>
      </w:r>
      <w:r>
        <w:rPr>
          <w:rFonts w:ascii="Times New Roman;Times;Serif" w:hAnsi="Times New Roman;Times;Serif"/>
          <w:b w:val="false"/>
          <w:i w:val="false"/>
          <w:caps w:val="false"/>
          <w:smallCaps w:val="false"/>
          <w:sz w:val="20"/>
        </w:rPr>
        <w:t>” shall mean a Loan that bears interest at a rate based on Adjusted Term SOFR, other than pursuant to clause (c) of the definition of “Reference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Notice</w:t>
      </w:r>
      <w:r>
        <w:rPr>
          <w:rFonts w:ascii="Times New Roman;Times;Serif" w:hAnsi="Times New Roman;Times;Serif"/>
          <w:b w:val="false"/>
          <w:i w:val="false"/>
          <w:caps w:val="false"/>
          <w:smallCaps w:val="false"/>
          <w:sz w:val="20"/>
        </w:rPr>
        <w:t xml:space="preserve">” shall mean a written notice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Option</w:t>
      </w:r>
      <w:r>
        <w:rPr>
          <w:rFonts w:ascii="Times New Roman;Times;Serif" w:hAnsi="Times New Roman;Times;Serif"/>
          <w:b w:val="false"/>
          <w:i w:val="false"/>
          <w:caps w:val="false"/>
          <w:smallCaps w:val="false"/>
          <w:sz w:val="20"/>
        </w:rPr>
        <w:t>” has the meaning specified therefor in Section 2.12(a).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Solvent</w:t>
      </w:r>
      <w:r>
        <w:rPr>
          <w:rFonts w:ascii="Times New Roman;Times;Serif" w:hAnsi="Times New Roman;Times;Serif"/>
          <w:b w:val="false"/>
          <w:i w:val="false"/>
          <w:caps w:val="false"/>
          <w:smallCaps w:val="false"/>
          <w:sz w:val="20"/>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Representations</w:t>
      </w:r>
      <w:r>
        <w:rPr>
          <w:rFonts w:ascii="Times New Roman;Times;Serif" w:hAnsi="Times New Roman;Times;Serif"/>
          <w:b w:val="false"/>
          <w:i w:val="false"/>
          <w:caps w:val="false"/>
          <w:smallCaps w:val="false"/>
          <w:sz w:val="20"/>
        </w:rPr>
        <w:t>” means those representations and warranties made in Section 5.1 (limited to the existence of each Credit Party under the laws of the state of its incorporation or formation), Section 5.2(i), Section 5.2(ii), Section 5.2(iii) (limited to contravention of the Borrower’s or any Guarantor’s organizational documents), Section 5.2(iv), Section 5.4, Section 5.6, Section 5.7(b), Section 5.9(ii), Section 5.10, Section 5.12, Section 5.22, and Section 5.31.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Subordination Agreement</w:t>
      </w:r>
      <w:r>
        <w:rPr>
          <w:rFonts w:ascii="Times New Roman;Times;Serif" w:hAnsi="Times New Roman;Times;Serif"/>
          <w:b w:val="false"/>
          <w:i w:val="false"/>
          <w:caps w:val="false"/>
          <w:smallCaps w:val="false"/>
          <w:sz w:val="20"/>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Restatement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STORY3</w:t>
      </w:r>
      <w:r>
        <w:rPr>
          <w:rFonts w:ascii="Times New Roman;Times;Serif" w:hAnsi="Times New Roman;Times;Serif"/>
          <w:b w:val="false"/>
          <w:i w:val="false"/>
          <w:caps w:val="false"/>
          <w:smallCaps w:val="false"/>
          <w:sz w:val="20"/>
        </w:rPr>
        <w:t>” shall mean STORY3 Capital Partners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Subordinated Debt Documents</w:t>
      </w:r>
      <w:r>
        <w:rPr>
          <w:rFonts w:ascii="Times New Roman;Times;Serif" w:hAnsi="Times New Roman;Times;Serif"/>
          <w:b w:val="false"/>
          <w:i w:val="false"/>
          <w:caps w:val="false"/>
          <w:smallCaps w:val="false"/>
          <w:sz w:val="20"/>
        </w:rPr>
        <w:t>” shall mean and include any documents evidencing any Subordinated Debt, in each case, as the same may be amended, modified, supplemented or otherwise modified from time to time in compliance with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Subordination Agreements</w:t>
      </w:r>
      <w:r>
        <w:rPr>
          <w:rFonts w:ascii="Times New Roman;Times;Serif" w:hAnsi="Times New Roman;Times;Serif"/>
          <w:b w:val="false"/>
          <w:i w:val="false"/>
          <w:caps w:val="false"/>
          <w:smallCaps w:val="false"/>
          <w:sz w:val="20"/>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Times New Roman;Times;Serif" w:hAnsi="Times New Roman;Times;Serif"/>
          <w:b/>
          <w:i w:val="false"/>
          <w:caps w:val="false"/>
          <w:smallCaps w:val="false"/>
          <w:sz w:val="20"/>
        </w:rPr>
        <w:t>Subordination Agreement</w:t>
      </w:r>
      <w:r>
        <w:rPr>
          <w:rFonts w:ascii="Times New Roman;Times;Serif" w:hAnsi="Times New Roman;Times;Serif"/>
          <w:b w:val="false"/>
          <w:i w:val="false"/>
          <w:caps w:val="false"/>
          <w:smallCaps w:val="false"/>
          <w:sz w:val="20"/>
        </w:rPr>
        <w:t>” shall mean any one of them.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Subsidiary(ies)</w:t>
      </w:r>
      <w:r>
        <w:rPr>
          <w:rFonts w:ascii="Times New Roman;Times;Serif" w:hAnsi="Times New Roman;Times;Serif"/>
          <w:b w:val="false"/>
          <w:i w:val="false"/>
          <w:caps w:val="false"/>
          <w:smallCaps w:val="false"/>
          <w:sz w:val="20"/>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to the contrary herein or the context otherwise requires, Subsidiary(ies) shall refer to the Subsidiary(ies) of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Agent</w:t>
      </w:r>
      <w:r>
        <w:rPr>
          <w:rFonts w:ascii="Times New Roman;Times;Serif" w:hAnsi="Times New Roman;Times;Serif"/>
          <w:b w:val="false"/>
          <w:i w:val="false"/>
          <w:caps w:val="false"/>
          <w:smallCaps w:val="false"/>
          <w:sz w:val="20"/>
        </w:rPr>
        <w:t>” shall have the meaning set forth in Section 11.4(a)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w:t>
      </w:r>
      <w:r>
        <w:rPr>
          <w:rFonts w:ascii="Times New Roman;Times;Serif" w:hAnsi="Times New Roman;Times;Serif"/>
          <w:b w:val="false"/>
          <w:i w:val="false"/>
          <w:caps w:val="false"/>
          <w:smallCaps w:val="false"/>
          <w:sz w:val="20"/>
        </w:rPr>
        <w:t>” shall mean the Exchanged Term Loans, the Restatement Date Term Loans and the Incremental Term Loans (including, without limitation, the Third Amendment Incremental Term Loans), as the context requires (in each case, including any Term Loan PIK Amount,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Cash Option</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2.6(a)(iv)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Commitment</w:t>
      </w:r>
      <w:r>
        <w:rPr>
          <w:rFonts w:ascii="Times New Roman;Times;Serif" w:hAnsi="Times New Roman;Times;Serif"/>
          <w:b w:val="false"/>
          <w:i w:val="false"/>
          <w:caps w:val="false"/>
          <w:smallCaps w:val="false"/>
          <w:sz w:val="20"/>
        </w:rPr>
        <w:t>” shall mean the Restatement Date Term Loan Commitment or any Incremental Term Loan Commitment (including, without limitation, the Third Amendment Incremental Term Loan Commitment) (if any) of a Lender, and “</w:t>
      </w:r>
      <w:r>
        <w:rPr>
          <w:rFonts w:ascii="Times New Roman;Times;Serif" w:hAnsi="Times New Roman;Times;Serif"/>
          <w:b/>
          <w:i w:val="false"/>
          <w:caps w:val="false"/>
          <w:smallCaps w:val="false"/>
          <w:sz w:val="20"/>
        </w:rPr>
        <w:t>Term Loan Commitments</w:t>
      </w:r>
      <w:r>
        <w:rPr>
          <w:rFonts w:ascii="Times New Roman;Times;Serif" w:hAnsi="Times New Roman;Times;Serif"/>
          <w:b w:val="false"/>
          <w:i w:val="false"/>
          <w:caps w:val="false"/>
          <w:smallCaps w:val="false"/>
          <w:sz w:val="20"/>
        </w:rPr>
        <w:t>” shall mean such commitments of all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Exposure</w:t>
      </w:r>
      <w:r>
        <w:rPr>
          <w:rFonts w:ascii="Times New Roman;Times;Serif" w:hAnsi="Times New Roman;Times;Serif"/>
          <w:b w:val="false"/>
          <w:i w:val="false"/>
          <w:caps w:val="false"/>
          <w:smallCaps w:val="false"/>
          <w:sz w:val="20"/>
        </w:rPr>
        <w:t>” shall mean, with respect to any Lender, as of any date of determination, the outstanding principal amount of the Term Loan of such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PIK Amount</w:t>
      </w:r>
      <w:r>
        <w:rPr>
          <w:rFonts w:ascii="Times New Roman;Times;Serif" w:hAnsi="Times New Roman;Times;Serif"/>
          <w:b w:val="false"/>
          <w:i w:val="false"/>
          <w:caps w:val="false"/>
          <w:smallCaps w:val="false"/>
          <w:sz w:val="20"/>
        </w:rPr>
        <w:t xml:space="preserve">” means, as of any date of determination, the amount of all interest accrued with respect to the Term Loan that has been paid in kind by being added to the then outstanding principal amount thereof in accordance with </w:t>
      </w:r>
      <w:r>
        <w:rPr>
          <w:rFonts w:ascii="Times New Roman;Times;Serif" w:hAnsi="Times New Roman;Times;Serif"/>
          <w:b w:val="false"/>
          <w:i w:val="false"/>
          <w:caps w:val="false"/>
          <w:smallCaps w:val="false"/>
          <w:sz w:val="20"/>
          <w:u w:val="single"/>
        </w:rPr>
        <w:t>Section 2.6(a)(iv)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PIK Option</w:t>
      </w:r>
      <w:r>
        <w:rPr>
          <w:rFonts w:ascii="Times New Roman;Times;Serif" w:hAnsi="Times New Roman;Times;Serif"/>
          <w:b w:val="false"/>
          <w:i w:val="false"/>
          <w:caps w:val="false"/>
          <w:smallCaps w:val="false"/>
          <w:sz w:val="20"/>
        </w:rPr>
        <w:t xml:space="preserve">” has the  meaning specified therefor in </w:t>
      </w:r>
      <w:r>
        <w:rPr>
          <w:rFonts w:ascii="Times New Roman;Times;Serif" w:hAnsi="Times New Roman;Times;Serif"/>
          <w:b w:val="false"/>
          <w:i w:val="false"/>
          <w:caps w:val="false"/>
          <w:smallCaps w:val="false"/>
          <w:sz w:val="20"/>
          <w:u w:val="single"/>
        </w:rPr>
        <w:t>Section 2.6(a)(iv)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Loan PIK Option Period</w:t>
      </w:r>
      <w:r>
        <w:rPr>
          <w:rFonts w:ascii="Times New Roman;Times;Serif" w:hAnsi="Times New Roman;Times;Serif"/>
          <w:b w:val="false"/>
          <w:i w:val="false"/>
          <w:caps w:val="false"/>
          <w:smallCaps w:val="false"/>
          <w:sz w:val="20"/>
        </w:rPr>
        <w:t>” means the period commencing on the Second Amendment Effective Date and ending on and including May 3,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w:t>
      </w:r>
      <w:r>
        <w:rPr>
          <w:rFonts w:ascii="Times New Roman;Times;Serif" w:hAnsi="Times New Roman;Times;Serif"/>
          <w:b w:val="false"/>
          <w:i w:val="false"/>
          <w:caps w:val="false"/>
          <w:smallCaps w:val="false"/>
          <w:sz w:val="20"/>
        </w:rPr>
        <w:t>” shall mean,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 Reference Rate Loan on any day, the Term SOFR Reference Rate for a tenor of three months on the day (such day, the “</w:t>
      </w:r>
      <w:r>
        <w:rPr>
          <w:rFonts w:ascii="Times New Roman;Times;Serif" w:hAnsi="Times New Roman;Times;Serif"/>
          <w:b w:val="false"/>
          <w:i w:val="false"/>
          <w:caps w:val="false"/>
          <w:smallCaps w:val="false"/>
          <w:sz w:val="20"/>
          <w:u w:val="single"/>
        </w:rPr>
        <w:t>Reference Rate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shall mean CME Group Benchmark Administration Limited (CBA) (or a successor administrator of the Term SOFR Reference Rate selected by the Agent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shall mean the forward-looking term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means that certain Third Amendment to Amended and Restated Credit Agreement, dated as of September 1, 2026, by and among the Borrower, the Lenders (including the Third Amendment Incremental Term Lenders), and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Effective Date</w:t>
      </w:r>
      <w:r>
        <w:rPr>
          <w:rFonts w:ascii="Times New Roman;Times;Serif" w:hAnsi="Times New Roman;Times;Serif"/>
          <w:b w:val="false"/>
          <w:i w:val="false"/>
          <w:caps w:val="false"/>
          <w:smallCaps w:val="false"/>
          <w:sz w:val="20"/>
        </w:rPr>
        <w:t>” means the “Third Amendment Effective Date” as set forth in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Incremental Term Lender</w:t>
      </w:r>
      <w:r>
        <w:rPr>
          <w:rFonts w:ascii="Times New Roman;Times;Serif" w:hAnsi="Times New Roman;Times;Serif"/>
          <w:b w:val="false"/>
          <w:i w:val="false"/>
          <w:caps w:val="false"/>
          <w:smallCaps w:val="false"/>
          <w:sz w:val="20"/>
        </w:rPr>
        <w:t>” means the Lenders with a Third Amendment Incremental Term Loan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Incremental Term Loan</w:t>
      </w:r>
      <w:r>
        <w:rPr>
          <w:rFonts w:ascii="Times New Roman;Times;Serif" w:hAnsi="Times New Roman;Times;Serif"/>
          <w:b w:val="false"/>
          <w:i w:val="false"/>
          <w:caps w:val="false"/>
          <w:smallCaps w:val="false"/>
          <w:sz w:val="20"/>
        </w:rPr>
        <w:t xml:space="preserve">” means a term loan made by the Lenders on the Third Amendment Effective Date to the Borrower pursuant to </w:t>
      </w:r>
      <w:r>
        <w:rPr>
          <w:rFonts w:ascii="Times New Roman;Times;Serif" w:hAnsi="Times New Roman;Times;Serif"/>
          <w:b/>
          <w:i w:val="false"/>
          <w:caps w:val="false"/>
          <w:smallCaps w:val="false"/>
          <w:sz w:val="20"/>
          <w:u w:val="single"/>
        </w:rPr>
        <w:t>Section 2.1(d)</w:t>
      </w:r>
      <w:r>
        <w:rPr>
          <w:rFonts w:ascii="Times New Roman;Times;Serif" w:hAnsi="Times New Roman;Times;Serif"/>
          <w:b w:val="false"/>
          <w:i w:val="false"/>
          <w:caps w:val="false"/>
          <w:smallCaps w:val="false"/>
          <w:sz w:val="20"/>
        </w:rPr>
        <w:t xml:space="preserve"> and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Amendment Incremental Term Loan Commitment</w:t>
      </w:r>
      <w:r>
        <w:rPr>
          <w:rFonts w:ascii="Times New Roman;Times;Serif" w:hAnsi="Times New Roman;Times;Serif"/>
          <w:b w:val="false"/>
          <w:i w:val="false"/>
          <w:caps w:val="false"/>
          <w:smallCaps w:val="false"/>
          <w:sz w:val="20"/>
        </w:rPr>
        <w:t xml:space="preserve">” means, with respect to any Lender, its obligation to make its portion of the Third Amendment Incremental Term Loan to the Borrower in the amount set forth with respect to such Lender on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Third Amendment and “</w:t>
      </w:r>
      <w:r>
        <w:rPr>
          <w:rFonts w:ascii="Times New Roman;Times;Serif" w:hAnsi="Times New Roman;Times;Serif"/>
          <w:b/>
          <w:i w:val="false"/>
          <w:caps w:val="false"/>
          <w:smallCaps w:val="false"/>
          <w:sz w:val="20"/>
        </w:rPr>
        <w:t>Third Amendment Incremental Term Loan Commitments</w:t>
      </w:r>
      <w:r>
        <w:rPr>
          <w:rFonts w:ascii="Times New Roman;Times;Serif" w:hAnsi="Times New Roman;Times;Serif"/>
          <w:b w:val="false"/>
          <w:i w:val="false"/>
          <w:caps w:val="false"/>
          <w:smallCaps w:val="false"/>
          <w:sz w:val="20"/>
        </w:rPr>
        <w:t>” means such commitments of all of the Lenders in respect of the Third Amendment Incremental Term Loans in the aggregate. The aggregate amount of the Third Amendment Incremental Term Loan Commitments as of the Third Amendment Effective Date is $10,000,000.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shall mean the applicable Benchmark Replacement excluding the related Benchmark Replacement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shall mean the Uniform Commercial Code as in effect in any applicable state; provided that, unless specified otherwise or the context otherwise requires, such terms shall refer to the Uniform Commercial Code as in effect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shall mean an individual unit (i.e., wardrobe and similar merchandise) owned by the Borrower and currently available for rent or held for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Person</w:t>
      </w:r>
      <w:r>
        <w:rPr>
          <w:rFonts w:ascii="Times New Roman;Times;Serif" w:hAnsi="Times New Roman;Times;Serif"/>
          <w:b w:val="false"/>
          <w:i w:val="false"/>
          <w:caps w:val="false"/>
          <w:smallCaps w:val="false"/>
          <w:sz w:val="20"/>
        </w:rPr>
        <w:t>” shall mean any Person that is a “United States Person” as defined in Section 7701(a)(30) of the Internal Revenue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Tax Compliance Certificate</w:t>
      </w:r>
      <w:r>
        <w:rPr>
          <w:rFonts w:ascii="Times New Roman;Times;Serif" w:hAnsi="Times New Roman;Times;Serif"/>
          <w:b w:val="false"/>
          <w:i w:val="false"/>
          <w:caps w:val="false"/>
          <w:smallCaps w:val="false"/>
          <w:sz w:val="20"/>
        </w:rPr>
        <w:t>” shall have the meaning specified therefor in Section 12.12.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shall have the meaning specified therefor in Section 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Waivable Mandatory Prepayment” </w:t>
      </w:r>
      <w:r>
        <w:rPr>
          <w:rFonts w:ascii="Times New Roman;Times;Serif" w:hAnsi="Times New Roman;Times;Serif"/>
          <w:b w:val="false"/>
          <w:i w:val="false"/>
          <w:caps w:val="false"/>
          <w:smallCaps w:val="false"/>
          <w:sz w:val="20"/>
        </w:rPr>
        <w:t>shall have the meaning specified therefor in Section 2.9(b).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shall mean any Credit Party and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Other Interpretive Provisions</w:t>
      </w:r>
      <w:r>
        <w:rPr>
          <w:rFonts w:ascii="Times New Roman;Times;Serif" w:hAnsi="Times New Roman;Times;Serif"/>
          <w:b w:val="false"/>
          <w:i w:val="false"/>
          <w:caps w:val="false"/>
          <w:smallCaps w:val="false"/>
          <w:sz w:val="20"/>
        </w:rPr>
        <w:t>.  With reference to this Agreement and each other Loan Document, unless otherwise specified herein or in such other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includes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shall be deemed to be followed by the phrase “</w:t>
      </w:r>
      <w:r>
        <w:rPr>
          <w:rFonts w:ascii="Times New Roman;Times;Serif" w:hAnsi="Times New Roman;Times;Serif"/>
          <w:b w:val="false"/>
          <w:i w:val="false"/>
          <w:caps w:val="false"/>
          <w:smallCaps w:val="false"/>
          <w:sz w:val="20"/>
          <w:u w:val="single"/>
        </w:rPr>
        <w:t>without limitation</w:t>
      </w:r>
      <w:r>
        <w:rPr>
          <w:rFonts w:ascii="Times New Roman;Times;Serif" w:hAnsi="Times New Roman;Times;Serif"/>
          <w:b w:val="false"/>
          <w:i w:val="false"/>
          <w:caps w:val="false"/>
          <w:smallCaps w:val="false"/>
          <w:sz w:val="20"/>
        </w:rPr>
        <w:t>.”  The word “</w:t>
      </w:r>
      <w:r>
        <w:rPr>
          <w:rFonts w:ascii="Times New Roman;Times;Serif" w:hAnsi="Times New Roman;Times;Serif"/>
          <w:b w:val="false"/>
          <w:i w:val="false"/>
          <w:caps w:val="false"/>
          <w:smallCaps w:val="false"/>
          <w:sz w:val="20"/>
          <w:u w:val="single"/>
        </w:rPr>
        <w:t>will</w:t>
      </w:r>
      <w:r>
        <w:rPr>
          <w:rFonts w:ascii="Times New Roman;Times;Serif" w:hAnsi="Times New Roman;Times;Serif"/>
          <w:b w:val="false"/>
          <w:i w:val="false"/>
          <w:caps w:val="false"/>
          <w:smallCaps w:val="false"/>
          <w:sz w:val="20"/>
        </w:rPr>
        <w:t>” shall be construed to have the same meaning and effect as the word “</w:t>
      </w:r>
      <w:r>
        <w:rPr>
          <w:rFonts w:ascii="Times New Roman;Times;Serif" w:hAnsi="Times New Roman;Times;Serif"/>
          <w:b w:val="false"/>
          <w:i w:val="false"/>
          <w:caps w:val="false"/>
          <w:smallCaps w:val="false"/>
          <w:sz w:val="20"/>
          <w:u w:val="single"/>
        </w:rPr>
        <w:t>shall</w:t>
      </w:r>
      <w:r>
        <w:rPr>
          <w:rFonts w:ascii="Times New Roman;Times;Serif" w:hAnsi="Times New Roman;Times;Serif"/>
          <w:b w:val="false"/>
          <w:i w:val="false"/>
          <w:caps w:val="false"/>
          <w:smallCaps w:val="false"/>
          <w:sz w:val="20"/>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Times;Serif" w:hAnsi="Times New Roman;Times;Serif"/>
          <w:b w:val="false"/>
          <w:i w:val="false"/>
          <w:caps w:val="false"/>
          <w:smallCaps w:val="false"/>
          <w:sz w:val="20"/>
          <w:u w:val="single"/>
        </w:rPr>
        <w:t>asset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shall be construed to have the same meaning and effect and to refer to any and all tangible and intangible assets and properties, including cash, securities, accounts and contract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computation of periods of time from a specified date to a later specified date, the word “</w:t>
      </w:r>
      <w:r>
        <w:rPr>
          <w:rFonts w:ascii="Times New Roman;Times;Serif" w:hAnsi="Times New Roman;Times;Serif"/>
          <w:b w:val="false"/>
          <w:i w:val="false"/>
          <w:caps w:val="false"/>
          <w:smallCaps w:val="false"/>
          <w:sz w:val="20"/>
          <w:u w:val="single"/>
        </w:rPr>
        <w:t>from</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from and including</w:t>
      </w:r>
      <w:r>
        <w:rPr>
          <w:rFonts w:ascii="Times New Roman;Times;Serif" w:hAnsi="Times New Roman;Times;Serif"/>
          <w:b w:val="false"/>
          <w:i w:val="false"/>
          <w:caps w:val="false"/>
          <w:smallCaps w:val="false"/>
          <w:sz w:val="20"/>
        </w:rPr>
        <w:t>;” the words “</w:t>
      </w:r>
      <w:r>
        <w:rPr>
          <w:rFonts w:ascii="Times New Roman;Times;Serif" w:hAnsi="Times New Roman;Times;Serif"/>
          <w:b w:val="false"/>
          <w:i w:val="false"/>
          <w:caps w:val="false"/>
          <w:smallCaps w:val="false"/>
          <w:sz w:val="20"/>
          <w:u w:val="single"/>
        </w:rPr>
        <w:t>to</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until</w:t>
      </w:r>
      <w:r>
        <w:rPr>
          <w:rFonts w:ascii="Times New Roman;Times;Serif" w:hAnsi="Times New Roman;Times;Serif"/>
          <w:b w:val="false"/>
          <w:i w:val="false"/>
          <w:caps w:val="false"/>
          <w:smallCaps w:val="false"/>
          <w:sz w:val="20"/>
        </w:rPr>
        <w:t>” each mean “</w:t>
      </w:r>
      <w:r>
        <w:rPr>
          <w:rFonts w:ascii="Times New Roman;Times;Serif" w:hAnsi="Times New Roman;Times;Serif"/>
          <w:b w:val="false"/>
          <w:i w:val="false"/>
          <w:caps w:val="false"/>
          <w:smallCaps w:val="false"/>
          <w:sz w:val="20"/>
          <w:u w:val="single"/>
        </w:rPr>
        <w:t>to but excluding</w:t>
      </w:r>
      <w:r>
        <w:rPr>
          <w:rFonts w:ascii="Times New Roman;Times;Serif" w:hAnsi="Times New Roman;Times;Serif"/>
          <w:b w:val="false"/>
          <w:i w:val="false"/>
          <w:caps w:val="false"/>
          <w:smallCaps w:val="false"/>
          <w:sz w:val="20"/>
        </w:rPr>
        <w:t>;” and the word “</w:t>
      </w:r>
      <w:r>
        <w:rPr>
          <w:rFonts w:ascii="Times New Roman;Times;Serif" w:hAnsi="Times New Roman;Times;Serif"/>
          <w:b w:val="false"/>
          <w:i w:val="false"/>
          <w:caps w:val="false"/>
          <w:smallCaps w:val="false"/>
          <w:sz w:val="20"/>
          <w:u w:val="single"/>
        </w:rPr>
        <w:t>through</w:t>
      </w:r>
      <w:r>
        <w:rPr>
          <w:rFonts w:ascii="Times New Roman;Times;Serif" w:hAnsi="Times New Roman;Times;Serif"/>
          <w:b w:val="false"/>
          <w:i w:val="false"/>
          <w:caps w:val="false"/>
          <w:smallCaps w:val="false"/>
          <w:sz w:val="20"/>
        </w:rPr>
        <w:t>” means “</w:t>
      </w:r>
      <w:r>
        <w:rPr>
          <w:rFonts w:ascii="Times New Roman;Times;Serif" w:hAnsi="Times New Roman;Times;Serif"/>
          <w:b w:val="false"/>
          <w:i w:val="false"/>
          <w:caps w:val="false"/>
          <w:smallCaps w:val="false"/>
          <w:sz w:val="20"/>
          <w:u w:val="single"/>
        </w:rPr>
        <w:t>to and including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Section headings herein and in the other Loan Documents are included for convenience of reference only and shall not affect the interpretation of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reference herein or in any other Loan Document to the satisfaction, repayment, or payment in full of the Indebtedness shall mean the repayment in Dollars in full in cash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available funds of all of the Indebtedness (including the Prepayment Premium) other than unasserted contingent indemnification obligations.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 Document as having been created in favor of the Agent, any agreement 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 (ii) 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Accounting Terms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Generally</w:t>
      </w:r>
      <w:r>
        <w:rPr>
          <w:rFonts w:ascii="Times New Roman;Times;Serif" w:hAnsi="Times New Roman;Times;Serif"/>
          <w:b w:val="false"/>
          <w:i w:val="false"/>
          <w:caps w:val="false"/>
          <w:smallCaps w:val="false"/>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Changes in GAAP</w:t>
      </w:r>
      <w:r>
        <w:rPr>
          <w:rFonts w:ascii="Times New Roman;Times;Serif" w:hAnsi="Times New Roman;Times;Serif"/>
          <w:b w:val="false"/>
          <w:i w:val="false"/>
          <w:caps w:val="false"/>
          <w:smallCaps w:val="false"/>
          <w:sz w:val="20"/>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until so amended, (i) such ratio or requirement shall continue to be computed in accordance with GAAP prior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terms used in this Agreement which are defined in Article 8 or Article 9 of the Uniform Commercial Code as in effect from time to time in the State of New York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Rounding</w:t>
      </w:r>
      <w:r>
        <w:rPr>
          <w:rFonts w:ascii="Times New Roman;Times;Serif" w:hAnsi="Times New Roman;Times;Serif"/>
          <w:b w:val="false"/>
          <w:i w:val="false"/>
          <w:caps w:val="false"/>
          <w:smallCaps w:val="false"/>
          <w:sz w:val="20"/>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Times of Day</w:t>
      </w:r>
      <w:r>
        <w:rPr>
          <w:rFonts w:ascii="Times New Roman;Times;Serif" w:hAnsi="Times New Roman;Times;Serif"/>
          <w:b w:val="false"/>
          <w:i w:val="false"/>
          <w:caps w:val="false"/>
          <w:smallCaps w:val="false"/>
          <w:sz w:val="20"/>
        </w:rPr>
        <w:t>(a).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Senior Loan Documents and Specified Subordination Agreement</w:t>
      </w:r>
      <w:r>
        <w:rPr>
          <w:rFonts w:ascii="Times New Roman;Times;Serif" w:hAnsi="Times New Roman;Times;Serif"/>
          <w:b w:val="false"/>
          <w:i w:val="false"/>
          <w:caps w:val="false"/>
          <w:smallCaps w:val="false"/>
          <w:sz w:val="20"/>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Rates</w:t>
      </w:r>
      <w:r>
        <w:rPr>
          <w:rFonts w:ascii="Times New Roman;Times;Serif" w:hAnsi="Times New Roman;Times;Serif"/>
          <w:b w:val="false"/>
          <w:i w:val="false"/>
          <w:caps w:val="false"/>
          <w:smallCaps w:val="false"/>
          <w:sz w:val="20"/>
        </w:rPr>
        <w:t xml:space="preserve">.  The Agent does not warrant or accept responsibility for, and shall not have any liability with respect to (a) the continuation of, administration of, submission of, calculation of or 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pPr>
            <w:r>
              <w:rPr/>
              <w:t>2.</w:t>
            </w:r>
          </w:p>
        </w:tc>
        <w:tc>
          <w:tcPr>
            <w:tcW w:w="8923" w:type="dxa"/>
            <w:tcBorders/>
            <w:vAlign w:val="center"/>
          </w:tcPr>
          <w:p>
            <w:pPr>
              <w:pStyle w:val="TableContents"/>
              <w:bidi w:val="0"/>
              <w:spacing w:before="0" w:after="283"/>
              <w:jc w:val="left"/>
              <w:rPr/>
            </w:pPr>
            <w:r>
              <w:rPr/>
              <w:t>TERM LOANS.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Restatement Date Transactions; Loans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Interest Capitalization; Debt for Equity Exchange</w:t>
      </w:r>
      <w:r>
        <w:rPr>
          <w:rFonts w:ascii="Times New Roman;Times;Serif" w:hAnsi="Times New Roman;Times;Serif"/>
          <w:b w:val="false"/>
          <w:i w:val="false"/>
          <w:caps w:val="false"/>
          <w:smallCaps w:val="false"/>
          <w:sz w:val="20"/>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Initial Loan Exchange</w:t>
      </w:r>
      <w:r>
        <w:rPr>
          <w:rFonts w:ascii="Times New Roman;Times;Serif" w:hAnsi="Times New Roman;Times;Serif"/>
          <w:b w:val="false"/>
          <w:i w:val="false"/>
          <w:caps w:val="false"/>
          <w:smallCaps w:val="false"/>
          <w:sz w:val="20"/>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Restatement Date Term Loans</w:t>
      </w:r>
      <w:r>
        <w:rPr>
          <w:rFonts w:ascii="Times New Roman;Times;Serif" w:hAnsi="Times New Roman;Times;Serif"/>
          <w:b w:val="false"/>
          <w:i w:val="false"/>
          <w:caps w:val="false"/>
          <w:smallCaps w:val="false"/>
          <w:sz w:val="20"/>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Agent and each Lender hereby acknowledge, confirm and agree that after giving effect to the Debt for Equity Exchange, the Initial Loan Exchange, the Restatement Date Assignment and the funding of the Restatement Date Term Loans (collectively, the “</w:t>
      </w:r>
      <w:r>
        <w:rPr>
          <w:rFonts w:ascii="Times New Roman;Times;Serif" w:hAnsi="Times New Roman;Times;Serif"/>
          <w:b/>
          <w:i w:val="false"/>
          <w:caps w:val="false"/>
          <w:smallCaps w:val="false"/>
          <w:sz w:val="20"/>
        </w:rPr>
        <w:t>Restatement Date Transactions</w:t>
      </w:r>
      <w:r>
        <w:rPr>
          <w:rFonts w:ascii="Times New Roman;Times;Serif" w:hAnsi="Times New Roman;Times;Serif"/>
          <w:b w:val="false"/>
          <w:i w:val="false"/>
          <w:caps w:val="false"/>
          <w:smallCaps w:val="false"/>
          <w:sz w:val="20"/>
        </w:rPr>
        <w:t xml:space="preserve">”), as of the Restatement Date, (i) the aggregate outstanding principal amount of the Term Loans is equal to $120,000,000 and (ii) the principal amount of Term Loans held by each Lender is set forth in Section 3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Third Amendment Incremental Term Loans</w:t>
      </w:r>
      <w:r>
        <w:rPr>
          <w:rFonts w:ascii="Times New Roman;Times;Serif" w:hAnsi="Times New Roman;Times;Serif"/>
          <w:b w:val="false"/>
          <w:i w:val="false"/>
          <w:caps w:val="false"/>
          <w:smallCaps w:val="false"/>
          <w:sz w:val="20"/>
        </w:rPr>
        <w:t>.  Subject to the terms and conditions set forth in the Third Amendment, each Third Amendment Incremental Term Lender severally agrees to make, on the Third Amendment Effective Date, a term loan to the Borrower in an amount equal to such Third Amendment Incremental Term Lender’s Third Amendment Incremental Term Loan Commitment. The Borrower may make only one borrowing under the Third Amendment Incremental Term Loan Commitments which shall be on the Third Amendment Effective Date. Each Third Amendment Incremental Term Lender’s Third Amendment Incremental Term Loan Commitment shall terminate immediately and without further action on the Third Amendment Effective Date after giving effect to the funding of such Third Amendment Incremental Term Loan Commitment, if any,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the Agent and each Lender hereby acknowledge, confirm and agree that after giving effect to the funding of the Third Amendment Incremental Term Loans, as of the Third Amendment Effective Date, (i) the aggregate outstanding principal amount of the Term Loans is equal to $135,314,389.50 and (ii) the principal amount of Term Loans held by each Lender is set forth in Section 4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Term Loan that has been repaid or prepaid may be reborrowed.  All amounts owed hereunder with respect to the Term Loan shall be paid in full no later than the Maturity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Accrual of Interest and Maturity; Evidence of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agrees that, upon written request to the Agent by any Lender, the Borrower will execute and deliver, to such Lender, at the Borrower’s own expense, a Note evidencing the outstanding Loans owing to such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Requests for Loans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With respect to the Third Amendment Incremental Term Loan, the Borrower shall deliver to the Agent a Request for Loan fully executed by an Authorized Signer no later than 2 Business Days prior to the Third Amendment Effective Date (or such shorter period as the Agent may agree in writing in its sole discretion).  Following the Third Amendment Effective Date, whenever the Borrower desires that Lenders make a Term Loan (other than the Restatement Date Term Loan and the Third Amendment Incremental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Request for Loan, once delivered to the Agent, shall not be revocable by the Borrower and shall constitute a certification by the Borrower as of the date thereof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conditions to the making of Loans set forth in Sections 4.1 and/or 4.2, as applicable, of this Agreement have been satisfied, and shall remain satisfied to the date of such Loan (both before and immediately after giving effect to such Loan);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at the time of and after giving effect to the making of such Loan and the application of the proceeds thereof, no Default or Event of Default has occurred and is continuing or would result from the making of the Loan to be made;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Disbursement of Loans</w:t>
      </w:r>
      <w:r>
        <w:rPr>
          <w:rFonts w:ascii="Times New Roman;Times;Serif" w:hAnsi="Times New Roman;Times;Serif"/>
          <w:b w:val="false"/>
          <w:i w:val="false"/>
          <w:caps w:val="false"/>
          <w:smallCaps w:val="false"/>
          <w:sz w:val="20"/>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The Borrower agrees to pay to the Agent all fees payable by it in the Fee Letter in the amounts and at the times specified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Interest Payments; Default Interest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this Agreement, at the option of the Borrower, the Term Loan (including, without limitation, the Term Loan PIK Amount relating thereto)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portion of the Term Loan that is a Reference Rate Loan shall bear interest on the principal amount thereof from time to time outstanding, from the date of the Term Loan until repaid, at a rate per annum equal to the Reference Rate plus the Applicable Margin;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Incremental Term Loans, at the rate set forth in the Joinder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Third Amendment Incremental Term Loan shall constitute part of the Term Loan for all purposes of this Section 2.6;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interest on each Term Loan shall be due and payable in cash, in arrears, on each Interest Payment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solely during the Term Loan PIK Option Period, so long as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has occurred and is continuing, such interest may be paid-in-kind by capitalizing such interest and adding the amount of such capitalized interest to the then outstanding principal amount of the applicable Term Loan (the “</w:t>
      </w:r>
      <w:r>
        <w:rPr>
          <w:rFonts w:ascii="Times New Roman;Times;Serif" w:hAnsi="Times New Roman;Times;Serif"/>
          <w:b/>
          <w:i w:val="false"/>
          <w:caps w:val="false"/>
          <w:smallCaps w:val="false"/>
          <w:sz w:val="20"/>
        </w:rPr>
        <w:t>Term Loan PIK Option</w:t>
      </w:r>
      <w:r>
        <w:rPr>
          <w:rFonts w:ascii="Times New Roman;Times;Serif" w:hAnsi="Times New Roman;Times;Serif"/>
          <w:b w:val="false"/>
          <w:i w:val="false"/>
          <w:caps w:val="false"/>
          <w:smallCaps w:val="false"/>
          <w:sz w:val="20"/>
        </w:rPr>
        <w:t>”). As of the Second Amendment Effective Date, the Borrower has elected to exercise the Term Loan PIK Option with respect to the Term Loans outstanding as of the Second Amendment Effective Date for each Interest Payment Date occurring during the Term Loan PIK Option Period, provided that the Borrower may pay interest in cash on any such Term Loans during the Term Loan PIK Option Period (the “</w:t>
      </w:r>
      <w:r>
        <w:rPr>
          <w:rFonts w:ascii="Times New Roman;Times;Serif" w:hAnsi="Times New Roman;Times;Serif"/>
          <w:b/>
          <w:i w:val="false"/>
          <w:caps w:val="false"/>
          <w:smallCaps w:val="false"/>
          <w:sz w:val="20"/>
        </w:rPr>
        <w:t>Term Loan Cash Option</w:t>
      </w:r>
      <w:r>
        <w:rPr>
          <w:rFonts w:ascii="Times New Roman;Times;Serif" w:hAnsi="Times New Roman;Times;Serif"/>
          <w:b w:val="false"/>
          <w:i w:val="false"/>
          <w:caps w:val="false"/>
          <w:smallCaps w:val="false"/>
          <w:sz w:val="20"/>
        </w:rPr>
        <w:t>”) by providing the Agent with written notice of its election to exercise the Term Loan Cash Option at least fifteen (15) Business Days (or such shorter period as the Agent may agree in writing in its sole discretion) in advance of the applicable Interest Payment Date. If (x) the Borrower has timely delivered notice of its election to exercise the Term Loan Cash Option or (y) an Event of Default has occurred and is continuing on an Interest Payment Date, then, in either case, all interest due and payable on such Interest Payment Date for such Term Loan shall be due and payable in cash and be paid no later than five (5) Business Days after such Interest Payment Date. Any interest to be so capitalized pursuant to this clause (iv) shall be capitalized on each designated Interest Payment Date and added to the then outstanding principal amount of the applicable Term Loan and, thereafter, shall bear interest as provided hereunder as if it had originally been part of the outstanding principal of such Term Loan.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Interest on each Loan shall be payable (i) as set forth in clause (a) above; (ii) upon any prepayment of that Loan, whether voluntary or mandatory, to the extent accrued on the amount of principal being prepaid; and (iii) on the Maturity Date. Whenever any payment under this Section 2.6 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occurrence and during the continuance of an Event of Default, the principal (including the Term Loan PIK Amount)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Times New Roman;Times;Serif" w:hAnsi="Times New Roman;Times;Serif"/>
          <w:b/>
          <w:i w:val="false"/>
          <w:caps w:val="false"/>
          <w:smallCaps w:val="false"/>
          <w:sz w:val="20"/>
        </w:rPr>
        <w:t>Post-Default Rate</w:t>
      </w:r>
      <w:r>
        <w:rPr>
          <w:rFonts w:ascii="Times New Roman;Times;Serif" w:hAnsi="Times New Roman;Times;Serif"/>
          <w:b w:val="false"/>
          <w:i w:val="false"/>
          <w:caps w:val="false"/>
          <w:smallCaps w:val="false"/>
          <w:sz w:val="20"/>
        </w:rPr>
        <w:t>”).  Payment or acceptance of the increased rates of interest provided for in this Section 2.6(d) is not a permitted alternative to timely payment and shall not constitute a waiver of any Event of Default or otherwise prejudice or limit any rights or remedies of the Agent or any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the Specified Subordination Agreement, with respect to the Term Loan, the Borrower may prepay the Term Loan on any Business Day, in whole or in part, in an aggregate minimum amount of $5,000,000 and integral multiples of $1,000,000 in excess of that amount, subject to the payment of the Prepayment Premium to the extent payable in accordance with the terms of the Fee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such prepayments shall be made upon not less than 10 Business Days’ (or such shorter period as the Agent may agree in writing in its sole discretion) prior written notice to the Agent by 10:00 a.m. (New York time) on the date required.  Upon the giving of any such notice,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the Term Loan specified in such notice shall become due and payable on the prepayment date specified therein.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Mandatory 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Asset Sales</w:t>
      </w:r>
      <w:r>
        <w:rPr>
          <w:rFonts w:ascii="Times New Roman;Times;Serif" w:hAnsi="Times New Roman;Times;Serif"/>
          <w:b w:val="false"/>
          <w:i w:val="false"/>
          <w:caps w:val="false"/>
          <w:smallCaps w:val="false"/>
          <w:sz w:val="20"/>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7.4(n)) in excess of $1,000,000 in the aggregate in any Fiscal Year, the Borrower shall prepay the Loans as set forth in Section 2.9(a) in an aggregate amount equal to such Net Cash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so long as (i) no Event of Default shall have occurred and be continuing, (ii) the Borrower has delivered the Agent prior written notice of the Borrower’s intention to apply such monies (the “</w:t>
      </w:r>
      <w:r>
        <w:rPr>
          <w:rFonts w:ascii="Times New Roman;Times;Serif" w:hAnsi="Times New Roman;Times;Serif"/>
          <w:b/>
          <w:i w:val="false"/>
          <w:caps w:val="false"/>
          <w:smallCaps w:val="false"/>
          <w:sz w:val="20"/>
        </w:rPr>
        <w:t>Reinvestment Amounts</w:t>
      </w:r>
      <w:r>
        <w:rPr>
          <w:rFonts w:ascii="Times New Roman;Times;Serif" w:hAnsi="Times New Roman;Times;Serif"/>
          <w:b w:val="false"/>
          <w:i w:val="false"/>
          <w:caps w:val="false"/>
          <w:smallCaps w:val="false"/>
          <w:sz w:val="20"/>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Insurance/Condemnation Proceeds</w:t>
      </w:r>
      <w:r>
        <w:rPr>
          <w:rFonts w:ascii="Times New Roman;Times;Serif" w:hAnsi="Times New Roman;Times;Serif"/>
          <w:b w:val="false"/>
          <w:i w:val="false"/>
          <w:caps w:val="false"/>
          <w:smallCaps w:val="false"/>
          <w:sz w:val="20"/>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Issuance of Debt</w:t>
      </w:r>
      <w:r>
        <w:rPr>
          <w:rFonts w:ascii="Times New Roman;Times;Serif" w:hAnsi="Times New Roman;Times;Serif"/>
          <w:b w:val="false"/>
          <w:i w:val="false"/>
          <w:caps w:val="false"/>
          <w:smallCaps w:val="false"/>
          <w:sz w:val="20"/>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Prepayment Notice and Certificate</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prepayment of the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ratably prepay the principal (including the Term Loan PIK Amount with respect thereto) of the Third Amendment Incremental Term Loan until paid in full;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to ratably prepay the principal (including the Term Loan PIK Amount with respect thereto) of the Term Loan (other than the Third Amendment Incremental Term Loan) until paid in full.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Anything contained herein to the contrary notwithstanding, in the event the Borrower is required to make any mandatory prepayment (a “</w:t>
      </w:r>
      <w:r>
        <w:rPr>
          <w:rFonts w:ascii="Times New Roman;Times;Serif" w:hAnsi="Times New Roman;Times;Serif"/>
          <w:b/>
          <w:i w:val="false"/>
          <w:caps w:val="false"/>
          <w:smallCaps w:val="false"/>
          <w:sz w:val="20"/>
        </w:rPr>
        <w:t>Waivable Mandatory Prepayment</w:t>
      </w:r>
      <w:r>
        <w:rPr>
          <w:rFonts w:ascii="Times New Roman;Times;Serif" w:hAnsi="Times New Roman;Times;Serif"/>
          <w:b w:val="false"/>
          <w:i w:val="false"/>
          <w:caps w:val="false"/>
          <w:smallCaps w:val="false"/>
          <w:sz w:val="20"/>
        </w:rPr>
        <w:t>”) of the Term Loans, not less than three Business Days prior to the date (the “</w:t>
      </w:r>
      <w:r>
        <w:rPr>
          <w:rFonts w:ascii="Times New Roman;Times;Serif" w:hAnsi="Times New Roman;Times;Serif"/>
          <w:b/>
          <w:i w:val="false"/>
          <w:caps w:val="false"/>
          <w:smallCaps w:val="false"/>
          <w:sz w:val="20"/>
        </w:rPr>
        <w:t>Required Prepayment Date</w:t>
      </w:r>
      <w:r>
        <w:rPr>
          <w:rFonts w:ascii="Times New Roman;Times;Serif" w:hAnsi="Times New Roman;Times;Serif"/>
          <w:b w:val="false"/>
          <w:i w:val="false"/>
          <w:caps w:val="false"/>
          <w:smallCaps w:val="false"/>
          <w:sz w:val="20"/>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an Application Event has occurred and is continuing, all payments shall be applied pursuant to Section 9.2.  Nothing contained herein shall modify the provisions of the Fee Letter or Section 9.1(c) regarding the requirement that all prepayments be accompanied by accrued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fees and premiums (including the Prepayment Premium) on the principal amount being prepaid to the date of such prepayment, or any requirement otherwise contained herein to pay all other amounts as the same become due and payable.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Use of Proceeds of Loans</w:t>
      </w:r>
      <w:r>
        <w:rPr>
          <w:rFonts w:ascii="Times New Roman;Times;Serif" w:hAnsi="Times New Roman;Times;Serif"/>
          <w:b w:val="false"/>
          <w:i w:val="false"/>
          <w:caps w:val="false"/>
          <w:smallCaps w:val="false"/>
          <w:sz w:val="20"/>
        </w:rPr>
        <w:t>.  The proceeds of the Restatement Date Term Loan made on the Restatement Date shall be used by the Borrower for general working capital purposes of the Borrower and to pay fees and expenses related to this Agreement and the Restatement Date Transactions. The proceeds of the Third Amendment Incremental Term Loans made on the Third Amendment Effective Date shall be used by the Borrower for working capital and other general corporate purposes of the Borrower and to pay fees and expenses related to the Third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2.11(b), the Borrower may by written notice to Agent elect to request the establishment of one or more Incremental Term Loan commitments (the “</w:t>
      </w:r>
      <w:r>
        <w:rPr>
          <w:rFonts w:ascii="Times New Roman;Times;Serif" w:hAnsi="Times New Roman;Times;Serif"/>
          <w:b/>
          <w:i w:val="false"/>
          <w:caps w:val="false"/>
          <w:smallCaps w:val="false"/>
          <w:sz w:val="20"/>
        </w:rPr>
        <w:t>Incremental Term Loan Commitments</w:t>
      </w:r>
      <w:r>
        <w:rPr>
          <w:rFonts w:ascii="Times New Roman;Times;Serif" w:hAnsi="Times New Roman;Times;Serif"/>
          <w:b w:val="false"/>
          <w:i w:val="false"/>
          <w:caps w:val="false"/>
          <w:smallCaps w:val="false"/>
          <w:sz w:val="20"/>
        </w:rPr>
        <w:t xml:space="preserve">”), in an aggregate amount of up to $10,000,000. After giving effect to the incurrence of the Third Amendment Incremental Term Loans, the Borrower shall have no remaining capacity to incur Incremental Term Loan Commitments and Incremental Term Loans under this Section 2.11;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any optional prepayment of the Third Amendment Incremental Term Loans, such capacity shall be reinstated on a dollar-for-dollar basis in an amount equal to the principal amount of such Third Amendment Incremental Term Loans so prepaid, and upon optional prepayment in full of the Third Amendment Incremental Term Loan, such capacity shall be fully restored. Each such notice shall specify the date (an “</w:t>
      </w:r>
      <w:r>
        <w:rPr>
          <w:rFonts w:ascii="Times New Roman;Times;Serif" w:hAnsi="Times New Roman;Times;Serif"/>
          <w:b/>
          <w:i w:val="false"/>
          <w:caps w:val="false"/>
          <w:smallCaps w:val="false"/>
          <w:sz w:val="20"/>
        </w:rPr>
        <w:t>Increased Amount Date</w:t>
      </w:r>
      <w:r>
        <w:rPr>
          <w:rFonts w:ascii="Times New Roman;Times;Serif" w:hAnsi="Times New Roman;Times;Serif"/>
          <w:b w:val="false"/>
          <w:i w:val="false"/>
          <w:caps w:val="false"/>
          <w:smallCaps w:val="false"/>
          <w:sz w:val="20"/>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Times New Roman;Times;Serif" w:hAnsi="Times New Roman;Times;Serif"/>
          <w:b/>
          <w:i w:val="false"/>
          <w:caps w:val="false"/>
          <w:smallCaps w:val="false"/>
          <w:sz w:val="20"/>
        </w:rPr>
        <w:t>Notice Date</w:t>
      </w:r>
      <w:r>
        <w:rPr>
          <w:rFonts w:ascii="Times New Roman;Times;Serif" w:hAnsi="Times New Roman;Times;Serif"/>
          <w:b w:val="false"/>
          <w:i w:val="false"/>
          <w:caps w:val="false"/>
          <w:smallCaps w:val="false"/>
          <w:sz w:val="20"/>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Incremental Term Loan Commitments shall become effective, as of such Increased Amount Date, subject to the satisfaction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Times New Roman;Times;Serif" w:hAnsi="Times New Roman;Times;Serif"/>
          <w:b/>
          <w:i w:val="false"/>
          <w:caps w:val="false"/>
          <w:smallCaps w:val="false"/>
          <w:sz w:val="20"/>
        </w:rPr>
        <w:t>Incremental Term Loan</w:t>
      </w:r>
      <w:r>
        <w:rPr>
          <w:rFonts w:ascii="Times New Roman;Times;Serif" w:hAnsi="Times New Roman;Times;Serif"/>
          <w:b w:val="false"/>
          <w:i w:val="false"/>
          <w:caps w:val="false"/>
          <w:smallCaps w:val="false"/>
          <w:sz w:val="20"/>
        </w:rPr>
        <w:t>”) in an amount equal to its Incremental Term Loan Commitment and to otherwise evidence such Incremental Term Loan, in form and substance reasonably satisfactory to the Agent (each, a “</w:t>
      </w:r>
      <w:r>
        <w:rPr>
          <w:rFonts w:ascii="Times New Roman;Times;Serif" w:hAnsi="Times New Roman;Times;Serif"/>
          <w:b/>
          <w:i w:val="false"/>
          <w:caps w:val="false"/>
          <w:smallCaps w:val="false"/>
          <w:sz w:val="20"/>
        </w:rPr>
        <w:t>Joinder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shall exist on such Increased Amount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Borrower shall have reached agreement with the lenders making the Incremental Term Loan (the “</w:t>
      </w:r>
      <w:r>
        <w:rPr>
          <w:rFonts w:ascii="Times New Roman;Times;Serif" w:hAnsi="Times New Roman;Times;Serif"/>
          <w:b/>
          <w:i w:val="false"/>
          <w:caps w:val="false"/>
          <w:smallCaps w:val="false"/>
          <w:sz w:val="20"/>
        </w:rPr>
        <w:t>Incremental Term Loan Lenders</w:t>
      </w:r>
      <w:r>
        <w:rPr>
          <w:rFonts w:ascii="Times New Roman;Times;Serif" w:hAnsi="Times New Roman;Times;Serif"/>
          <w:b w:val="false"/>
          <w:i w:val="false"/>
          <w:caps w:val="false"/>
          <w:smallCaps w:val="false"/>
          <w:sz w:val="20"/>
        </w:rPr>
        <w:t>”) with respect to the interest margins applicable to such Incremental Term Loan (which interest margins may be higher than, equal to, or 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Times New Roman;Times;Serif" w:hAnsi="Times New Roman;Times;Serif"/>
          <w:b/>
          <w:i w:val="false"/>
          <w:caps w:val="false"/>
          <w:smallCaps w:val="false"/>
          <w:sz w:val="20"/>
        </w:rPr>
        <w:t>All In Yield</w:t>
      </w:r>
      <w:r>
        <w:rPr>
          <w:rFonts w:ascii="Times New Roman;Times;Serif" w:hAnsi="Times New Roman;Times;Serif"/>
          <w:b w:val="false"/>
          <w:i w:val="false"/>
          <w:caps w:val="false"/>
          <w:smallCaps w:val="false"/>
          <w:sz w:val="20"/>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Times New Roman;Times;Serif" w:hAnsi="Times New Roman;Times;Serif"/>
          <w:b w:val="false"/>
          <w:i w:val="false"/>
          <w:caps w:val="false"/>
          <w:smallCaps w:val="false"/>
          <w:sz w:val="20"/>
          <w:u w:val="single"/>
        </w:rPr>
        <w:t>Excess</w:t>
      </w:r>
      <w:r>
        <w:rPr>
          <w:rFonts w:ascii="Times New Roman;Times;Serif" w:hAnsi="Times New Roman;Times;Serif"/>
          <w:b w:val="false"/>
          <w:i w:val="false"/>
          <w:caps w:val="false"/>
          <w:smallCaps w:val="false"/>
          <w:sz w:val="20"/>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Incremental Term Loan Lender shall make an Incremental Term Loan subject to the satisfaction of each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conditions set forth in Section 4.2 shall have been satisfied on the applicable Credit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such Incremental Term Loan shall be in an aggregate amount of at least $5,000,000 and integral multiples of $1,000,000 above such amount (except, in each case, such minimum amount and integral multiples amount shall not apply when the Borrower uses all of the Incremental Term Loan Commitments available at such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 with the Term Loans, shall not be secured by a Lien on any assets of the Borrower or any Guarantor not constituting Collateral and shall not be guaranteed by any person other than the Guarantors.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may, at any time and from time to time, so long as no Default or Event of Default has occurred and is continuing, elect to have interest on all or a portion of the Loans be charged at a rate of interest based upon Adjusted Term SOFR (the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 by notifying the Agent prior to 11:00 a.m. (New York City time) at least three Business Days prior to (i) the proposed borrowing date of a Loan (as provided in Section 2.3), (ii) 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Times;Serif" w:hAnsi="Times New Roman;Times;Serif"/>
          <w:b w:val="false"/>
          <w:i w:val="false"/>
          <w:caps w:val="false"/>
          <w:smallCaps w:val="false"/>
          <w:sz w:val="20"/>
          <w:u w:val="single"/>
        </w:rPr>
        <w:t>SOFR Deadline</w:t>
      </w:r>
      <w:r>
        <w:rPr>
          <w:rFonts w:ascii="Times New Roman;Times;Serif" w:hAnsi="Times New Roman;Times;Serif"/>
          <w:b w:val="false"/>
          <w:i w:val="false"/>
          <w:caps w:val="false"/>
          <w:smallCaps w:val="false"/>
          <w:sz w:val="20"/>
        </w:rPr>
        <w:t>”).  Notice of the Borrower’s election of the SOFR Option for a permitted portion of the Loans and an Interest Period pursuant to this Section 2.12(a) shall be made by delivery to the Agent of (A)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(i) the first Interest Period for the Term Loans shall commence on the Restatement Date and end on the last Business Day of the Fiscal Quarter in which the Restatement Date occurs (such Interest Period, the “</w:t>
      </w:r>
      <w:r>
        <w:rPr>
          <w:rFonts w:ascii="Times New Roman;Times;Serif" w:hAnsi="Times New Roman;Times;Serif"/>
          <w:b w:val="false"/>
          <w:i w:val="false"/>
          <w:caps w:val="false"/>
          <w:smallCaps w:val="false"/>
          <w:sz w:val="20"/>
          <w:u w:val="single"/>
        </w:rPr>
        <w:t>Stub Period</w:t>
      </w:r>
      <w:r>
        <w:rPr>
          <w:rFonts w:ascii="Times New Roman;Times;Serif" w:hAnsi="Times New Roman;Times;Serif"/>
          <w:b w:val="false"/>
          <w:i w:val="false"/>
          <w:caps w:val="false"/>
          <w:smallCaps w:val="false"/>
          <w:sz w:val="20"/>
        </w:rPr>
        <w:t>”) and (ii) interest that accrues during the Stub Period shall be due and payable on the Interest Payment Date for the immediately succeeding Interest Period after the Stub Period. Notwithstanding anything to the contrary herein, the Third Amendment Incremental Term Loans will initially be SOFR Loans with an Interest Period equal to the unexpired portion of the Interest Period applicable to the Term Loans in effect immediately prior to the Third Amendment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Borrower (i) shall have not more than five (5) SOFR Loans in effect at any given time, and (ii) only may exercise the SOFR Option for SOFR Loans of at least $500,000 and integral multiples of $100,000 in excess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 required actually to match fund any Obligation as to which interest accrues at Adjusted Term SOFR or the Term SOFR Reference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clause (g) below, if on or prior to the first day of any Interest Period for any SOFR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Agent determines (which determination shall be conclusive and binding absent manifest error) that “Adjusted Term SOFR” cannot be determined pursuant to the definition thereof,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Majority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Majority Lenders have provided notice of such determination to the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Agent shall give written notice to the Borrower and to the Lenders as soon as practicable thereafter.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 Loans shall be determined by the Agent without reference to clause (c) of the definition of “Reference Rate” until the Agent revokes such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herein or in any other Loan Document, upon the occurrence of a Benchmark Transition Event, the Agent and the Borrower may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 Tenor, the component of Reference Rate based upon the then-current Benchmark or such tenor for such Benchmark, as applicable, will not be used in any determination of Reference Rate.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attributable to such event, including any loss, cost or expense arising from the liquidation or redeployment of funds or from any fees payable. A 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Impracticability or Illegality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Times New Roman;Times;Serif" w:hAnsi="Times New Roman;Times;Serif"/>
          <w:b w:val="false"/>
          <w:i w:val="false"/>
          <w:caps w:val="false"/>
          <w:smallCaps w:val="false"/>
          <w:sz w:val="20"/>
          <w:u w:val="single"/>
        </w:rPr>
        <w:t>Illegality Notice</w:t>
      </w:r>
      <w:r>
        <w:rPr>
          <w:rFonts w:ascii="Times New Roman;Times;Serif" w:hAnsi="Times New Roman;Times;Serif"/>
          <w:b w:val="false"/>
          <w:i w:val="false"/>
          <w:caps w:val="false"/>
          <w:smallCaps w:val="false"/>
          <w:sz w:val="20"/>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 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obligations of the Credit Parties under this Section 2.14 shall survive the termination of this Agreement and the payment of the Loans and all other amounts payable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48 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07"/>
        <w:gridCol w:w="564"/>
        <w:gridCol w:w="9534"/>
      </w:tblGrid>
      <w:tr>
        <w:trPr/>
        <w:tc>
          <w:tcPr>
            <w:tcW w:w="10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t>3.</w:t>
            </w:r>
          </w:p>
        </w:tc>
        <w:tc>
          <w:tcPr>
            <w:tcW w:w="9534" w:type="dxa"/>
            <w:tcBorders/>
            <w:vAlign w:val="center"/>
          </w:tcPr>
          <w:p>
            <w:pPr>
              <w:pStyle w:val="TableContents"/>
              <w:bidi w:val="0"/>
              <w:spacing w:before="0" w:after="283"/>
              <w:jc w:val="left"/>
              <w:rPr/>
            </w:pPr>
            <w:r>
              <w:rPr/>
              <w:t>[INTENTIONALLY OMITTED].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113"/>
        <w:gridCol w:w="8881"/>
      </w:tblGrid>
      <w:tr>
        <w:trPr/>
        <w:tc>
          <w:tcPr>
            <w:tcW w:w="21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4.</w:t>
            </w:r>
          </w:p>
        </w:tc>
        <w:tc>
          <w:tcPr>
            <w:tcW w:w="8881" w:type="dxa"/>
            <w:tcBorders/>
            <w:vAlign w:val="center"/>
          </w:tcPr>
          <w:p>
            <w:pPr>
              <w:pStyle w:val="TableContents"/>
              <w:bidi w:val="0"/>
              <w:spacing w:before="0" w:after="283"/>
              <w:jc w:val="left"/>
              <w:rPr/>
            </w:pPr>
            <w:r>
              <w:rPr/>
              <w:t>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The effectiveness of this Agreement and the obligations of the Lenders to make the Restatement Date Term Loan pursuant to this Agreement on the Restatement Date are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Notes, this Agreement and the other Loan Documents</w:t>
      </w:r>
      <w:r>
        <w:rPr>
          <w:rFonts w:ascii="Times New Roman;Times;Serif" w:hAnsi="Times New Roman;Times;Serif"/>
          <w:b w:val="false"/>
          <w:i w:val="false"/>
          <w:caps w:val="false"/>
          <w:smallCaps w:val="false"/>
          <w:sz w:val="20"/>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Corporate Authority</w:t>
      </w:r>
      <w:r>
        <w:rPr>
          <w:rFonts w:ascii="Times New Roman;Times;Serif" w:hAnsi="Times New Roman;Times;Serif"/>
          <w:b w:val="false"/>
          <w:i w:val="false"/>
          <w:caps w:val="false"/>
          <w:smallCaps w:val="false"/>
          <w:sz w:val="20"/>
        </w:rPr>
        <w:t>.  The Agent shall have received, from the Borrower and each Guarantor, a certificate of its Secretary, Assistant Secretary or Chief Operating Officer, dated as of the Restatement Date, as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incumbency and signature of the officers or other authorized persons of the Borrower and each Guarantor executing any Loan Document and in the case of the Borrower, the officers who are authorized to execute any Requests for Loan,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copies of such articles of incorporation and bylaws or other constitutional documents of the Borrower and each Guarantor, as in effect on the Restatement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Collateral Documents, Guaranties and other Loan Documents.</w:t>
      </w:r>
      <w:r>
        <w:rPr>
          <w:rFonts w:ascii="Times New Roman;Times;Serif" w:hAnsi="Times New Roman;Times;Serif"/>
          <w:b w:val="false"/>
          <w:i w:val="false"/>
          <w:caps w:val="false"/>
          <w:smallCaps w:val="false"/>
          <w:sz w:val="20"/>
        </w:rPr>
        <w:t>  The Agent shall have received the following documents, each in form and substance satisfactory to the Agent and fully executed by each party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following Collateral Documents, each in form and substance acceptable to the Agent and fully executed by each party thereto and dated as of the Restatement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Reaffirmation Agreement, executed and delivered by the Borrower and each Guarantor;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Perfection Certificate, duly executed by the Borrower;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Security Agreement;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Assignment of Business Interruption Insurance Policy;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 Irish law deed of confirmation in respect of the amended and restated Irish law share charge dated 23 November 2021 between the Borrower and the Agent (the “</w:t>
      </w:r>
      <w:r>
        <w:rPr>
          <w:rFonts w:ascii="Times New Roman;Times;Serif" w:hAnsi="Times New Roman;Times;Serif"/>
          <w:b/>
          <w:i w:val="false"/>
          <w:caps w:val="false"/>
          <w:smallCaps w:val="false"/>
          <w:sz w:val="20"/>
        </w:rPr>
        <w:t>Irish Deed of Confirmation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Fee Letter, executed and delivered by the Agent and the Borrower and dated as of the Restatement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Agent shall have received evidence reasonably satisfactory to it that the Borrower and Guarantors have obtained the insurance policies required by Section 6.5 hereof and that such insurance policies are in full force and effect (subject to Section 4.3 with respect to required endorsements).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Schedules and Exhibits</w:t>
      </w:r>
      <w:r>
        <w:rPr>
          <w:rFonts w:ascii="Times New Roman;Times;Serif" w:hAnsi="Times New Roman;Times;Serif"/>
          <w:b w:val="false"/>
          <w:i w:val="false"/>
          <w:caps w:val="false"/>
          <w:smallCaps w:val="false"/>
          <w:sz w:val="20"/>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Opinions of Counsel</w:t>
      </w:r>
      <w:r>
        <w:rPr>
          <w:rFonts w:ascii="Times New Roman;Times;Serif" w:hAnsi="Times New Roman;Times;Serif"/>
          <w:b w:val="false"/>
          <w:i w:val="false"/>
          <w:caps w:val="false"/>
          <w:smallCaps w:val="false"/>
          <w:sz w:val="20"/>
        </w:rPr>
        <w:t xml:space="preserve">.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 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fail to procure such opinion, the Borrower may cause the delivery of a customary opinion of another nationally recognized firm of counsel in lieu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Payment of Fees</w:t>
      </w:r>
      <w:r>
        <w:rPr>
          <w:rFonts w:ascii="Times New Roman;Times;Serif" w:hAnsi="Times New Roman;Times;Serif"/>
          <w:b w:val="false"/>
          <w:i w:val="false"/>
          <w:caps w:val="false"/>
          <w:smallCaps w:val="false"/>
          <w:sz w:val="20"/>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Borrower shall have delivered to the Lenders and the Agent, in form and substance satisfactory to the 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in form reasonably acceptable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Restatement Date Transactions</w:t>
      </w:r>
      <w:r>
        <w:rPr>
          <w:rFonts w:ascii="Times New Roman;Times;Serif" w:hAnsi="Times New Roman;Times;Serif"/>
          <w:b w:val="false"/>
          <w:i w:val="false"/>
          <w:caps w:val="false"/>
          <w:smallCaps w:val="false"/>
          <w:sz w:val="20"/>
        </w:rPr>
        <w:t>. Each of the transactions set forth in the Exchange Agreement (including, without limitation, the Exchange Transactions (as defined therein)) and the Purchase and Sale Agreement shall have been consummated in accordance with the terms and conditions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The Agent shall have received copies of all Material Contracts described on Schedule 5.18 hereto.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Governmental and Other Approvals</w:t>
      </w:r>
      <w:r>
        <w:rPr>
          <w:rFonts w:ascii="Times New Roman;Times;Serif" w:hAnsi="Times New Roman;Times;Serif"/>
          <w:b w:val="false"/>
          <w:i w:val="false"/>
          <w:caps w:val="false"/>
          <w:smallCaps w:val="false"/>
          <w:sz w:val="20"/>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Closing Certificate</w:t>
      </w:r>
      <w:r>
        <w:rPr>
          <w:rFonts w:ascii="Times New Roman;Times;Serif" w:hAnsi="Times New Roman;Times;Serif"/>
          <w:b w:val="false"/>
          <w:i w:val="false"/>
          <w:caps w:val="false"/>
          <w:smallCaps w:val="false"/>
          <w:sz w:val="20"/>
        </w:rPr>
        <w:t>.  The Agent shall have received a certificate of a Responsible Officer of the Borrower dated the Restatement Date, stating that to the best of his or her respective knowledge after due inquiry, (i) the conditions set forth in Sections 4.2(b) and 4.2(d) have been satisfied; and (ii) since January 31, 2025, no Material Adverse Effect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The Agent shall have received a certificate of the chief financial officer of the Borrower, certifying that the Borrower is Solvent (after giving effect to the making of the Restatement Date Term Loan and the other Restatement Date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Agent and each Lender acknowledge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 Existing Credit Agreement or, if no such form exists, in customary form reasonably acceptable to the Agent;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failure to create or perfect any security interest shall constitute a condition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Conditions to all Loans</w:t>
      </w:r>
      <w:r>
        <w:rPr>
          <w:rFonts w:ascii="Times New Roman;Times;Serif" w:hAnsi="Times New Roman;Times;Serif"/>
          <w:b w:val="false"/>
          <w:i w:val="false"/>
          <w:caps w:val="false"/>
          <w:smallCaps w:val="false"/>
          <w:sz w:val="20"/>
        </w:rPr>
        <w:t>.  The obligations of each Lender to make Loans (including the Restatement Date Term Loan) shall be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shall have received a fully executed Request for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after giving effect to the making of such Loan and the application of the proceeds thereof, (i) except in connection with consummation of the Restatement Date Transactions, no Default or (ii) Event of Default, in each case has occurred and is continuing or would result from the making of the Loan to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 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warranties made in connection with the Restatement Date Transactions under the Loan Documents will be those required to be accurate pursuant to this </w:t>
      </w:r>
      <w:r>
        <w:rPr>
          <w:rFonts w:ascii="Times New Roman;Times;Serif" w:hAnsi="Times New Roman;Times;Serif"/>
          <w:b w:val="false"/>
          <w:i w:val="false"/>
          <w:caps w:val="false"/>
          <w:smallCaps w:val="false"/>
          <w:sz w:val="20"/>
          <w:u w:val="single"/>
        </w:rPr>
        <w:t>clause (d)</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Conditions Subsequent to Effectiveness</w:t>
      </w:r>
      <w:r>
        <w:rPr>
          <w:rFonts w:ascii="Times New Roman;Times;Serif" w:hAnsi="Times New Roman;Times;Serif"/>
          <w:b w:val="false"/>
          <w:i w:val="false"/>
          <w:caps w:val="false"/>
          <w:smallCaps w:val="false"/>
          <w:sz w:val="20"/>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Restatement Date until the date on which such condition subsequent is required to be fulfilled pursuant to this Section 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8"/>
        <w:gridCol w:w="9708"/>
      </w:tblGrid>
      <w:tr>
        <w:trPr/>
        <w:tc>
          <w:tcPr>
            <w:tcW w:w="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5.</w:t>
            </w:r>
          </w:p>
        </w:tc>
        <w:tc>
          <w:tcPr>
            <w:tcW w:w="9708" w:type="dxa"/>
            <w:tcBorders/>
            <w:vAlign w:val="center"/>
          </w:tcPr>
          <w:p>
            <w:pPr>
              <w:pStyle w:val="TableContents"/>
              <w:bidi w:val="0"/>
              <w:spacing w:before="0" w:after="283"/>
              <w:jc w:val="left"/>
              <w:rPr/>
            </w:pPr>
            <w:r>
              <w:rPr/>
              <w:t>REPRESENTATIONS AND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to the Agent and the Lenders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Corporate Authority</w:t>
      </w:r>
      <w:r>
        <w:rPr>
          <w:rFonts w:ascii="Times New Roman;Times;Serif" w:hAnsi="Times New Roman;Times;Serif"/>
          <w:b w:val="false"/>
          <w:i w:val="false"/>
          <w:caps w:val="false"/>
          <w:smallCaps w:val="false"/>
          <w:sz w:val="20"/>
        </w:rPr>
        <w:t>.  Each Credit Party is a corporation (or other business entity) duly organized and existing in good standing under the 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Good Title; Leases; Assets; No Liens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to the extent applicable, has good and valid title (or, in the case of real property, good and marketable title) to all assets owned by it, subject only to the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under Section 7.2 hereof, and each Credit Party has a valid leasehold or interest as a lessee or a licensee in all of its leased real property;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 5.3(b) hereto identifies all of the real property owned or leased, as lessee thereunder, by the Borrower or any Guarantor on the Third Amendment Effective Date, including all warehouse or bailee locations;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Liens on and no financing statements on file with respect to any of the assets owned by the Credit Parties, except for the Liens permitted pursuant to Section 7.2 of this Agreement and any financing statements relating thereto;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 Defaults</w:t>
      </w:r>
      <w:r>
        <w:rPr>
          <w:rFonts w:ascii="Times New Roman;Times;Serif" w:hAnsi="Times New Roman;Times;Serif"/>
          <w:b w:val="false"/>
          <w:i w:val="false"/>
          <w:caps w:val="false"/>
          <w:smallCaps w:val="false"/>
          <w:sz w:val="20"/>
        </w:rPr>
        <w:t>.  No Credit Party is in default under or with respect to any agreement, instrument or undertaking to which is a party or by which it or any of its property is bound which would cause or would reasonably be expected to cause a Material Adverse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Enforceability of Agreement and Loan Documents</w:t>
      </w:r>
      <w:r>
        <w:rPr>
          <w:rFonts w:ascii="Times New Roman;Times;Serif" w:hAnsi="Times New Roman;Times;Serif"/>
          <w:b w:val="false"/>
          <w:i w:val="false"/>
          <w:caps w:val="false"/>
          <w:smallCaps w:val="false"/>
          <w:sz w:val="20"/>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 reorganization, insolvency, fraudulent conveyance, moratorium or similar laws affecting the enforcement of creditor’s rights, generally and by general principles of equity (regardless of whether enforcement is considered in a proceeding in law or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Consents, Approvals and Filings, Etc</w:t>
      </w:r>
      <w:r>
        <w:rPr>
          <w:rFonts w:ascii="Times New Roman;Times;Serif" w:hAnsi="Times New Roman;Times;Serif"/>
          <w:b w:val="false"/>
          <w:i w:val="false"/>
          <w:caps w:val="false"/>
          <w:smallCaps w:val="false"/>
          <w:sz w:val="20"/>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 any attack or threatened attack (in each case in any material respect) by appeal or direct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Agreements Affecting Financial Condition</w:t>
      </w:r>
      <w:r>
        <w:rPr>
          <w:rFonts w:ascii="Times New Roman;Times;Serif" w:hAnsi="Times New Roman;Times;Serif"/>
          <w:b w:val="false"/>
          <w:i w:val="false"/>
          <w:caps w:val="false"/>
          <w:smallCaps w:val="false"/>
          <w:sz w:val="20"/>
        </w:rPr>
        <w:t>.  No Credit Party is party to any agreement or instrument or subject to any charter or other corporate restriction which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No Investment Company or Margin Stock</w:t>
      </w:r>
      <w:r>
        <w:rPr>
          <w:rFonts w:ascii="Times New Roman;Times;Serif" w:hAnsi="Times New Roman;Times;Serif"/>
          <w:b w:val="false"/>
          <w:i w:val="false"/>
          <w:caps w:val="false"/>
          <w:smallCaps w:val="false"/>
          <w:sz w:val="20"/>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 meanings are provided in Regulation T, U and X of the Board of Governors of the Federal Reserve System or any regulations substituted therefore, as from time to time in effect, are used in this paragraph with such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Conditions Affecting Business or Properties</w:t>
      </w:r>
      <w:r>
        <w:rPr>
          <w:rFonts w:ascii="Times New Roman;Times;Serif" w:hAnsi="Times New Roman;Times;Serif"/>
          <w:b w:val="false"/>
          <w:i w:val="false"/>
          <w:caps w:val="false"/>
          <w:smallCaps w:val="false"/>
          <w:sz w:val="20"/>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Environmental and Safety Matters</w:t>
      </w:r>
      <w:r>
        <w:rPr>
          <w:rFonts w:ascii="Times New Roman;Times;Serif" w:hAnsi="Times New Roman;Times;Serif"/>
          <w:b w:val="false"/>
          <w:i w:val="false"/>
          <w:caps w:val="false"/>
          <w:smallCaps w:val="false"/>
          <w:sz w:val="20"/>
        </w:rPr>
        <w:t>.  Except as set forth in Schedules 5.9, 5.10 and 5.15: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facilities and property owned or leased by the Credit Parties are in compliance with all Hazardous Material Laws, except to the extent that any non-compliance could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best knowledge of the Borrower, except as could not reasonably be expected to result in a Material Adverse Effect, there have been no unresolved and outstanding past, and there are no pending or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claims, complaints, notices or requests for information received by any Credit Party with respect to any alleged violation of any Hazardous Material Law,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written complaints, notices or inquiries to any Credit Party regarding potential liability of any Credit Parties under any Hazardous Material Law;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knowledge of the Borrower, no conditions exist at, on or under any property now or previously owned or leased by any Credit Party, in each case which, with the passage of time, or the giving of notice or both, are or would be reasonably likely to give rise to liability under any Hazardous Material Law or create a significant adverse effect on the value of the property, except to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extent that such condition or liability could not reasonably be expected to result in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Except as disclosed on Schedule 5.16 hereto as of the Restatement Date, and thereafter, except as disclosed to the Agent in writing from time to time, no Credit Party has any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Adverse Agreements, Etc</w:t>
      </w:r>
      <w:r>
        <w:rPr>
          <w:rFonts w:ascii="Times New Roman;Times;Serif" w:hAnsi="Times New Roman;Times;Serif"/>
          <w:b w:val="false"/>
          <w:i w:val="false"/>
          <w:caps w:val="false"/>
          <w:smallCaps w:val="false"/>
          <w:sz w:val="20"/>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Credit Party maintains all insurance required by Section 6.5.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31, 2025, no Material Adverse Effect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unrealized or anticipated losses from any present commitment of the Credit Parties which contingent obligations and losses in the aggregate could reasonably be expected to have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5.23            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w:t>
      </w:r>
      <w:r>
        <w:rPr>
          <w:rFonts w:ascii="Times New Roman;Times;Serif" w:hAnsi="Times New Roman;Times;Serif"/>
          <w:b w:val="false"/>
          <w:i w:val="false"/>
          <w:caps w:val="false"/>
          <w:smallCaps w:val="false"/>
          <w:sz w:val="20"/>
          <w:u w:val="single"/>
        </w:rPr>
        <w:t>Corporate Documents and Corporate Existence</w:t>
      </w:r>
      <w:r>
        <w:rPr>
          <w:rFonts w:ascii="Times New Roman;Times;Serif" w:hAnsi="Times New Roman;Times;Serif"/>
          <w:b w:val="false"/>
          <w:i w:val="false"/>
          <w:caps w:val="false"/>
          <w:smallCaps w:val="false"/>
          <w:sz w:val="20"/>
        </w:rPr>
        <w:t xml:space="preserve">.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5.26             </w:t>
      </w:r>
      <w:r>
        <w:rPr>
          <w:rFonts w:ascii="Times New Roman;Times;Serif" w:hAnsi="Times New Roman;Times;Serif"/>
          <w:b w:val="false"/>
          <w:i w:val="false"/>
          <w:caps w:val="false"/>
          <w:smallCaps w:val="false"/>
          <w:sz w:val="20"/>
          <w:u w:val="single"/>
        </w:rPr>
        <w:t>Anti-Money Laundering/Anti-Terrorism</w:t>
      </w:r>
      <w:r>
        <w:rPr>
          <w:rFonts w:ascii="Times New Roman;Times;Serif" w:hAnsi="Times New Roman;Times;Serif"/>
          <w:b w:val="false"/>
          <w:i w:val="false"/>
          <w:caps w:val="false"/>
          <w:smallCaps w:val="false"/>
          <w:sz w:val="20"/>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5.27             </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Neither the Borrower nor any Guarantor is an EEA Financial Institution.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5.28            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Parties and any Person acting for or on behalf of the Credit Parties have complied with all Data Security Requirements, except such non-compliance that could not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5.29             </w:t>
      </w:r>
      <w:r>
        <w:rPr>
          <w:rFonts w:ascii="Times New Roman;Times;Serif" w:hAnsi="Times New Roman;Times;Serif"/>
          <w:b w:val="false"/>
          <w:i w:val="false"/>
          <w:caps w:val="false"/>
          <w:smallCaps w:val="false"/>
          <w:sz w:val="20"/>
          <w:u w:val="single"/>
        </w:rPr>
        <w:t>Inbound Licenses</w:t>
      </w:r>
      <w:r>
        <w:rPr>
          <w:rFonts w:ascii="Times New Roman;Times;Serif" w:hAnsi="Times New Roman;Times;Serif"/>
          <w:b w:val="false"/>
          <w:i w:val="false"/>
          <w:caps w:val="false"/>
          <w:smallCaps w:val="false"/>
          <w:sz w:val="20"/>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5.30            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Loans shall be used in accordance with Section 2.10.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5.31             </w:t>
      </w:r>
      <w:r>
        <w:rPr>
          <w:rFonts w:ascii="Times New Roman;Times;Serif" w:hAnsi="Times New Roman;Times;Serif"/>
          <w:b w:val="false"/>
          <w:i w:val="false"/>
          <w:caps w:val="false"/>
          <w:smallCaps w:val="false"/>
          <w:sz w:val="20"/>
          <w:u w:val="single"/>
        </w:rPr>
        <w:t>Security Documents</w:t>
      </w:r>
      <w:r>
        <w:rPr>
          <w:rFonts w:ascii="Times New Roman;Times;Serif" w:hAnsi="Times New Roman;Times;Serif"/>
          <w:b w:val="false"/>
          <w:i w:val="false"/>
          <w:caps w:val="false"/>
          <w:smallCaps w:val="false"/>
          <w:sz w:val="20"/>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5.32            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5.33             </w:t>
      </w:r>
      <w:r>
        <w:rPr>
          <w:rFonts w:ascii="Times New Roman;Times;Serif" w:hAnsi="Times New Roman;Times;Serif"/>
          <w:b w:val="false"/>
          <w:i w:val="false"/>
          <w:caps w:val="false"/>
          <w:smallCaps w:val="false"/>
          <w:sz w:val="20"/>
          <w:u w:val="single"/>
        </w:rPr>
        <w:t>Technology Security Systems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 “</w:t>
      </w:r>
      <w:r>
        <w:rPr>
          <w:rFonts w:ascii="Times New Roman;Times;Serif" w:hAnsi="Times New Roman;Times;Serif"/>
          <w:b w:val="false"/>
          <w:i w:val="false"/>
          <w:caps w:val="false"/>
          <w:smallCaps w:val="false"/>
          <w:sz w:val="20"/>
          <w:u w:val="single"/>
        </w:rPr>
        <w:t>Credit Party Systems</w:t>
      </w:r>
      <w:r>
        <w:rPr>
          <w:rFonts w:ascii="Times New Roman;Times;Serif" w:hAnsi="Times New Roman;Times;Serif"/>
          <w:b w:val="false"/>
          <w:i w:val="false"/>
          <w:caps w:val="false"/>
          <w:smallCaps w:val="false"/>
          <w:sz w:val="20"/>
        </w:rPr>
        <w:t xml:space="preserve">”)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clause (ii), “</w:t>
      </w:r>
      <w:r>
        <w:rPr>
          <w:rFonts w:ascii="Times New Roman;Times;Serif" w:hAnsi="Times New Roman;Times;Serif"/>
          <w:b w:val="false"/>
          <w:i w:val="false"/>
          <w:caps w:val="false"/>
          <w:smallCaps w:val="false"/>
          <w:sz w:val="20"/>
          <w:u w:val="single"/>
        </w:rPr>
        <w:t>Credit Party Data</w:t>
      </w:r>
      <w:r>
        <w:rPr>
          <w:rFonts w:ascii="Times New Roman;Times;Serif" w:hAnsi="Times New Roman;Times;Serif"/>
          <w:b w:val="false"/>
          <w:i w:val="false"/>
          <w:caps w:val="false"/>
          <w:smallCaps w:val="false"/>
          <w:sz w:val="20"/>
        </w:rPr>
        <w:t>”),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 rigorous than, industry standards for companies and businesses of similar size in similar industries.</w:t>
      </w:r>
      <w:r>
        <w:rPr>
          <w:rFonts w:ascii="Times New Roman;Times;Serif" w:hAnsi="Times New Roman;Times;Serif"/>
          <w:b w:val="false"/>
          <w:i w:val="false"/>
          <w:caps w:val="false"/>
          <w:smallCaps w:val="false"/>
          <w:position w:val="7"/>
          <w:sz w:val="16"/>
          <w:sz w:val="20"/>
          <w:shd w:fill="FFFFFF" w:val="clear"/>
        </w:rPr>
        <w:t>  </w:t>
      </w:r>
      <w:r>
        <w:rPr>
          <w:rFonts w:ascii="Times New Roman;Times;Serif" w:hAnsi="Times New Roman;Times;Serif"/>
          <w:b w:val="false"/>
          <w:i w:val="false"/>
          <w:caps w:val="false"/>
          <w:smallCaps w:val="false"/>
          <w:sz w:val="20"/>
          <w:shd w:fill="FFFFFF" w:val="clear"/>
        </w:rPr>
        <w:t xml:space="preserve"> Without limiting the generality of the foregoing, </w:t>
      </w:r>
      <w:r>
        <w:rPr>
          <w:rFonts w:ascii="Times New Roman;Times;Serif" w:hAnsi="Times New Roman;Times;Serif"/>
          <w:b w:val="false"/>
          <w:i w:val="false"/>
          <w:caps w:val="false"/>
          <w:smallCaps w:val="false"/>
          <w:sz w:val="20"/>
        </w:rPr>
        <w:t xml:space="preserve">each Credit Party and each of its Subsidiaries </w:t>
      </w:r>
      <w:r>
        <w:rPr>
          <w:rFonts w:ascii="Times New Roman;Times;Serif" w:hAnsi="Times New Roman;Times;Serif"/>
          <w:b w:val="false"/>
          <w:i w:val="false"/>
          <w:caps w:val="false"/>
          <w:smallCaps w:val="false"/>
          <w:sz w:val="20"/>
          <w:shd w:fill="FFFFFF" w:val="clear"/>
        </w:rPr>
        <w:t>(x) takes commercially reasonable efforts to securely store applicable equipment and software that is material to its business, (y) utilizes industry-accepted virus and intrusion checking software and firewalls, and (z) limits access to Credit Party Data to only those employees and agents who need such access for the conduct of the business of the Credit Parties and their Subsidiaries.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w:t>
      </w:r>
      <w:r>
        <w:rPr>
          <w:rFonts w:ascii="Times New Roman;Times;Serif" w:hAnsi="Times New Roman;Times;Serif"/>
          <w:b w:val="false"/>
          <w:i w:val="false"/>
          <w:caps w:val="false"/>
          <w:smallCaps w:val="false"/>
          <w:sz w:val="20"/>
          <w:shd w:fill="FFFFFF" w:val="clear"/>
        </w:rPr>
        <w:t>cyber, social engineering, spoofing, phishing, ransom, viral or other attack, theft or intrusion</w:t>
      </w:r>
      <w:r>
        <w:rPr>
          <w:rFonts w:ascii="Times New Roman;Times;Serif" w:hAnsi="Times New Roman;Times;Serif"/>
          <w:b w:val="false"/>
          <w:i w:val="false"/>
          <w:caps w:val="false"/>
          <w:smallCaps w:val="false"/>
          <w:sz w:val="20"/>
        </w:rPr>
        <w:t xml:space="preserve"> (all of the foregoing clauses (i), (ii) and (iii), “</w:t>
      </w:r>
      <w:r>
        <w:rPr>
          <w:rFonts w:ascii="Times New Roman;Times;Serif" w:hAnsi="Times New Roman;Times;Serif"/>
          <w:b w:val="false"/>
          <w:i w:val="false"/>
          <w:caps w:val="false"/>
          <w:smallCaps w:val="false"/>
          <w:sz w:val="20"/>
          <w:u w:val="single"/>
        </w:rPr>
        <w:t>Security Breaches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that has allowed an unauthorized Person to access, copy, encrypt or otherwise use</w:t>
      </w:r>
      <w:r>
        <w:rPr>
          <w:rFonts w:ascii="Times New Roman;Times;Serif" w:hAnsi="Times New Roman;Times;Serif"/>
          <w:b w:val="false"/>
          <w:i w:val="false"/>
          <w:caps w:val="false"/>
          <w:smallCaps w:val="false"/>
          <w:sz w:val="20"/>
        </w:rPr>
        <w:t xml:space="preserve"> 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material violation of any Requirements of Laws regarding the privacy or security of any Credit Party Data.</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579"/>
        <w:gridCol w:w="9517"/>
      </w:tblGrid>
      <w:tr>
        <w:trPr/>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pPr>
            <w:r>
              <w:rPr/>
              <w:t>6.</w:t>
            </w:r>
          </w:p>
        </w:tc>
        <w:tc>
          <w:tcPr>
            <w:tcW w:w="9517" w:type="dxa"/>
            <w:tcBorders/>
            <w:vAlign w:val="center"/>
          </w:tcPr>
          <w:p>
            <w:pPr>
              <w:pStyle w:val="TableContents"/>
              <w:bidi w:val="0"/>
              <w:spacing w:before="0" w:after="283"/>
              <w:jc w:val="left"/>
              <w:rPr/>
            </w:pPr>
            <w:r>
              <w:rPr/>
              <w:t>AFFIRMATIVE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so long as any Lender has any commitment to extend credit hereunder, or any of the Indebtedness (including any Prepayment Premium) remains outstanding and unpaid, that it will, and, as applicable, it will cause each of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Furnish to the Agent, in form and detail satisfactory to the Agent, with sufficient copies for each Lender, the following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may be satisfied with respect to financial information of the Borrower and its Consolidated Subsidiaries by furnishing Form 10-K or 10-Q of the Borrower, as applicable, filed with the SEC;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information is in lieu of information required to be provided under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Certificates; Other Information</w:t>
      </w:r>
      <w:r>
        <w:rPr>
          <w:rFonts w:ascii="Times New Roman;Times;Serif" w:hAnsi="Times New Roman;Times;Serif"/>
          <w:b w:val="false"/>
          <w:i w:val="false"/>
          <w:caps w:val="false"/>
          <w:smallCaps w:val="false"/>
          <w:sz w:val="20"/>
        </w:rPr>
        <w:t>.  Furnish to the Agent, in form and detail acceptable to the Agent, with sufficient copies for each Lender, the following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made by such accountants, including any comment letter submitted by such accountants to management in connection with their services;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Promptly upon the Agent’s request, a report of the cash account balances of the Credit Parties;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additional financial and/or other information as the Agent or any Lender may from time to time reasonably request, promptly following such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Payment of Taxes and Other Obligations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 discharge or otherwise satisfy, at or before maturity or before they become delinquent, as the case may be, all of its material obligations (other than obligations described in clause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Conduct of Business and Maintenance of Existence; 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 to engage in their respective business and operations substantially as conducted immediately prior to the Restatement Date, except as otherwise permitted pursuant to Section 7.4 or as may be agreed by the Agent from time to time in its reasonable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Preserve, renew and keep in full force and effect its existence and maintain its qualifications to do business in each jurisdiction where such qualifications are necessary for its operations, except as otherwise permitted pursuant to Section 7.4;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Preserve or renew all of its Intellectual Property, except to the extent such Intellectual Property is no longer used or useful to the business of the Credit Parties, based on Credit Parties’ reasonable business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Comply with all Contractual Obligations and Requirements of Law, except to the extent that failure to comply therewith could not, either singly or in the aggregate, reasonably be expected to have a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Maintenance of Property; Insurance</w:t>
      </w:r>
      <w:r>
        <w:rPr>
          <w:rFonts w:ascii="Times New Roman;Times;Serif" w:hAnsi="Times New Roman;Times;Serif"/>
          <w:b w:val="false"/>
          <w:i w:val="false"/>
          <w:caps w:val="false"/>
          <w:smallCaps w:val="false"/>
          <w:sz w:val="20"/>
        </w:rPr>
        <w:t xml:space="preserve">.  (a)  Keep all material property it deems, in its reasonable business judgment, useful and necessary in its business in working order (ordinary wear and tear excepted); (b) maintain insurance coverage with financially sound and reputable insurance companies on physical assets and against other business risks in such amounts and of such types as are customarily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 (30) 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Inspection of Property; Books and Records, Discussions</w:t>
      </w:r>
      <w:r>
        <w:rPr>
          <w:rFonts w:ascii="Times New Roman;Times;Serif" w:hAnsi="Times New Roman;Times;Serif"/>
          <w:b w:val="false"/>
          <w:i w:val="false"/>
          <w:caps w:val="false"/>
          <w:smallCaps w:val="false"/>
          <w:sz w:val="20"/>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Give written notice to the Agent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possible, and in any event within 2 Business Days after the occurrence thereof, the occurrence of any Default or Event of Default of which any Credit Party has knowledge or the occurrence of any Reportable Compliance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any (i) litigation or proceeding existing at any time between any Credit Party and any Governmental Authority or other third party, or any investigation of any Credit Party conducted by any Governmental Authority, which in any case if adversely determined would have a Material Adverse Effect together with all documents and information furnished to such Governmental Authority in connection thereof (to the extent such disclosure is not prohibited by any Requirements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or (ii) Material Adverse Effect on the financial condition of any Credit Party since the date of the last audited financial statements delivered pursuant to Section 6.1(a) hereto;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all jurisdictions in which the Borrower or any Guarantor proposes to become qualified after the Restatement Date to transact business, (ii) the acquisition or creation of any new Subsidiaries, (iii) any material change after the Restatement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material notices that any Credit Party executes or receives in connection with any Material Contract, as soon as possible and in any event within 5 Business Days after execution, receipt or delivery thereof, together with copies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pursuant to this Section shall be accompanied by a statement of a Responsible Officer of the Borrower setting forth details of the occurrence referred to therein and, in the case of notices referred to 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clauses (a), (b), (c), (d), (h) and (j) hereof stating what action the applicable Credit Party has taken or proposes to take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obligations in this Section may be satisfied by disclosure in public filings of the Borrower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Hazardous Material Laws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Provide such information and certifications which the Agent or any Lender may reasonably request from time to time to evidence compliance with this Section 6.8.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Board Observation Rights</w:t>
      </w:r>
      <w:r>
        <w:rPr>
          <w:rFonts w:ascii="Times New Roman;Times;Serif" w:hAnsi="Times New Roman;Times;Serif"/>
          <w:b w:val="false"/>
          <w:i w:val="false"/>
          <w:caps w:val="false"/>
          <w:smallCaps w:val="false"/>
          <w:sz w:val="20"/>
        </w:rPr>
        <w:t>.  (a) Each of STORY3 and Nexus shall be entitled to designate one observer and (b) CHS Investments shall be entitled to designate two observers (each such observer described in foregoing clauses (a) and (b), a “</w:t>
      </w:r>
      <w:r>
        <w:rPr>
          <w:rFonts w:ascii="Times New Roman;Times;Serif" w:hAnsi="Times New Roman;Times;Serif"/>
          <w:b/>
          <w:i w:val="false"/>
          <w:caps w:val="false"/>
          <w:smallCaps w:val="false"/>
          <w:sz w:val="20"/>
        </w:rPr>
        <w:t>Board Observer</w:t>
      </w:r>
      <w:r>
        <w:rPr>
          <w:rFonts w:ascii="Times New Roman;Times;Serif" w:hAnsi="Times New Roman;Times;Serif"/>
          <w:b w:val="false"/>
          <w:i w:val="false"/>
          <w:caps w:val="false"/>
          <w:smallCaps w:val="false"/>
          <w:sz w:val="20"/>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Times New Roman;Times;Serif" w:hAnsi="Times New Roman;Times;Serif"/>
          <w:b/>
          <w:i w:val="false"/>
          <w:caps w:val="false"/>
          <w:smallCaps w:val="false"/>
          <w:sz w:val="20"/>
        </w:rPr>
        <w:t>BOD Meeting</w:t>
      </w:r>
      <w:r>
        <w:rPr>
          <w:rFonts w:ascii="Times New Roman;Times;Serif" w:hAnsi="Times New Roman;Times;Serif"/>
          <w:b w:val="false"/>
          <w:i w:val="false"/>
          <w:caps w:val="false"/>
          <w:smallCaps w:val="false"/>
          <w:sz w:val="20"/>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 and those of the Agent or any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such exclusion or redaction shall be limited to the portion of such meeting or materials that is the basis for such exclusion or redaction and shall not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Governmental and Other Approvals</w:t>
      </w:r>
      <w:r>
        <w:rPr>
          <w:rFonts w:ascii="Times New Roman;Times;Serif" w:hAnsi="Times New Roman;Times;Serif"/>
          <w:b w:val="false"/>
          <w:i w:val="false"/>
          <w:caps w:val="false"/>
          <w:smallCaps w:val="false"/>
          <w:sz w:val="20"/>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Compliance with ERISA; ERISA Notices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Defense of Collateral</w:t>
      </w:r>
      <w:r>
        <w:rPr>
          <w:rFonts w:ascii="Times New Roman;Times;Serif" w:hAnsi="Times New Roman;Times;Serif"/>
          <w:b w:val="false"/>
          <w:i w:val="false"/>
          <w:caps w:val="false"/>
          <w:smallCaps w:val="false"/>
          <w:sz w:val="20"/>
        </w:rPr>
        <w:t>.  Defend the Collateral from any Liens other than Liens permitted by Section 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Future Subsidiaries; Additional Collateral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within the time period specified in and to the extent required under clause (c) of this Section 6.13, a Mortgage, Collateral Access Agreements and/or other documents required to be delivered in connection therewith;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 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xml:space="preserve">.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 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Consent of Inbound Licensors</w:t>
      </w:r>
      <w:r>
        <w:rPr>
          <w:rFonts w:ascii="Times New Roman;Times;Serif" w:hAnsi="Times New Roman;Times;Serif"/>
          <w:b w:val="false"/>
          <w:i w:val="false"/>
          <w:caps w:val="false"/>
          <w:smallCaps w:val="false"/>
          <w:sz w:val="20"/>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6.18             </w:t>
      </w:r>
      <w:r>
        <w:rPr>
          <w:rFonts w:ascii="Times New Roman;Times;Serif" w:hAnsi="Times New Roman;Times;Serif"/>
          <w:b w:val="false"/>
          <w:i w:val="false"/>
          <w:caps w:val="false"/>
          <w:smallCaps w:val="false"/>
          <w:sz w:val="20"/>
          <w:u w:val="single"/>
        </w:rPr>
        <w:t>Anti-Terrorism</w:t>
      </w:r>
      <w:r>
        <w:rPr>
          <w:rFonts w:ascii="Times New Roman;Times;Serif" w:hAnsi="Times New Roman;Times;Serif"/>
          <w:b w:val="false"/>
          <w:i w:val="false"/>
          <w:caps w:val="false"/>
          <w:smallCaps w:val="false"/>
          <w:sz w:val="20"/>
        </w:rPr>
        <w:t xml:space="preserve">.  Not permit (i) any Covered Entity (in the case of clauses (b) and (c) of the definition of “Covered Entity,” to the knowledge of the Credit Parties) to become a Sanctioned 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6.19             </w:t>
      </w:r>
      <w:r>
        <w:rPr>
          <w:rFonts w:ascii="Times New Roman;Times;Serif" w:hAnsi="Times New Roman;Times;Serif"/>
          <w:b w:val="false"/>
          <w:i w:val="false"/>
          <w:caps w:val="false"/>
          <w:smallCaps w:val="false"/>
          <w:sz w:val="20"/>
          <w:u w:val="single"/>
        </w:rPr>
        <w:t>Further Assurances and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the Agent and the Lenders with any other information required by Section 326 of the USA Patriot Act or necessary for the Agent and the Lenders to verify the identity of any Credit Party as required by Section 326 of the USA Patriot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650"/>
        <w:gridCol w:w="9432"/>
      </w:tblGrid>
      <w:tr>
        <w:trPr/>
        <w:tc>
          <w:tcPr>
            <w:tcW w:w="1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7.</w:t>
            </w:r>
          </w:p>
        </w:tc>
        <w:tc>
          <w:tcPr>
            <w:tcW w:w="9432" w:type="dxa"/>
            <w:tcBorders/>
            <w:vAlign w:val="center"/>
          </w:tcPr>
          <w:p>
            <w:pPr>
              <w:pStyle w:val="TableContents"/>
              <w:bidi w:val="0"/>
              <w:spacing w:before="0" w:after="283"/>
              <w:jc w:val="left"/>
              <w:rPr/>
            </w:pPr>
            <w:r>
              <w:rPr/>
              <w:t>NEGATIVE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that, so long as any Lender has any commitment to extend credit hereunder, or any of the Indebtedness (including any Prepayment Premium) remains outstanding and unpaid, it will not, and, as applicable, it will not permit any of its Subsidiaries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Limitation on Debt</w:t>
      </w:r>
      <w:r>
        <w:rPr>
          <w:rFonts w:ascii="Times New Roman;Times;Serif" w:hAnsi="Times New Roman;Times;Serif"/>
          <w:b w:val="false"/>
          <w:i w:val="false"/>
          <w:caps w:val="false"/>
          <w:smallCaps w:val="false"/>
          <w:sz w:val="20"/>
        </w:rPr>
        <w:t>.  Create, incur, assume or suffer to exist any Debt,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of any Credit Party to the Agent or any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Debt existing on the Restatement Date and set forth in Schedule 7.1 attached hereto and any Permitted Refinancing Debt in respect of such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Subordinated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Debt under any Hedging Transactions, provided that such transaction is entered into for risk management purposes and not for speculative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Debt arising from judgments or decrees not deemed to be a Default or Event of Default under Section 8.1(g);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Debt owing to a Person that is a Credit Party, but only to the extent permitted under Section 7.6(d) or 7.6(m);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reimbursement obligations with respect to Cash Secured L/Cs;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face amount of all Cash Secured L/Cs shall not exceed $15,000,000 at any time;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Debt permitted by Section 7.1(c), provided that (i) such Liens are created only upon fixed or capital assets acquired by the applicable Credit Party after the date of this 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created pursuant to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on the Collateral securing the Senior Debt permitted by Section 7.1(d) so long as such Liens and all obligations of the Credit Parties in connection therewith are subject to the Specified Subordination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other Liens, existing on the Restatement Date and set forth on Schedule 7.2; provided, that any such Lien shall only secure the Debt that it secures on the Restatement Date and any Permitted Refinancing Debt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cash collateral and cash on deposit in deposit accounts securing the Cash Secured L/Cs constituting Debt permitted by Section 7.1(j) (each, an "</w:t>
      </w:r>
      <w:r>
        <w:rPr>
          <w:rFonts w:ascii="Times New Roman;Times;Serif" w:hAnsi="Times New Roman;Times;Serif"/>
          <w:b/>
          <w:i w:val="false"/>
          <w:caps w:val="false"/>
          <w:smallCaps w:val="false"/>
          <w:sz w:val="20"/>
        </w:rPr>
        <w:t>Excluded L/C Account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aggregate amount of such cash collateral and cash in Excluded L/C Accounts does not exceed 105% of the face amount of the Cash Secured L/Cs;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Material Assets</w:t>
      </w:r>
      <w:r>
        <w:rPr>
          <w:rFonts w:ascii="Times New Roman;Times;Serif" w:hAnsi="Times New Roman;Times;Serif"/>
          <w:b w:val="false"/>
          <w:i w:val="false"/>
          <w:caps w:val="false"/>
          <w:smallCaps w:val="false"/>
          <w:sz w:val="20"/>
        </w:rPr>
        <w:t xml:space="preserve">.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Limitation on Mergers, Dissolution or Sale of Assets</w:t>
      </w:r>
      <w:r>
        <w:rPr>
          <w:rFonts w:ascii="Times New Roman;Times;Serif" w:hAnsi="Times New Roman;Times;Serif"/>
          <w:b w:val="false"/>
          <w:i w:val="false"/>
          <w:caps w:val="false"/>
          <w:smallCaps w:val="false"/>
          <w:sz w:val="20"/>
        </w:rPr>
        <w:t>.  Merge, dissolve, liquidate or consolidate with or into another Person (or agree to do any of the foregoing) or make any Asset Sale or enter into any agreement to make any Asset Sale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Inventory leased or sold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obsolete, damaged, uneconomic or worn out machinery, equipment or Units, or machinery, equipment or Units no longer used or useful in the conduct of the applicable Credit Party’s business (including write-offs of any such assets); provided that the fair market value of such equipment not financed by the Agent or a Lender shall not exceed $2,500,000 in any Fiscal Year (it being understood and agreed for the avoidance of doubt that any write-off of assets shall not count toward such cap);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Permitted Acquisitions;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use, sale or disposition of Permitted Investments and other cash or cash equivalents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charitable donations of cash or Units (valued using the net book value) not to exceed $2,000,000 in the aggregate in any Fiscal Year; provided that charitable donations of cash may not exceed $750,000 in any Fiscal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dispositions of machinery or equipment to the extent that such machinery or equipment is exchanged for credit against the purchase price of similar replacement machinery or equipment;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dispositions of owned or leased vehicles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dispositions of assets that are not permitted by any other provision of this Section; provided that (i) the aggregate fair value of all assets disposed of in reliance on this clause shall not exceed $1,000,000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other Asset Sales approved in writing by the Majority Lenders in their sole discretion so long as the Net Cash Proceeds of such Asset Sale described in this clause (n) are paid to the Agent for the benefit of the Agent and the Lenders pursuant to the terms of Section 2.8(a).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set forth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to the contrary, except to the extent permitted under </w:t>
      </w:r>
      <w:r>
        <w:rPr>
          <w:rFonts w:ascii="Times New Roman;Times;Serif" w:hAnsi="Times New Roman;Times;Serif"/>
          <w:b w:val="false"/>
          <w:i w:val="false"/>
          <w:caps w:val="false"/>
          <w:smallCaps w:val="false"/>
          <w:sz w:val="20"/>
          <w:u w:val="single"/>
        </w:rPr>
        <w:t>Section 7.4(j)</w:t>
      </w:r>
      <w:r>
        <w:rPr>
          <w:rFonts w:ascii="Times New Roman;Times;Serif" w:hAnsi="Times New Roman;Times;Serif"/>
          <w:b w:val="false"/>
          <w:i w:val="false"/>
          <w:caps w:val="false"/>
          <w:smallCaps w:val="false"/>
          <w:sz w:val="20"/>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hereby consent and agree to the release by the Agent of any and all Liens on the property sold or otherwise disposed of in compliance with this Section 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Declare or make, directly or indirectly, (x) any distributions, dividend, payment or other distribution of assets, properties, cash, rights, obligations or securities (collectively,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Times New Roman;Times;Serif" w:hAnsi="Times New Roman;Times;Serif"/>
          <w:b/>
          <w:i w:val="false"/>
          <w:caps w:val="false"/>
          <w:smallCaps w:val="false"/>
          <w:sz w:val="20"/>
        </w:rPr>
        <w:t>Purchases</w:t>
      </w:r>
      <w:r>
        <w:rPr>
          <w:rFonts w:ascii="Times New Roman;Times;Serif" w:hAnsi="Times New Roman;Times;Serif"/>
          <w:b w:val="false"/>
          <w:i w:val="false"/>
          <w:caps w:val="false"/>
          <w:smallCaps w:val="false"/>
          <w:sz w:val="20"/>
        </w:rPr>
        <w:t>”), or incur any obligation (contingent or otherwise) to do any of the foregoing, except that (subject to Section 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Credit Party may pay cash Distributions to the Borrower or a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Purchase the stock of current and former employees pursuant to stock repurchase agreements by the cancellation of indebtedness owed by such former employees, regardless of whether an Event of Default exists;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Limitation on Investments, Loans and Advances</w:t>
      </w:r>
      <w:r>
        <w:rPr>
          <w:rFonts w:ascii="Times New Roman;Times;Serif" w:hAnsi="Times New Roman;Times;Serif"/>
          <w:b w:val="false"/>
          <w:i w:val="false"/>
          <w:caps w:val="false"/>
          <w:smallCaps w:val="false"/>
          <w:sz w:val="20"/>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existing on the Third Amendment Effective Date and listed on Schedule 7.6 hereto but not any increase in the amount thereof as set forth in such Schedule or any other modification of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Accounts receivable created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respect of Hedging Transactions provided that such transaction is entered into for risk management purposes and not for speculative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consisting of deposit accounts and securities accounts in which the Agent, on behalf of itself and the Lenders, has a perfected security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accepted in connection with transfers or dispositions of property that are otherwise permitted under Section 7.4(m);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Permitted Acquisitions;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to the extent constituting Investments, Investments permitted under Section 7.4(d), 7.4(e) or 7.4(f);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set forth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 (y) 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Sale-Leaseback Transactions</w:t>
      </w:r>
      <w:r>
        <w:rPr>
          <w:rFonts w:ascii="Times New Roman;Times;Serif" w:hAnsi="Times New Roman;Times;Serif"/>
          <w:b w:val="false"/>
          <w:i w:val="false"/>
          <w:caps w:val="false"/>
          <w:smallCaps w:val="false"/>
          <w:sz w:val="20"/>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Limitations on Other Restrictions</w:t>
      </w:r>
      <w:r>
        <w:rPr>
          <w:rFonts w:ascii="Times New Roman;Times;Serif" w:hAnsi="Times New Roman;Times;Serif"/>
          <w:b w:val="false"/>
          <w:i w:val="false"/>
          <w:caps w:val="false"/>
          <w:smallCaps w:val="false"/>
          <w:sz w:val="20"/>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Prepayment of Subordinated Debt</w:t>
      </w:r>
      <w:r>
        <w:rPr>
          <w:rFonts w:ascii="Times New Roman;Times;Serif" w:hAnsi="Times New Roman;Times;Serif"/>
          <w:b w:val="false"/>
          <w:i w:val="false"/>
          <w:caps w:val="false"/>
          <w:smallCaps w:val="false"/>
          <w:sz w:val="20"/>
        </w:rPr>
        <w:t>.  Make any prepayment (whether optional or mandatory), repurchase, redemption, defeasance or any other payment in respect of any Subordinated Debt, provided, however, that the applicable Credit Party may make certain payments in respect of Subordinated Debt to the extent permitted by the applicable Subordination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Amendment of Senior Loan Documents and Subordinated Debt Documents</w:t>
      </w:r>
      <w:r>
        <w:rPr>
          <w:rFonts w:ascii="Times New Roman;Times;Serif" w:hAnsi="Times New Roman;Times;Serif"/>
          <w:b w:val="false"/>
          <w:i w:val="false"/>
          <w:caps w:val="false"/>
          <w:smallCaps w:val="false"/>
          <w:sz w:val="20"/>
        </w:rPr>
        <w:t xml:space="preserve">.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Subordination Agreements, or if no such restrictions exist in the applicable Subordinated Debt Documents or Subordination Agreements, without the prior written consent of the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Modification of Certain Agreements</w:t>
      </w:r>
      <w:r>
        <w:rPr>
          <w:rFonts w:ascii="Times New Roman;Times;Serif" w:hAnsi="Times New Roman;Times;Serif"/>
          <w:b w:val="false"/>
          <w:i w:val="false"/>
          <w:caps w:val="false"/>
          <w:smallCaps w:val="false"/>
          <w:sz w:val="20"/>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 (ii) 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Permit the Fiscal Year of any Credit Party to end on a day other than January 31, except as may be agreed to by the Agent from time to time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7.15            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7.17            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7.18             </w:t>
      </w:r>
      <w:r>
        <w:rPr>
          <w:rFonts w:ascii="Times New Roman;Times;Serif" w:hAnsi="Times New Roman;Times;Serif"/>
          <w:b w:val="false"/>
          <w:i w:val="false"/>
          <w:caps w:val="false"/>
          <w:smallCaps w:val="false"/>
          <w:sz w:val="20"/>
          <w:u w:val="single"/>
        </w:rPr>
        <w:t>Environmental</w:t>
      </w:r>
      <w:r>
        <w:rPr>
          <w:rFonts w:ascii="Times New Roman;Times;Serif" w:hAnsi="Times New Roman;Times;Serif"/>
          <w:b w:val="false"/>
          <w:i w:val="false"/>
          <w:caps w:val="false"/>
          <w:smallCaps w:val="false"/>
          <w:sz w:val="20"/>
        </w:rPr>
        <w:t>.  Permit the use, handling, generation, storage, treatment, Release or disposal of Hazardous Materials on, in, at, under or from any property owned, leased or operated by it or any of its Subsidiaries, except in compliance in all material respects with Environmental Laws (other than any noncompliance that could not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7.19             </w:t>
      </w:r>
      <w:r>
        <w:rPr>
          <w:rFonts w:ascii="Times New Roman;Times;Serif" w:hAnsi="Times New Roman;Times;Serif"/>
          <w:b w:val="false"/>
          <w:i w:val="false"/>
          <w:caps w:val="false"/>
          <w:smallCaps w:val="false"/>
          <w:sz w:val="20"/>
          <w:u w:val="single"/>
        </w:rPr>
        <w:t>Accounting Methods</w:t>
      </w:r>
      <w:r>
        <w:rPr>
          <w:rFonts w:ascii="Times New Roman;Times;Serif" w:hAnsi="Times New Roman;Times;Serif"/>
          <w:b w:val="false"/>
          <w:i w:val="false"/>
          <w:caps w:val="false"/>
          <w:smallCaps w:val="false"/>
          <w:sz w:val="20"/>
        </w:rPr>
        <w:t>.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7.20             </w:t>
      </w:r>
      <w:r>
        <w:rPr>
          <w:rFonts w:ascii="Times New Roman;Times;Serif" w:hAnsi="Times New Roman;Times;Serif"/>
          <w:b w:val="false"/>
          <w:i w:val="false"/>
          <w:caps w:val="false"/>
          <w:smallCaps w:val="false"/>
          <w:sz w:val="20"/>
          <w:u w:val="single"/>
        </w:rPr>
        <w:t>Sanctioned Persons; Anti-Corruption Laws; Anti-Money Laundering Laws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7.21             </w:t>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Permit any Loan or the proceeds of any Loan under this Agreement to be used for any purpose that would cause such Loan to be a margin loan under the provisions of Regulation T, U or X of the Board of Governors of the Federal Reserve System.</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281"/>
        <w:gridCol w:w="8681"/>
      </w:tblGrid>
      <w:tr>
        <w:trPr/>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pPr>
            <w:r>
              <w:rPr/>
              <w:t>8.</w:t>
            </w:r>
          </w:p>
        </w:tc>
        <w:tc>
          <w:tcPr>
            <w:tcW w:w="8681" w:type="dxa"/>
            <w:tcBorders/>
            <w:vAlign w:val="center"/>
          </w:tcPr>
          <w:p>
            <w:pPr>
              <w:pStyle w:val="TableContents"/>
              <w:bidi w:val="0"/>
              <w:spacing w:before="0" w:after="283"/>
              <w:jc w:val="left"/>
              <w:rPr/>
            </w:pPr>
            <w:r>
              <w:rPr/>
              <w:t>DEFAULTS.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The occurrence of any of the following events shall constitute an Event of Default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non-payment when due of the principal or interest on the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non-payment of any Fees or other amounts (including any Prepayment Premium) due and owing by the Borrower under this Agreement or by any Credit Party under any of the other Loan Documents to which it is a party, other than as set forth in subsection (a) above, within three (3) Business Days after the same is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representation or warranty made by any Credit Party herein, any other Loan Document or in any certificate, instrument or other document submitted pursuant hereto or thereto proves untrue or misleading in any material adverse respect (or in any respect if such representation or warranty is qualified or modified as to materiality or “Material Adverse Effect” in the text thereof) when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Change of Control shall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 (iv) 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such Loan Document, fail to create a valid and enforceable Lien on any Collateral purported to be covered thereby or (vi) such Lien shall fail to cease to be a perfected Lien with the priority required in the relevant Loan Document;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uninsured loss to any material portion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Exercise of Remedies</w:t>
      </w:r>
      <w:r>
        <w:rPr>
          <w:rFonts w:ascii="Times New Roman;Times;Serif" w:hAnsi="Times New Roman;Times;Serif"/>
          <w:b w:val="false"/>
          <w:i w:val="false"/>
          <w:caps w:val="false"/>
          <w:smallCaps w:val="false"/>
          <w:sz w:val="20"/>
        </w:rPr>
        <w:t>.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 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Rights Cumulative</w:t>
      </w:r>
      <w:r>
        <w:rPr>
          <w:rFonts w:ascii="Times New Roman;Times;Serif" w:hAnsi="Times New Roman;Times;Serif"/>
          <w:b w:val="false"/>
          <w:i w:val="false"/>
          <w:caps w:val="false"/>
          <w:smallCaps w:val="false"/>
          <w:sz w:val="20"/>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Waiver by the Borrower of Certain Laws</w:t>
      </w:r>
      <w:r>
        <w:rPr>
          <w:rFonts w:ascii="Times New Roman;Times;Serif" w:hAnsi="Times New Roman;Times;Serif"/>
          <w:b w:val="false"/>
          <w:i w:val="false"/>
          <w:caps w:val="false"/>
          <w:smallCaps w:val="false"/>
          <w:sz w:val="20"/>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Waiver of Defaults</w:t>
      </w:r>
      <w:r>
        <w:rPr>
          <w:rFonts w:ascii="Times New Roman;Times;Serif" w:hAnsi="Times New Roman;Times;Serif"/>
          <w:b w:val="false"/>
          <w:i w:val="false"/>
          <w:caps w:val="false"/>
          <w:smallCaps w:val="false"/>
          <w:sz w:val="20"/>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Set Off</w:t>
      </w:r>
      <w:r>
        <w:rPr>
          <w:rFonts w:ascii="Times New Roman;Times;Serif" w:hAnsi="Times New Roman;Times;Serif"/>
          <w:b w:val="false"/>
          <w:i w:val="false"/>
          <w:caps w:val="false"/>
          <w:smallCaps w:val="false"/>
          <w:sz w:val="20"/>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 Agreement. The rights of each Lender under this Section 8.6 are in addition to the other rights and remedies (including, without limitation, other rights of setoff) which such Lender may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82 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8"/>
        <w:gridCol w:w="363"/>
        <w:gridCol w:w="9774"/>
      </w:tblGrid>
      <w:tr>
        <w:trPr/>
        <w:tc>
          <w:tcPr>
            <w:tcW w:w="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9.</w:t>
            </w:r>
          </w:p>
        </w:tc>
        <w:tc>
          <w:tcPr>
            <w:tcW w:w="9774" w:type="dxa"/>
            <w:tcBorders/>
            <w:vAlign w:val="center"/>
          </w:tcPr>
          <w:p>
            <w:pPr>
              <w:pStyle w:val="TableContents"/>
              <w:bidi w:val="0"/>
              <w:spacing w:before="0" w:after="283"/>
              <w:jc w:val="left"/>
              <w:rPr/>
            </w:pPr>
            <w:r>
              <w:rPr/>
              <w:t>PAYMENTS, RECOVERIES AND COLLECTIONS.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Payment Procedure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and the Borrower hereby authorize the Agent to, and the Agent may, from time to time, charge the Loan Account with any amount due and payable by the Borrower under any Loan Document.  Any amount charged to the Loan Account shall be deemed Indebtedness hereunder.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 from, or other realization upon all or any part of the Collateral, shall be applied in full or in part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ratably to pay the Indebtedness in respect of any fees (other than the Prepayment Premium), expense reimbursements, indemnities and other amounts then due and payable to the Agent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ratably to pay the Indebtedness in respect of any fees (other than the Prepayment Premium), expense reimbursements, and indemnities then due and payable to the Lenders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ratably to pay interest then due and payable in respect of the Loans;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ratably to pay principal (including the Term Loan PIK Amount with respect thereto) of the Third Amendment Incremental Term Loan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ratably to pay principal (including the Term Loan PIK Amount with respect thereto) of the Term Loan (other than the Third Amendment Incremental Term Loan)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ratably to pay the Indebtedness in respect of the Prepayment Premium then due and payable to the Lenders until paid in full;</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to the ratable payment of all other Indebtedness then due and payable until paid in full;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eighth</w:t>
      </w:r>
      <w:r>
        <w:rPr>
          <w:rFonts w:ascii="Times New Roman;Times;Serif" w:hAnsi="Times New Roman;Times;Serif"/>
          <w:b w:val="false"/>
          <w:i w:val="false"/>
          <w:caps w:val="false"/>
          <w:smallCaps w:val="false"/>
          <w:sz w:val="20"/>
        </w:rPr>
        <w:t>,  all remaining amounts to the Borrower or such other Person entitled thereto under applicable law.</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Ratable Sharing</w:t>
      </w:r>
      <w:r>
        <w:rPr>
          <w:rFonts w:ascii="Times New Roman;Times;Serif" w:hAnsi="Times New Roman;Times;Serif"/>
          <w:b w:val="false"/>
          <w:i w:val="false"/>
          <w:caps w:val="false"/>
          <w:smallCaps w:val="false"/>
          <w:sz w:val="20"/>
        </w:rPr>
        <w:t>(a).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Times New Roman;Times;Serif" w:hAnsi="Times New Roman;Times;Serif"/>
          <w:b/>
          <w:i w:val="false"/>
          <w:caps w:val="false"/>
          <w:smallCaps w:val="false"/>
          <w:sz w:val="20"/>
        </w:rPr>
        <w:t>Aggregate Amounts Due</w:t>
      </w:r>
      <w:r>
        <w:rPr>
          <w:rFonts w:ascii="Times New Roman;Times;Serif" w:hAnsi="Times New Roman;Times;Serif"/>
          <w:b w:val="false"/>
          <w:i w:val="false"/>
          <w:caps w:val="false"/>
          <w:smallCaps w:val="false"/>
          <w:sz w:val="20"/>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be shared by all Lenders having Loans of the same Class in proportion to the Aggregate Amounts Due to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Treatment of a Defaulting Lender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xml:space="preserve">,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65"/>
        <w:gridCol w:w="9797"/>
      </w:tblGrid>
      <w:tr>
        <w:trPr/>
        <w:tc>
          <w:tcPr>
            <w:tcW w:w="4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10.</w:t>
            </w:r>
          </w:p>
        </w:tc>
        <w:tc>
          <w:tcPr>
            <w:tcW w:w="9797" w:type="dxa"/>
            <w:tcBorders/>
            <w:vAlign w:val="center"/>
          </w:tcPr>
          <w:p>
            <w:pPr>
              <w:pStyle w:val="TableContents"/>
              <w:bidi w:val="0"/>
              <w:spacing w:before="0" w:after="283"/>
              <w:jc w:val="left"/>
              <w:rPr/>
            </w:pPr>
            <w:r>
              <w:rPr/>
              <w:t>YIELD PROTECTION; INCREASED COSTS; MARGIN ADJUSTMENTS; TAXES.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Capital Adequacy and Other Increased Costs</w:t>
      </w:r>
      <w:r>
        <w:rPr>
          <w:rFonts w:ascii="Times New Roman;Times;Serif" w:hAnsi="Times New Roman;Times;Serif"/>
          <w:b w:val="false"/>
          <w:i w:val="false"/>
          <w:caps w:val="false"/>
          <w:smallCaps w:val="false"/>
          <w:sz w:val="20"/>
        </w:rPr>
        <w:t xml:space="preserve">.  If any Change in Law affects or would affect the capital or liquidity requirements of a Lender or the Agent (or any corporation controlling such Lender or the Agent) (including as a result of the imposition of Taxes other than Indemnified Taxes, Taxes described in clauses (b) through (d) of the definition of Excluded Taxes or Other Connection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such Lender or the Agent, as the case may be, determines that the amount of required capital is increased by, or based upon the existence of such Lender’s or the Agent’s obligations or Loans 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Right of Lenders to Fund through Branches and Affiliates</w:t>
      </w:r>
      <w:r>
        <w:rPr>
          <w:rFonts w:ascii="Times New Roman;Times;Serif" w:hAnsi="Times New Roman;Times;Serif"/>
          <w:b w:val="false"/>
          <w:i w:val="false"/>
          <w:caps w:val="false"/>
          <w:smallCaps w:val="false"/>
          <w:sz w:val="20"/>
        </w:rPr>
        <w:t xml:space="preserve">.  Each Lender may, if it so elects, fulfill its commitment as to any Loan hereunder by designating a branch or 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 shall remain solely responsible for the performances of its obligations hereunder and (b) no such designation shall result in any material increased costs to the Borrower or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r>
        <w:rPr>
          <w:rFonts w:ascii="Times New Roman;Times;Serif" w:hAnsi="Times New Roman;Times;Serif"/>
          <w:b w:val="false"/>
          <w:i w:val="false"/>
          <w:caps w:val="false"/>
          <w:smallCaps w:val="false"/>
          <w:sz w:val="20"/>
          <w:u w:val="single"/>
        </w:rPr>
        <w:t>Delay in Requests</w:t>
      </w:r>
      <w:r>
        <w:rPr>
          <w:rFonts w:ascii="Times New Roman;Times;Serif" w:hAnsi="Times New Roman;Times;Serif"/>
          <w:b w:val="false"/>
          <w:i w:val="false"/>
          <w:caps w:val="false"/>
          <w:smallCaps w:val="false"/>
          <w:sz w:val="20"/>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 (z) 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of Section 10.4(a), the Credit Parties shall timely pay to the relevant Governmental Authority in accordance with applicable law, or at the option of the Agent, timely reimburse it for the payment of, any Other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Lender shall severally indemnify the Agent,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under any Loan Document or otherwise payable by the Agent to the Lender from any other source against any amount due to the Agent under this paragraph (f).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For purposes of this Section 10.4, the term “applicable law” includes FATCA.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  </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pPr>
            <w:r>
              <w:rPr/>
              <w:t>11.</w:t>
            </w:r>
          </w:p>
        </w:tc>
        <w:tc>
          <w:tcPr>
            <w:tcW w:w="7380" w:type="dxa"/>
            <w:tcBorders/>
            <w:vAlign w:val="center"/>
          </w:tcPr>
          <w:p>
            <w:pPr>
              <w:pStyle w:val="TableContents"/>
              <w:bidi w:val="0"/>
              <w:spacing w:before="0" w:after="283"/>
              <w:jc w:val="left"/>
              <w:rPr/>
            </w:pPr>
            <w:r>
              <w:rPr/>
              <w:t>AGENT.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Appointment of the Agent</w:t>
      </w:r>
      <w:r>
        <w:rPr>
          <w:rFonts w:ascii="Times New Roman;Times;Serif" w:hAnsi="Times New Roman;Times;Serif"/>
          <w:b w:val="false"/>
          <w:i w:val="false"/>
          <w:caps w:val="false"/>
          <w:smallCaps w:val="false"/>
          <w:sz w:val="20"/>
        </w:rPr>
        <w:t xml:space="preserve">.  Each Lender and the holder of each Note (if issued) irrevocably appoints and authorizes the Agent to act on 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Agency for Perfection</w:t>
      </w:r>
      <w:r>
        <w:rPr>
          <w:rFonts w:ascii="Times New Roman;Times;Serif" w:hAnsi="Times New Roman;Times;Serif"/>
          <w:b w:val="false"/>
          <w:i w:val="false"/>
          <w:caps w:val="false"/>
          <w:smallCaps w:val="false"/>
          <w:sz w:val="20"/>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Scope of the Agent’s Duties</w:t>
      </w:r>
      <w:r>
        <w:rPr>
          <w:rFonts w:ascii="Times New Roman;Times;Serif" w:hAnsi="Times New Roman;Times;Serif"/>
          <w:b w:val="false"/>
          <w:i w:val="false"/>
          <w:caps w:val="false"/>
          <w:smallCaps w:val="false"/>
          <w:sz w:val="20"/>
        </w:rPr>
        <w:t xml:space="preserve">.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 (i)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 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Successor Agent</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Times New Roman;Times;Serif" w:hAnsi="Times New Roman;Times;Serif"/>
          <w:b/>
          <w:i w:val="false"/>
          <w:caps w:val="false"/>
          <w:smallCaps w:val="false"/>
          <w:sz w:val="20"/>
        </w:rPr>
        <w:t>Successor Agent</w:t>
      </w:r>
      <w:r>
        <w:rPr>
          <w:rFonts w:ascii="Times New Roman;Times;Serif" w:hAnsi="Times New Roman;Times;Serif"/>
          <w:b w:val="false"/>
          <w:i w:val="false"/>
          <w:caps w:val="false"/>
          <w:smallCaps w:val="false"/>
          <w:sz w:val="20"/>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CHS may assign its rights and duties as the Agent hereunder to its Affiliates and Related Funds without the prior written consent of, or prior written notice to, the Borrower or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 and the Lenders may deem and treat such assigning Agent as the Agent for all purposes hereof, unless and until 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Times New Roman;Times;Serif" w:hAnsi="Times New Roman;Times;Serif"/>
          <w:b w:val="false"/>
          <w:i w:val="false"/>
          <w:caps w:val="false"/>
          <w:smallCaps w:val="false"/>
          <w:sz w:val="20"/>
          <w:u w:val="single"/>
        </w:rPr>
        <w:t>Supplemental Agents</w:t>
      </w:r>
      <w:r>
        <w:rPr>
          <w:rFonts w:ascii="Times New Roman;Times;Serif" w:hAnsi="Times New Roman;Times;Serif"/>
          <w:b w:val="false"/>
          <w:i w:val="false"/>
          <w:caps w:val="false"/>
          <w:smallCaps w:val="false"/>
          <w:sz w:val="20"/>
        </w:rPr>
        <w:t>”) appointed by the Agent.  The Agent and any such Supplemental Agents may perform any and all of its duties and exercise its rights and powers by or through their respective Affiliates.  The exculpatory, indemnification and other provisions of this Agreement (including, without 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Credit Decisions</w:t>
      </w:r>
      <w:r>
        <w:rPr>
          <w:rFonts w:ascii="Times New Roman;Times;Serif" w:hAnsi="Times New Roman;Times;Serif"/>
          <w:b w:val="false"/>
          <w:i w:val="false"/>
          <w:caps w:val="false"/>
          <w:smallCaps w:val="false"/>
          <w:sz w:val="20"/>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Authority of the Agent to Enforce This Agreement</w:t>
      </w:r>
      <w:r>
        <w:rPr>
          <w:rFonts w:ascii="Times New Roman;Times;Serif" w:hAnsi="Times New Roman;Times;Serif"/>
          <w:b w:val="false"/>
          <w:i w:val="false"/>
          <w:caps w:val="false"/>
          <w:smallCaps w:val="false"/>
          <w:sz w:val="20"/>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Indemnification of the Agent</w:t>
      </w:r>
      <w:r>
        <w:rPr>
          <w:rFonts w:ascii="Times New Roman;Times;Serif" w:hAnsi="Times New Roman;Times;Serif"/>
          <w:b w:val="false"/>
          <w:i w:val="false"/>
          <w:caps w:val="false"/>
          <w:smallCaps w:val="false"/>
          <w:sz w:val="20"/>
        </w:rPr>
        <w:t>.  The Lenders agree to indemnify the Agent, its Affiliates and their respective officers, partners, directors, trustees employees and agents (each, an “</w:t>
      </w:r>
      <w:r>
        <w:rPr>
          <w:rFonts w:ascii="Times New Roman;Times;Serif" w:hAnsi="Times New Roman;Times;Serif"/>
          <w:b/>
          <w:i w:val="false"/>
          <w:caps w:val="false"/>
          <w:smallCaps w:val="false"/>
          <w:sz w:val="20"/>
        </w:rPr>
        <w:t>Indemnitee Agent Party</w:t>
      </w:r>
      <w:r>
        <w:rPr>
          <w:rFonts w:ascii="Times New Roman;Times;Serif" w:hAnsi="Times New Roman;Times;Serif"/>
          <w:b w:val="false"/>
          <w:i w:val="false"/>
          <w:caps w:val="false"/>
          <w:smallCaps w:val="false"/>
          <w:sz w:val="20"/>
        </w:rPr>
        <w:t xml:space="preserve">”) (to the extent not reimbursed by the Borrower, but without limiting any obligation of the Borrower to make such reimbursement), ratably according to their respective Pro Rata Shares (provided,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 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Knowledge of Default</w:t>
      </w:r>
      <w:r>
        <w:rPr>
          <w:rFonts w:ascii="Times New Roman;Times;Serif" w:hAnsi="Times New Roman;Times;Serif"/>
          <w:b w:val="false"/>
          <w:i w:val="false"/>
          <w:caps w:val="false"/>
          <w:smallCaps w:val="false"/>
          <w:sz w:val="20"/>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The Agent’s Authorization; Action by Lenders</w:t>
      </w:r>
      <w:r>
        <w:rPr>
          <w:rFonts w:ascii="Times New Roman;Times;Serif" w:hAnsi="Times New Roman;Times;Serif"/>
          <w:b w:val="false"/>
          <w:i w:val="false"/>
          <w:caps w:val="false"/>
          <w:smallCaps w:val="false"/>
          <w:sz w:val="20"/>
        </w:rPr>
        <w:t xml:space="preserve">.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 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Enforcement Actions by the Agent</w:t>
      </w:r>
      <w:r>
        <w:rPr>
          <w:rFonts w:ascii="Times New Roman;Times;Serif" w:hAnsi="Times New Roman;Times;Serif"/>
          <w:b w:val="false"/>
          <w:i w:val="false"/>
          <w:caps w:val="false"/>
          <w:smallCaps w:val="false"/>
          <w:sz w:val="20"/>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this Agreement to a Person that is not the Borrower or a Guarantor, subject to Section 11.11(b)(3) below; (c) constituting property in which a Credit Party owned no interest at the time the Lien was granted or at any time thereafter; or (d) 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 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The Agent in its Individual Capacity</w:t>
      </w:r>
      <w:r>
        <w:rPr>
          <w:rFonts w:ascii="Times New Roman;Times;Serif" w:hAnsi="Times New Roman;Times;Serif"/>
          <w:b w:val="false"/>
          <w:i w:val="false"/>
          <w:caps w:val="false"/>
          <w:smallCaps w:val="false"/>
          <w:sz w:val="20"/>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Specified Subordination Agreement and Subordination Agreements</w:t>
      </w:r>
      <w:r>
        <w:rPr>
          <w:rFonts w:ascii="Times New Roman;Times;Serif" w:hAnsi="Times New Roman;Times;Serif"/>
          <w:b w:val="false"/>
          <w:i w:val="false"/>
          <w:caps w:val="false"/>
          <w:smallCaps w:val="false"/>
          <w:sz w:val="20"/>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11.14         </w:t>
      </w:r>
      <w:r>
        <w:rPr>
          <w:rFonts w:ascii="Times New Roman;Times;Serif" w:hAnsi="Times New Roman;Times;Serif"/>
          <w:b w:val="false"/>
          <w:i w:val="false"/>
          <w:caps w:val="false"/>
          <w:smallCaps w:val="false"/>
          <w:sz w:val="20"/>
          <w:u w:val="single"/>
        </w:rPr>
        <w:t>No Reliance on the Agent’s Customer Identification Program</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b/>
          <w:i w:val="false"/>
          <w:caps w:val="false"/>
          <w:smallCaps w:val="false"/>
          <w:sz w:val="20"/>
        </w:rPr>
        <w:t>CIP Regulations</w:t>
      </w:r>
      <w:r>
        <w:rPr>
          <w:rFonts w:ascii="Times New Roman;Times;Serif" w:hAnsi="Times New Roman;Times;Serif"/>
          <w:b w:val="false"/>
          <w:i w:val="false"/>
          <w:caps w:val="false"/>
          <w:smallCaps w:val="false"/>
          <w:sz w:val="20"/>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of the USA Patriot Act and the applicable regulations: (x) within 10 days after the Restatement Date, and (y) at such other times as are required under the USA Patriot Act.</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pPr>
            <w:r>
              <w:rPr/>
              <w:t>12.</w:t>
            </w:r>
          </w:p>
        </w:tc>
        <w:tc>
          <w:tcPr>
            <w:tcW w:w="8740" w:type="dxa"/>
            <w:tcBorders/>
            <w:vAlign w:val="center"/>
          </w:tcPr>
          <w:p>
            <w:pPr>
              <w:pStyle w:val="TableContents"/>
              <w:bidi w:val="0"/>
              <w:spacing w:before="0" w:after="283"/>
              <w:jc w:val="left"/>
              <w:rPr/>
            </w:pPr>
            <w:r>
              <w:rPr/>
              <w:t>MISCELLANEOUS.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xml:space="preserve">.  ALL JUDICIAL PROCEEDINGS BROUGHT AGAINST ANY THE BORROWER OR ANY GUARANTOR ARISING OUT OF OR RELATING HERETO OR ANY OTHER LOAN DOCUMENT, OR ANY OF THE INDEBTEDNESS </w:t>
      </w:r>
      <w:r>
        <w:rPr>
          <w:rFonts w:ascii="Times New Roman;Times;Serif" w:hAnsi="Times New Roman;Times;Serif"/>
          <w:b w:val="false"/>
          <w:i w:val="false"/>
          <w:caps/>
          <w:sz w:val="20"/>
        </w:rPr>
        <w:t>(including any Prepayment Premium)</w:t>
      </w:r>
      <w:r>
        <w:rPr>
          <w:rFonts w:ascii="Times New Roman;Times;Serif" w:hAnsi="Times New Roman;Times;Serif"/>
          <w:b w:val="false"/>
          <w:i w:val="false"/>
          <w:caps w:val="false"/>
          <w:smallCaps w:val="false"/>
          <w:sz w:val="20"/>
        </w:rPr>
        <w:t xml:space="preserve">,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Times New Roman;Times;Serif" w:hAnsi="Times New Roman;Times;Serif"/>
          <w:b w:val="false"/>
          <w:i w:val="false"/>
          <w:caps w:val="false"/>
          <w:smallCaps w:val="false"/>
          <w:sz w:val="20"/>
          <w:u w:val="single"/>
        </w:rPr>
        <w:t>SECTION 12.5</w:t>
      </w:r>
      <w:r>
        <w:rPr>
          <w:rFonts w:ascii="Times New Roman;Times;Serif" w:hAnsi="Times New Roman;Times;Serif"/>
          <w:b w:val="false"/>
          <w:i w:val="false"/>
          <w:caps w:val="false"/>
          <w:smallCaps w:val="false"/>
          <w:sz w:val="20"/>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12.4             </w:t>
      </w:r>
      <w:r>
        <w:rPr>
          <w:rFonts w:ascii="Times New Roman;Times;Serif" w:hAnsi="Times New Roman;Times;Serif"/>
          <w:b w:val="false"/>
          <w:i w:val="false"/>
          <w:caps w:val="false"/>
          <w:smallCaps w:val="false"/>
          <w:sz w:val="20"/>
          <w:u w:val="single"/>
        </w:rPr>
        <w:t>Closing Costs and Other Costs;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Times New Roman;Times;Serif" w:hAnsi="Times New Roman;Times;Serif"/>
          <w:b/>
          <w:i w:val="false"/>
          <w:caps w:val="false"/>
          <w:smallCaps w:val="false"/>
          <w:sz w:val="20"/>
        </w:rPr>
        <w:t>Legal Counsel Limitations</w:t>
      </w:r>
      <w:r>
        <w:rPr>
          <w:rFonts w:ascii="Times New Roman;Times;Serif" w:hAnsi="Times New Roman;Times;Serif"/>
          <w:b w:val="false"/>
          <w:i w:val="false"/>
          <w:caps w:val="false"/>
          <w:smallCaps w:val="false"/>
          <w:sz w:val="20"/>
        </w:rPr>
        <w:t>")) and advances, appraisal, auditing, consulting and accounting fees, costs and expenses of creating and perfecting Liens in favor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 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THE PAYMENT OF EXPENSES PURSUANT TO </w:t>
      </w:r>
      <w:r>
        <w:rPr>
          <w:rFonts w:ascii="Times New Roman;Times;Serif" w:hAnsi="Times New Roman;Times;Serif"/>
          <w:b w:val="false"/>
          <w:i w:val="false"/>
          <w:caps w:val="false"/>
          <w:smallCaps w:val="false"/>
          <w:sz w:val="20"/>
          <w:u w:val="single"/>
        </w:rPr>
        <w:t>SECTION 12.4(a)</w:t>
      </w:r>
      <w:r>
        <w:rPr>
          <w:rFonts w:ascii="Times New Roman;Times;Serif" w:hAnsi="Times New Roman;Times;Serif"/>
          <w:b w:val="false"/>
          <w:i w:val="false"/>
          <w:caps w:val="false"/>
          <w:smallCaps w:val="false"/>
          <w:sz w:val="20"/>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FROM AND AGAINST ANY AND ALL INDEMNIFIED LIABILITIES, </w:t>
      </w:r>
      <w:r>
        <w:rPr>
          <w:rFonts w:ascii="Times New Roman;Times;Serif" w:hAnsi="Times New Roman;Times;Serif"/>
          <w:b/>
          <w:i w:val="false"/>
          <w:caps w:val="false"/>
          <w:smallCaps w:val="false"/>
          <w:sz w:val="20"/>
        </w:rPr>
        <w:t>IN ALL CASES, WHETHER OR NOT CAUSED BY OR ARISING, IN WHOLE OR IN PART, OUT OF THE COMPARATIVE, CONTRIBUTORY, OR SOLE NEGLIGENCE OF SUCH INDEMNITEE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THE BORROWER SHALL NOT HAVE ANY OBLIGATION TO ANY INDEMNITEE 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Times;Serif" w:hAnsi="Times New Roman;Times;Serif"/>
          <w:b w:val="false"/>
          <w:i w:val="false"/>
          <w:caps w:val="false"/>
          <w:smallCaps w:val="false"/>
          <w:sz w:val="20"/>
          <w:u w:val="single"/>
        </w:rPr>
        <w:t>SECTION 12.4(b)</w:t>
      </w:r>
      <w:r>
        <w:rPr>
          <w:rFonts w:ascii="Times New Roman;Times;Serif" w:hAnsi="Times New Roman;Times;Serif"/>
          <w:b w:val="false"/>
          <w:i w:val="false"/>
          <w:caps w:val="false"/>
          <w:smallCaps w:val="false"/>
          <w:sz w:val="20"/>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connection therewith, and the Borrower hereby waives, releases and agrees not to sue upon any such claim or any such damages, whether or not accrued and whether or not known or suspected to exist in its favor.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12.6            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12.7             </w:t>
      </w:r>
      <w:r>
        <w:rPr>
          <w:rFonts w:ascii="Times New Roman;Times;Serif" w:hAnsi="Times New Roman;Times;Serif"/>
          <w:b w:val="false"/>
          <w:i w:val="false"/>
          <w:caps w:val="false"/>
          <w:smallCaps w:val="false"/>
          <w:sz w:val="20"/>
          <w:u w:val="single"/>
        </w:rPr>
        <w:t>Successors and Assigns; Participations; Assignments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shall be binding upon and shall inure to the benefit of the Borrower and the Lenders and their respective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shall not authorize any assignment by the Borrower of its rights or duties hereunder, and, except as otherwise provided herein, no such assignment shall be made (or be effective) without the prior written approval of the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assignment by a Lender of all or any portion of its rights and obligations hereunder and under the other Loan Documents, shall be subject to the following terms and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or Incremental Term Loans of a particular tranche of the assigning Lender) with respect to the assignment of Term Loans;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 or discharge of the Indebtedness evidenced by such prior Note, and each such new Note may contain a provision confirming such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shall remain the holder of its Notes hereunder (if such Notes are issued), notwithstanding any such participation;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participant shall not reassign or transfer, or grant any sub-participations in its participation interest hereunder or any part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participant shall provide the relevant tax form required under Section 12.12 to its participating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provided that no Lender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 hereto     (except in connection with the exercise of remedies by such pledgee or assignee or grantee with respect to the obligations or indebtedness of such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several counterparts, and each executed copy shall constitute an original instrument, but such counterparts shall together constitute but one and the same instrument.  The words “execution,” “execute”, “signed,” “signature,” and words of like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99 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12.9             </w:t>
      </w:r>
      <w:r>
        <w:rPr>
          <w:rFonts w:ascii="Times New Roman;Times;Serif" w:hAnsi="Times New Roman;Times;Serif"/>
          <w:b w:val="false"/>
          <w:i w:val="false"/>
          <w:caps w:val="false"/>
          <w:smallCaps w:val="false"/>
          <w:sz w:val="20"/>
          <w:u w:val="single"/>
        </w:rPr>
        <w:t>Amendment and 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w:t>
        <w:tab/>
        <w:t>Except as otherwise expressly provided in Section 2.11 with respect to any Joinder Agreement, 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amendment, waiver or consent shall increase the stated amount of any Lender’s commitment hereunder without such Lender’s consent;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amendment, waiver or consent shall, unless in writing and signed by the Lender or Lenders holding Indebtedness directly affected thereby, do any of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of, or interest (other than any waiver of any increase in the interest rate applicable to any Loan pursuant to Section 2.6(d)) on, any outstanding Indebtedness or any Fees or other amounts payable hereunder (including any Prepayment Premium),</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postpone any date fixed for any payment of principal of, or interest on, any outstanding Indebtedness or any Fees or other amounts payable hereunder (including any Prepayment Premium) (provided that, for the avoidance of doubt, any exercise of the Term Loan PIK Option shall not constitute a postponement for purposes of this clause (B)),</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100 </w:t>
      </w:r>
    </w:p>
    <w:p>
      <w:pPr>
        <w:pStyle w:val="TextBody"/>
        <w:bidi w:val="0"/>
        <w:spacing w:before="0" w:after="0"/>
        <w:ind w:left="0" w:right="0" w:hanging="0"/>
        <w:jc w:val="left"/>
        <w:rPr/>
      </w:pPr>
      <w:r>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amend the definition of “Pro Rata Share”;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any waiver of a mandatory prepayment, </w:t>
      </w:r>
      <w:r>
        <w:rPr>
          <w:rFonts w:ascii="Times New Roman;Times;Serif" w:hAnsi="Times New Roman;Times;Serif"/>
          <w:b w:val="false"/>
          <w:i w:val="false"/>
          <w:caps w:val="false"/>
          <w:smallCaps w:val="false"/>
          <w:sz w:val="20"/>
          <w:u w:val="single"/>
        </w:rPr>
        <w:t>Section 2.11(b)(v)</w:t>
      </w:r>
      <w:r>
        <w:rPr>
          <w:rFonts w:ascii="Times New Roman;Times;Serif" w:hAnsi="Times New Roman;Times;Serif"/>
          <w:b w:val="false"/>
          <w:i w:val="false"/>
          <w:caps w:val="false"/>
          <w:smallCaps w:val="false"/>
          <w:sz w:val="20"/>
        </w:rPr>
        <w:t xml:space="preserve"> or any Default or Event of Default shall be subject only to the consent of the Majority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amendment, waiver or consent shall, unless in writing and signed by all Lenders, do any of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amendment, waiver, or consent that will affect the rights or duties of the Agent under this Agreement or any other Loan Document, shall require the written concurrence of the Agent;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amendment, waiver, consent or other modification to this Agreement to permit the formation or other existence of the direct parent entity of the Borrower shall require the written consent of the Agent in its sole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 (i) 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the Agent may, with the consent of the Borrower only, amend, modify or supplement this Agreement or any of the other Loan Documents to cure any ambiguity, omission, mistake, defect or inconsistency.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12.10        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prior to any disclosure, such investor, member or partner is informed of the confidential nature of the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val="false"/>
          <w:i w:val="false"/>
          <w:caps w:val="false"/>
          <w:smallCaps w:val="false"/>
          <w:sz w:val="20"/>
          <w:u w:val="single"/>
        </w:rPr>
        <w:t>Substitution or Removal of Lenders</w:t>
      </w:r>
      <w:r>
        <w:rPr>
          <w:rFonts w:ascii="Times New Roman;Times;Serif" w:hAnsi="Times New Roman;Times;Serif"/>
          <w:b w:val="false"/>
          <w:i w:val="false"/>
          <w:caps w:val="false"/>
          <w:smallCaps w:val="false"/>
          <w:sz w:val="20"/>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Times New Roman;Times;Serif" w:hAnsi="Times New Roman;Times;Serif"/>
          <w:b/>
          <w:i w:val="false"/>
          <w:caps w:val="false"/>
          <w:smallCaps w:val="false"/>
          <w:sz w:val="20"/>
        </w:rPr>
        <w:t>Non-Consenting Lender</w:t>
      </w:r>
      <w:r>
        <w:rPr>
          <w:rFonts w:ascii="Times New Roman;Times;Serif" w:hAnsi="Times New Roman;Times;Serif"/>
          <w:b w:val="false"/>
          <w:i w:val="false"/>
          <w:caps w:val="false"/>
          <w:smallCaps w:val="false"/>
          <w:sz w:val="20"/>
        </w:rPr>
        <w:t>”); then, with respect to each such Lender (an “</w:t>
      </w:r>
      <w:r>
        <w:rPr>
          <w:rFonts w:ascii="Times New Roman;Times;Serif" w:hAnsi="Times New Roman;Times;Serif"/>
          <w:b/>
          <w:i w:val="false"/>
          <w:caps w:val="false"/>
          <w:smallCaps w:val="false"/>
          <w:sz w:val="20"/>
        </w:rPr>
        <w:t>Affected Lender</w:t>
      </w:r>
      <w:r>
        <w:rPr>
          <w:rFonts w:ascii="Times New Roman;Times;Serif" w:hAnsi="Times New Roman;Times;Serif"/>
          <w:b w:val="false"/>
          <w:i w:val="false"/>
          <w:caps w:val="false"/>
          <w:smallCaps w:val="false"/>
          <w:sz w:val="20"/>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Times New Roman;Times;Serif" w:hAnsi="Times New Roman;Times;Serif"/>
          <w:b/>
          <w:i w:val="false"/>
          <w:caps w:val="false"/>
          <w:smallCaps w:val="false"/>
          <w:sz w:val="20"/>
        </w:rPr>
        <w:t>Replacement Lender</w:t>
      </w:r>
      <w:r>
        <w:rPr>
          <w:rFonts w:ascii="Times New Roman;Times;Serif" w:hAnsi="Times New Roman;Times;Serif"/>
          <w:b w:val="false"/>
          <w:i w:val="false"/>
          <w:caps w:val="false"/>
          <w:smallCaps w:val="false"/>
          <w:sz w:val="20"/>
        </w:rPr>
        <w:t xml:space="preserve">”) in accordance with the provisions of Section 12.7 and Affected Lender shall pay any fees payable thereunder in connection with such assignment;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(1) 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any rights of such Affected Lender to indemnification hereunder shall survive as to such Affected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12.12        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12.12(a)(i)(A), (i)(B) and (i)(D)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3"/>
        <w:gridCol w:w="9875"/>
      </w:tblGrid>
      <w:tr>
        <w:trPr/>
        <w:tc>
          <w:tcPr>
            <w:tcW w:w="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(A)</w:t>
            </w:r>
          </w:p>
        </w:tc>
        <w:tc>
          <w:tcPr>
            <w:tcW w:w="9875" w:type="dxa"/>
            <w:tcBorders/>
            <w:vAlign w:val="center"/>
          </w:tcPr>
          <w:p>
            <w:pPr>
              <w:pStyle w:val="TableContents"/>
              <w:bidi w:val="0"/>
              <w:spacing w:before="0" w:after="283"/>
              <w:jc w:val="both"/>
              <w:rPr/>
            </w:pPr>
            <w:r>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both"/>
              <w:rPr/>
            </w:pPr>
            <w:r>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(i)</w:t>
            </w:r>
          </w:p>
        </w:tc>
        <w:tc>
          <w:tcPr>
            <w:tcW w:w="10003" w:type="dxa"/>
            <w:tcBorders/>
            <w:vAlign w:val="center"/>
          </w:tcPr>
          <w:p>
            <w:pPr>
              <w:pStyle w:val="TableContents"/>
              <w:bidi w:val="0"/>
              <w:spacing w:before="0" w:after="283"/>
              <w:jc w:val="both"/>
              <w:rPr/>
            </w:pPr>
            <w:r>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67"/>
        <w:gridCol w:w="9677"/>
      </w:tblGrid>
      <w:tr>
        <w:trPr/>
        <w:tc>
          <w:tcPr>
            <w:tcW w:w="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pPr>
            <w:r>
              <w:rPr/>
              <w:t>(ii)</w:t>
            </w:r>
          </w:p>
        </w:tc>
        <w:tc>
          <w:tcPr>
            <w:tcW w:w="9677" w:type="dxa"/>
            <w:tcBorders/>
            <w:vAlign w:val="center"/>
          </w:tcPr>
          <w:p>
            <w:pPr>
              <w:pStyle w:val="TableContents"/>
              <w:bidi w:val="0"/>
              <w:spacing w:before="0" w:after="283"/>
              <w:jc w:val="both"/>
              <w:rPr/>
            </w:pPr>
            <w:r>
              <w:rPr/>
              <w:t>executed copies of IRS Form W-8ECI (or any successor form);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(iii)</w:t>
            </w:r>
          </w:p>
        </w:tc>
        <w:tc>
          <w:tcPr>
            <w:tcW w:w="9883" w:type="dxa"/>
            <w:tcBorders/>
            <w:vAlign w:val="center"/>
          </w:tcPr>
          <w:p>
            <w:pPr>
              <w:pStyle w:val="TableContents"/>
              <w:bidi w:val="0"/>
              <w:spacing w:before="0" w:after="283"/>
              <w:jc w:val="both"/>
              <w:rPr/>
            </w:pPr>
            <w:r>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(iv)</w:t>
            </w:r>
          </w:p>
        </w:tc>
        <w:tc>
          <w:tcPr>
            <w:tcW w:w="9883" w:type="dxa"/>
            <w:tcBorders/>
            <w:vAlign w:val="center"/>
          </w:tcPr>
          <w:p>
            <w:pPr>
              <w:pStyle w:val="TableContents"/>
              <w:bidi w:val="0"/>
              <w:spacing w:before="0" w:after="283"/>
              <w:jc w:val="both"/>
              <w:rPr/>
            </w:pPr>
            <w:r>
              <w:rPr/>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104 </w:t>
      </w:r>
    </w:p>
    <w:p>
      <w:pPr>
        <w:pStyle w:val="TextBody"/>
        <w:bidi w:val="0"/>
        <w:spacing w:before="0" w:after="0"/>
        <w:ind w:left="0" w:right="0" w:hanging="0"/>
        <w:jc w:val="left"/>
        <w:rPr/>
      </w:pPr>
      <w:r>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Lender may provide a U.S. Tax Compliance Certificate substantially in the form of Exhibit E-4 on behalf of each such direct and indirect partner;</w:t>
      </w:r>
    </w:p>
    <w:p>
      <w:pPr>
        <w:pStyle w:val="TextBody"/>
        <w:bidi w:val="0"/>
        <w:spacing w:before="0" w:after="0"/>
        <w:ind w:left="28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(C)</w:t>
            </w:r>
          </w:p>
        </w:tc>
        <w:tc>
          <w:tcPr>
            <w:tcW w:w="9899" w:type="dxa"/>
            <w:tcBorders/>
            <w:vAlign w:val="center"/>
          </w:tcPr>
          <w:p>
            <w:pPr>
              <w:pStyle w:val="TableContents"/>
              <w:bidi w:val="0"/>
              <w:spacing w:before="0" w:after="283"/>
              <w:jc w:val="both"/>
              <w:rPr/>
            </w:pPr>
            <w:r>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(D)</w:t>
            </w:r>
          </w:p>
        </w:tc>
        <w:tc>
          <w:tcPr>
            <w:tcW w:w="9888" w:type="dxa"/>
            <w:tcBorders/>
            <w:vAlign w:val="center"/>
          </w:tcPr>
          <w:p>
            <w:pPr>
              <w:pStyle w:val="TableContents"/>
              <w:bidi w:val="0"/>
              <w:spacing w:before="0" w:after="283"/>
              <w:jc w:val="both"/>
              <w:rPr/>
            </w:pPr>
            <w:r>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12.12, the term “applicable law” includes FATCA.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12.14         </w:t>
      </w:r>
      <w:r>
        <w:rPr>
          <w:rFonts w:ascii="Times New Roman;Times;Serif" w:hAnsi="Times New Roman;Times;Serif"/>
          <w:b w:val="false"/>
          <w:i w:val="false"/>
          <w:caps w:val="false"/>
          <w:smallCaps w:val="false"/>
          <w:sz w:val="20"/>
          <w:u w:val="single"/>
        </w:rPr>
        <w:t>USA Patriot Act Notice; Beneficial Ownership Certification</w:t>
      </w:r>
      <w:r>
        <w:rPr>
          <w:rFonts w:ascii="Times New Roman;Times;Serif" w:hAnsi="Times New Roman;Times;Serif"/>
          <w:b w:val="false"/>
          <w:i w:val="false"/>
          <w:caps w:val="false"/>
          <w:smallCaps w:val="false"/>
          <w:sz w:val="20"/>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12.15         </w:t>
      </w:r>
      <w:r>
        <w:rPr>
          <w:rFonts w:ascii="Times New Roman;Times;Serif" w:hAnsi="Times New Roman;Times;Serif"/>
          <w:b w:val="false"/>
          <w:i w:val="false"/>
          <w:caps w:val="false"/>
          <w:smallCaps w:val="false"/>
          <w:sz w:val="20"/>
          <w:u w:val="single"/>
        </w:rPr>
        <w:t>Complete Agreement; Conflicts</w:t>
      </w:r>
      <w:r>
        <w:rPr>
          <w:rFonts w:ascii="Times New Roman;Times;Serif" w:hAnsi="Times New Roman;Times;Serif"/>
          <w:b w:val="false"/>
          <w:i w:val="false"/>
          <w:caps w:val="false"/>
          <w:smallCaps w:val="false"/>
          <w:sz w:val="20"/>
        </w:rPr>
        <w:t>.  This Agreement, the Notes (if issued), any Requests for Loan and the Loan Documents contain the entire agreement of the parties hereto, superseding all prior 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12.17         </w:t>
      </w:r>
      <w:r>
        <w:rPr>
          <w:rFonts w:ascii="Times New Roman;Times;Serif" w:hAnsi="Times New Roman;Times;Serif"/>
          <w:b w:val="false"/>
          <w:i w:val="false"/>
          <w:caps w:val="false"/>
          <w:smallCaps w:val="false"/>
          <w:sz w:val="20"/>
          <w:u w:val="single"/>
        </w:rPr>
        <w:t>Table of Contents and Headings; Section References</w:t>
      </w:r>
      <w:r>
        <w:rPr>
          <w:rFonts w:ascii="Times New Roman;Times;Serif" w:hAnsi="Times New Roman;Times;Serif"/>
          <w:b w:val="false"/>
          <w:i w:val="false"/>
          <w:caps w:val="false"/>
          <w:smallCaps w:val="false"/>
          <w:sz w:val="20"/>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12.18         </w:t>
      </w:r>
      <w:r>
        <w:rPr>
          <w:rFonts w:ascii="Times New Roman;Times;Serif" w:hAnsi="Times New Roman;Times;Serif"/>
          <w:b w:val="false"/>
          <w:i w:val="false"/>
          <w:caps w:val="false"/>
          <w:smallCaps w:val="false"/>
          <w:sz w:val="20"/>
          <w:u w:val="single"/>
        </w:rPr>
        <w:t>Construction of Certain Provisions</w:t>
      </w:r>
      <w:r>
        <w:rPr>
          <w:rFonts w:ascii="Times New Roman;Times;Serif" w:hAnsi="Times New Roman;Times;Serif"/>
          <w:b w:val="false"/>
          <w:i w:val="false"/>
          <w:caps w:val="false"/>
          <w:smallCaps w:val="false"/>
          <w:sz w:val="20"/>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12.19         </w:t>
      </w:r>
      <w:r>
        <w:rPr>
          <w:rFonts w:ascii="Times New Roman;Times;Serif" w:hAnsi="Times New Roman;Times;Serif"/>
          <w:b w:val="false"/>
          <w:i w:val="false"/>
          <w:caps w:val="false"/>
          <w:smallCaps w:val="false"/>
          <w:sz w:val="20"/>
          <w:u w:val="single"/>
        </w:rPr>
        <w:t>Independence of Covenants</w:t>
      </w:r>
      <w:r>
        <w:rPr>
          <w:rFonts w:ascii="Times New Roman;Times;Serif" w:hAnsi="Times New Roman;Times;Serif"/>
          <w:b w:val="false"/>
          <w:i w:val="false"/>
          <w:caps w:val="false"/>
          <w:smallCaps w:val="false"/>
          <w:sz w:val="20"/>
        </w:rPr>
        <w:t xml:space="preserve">.  Each covenant hereunder shall be given independent effect (subject to any exceptions stated in such covenant) so that if a particular action or condition is not permitted by any such covenant (taking into account any such stated exception), the fact that it would be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by an exception to, or would be otherwise within the limitations of, another covenant shall not avoid the occurrence of a Default or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12.20         </w:t>
      </w:r>
      <w:r>
        <w:rPr>
          <w:rFonts w:ascii="Times New Roman;Times;Serif" w:hAnsi="Times New Roman;Times;Serif"/>
          <w:b w:val="false"/>
          <w:i w:val="false"/>
          <w:caps w:val="false"/>
          <w:smallCaps w:val="false"/>
          <w:sz w:val="20"/>
          <w:u w:val="single"/>
        </w:rPr>
        <w:t>Electronic Transmissions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Agent, the Credit Parties, the Lenders, and each of their Affiliates is authorized (but not required) to transmit, post or otherwise make or communicate, in its sole discretion, 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12.21         </w:t>
      </w:r>
      <w:r>
        <w:rPr>
          <w:rFonts w:ascii="Times New Roman;Times;Serif" w:hAnsi="Times New Roman;Times;Serif"/>
          <w:b w:val="false"/>
          <w:i w:val="false"/>
          <w:caps w:val="false"/>
          <w:smallCaps w:val="false"/>
          <w:sz w:val="20"/>
          <w:u w:val="single"/>
        </w:rPr>
        <w:t>Advertisements</w:t>
      </w:r>
      <w:r>
        <w:rPr>
          <w:rFonts w:ascii="Times New Roman;Times;Serif" w:hAnsi="Times New Roman;Times;Serif"/>
          <w:b w:val="false"/>
          <w:i w:val="false"/>
          <w:caps w:val="false"/>
          <w:smallCaps w:val="false"/>
          <w:sz w:val="20"/>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Times;Serif" w:hAnsi="Times New Roman;Times;Serif"/>
          <w:b/>
          <w:i w:val="false"/>
          <w:caps w:val="false"/>
          <w:smallCaps w:val="false"/>
          <w:sz w:val="20"/>
        </w:rPr>
        <w:t>Trade Announcements</w:t>
      </w:r>
      <w:r>
        <w:rPr>
          <w:rFonts w:ascii="Times New Roman;Times;Serif" w:hAnsi="Times New Roman;Times;Serif"/>
          <w:b w:val="false"/>
          <w:i w:val="false"/>
          <w:caps w:val="false"/>
          <w:smallCaps w:val="false"/>
          <w:sz w:val="20"/>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12.22         </w:t>
      </w:r>
      <w:r>
        <w:rPr>
          <w:rFonts w:ascii="Times New Roman;Times;Serif" w:hAnsi="Times New Roman;Times;Serif"/>
          <w:b w:val="false"/>
          <w:i w:val="false"/>
          <w:caps w:val="false"/>
          <w:smallCaps w:val="false"/>
          <w:sz w:val="20"/>
          <w:u w:val="single"/>
        </w:rPr>
        <w:t>Reliance on and Survival of Provisions</w:t>
      </w:r>
      <w:r>
        <w:rPr>
          <w:rFonts w:ascii="Times New Roman;Times;Serif" w:hAnsi="Times New Roman;Times;Serif"/>
          <w:b w:val="false"/>
          <w:i w:val="false"/>
          <w:caps w:val="false"/>
          <w:smallCaps w:val="false"/>
          <w:sz w:val="20"/>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12.23        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12.24         </w:t>
      </w:r>
      <w:r>
        <w:rPr>
          <w:rFonts w:ascii="Times New Roman;Times;Serif" w:hAnsi="Times New Roman;Times;Serif"/>
          <w:b w:val="false"/>
          <w:i w:val="false"/>
          <w:caps w:val="false"/>
          <w:smallCaps w:val="false"/>
          <w:sz w:val="20"/>
          <w:u w:val="single"/>
        </w:rPr>
        <w:t>Acknowledgment and Consent to Bail-In of EEA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application of any Write-Down and Conversion Powers by an EEA Resolution Authority to any such liabilities arising hereunder which may be payable to it by any party hereto that is an EEA Financial Institution;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83"/>
        <w:gridCol w:w="9772"/>
      </w:tblGrid>
      <w:tr>
        <w:trPr/>
        <w:tc>
          <w:tcPr>
            <w:tcW w:w="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(b)</w:t>
            </w:r>
          </w:p>
        </w:tc>
        <w:tc>
          <w:tcPr>
            <w:tcW w:w="9772" w:type="dxa"/>
            <w:tcBorders/>
            <w:vAlign w:val="center"/>
          </w:tcPr>
          <w:p>
            <w:pPr>
              <w:pStyle w:val="TableContents"/>
              <w:bidi w:val="0"/>
              <w:spacing w:before="0" w:after="283"/>
              <w:jc w:val="both"/>
              <w:rPr/>
            </w:pPr>
            <w:r>
              <w:rPr/>
              <w:t>the effects of any Bail-In Action on any such liability, including, if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372"/>
        <w:gridCol w:w="9772"/>
      </w:tblGrid>
      <w:tr>
        <w:trPr/>
        <w:tc>
          <w:tcPr>
            <w:tcW w:w="6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(i)</w:t>
            </w:r>
          </w:p>
        </w:tc>
        <w:tc>
          <w:tcPr>
            <w:tcW w:w="9772" w:type="dxa"/>
            <w:tcBorders/>
            <w:vAlign w:val="center"/>
          </w:tcPr>
          <w:p>
            <w:pPr>
              <w:pStyle w:val="TableContents"/>
              <w:bidi w:val="0"/>
              <w:spacing w:before="0" w:after="283"/>
              <w:jc w:val="both"/>
              <w:rPr/>
            </w:pPr>
            <w:r>
              <w:rPr/>
              <w:t>a reduction in full or in part or cancellation of any such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(ii)</w:t>
            </w:r>
          </w:p>
        </w:tc>
        <w:tc>
          <w:tcPr>
            <w:tcW w:w="9936" w:type="dxa"/>
            <w:tcBorders/>
            <w:vAlign w:val="center"/>
          </w:tcPr>
          <w:p>
            <w:pPr>
              <w:pStyle w:val="TableContents"/>
              <w:bidi w:val="0"/>
              <w:spacing w:before="0" w:after="283"/>
              <w:jc w:val="both"/>
              <w:rPr/>
            </w:pPr>
            <w:r>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5"/>
        <w:gridCol w:w="9843"/>
      </w:tblGrid>
      <w:tr>
        <w:trPr/>
        <w:tc>
          <w:tcPr>
            <w:tcW w:w="3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(iii)</w:t>
            </w:r>
          </w:p>
        </w:tc>
        <w:tc>
          <w:tcPr>
            <w:tcW w:w="9843" w:type="dxa"/>
            <w:tcBorders/>
            <w:vAlign w:val="center"/>
          </w:tcPr>
          <w:p>
            <w:pPr>
              <w:pStyle w:val="TableContents"/>
              <w:bidi w:val="0"/>
              <w:spacing w:before="0" w:after="283"/>
              <w:jc w:val="both"/>
              <w:rPr/>
            </w:pPr>
            <w:r>
              <w:rPr/>
              <w:t>the variation of the terms of such liability in connection with the exercise of the write-down and conversion powers of any EEA Resolution Authority.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12.25         </w:t>
      </w:r>
      <w:r>
        <w:rPr>
          <w:rFonts w:ascii="Times New Roman;Times;Serif" w:hAnsi="Times New Roman;Times;Serif"/>
          <w:b w:val="false"/>
          <w:i w:val="false"/>
          <w:caps w:val="false"/>
          <w:smallCaps w:val="false"/>
          <w:sz w:val="20"/>
          <w:u w:val="single"/>
        </w:rPr>
        <w:t>Specified Subordination Agreement</w:t>
      </w:r>
      <w:r>
        <w:rPr>
          <w:rFonts w:ascii="Times New Roman;Times;Serif" w:hAnsi="Times New Roman;Times;Serif"/>
          <w:b w:val="false"/>
          <w:i w:val="false"/>
          <w:caps w:val="false"/>
          <w:smallCaps w:val="false"/>
          <w:sz w:val="20"/>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 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12.26         </w:t>
      </w:r>
      <w:r>
        <w:rPr>
          <w:rFonts w:ascii="Times New Roman;Times;Serif" w:hAnsi="Times New Roman;Times;Serif"/>
          <w:b w:val="false"/>
          <w:i w:val="false"/>
          <w:caps w:val="false"/>
          <w:smallCaps w:val="false"/>
          <w:sz w:val="20"/>
          <w:u w:val="single"/>
        </w:rPr>
        <w:t>Restatement of Original Credit Agreement</w:t>
      </w:r>
      <w:r>
        <w:rPr>
          <w:rFonts w:ascii="Times New Roman;Times;Serif" w:hAnsi="Times New Roman;Times;Serif"/>
          <w:b w:val="false"/>
          <w:i w:val="false"/>
          <w:caps w:val="false"/>
          <w:smallCaps w:val="false"/>
          <w:sz w:val="20"/>
        </w:rPr>
        <w:t>.  The parties hereto agree that, on the Restatement Date, the following transactions shall be deemed to occur automatically, without further action by any party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Original Credit Agreement shall be deemed to be amended and restated in its entirety in the form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in the Loan Documents (as defined in the Original Credit Agreement) to the “Credit Agreement” shall be deemed to refer without further amendment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and the other Loan Documents do not constitute a novation or termination of the Existing Term Loans and that, to the extent not exchanged for Equity Interests of the Borrower on the Restatement Date, such Existing Term Loans shall in all respects continue and remain outstanding as Exchanged Term Loans under this Agreement with only the terms being modified from and after the Restatement Date of this Agreement as provided in this Agreement and the other Loan Documents;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109 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Incremental Term Loan Commitments</w:t>
      </w:r>
    </w:p>
    <w:p>
      <w:pPr>
        <w:pStyle w:val="TextBody"/>
        <w:bidi w:val="0"/>
        <w:spacing w:before="0" w:after="0"/>
        <w:ind w:left="0" w:right="0" w:hanging="0"/>
        <w:jc w:val="center"/>
        <w:rPr>
          <w:caps w:val="false"/>
          <w:smallCaps w:val="false"/>
        </w:rPr>
      </w:pPr>
      <w:r>
        <w:rPr>
          <w:caps w:val="false"/>
          <w:smallCaps w:val="false"/>
        </w:rPr>
        <w:t> </w:t>
      </w:r>
    </w:p>
    <w:tbl>
      <w:tblPr>
        <w:tblW w:w="8710" w:type="dxa"/>
        <w:jc w:val="left"/>
        <w:tblInd w:w="-10" w:type="dxa"/>
        <w:tblLayout w:type="fixed"/>
        <w:tblCellMar>
          <w:top w:w="28" w:type="dxa"/>
          <w:left w:w="28" w:type="dxa"/>
          <w:bottom w:w="28" w:type="dxa"/>
          <w:right w:w="28" w:type="dxa"/>
        </w:tblCellMar>
      </w:tblPr>
      <w:tblGrid>
        <w:gridCol w:w="3860"/>
        <w:gridCol w:w="4850"/>
      </w:tblGrid>
      <w:tr>
        <w:trPr/>
        <w:tc>
          <w:tcPr>
            <w:tcW w:w="38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u w:val="single"/>
              </w:rPr>
            </w:pPr>
            <w:r>
              <w:rPr>
                <w:b/>
                <w:sz w:val="20"/>
                <w:u w:val="single"/>
              </w:rPr>
              <w:t>Third Amendment Incremental Term Lender</w:t>
            </w:r>
          </w:p>
        </w:tc>
        <w:tc>
          <w:tcPr>
            <w:tcW w:w="48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Third Amendment Incremental Term Loan Commitment</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APS RTR Blocker Inc.</w:t>
            </w:r>
          </w:p>
        </w:tc>
        <w:tc>
          <w:tcPr>
            <w:tcW w:w="4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$7,000,000.00</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Gateway Runway, LLC</w:t>
            </w:r>
          </w:p>
        </w:tc>
        <w:tc>
          <w:tcPr>
            <w:tcW w:w="4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$1,500,000.00</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S3 RR Aggregator, LLC</w:t>
            </w:r>
          </w:p>
        </w:tc>
        <w:tc>
          <w:tcPr>
            <w:tcW w:w="4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$1,500,000.00</w:t>
            </w:r>
          </w:p>
        </w:tc>
      </w:tr>
      <w:tr>
        <w:trPr/>
        <w:tc>
          <w:tcPr>
            <w:tcW w:w="38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48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$10,000,000.00</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 – LOANS AND COMMITMENTS</w:t>
      </w:r>
    </w:p>
    <w:p>
      <w:pPr>
        <w:pStyle w:val="TextBody"/>
        <w:bidi w:val="0"/>
        <w:spacing w:before="0" w:after="0"/>
        <w:ind w:left="360" w:right="0" w:hanging="36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900"/>
        <w:gridCol w:w="9135"/>
      </w:tblGrid>
      <w:tr>
        <w:trPr/>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b/>
              </w:rPr>
            </w:pPr>
            <w:r>
              <w:rPr>
                <w:b/>
              </w:rPr>
              <w:t>1.</w:t>
            </w:r>
          </w:p>
        </w:tc>
        <w:tc>
          <w:tcPr>
            <w:tcW w:w="9135" w:type="dxa"/>
            <w:tcBorders/>
            <w:vAlign w:val="center"/>
          </w:tcPr>
          <w:p>
            <w:pPr>
              <w:pStyle w:val="TableContents"/>
              <w:bidi w:val="0"/>
              <w:spacing w:before="0" w:after="283"/>
              <w:jc w:val="left"/>
              <w:rPr/>
            </w:pPr>
            <w:r>
              <w:rPr/>
              <w:t>Existing Term Loans</w:t>
            </w:r>
          </w:p>
        </w:tc>
      </w:tr>
    </w:tbl>
    <w:p>
      <w:pPr>
        <w:pStyle w:val="TextBody"/>
        <w:bidi w:val="0"/>
        <w:spacing w:before="0" w:after="0"/>
        <w:jc w:val="left"/>
        <w:rPr>
          <w:caps w:val="false"/>
          <w:smallCaps w:val="false"/>
        </w:rPr>
      </w:pPr>
      <w:r>
        <w:rPr>
          <w:caps w:val="false"/>
          <w:smallCaps w:val="false"/>
        </w:rPr>
        <w:t> </w:t>
      </w:r>
    </w:p>
    <w:tbl>
      <w:tblPr>
        <w:tblW w:w="3895" w:type="dxa"/>
        <w:jc w:val="left"/>
        <w:tblInd w:w="-10" w:type="dxa"/>
        <w:tblLayout w:type="fixed"/>
        <w:tblCellMar>
          <w:top w:w="28" w:type="dxa"/>
          <w:left w:w="28" w:type="dxa"/>
          <w:bottom w:w="28" w:type="dxa"/>
          <w:right w:w="28" w:type="dxa"/>
        </w:tblCellMar>
      </w:tblPr>
      <w:tblGrid>
        <w:gridCol w:w="2135"/>
        <w:gridCol w:w="1760"/>
      </w:tblGrid>
      <w:tr>
        <w:trPr/>
        <w:tc>
          <w:tcPr>
            <w:tcW w:w="2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w:t>
            </w:r>
          </w:p>
          <w:p>
            <w:pPr>
              <w:pStyle w:val="TableContents"/>
              <w:bidi w:val="0"/>
              <w:spacing w:before="0" w:after="0"/>
              <w:ind w:left="0" w:right="0" w:hanging="0"/>
              <w:jc w:val="center"/>
              <w:rPr>
                <w:caps w:val="false"/>
                <w:smallCaps w:val="false"/>
              </w:rPr>
            </w:pPr>
            <w:r>
              <w:rPr>
                <w:caps w:val="false"/>
                <w:smallCaps w:val="false"/>
              </w:rPr>
              <w:t> </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Existing Term Loan</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CHS US Investments LLC</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$334,165,275.12</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$334,165,275.12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9"/>
        <w:gridCol w:w="421"/>
        <w:gridCol w:w="9705"/>
      </w:tblGrid>
      <w:tr>
        <w:trPr/>
        <w:tc>
          <w:tcPr>
            <w:tcW w:w="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b/>
              </w:rPr>
            </w:pPr>
            <w:r>
              <w:rPr>
                <w:b/>
              </w:rPr>
              <w:t>2.</w:t>
            </w:r>
          </w:p>
        </w:tc>
        <w:tc>
          <w:tcPr>
            <w:tcW w:w="9705" w:type="dxa"/>
            <w:tcBorders/>
            <w:vAlign w:val="center"/>
          </w:tcPr>
          <w:p>
            <w:pPr>
              <w:pStyle w:val="TableContents"/>
              <w:bidi w:val="0"/>
              <w:spacing w:before="0" w:after="283"/>
              <w:jc w:val="left"/>
              <w:rPr>
                <w:b/>
              </w:rPr>
            </w:pPr>
            <w:r>
              <w:rPr>
                <w:b/>
              </w:rPr>
              <w:t xml:space="preserve">Restatement Date Term Loan Commitments </w:t>
            </w:r>
          </w:p>
        </w:tc>
      </w:tr>
    </w:tbl>
    <w:p>
      <w:pPr>
        <w:pStyle w:val="TextBody"/>
        <w:bidi w:val="0"/>
        <w:spacing w:before="0" w:after="0"/>
        <w:jc w:val="left"/>
        <w:rPr>
          <w:caps w:val="false"/>
          <w:smallCaps w:val="false"/>
        </w:rPr>
      </w:pPr>
      <w:r>
        <w:rPr>
          <w:caps w:val="false"/>
          <w:smallCaps w:val="false"/>
        </w:rPr>
        <w:t> </w:t>
      </w:r>
    </w:p>
    <w:tbl>
      <w:tblPr>
        <w:tblW w:w="5815" w:type="dxa"/>
        <w:jc w:val="left"/>
        <w:tblInd w:w="-10" w:type="dxa"/>
        <w:tblLayout w:type="fixed"/>
        <w:tblCellMar>
          <w:top w:w="28" w:type="dxa"/>
          <w:left w:w="28" w:type="dxa"/>
          <w:bottom w:w="28" w:type="dxa"/>
          <w:right w:w="28" w:type="dxa"/>
        </w:tblCellMar>
      </w:tblPr>
      <w:tblGrid>
        <w:gridCol w:w="2135"/>
        <w:gridCol w:w="3680"/>
      </w:tblGrid>
      <w:tr>
        <w:trPr/>
        <w:tc>
          <w:tcPr>
            <w:tcW w:w="2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w:t>
            </w:r>
          </w:p>
          <w:p>
            <w:pPr>
              <w:pStyle w:val="TableContents"/>
              <w:bidi w:val="0"/>
              <w:spacing w:before="0" w:after="0"/>
              <w:ind w:left="0" w:right="0" w:hanging="0"/>
              <w:jc w:val="center"/>
              <w:rPr>
                <w:caps w:val="false"/>
                <w:smallCaps w:val="false"/>
              </w:rPr>
            </w:pPr>
            <w:r>
              <w:rPr>
                <w:caps w:val="false"/>
                <w:smallCaps w:val="false"/>
              </w:rPr>
              <w:t> </w:t>
            </w:r>
          </w:p>
        </w:tc>
        <w:tc>
          <w:tcPr>
            <w:tcW w:w="3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Restatement Date Term Loan Commitment</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CHS US Investments LLC</w:t>
            </w:r>
          </w:p>
        </w:tc>
        <w:tc>
          <w:tcPr>
            <w:tcW w:w="3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Gateway Runway, LLC</w:t>
            </w:r>
          </w:p>
        </w:tc>
        <w:tc>
          <w:tcPr>
            <w:tcW w:w="3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$5,000,000.00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S3 RR Aggregator, LLC</w:t>
            </w:r>
          </w:p>
        </w:tc>
        <w:tc>
          <w:tcPr>
            <w:tcW w:w="3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$5,000,000.00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3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$20,000,000.00</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b/>
              </w:rPr>
            </w:pPr>
            <w:r>
              <w:rPr>
                <w:b/>
              </w:rPr>
              <w:t>3.</w:t>
            </w:r>
          </w:p>
        </w:tc>
        <w:tc>
          <w:tcPr>
            <w:tcW w:w="9949" w:type="dxa"/>
            <w:tcBorders/>
            <w:vAlign w:val="center"/>
          </w:tcPr>
          <w:p>
            <w:pPr>
              <w:pStyle w:val="TableContents"/>
              <w:bidi w:val="0"/>
              <w:spacing w:before="0" w:after="283"/>
              <w:jc w:val="left"/>
              <w:rPr>
                <w:b/>
              </w:rPr>
            </w:pPr>
            <w:r>
              <w:rPr>
                <w:b/>
              </w:rPr>
              <w:t>Term Loans held by the Lenders (after giving effect to the Restatement Date Transactions)</w:t>
            </w:r>
          </w:p>
        </w:tc>
      </w:tr>
    </w:tbl>
    <w:p>
      <w:pPr>
        <w:pStyle w:val="TextBody"/>
        <w:bidi w:val="0"/>
        <w:spacing w:before="0" w:after="0"/>
        <w:jc w:val="left"/>
        <w:rPr>
          <w:caps w:val="false"/>
          <w:smallCaps w:val="false"/>
        </w:rPr>
      </w:pPr>
      <w:r>
        <w:rPr>
          <w:caps w:val="false"/>
          <w:smallCaps w:val="false"/>
        </w:rPr>
        <w:t> </w:t>
      </w:r>
    </w:p>
    <w:tbl>
      <w:tblPr>
        <w:tblW w:w="3565" w:type="dxa"/>
        <w:jc w:val="left"/>
        <w:tblInd w:w="-10" w:type="dxa"/>
        <w:tblLayout w:type="fixed"/>
        <w:tblCellMar>
          <w:top w:w="28" w:type="dxa"/>
          <w:left w:w="28" w:type="dxa"/>
          <w:bottom w:w="28" w:type="dxa"/>
          <w:right w:w="28" w:type="dxa"/>
        </w:tblCellMar>
      </w:tblPr>
      <w:tblGrid>
        <w:gridCol w:w="2135"/>
        <w:gridCol w:w="1430"/>
      </w:tblGrid>
      <w:tr>
        <w:trPr/>
        <w:tc>
          <w:tcPr>
            <w:tcW w:w="2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w:t>
            </w:r>
          </w:p>
          <w:p>
            <w:pPr>
              <w:pStyle w:val="TableContents"/>
              <w:bidi w:val="0"/>
              <w:spacing w:before="0" w:after="0"/>
              <w:ind w:left="0" w:right="0" w:hanging="0"/>
              <w:jc w:val="center"/>
              <w:rPr>
                <w:caps w:val="false"/>
                <w:smallCaps w:val="false"/>
              </w:rPr>
            </w:pPr>
            <w:r>
              <w:rPr>
                <w:caps w:val="false"/>
                <w:smallCaps w:val="false"/>
              </w:rPr>
              <w:t> </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Term Loans</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CHS US Investments LLC</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Gateway Runway, LLC</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S3 RR Aggregator, LLC</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$20,000,000</w:t>
            </w:r>
          </w:p>
        </w:tc>
      </w:tr>
      <w:tr>
        <w:trPr/>
        <w:tc>
          <w:tcPr>
            <w:tcW w:w="21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$120,000,000.00</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b/>
              </w:rPr>
            </w:pPr>
            <w:r>
              <w:rPr>
                <w:b/>
              </w:rPr>
              <w:t>4.</w:t>
            </w:r>
          </w:p>
        </w:tc>
        <w:tc>
          <w:tcPr>
            <w:tcW w:w="9980" w:type="dxa"/>
            <w:tcBorders/>
            <w:vAlign w:val="center"/>
          </w:tcPr>
          <w:p>
            <w:pPr>
              <w:pStyle w:val="TableContents"/>
              <w:bidi w:val="0"/>
              <w:spacing w:before="0" w:after="283"/>
              <w:jc w:val="both"/>
              <w:rPr>
                <w:b/>
              </w:rPr>
            </w:pPr>
            <w:r>
              <w:rPr>
                <w:b/>
              </w:rPr>
              <w:t>Term Loans held by the Lenders (after giving effect to the funding of the Third Amendment Incremental Term Loans)</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454"/>
        <w:gridCol w:w="3280"/>
        <w:gridCol w:w="2275"/>
        <w:gridCol w:w="3196"/>
      </w:tblGrid>
      <w:tr>
        <w:trPr/>
        <w:tc>
          <w:tcPr>
            <w:tcW w:w="145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Lender</w:t>
            </w:r>
          </w:p>
          <w:p>
            <w:pPr>
              <w:pStyle w:val="TableContents"/>
              <w:bidi w:val="0"/>
              <w:spacing w:before="0" w:after="0"/>
              <w:ind w:left="0" w:right="0" w:hanging="0"/>
              <w:jc w:val="center"/>
              <w:rPr>
                <w:caps w:val="false"/>
                <w:smallCaps w:val="false"/>
              </w:rPr>
            </w:pPr>
            <w:r>
              <w:rPr>
                <w:caps w:val="false"/>
                <w:smallCaps w:val="false"/>
              </w:rPr>
              <w:t> </w:t>
            </w:r>
          </w:p>
        </w:tc>
        <w:tc>
          <w:tcPr>
            <w:tcW w:w="32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Term Loans (immediately prior to the Third Amendment Effective Date)</w:t>
            </w:r>
          </w:p>
        </w:tc>
        <w:tc>
          <w:tcPr>
            <w:tcW w:w="22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Third Amendment Incremental Term Loans</w:t>
            </w:r>
          </w:p>
          <w:p>
            <w:pPr>
              <w:pStyle w:val="TableContents"/>
              <w:bidi w:val="0"/>
              <w:spacing w:before="0" w:after="0"/>
              <w:ind w:left="0" w:right="0" w:hanging="0"/>
              <w:jc w:val="center"/>
              <w:rPr>
                <w:caps w:val="false"/>
                <w:smallCaps w:val="false"/>
              </w:rPr>
            </w:pPr>
            <w:r>
              <w:rPr>
                <w:caps w:val="false"/>
                <w:smallCaps w:val="false"/>
              </w:rPr>
              <w:t> </w:t>
            </w:r>
          </w:p>
        </w:tc>
        <w:tc>
          <w:tcPr>
            <w:tcW w:w="31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u w:val="single"/>
              </w:rPr>
            </w:pPr>
            <w:r>
              <w:rPr>
                <w:b/>
                <w:sz w:val="20"/>
                <w:u w:val="single"/>
              </w:rPr>
              <w:t>Term Loans (immediately after the Third Amendment Effective Date)</w:t>
            </w:r>
          </w:p>
        </w:tc>
      </w:tr>
      <w:tr>
        <w:trPr/>
        <w:tc>
          <w:tcPr>
            <w:tcW w:w="14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CHS US Investments LLC</w:t>
            </w:r>
          </w:p>
        </w:tc>
        <w:tc>
          <w:tcPr>
            <w:tcW w:w="3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$83,542,926.32</w:t>
            </w:r>
          </w:p>
        </w:tc>
        <w:tc>
          <w:tcPr>
            <w:tcW w:w="22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$0.00</w:t>
            </w:r>
          </w:p>
        </w:tc>
        <w:tc>
          <w:tcPr>
            <w:tcW w:w="3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$83,542,926.32</w:t>
            </w:r>
          </w:p>
        </w:tc>
      </w:tr>
      <w:tr>
        <w:trPr/>
        <w:tc>
          <w:tcPr>
            <w:tcW w:w="14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APS RTR Blocker Inc.</w:t>
            </w:r>
          </w:p>
        </w:tc>
        <w:tc>
          <w:tcPr>
            <w:tcW w:w="3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$0.00</w:t>
            </w:r>
          </w:p>
        </w:tc>
        <w:tc>
          <w:tcPr>
            <w:tcW w:w="22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$7,000,000.00</w:t>
            </w:r>
          </w:p>
        </w:tc>
        <w:tc>
          <w:tcPr>
            <w:tcW w:w="3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$7,000,000.00</w:t>
            </w:r>
          </w:p>
        </w:tc>
      </w:tr>
      <w:tr>
        <w:trPr/>
        <w:tc>
          <w:tcPr>
            <w:tcW w:w="14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Gateway Runway, LLC</w:t>
            </w:r>
          </w:p>
        </w:tc>
        <w:tc>
          <w:tcPr>
            <w:tcW w:w="3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$20,885,731.59 </w:t>
            </w:r>
          </w:p>
        </w:tc>
        <w:tc>
          <w:tcPr>
            <w:tcW w:w="22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$1,500,000.00</w:t>
            </w:r>
          </w:p>
        </w:tc>
        <w:tc>
          <w:tcPr>
            <w:tcW w:w="3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$22,385,731.59 </w:t>
            </w:r>
          </w:p>
        </w:tc>
      </w:tr>
      <w:tr>
        <w:trPr/>
        <w:tc>
          <w:tcPr>
            <w:tcW w:w="14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S3 RR Aggregator, LLC</w:t>
            </w:r>
          </w:p>
        </w:tc>
        <w:tc>
          <w:tcPr>
            <w:tcW w:w="3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$20,885,731.59 </w:t>
            </w:r>
          </w:p>
        </w:tc>
        <w:tc>
          <w:tcPr>
            <w:tcW w:w="22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$1,500,000.00</w:t>
            </w:r>
          </w:p>
        </w:tc>
        <w:tc>
          <w:tcPr>
            <w:tcW w:w="3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 xml:space="preserve">$22,385,731.59 </w:t>
            </w:r>
          </w:p>
        </w:tc>
      </w:tr>
      <w:tr>
        <w:trPr/>
        <w:tc>
          <w:tcPr>
            <w:tcW w:w="145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Total</w:t>
            </w:r>
          </w:p>
        </w:tc>
        <w:tc>
          <w:tcPr>
            <w:tcW w:w="32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 xml:space="preserve">$125,314,389.50 </w:t>
            </w:r>
          </w:p>
        </w:tc>
        <w:tc>
          <w:tcPr>
            <w:tcW w:w="22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$10,000,000.00</w:t>
            </w:r>
          </w:p>
        </w:tc>
        <w:tc>
          <w:tcPr>
            <w:tcW w:w="3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r>
              <w:rPr>
                <w:b/>
                <w:sz w:val="20"/>
              </w:rPr>
              <w:t xml:space="preserve">$135,314,389.50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Schedules to 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74816</Words>
  <Characters>390861</Characters>
  <CharactersWithSpaces>473232</CharactersWithSpaces>
  <Paragraphs>3334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