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14,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 xml:space="preserve">Rent the Runway,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80-0376379</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Rent the Runway,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 Jay 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Brooklyn, New York 11201</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(212) 524-6860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6"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76" w:before="0" w:after="0"/>
        <w:jc w:val="left"/>
        <w:rPr>
          <w:color w:val="000000"/>
        </w:rPr>
      </w:pPr>
      <w:r>
        <w:rPr>
          <w:color w:val="000000"/>
        </w:rPr>
        <w:t> </w:t>
      </w:r>
    </w:p>
    <w:tbl>
      <w:tblPr>
        <w:tblW w:w="9157" w:type="dxa"/>
        <w:jc w:val="left"/>
        <w:tblInd w:w="0" w:type="dxa"/>
        <w:tblLayout w:type="fixed"/>
        <w:tblCellMar>
          <w:top w:w="28" w:type="dxa"/>
          <w:left w:w="28" w:type="dxa"/>
          <w:bottom w:w="28" w:type="dxa"/>
          <w:right w:w="28" w:type="dxa"/>
        </w:tblCellMar>
      </w:tblPr>
      <w:tblGrid>
        <w:gridCol w:w="1578"/>
        <w:gridCol w:w="1384"/>
        <w:gridCol w:w="1403"/>
        <w:gridCol w:w="109"/>
        <w:gridCol w:w="109"/>
        <w:gridCol w:w="109"/>
        <w:gridCol w:w="274"/>
        <w:gridCol w:w="274"/>
        <w:gridCol w:w="276"/>
        <w:gridCol w:w="109"/>
        <w:gridCol w:w="109"/>
        <w:gridCol w:w="109"/>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76"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76" w:before="0" w:after="0"/>
        <w:jc w:val="left"/>
        <w:rPr>
          <w:color w:val="000000"/>
        </w:rPr>
      </w:pPr>
      <w:r>
        <w:rPr>
          <w:color w:val="000000"/>
        </w:rPr>
        <w:t> </w:t>
      </w: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3"/>
        <w:gridCol w:w="2719"/>
        <w:gridCol w:w="2719"/>
        <w:gridCol w:w="385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Director Appointment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14, 2026, the Board of Directors (the “Board”) of Rent the Runway, Inc. (the “Company”) appointed Suchi Sastri to serve as a Class III director, effective July 14, 2026. Concurrent with her appointment, Ms. Sastri was appointed to the Audit Committee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determined that Ms. Sastri qualifies as an independent director under the listing rules of the Nasdaq Stock Market LLC. There are no arrangements or understandings between Ms. Sastri and any other persons pursuant to which she was selected as a director. There are no family relationships between Ms. Sastri and any director or executive officer of the Company, and she is not a party to any transaction that is required to be reported pursuant to Item 404(a) of Regulation S-K. Ms. Sastri has waived all compensation for her service as a non-employee director. Following Ms. Sastri’s appointment to the Audit Committee of the Board, the Company has regained compliance with the listing rules of the Nasdaq Stock Market LLC, which require that the Audit Committee be comprised of three independent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First Amendment to the Second Amended and Restated 2021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14, 2026, at the Company’s 2026 Annual Meeting of Stockholders (the “Annual Meeting”), the stockholders of the Company approved the First Amendment (the ‘‘First Amendment’’) to the Second Amended and Restated 2021 Incentive Award Plan (the ‘‘2021 Plan’’ and as amended by the First Amendment, the ‘‘Amended Plan’’) to increase the maximum number of shares of the Company’s Class A common stock, par value $0.001 per share (the “Class A Common Stock”) authorized for issuance under the 2021 Plan by 3,899,439 to 10,171,225. The Board previously approved the adoption of the First Amendment on December 15, 2025, subject to approval by the Company’s stockholders at the Annual Meeting of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features of the Amended Plan are described in detail under “Proposal No. 12 – The Plan Amendment Proposal” of the Company’s Definitive Proxy Statement filed with the Securities and Exchange Commission on June 1, 2026 (the “Proxy Statement”), which descriptions are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summary of the Amended Plan does not purport to be complete and is subject to and qualified in its entirety by reference to the text of the 2021 Plan and the First Amendment, which are filed as Exhibit 10.9 to the Company’s Registration Statement on Form S-1/A filed on October 22, 2021 and Exhibit 99.1 to the Company’s Registration Statement on Form S-8 filed on December 15, 2025, respectively, and are incorporated herein by reference. </w:t>
      </w:r>
    </w:p>
    <w:p>
      <w:pPr>
        <w:pStyle w:val="TextBody"/>
        <w:bidi w:val="0"/>
        <w:spacing w:before="0" w:after="0"/>
        <w:jc w:val="left"/>
        <w:rPr/>
      </w:pPr>
      <w:r>
        <w:rPr/>
      </w:r>
    </w:p>
    <w:tbl>
      <w:tblPr>
        <w:tblW w:w="7456" w:type="dxa"/>
        <w:jc w:val="left"/>
        <w:tblInd w:w="0" w:type="dxa"/>
        <w:tblLayout w:type="fixed"/>
        <w:tblCellMar>
          <w:top w:w="28" w:type="dxa"/>
          <w:left w:w="28" w:type="dxa"/>
          <w:bottom w:w="28" w:type="dxa"/>
          <w:right w:w="28" w:type="dxa"/>
        </w:tblCellMar>
      </w:tblPr>
      <w:tblGrid>
        <w:gridCol w:w="332"/>
        <w:gridCol w:w="291"/>
        <w:gridCol w:w="293"/>
        <w:gridCol w:w="1912"/>
        <w:gridCol w:w="1912"/>
        <w:gridCol w:w="27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5.03</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Amendments to Articles of Incorporation or Bylaws; Change in Fiscal Year.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Annual Meeting, the Company’s stockholders voted to approve amendments to the Company’s Twelfth Amended and Restated Certificate of Incorporation (the “Certificate of Incorporation”)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eliminate 50,000,000 authorized shares of the Company’s Class B common stock, none of which were outstanding;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eliminate the 10,000,000 authorized shares of the Company’s preferred stock, none of which were outstanding;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eliminate supermajority voting provisions;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a quorum requirement for meetings of the Board;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permit stockholders holding at least 40% of the voting power of all of the then-outstanding common stock of the Company to call special meetings of stockholders of the Company;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eliminate the prohibition against stockholders acting by written consent;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liability of officers as permitted by law;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for certain board designation rights and make certain other conforming changes consistent with the Investor Rights Agreement (as defined in the Proxy Statement);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revise certain corporate opportunity provisions, including limiting the definition of “Exempt Person”;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eliminate the provision that no director shall be liable to the Company, its subsidiaries, or its stockholders for breach of any duty relating to compliance with certain corporate opportunity provisions.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15, 2026, the Company filed the Thirteenth Amended and Restated Certificate of Incorporation of the Company (the “Amended and Restated Certificate”) with the Secretary of State of the State of Delaware, which became effective upon filing.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and Restated Certificate does not purport to be complete and is qualified in its entirety by reference to the full text of the Amended Restated Certificate, which is filed as Exhibit 3.1 to this Current Report on Form 8-K and is incorporated herein by reference.</w:t>
      </w:r>
    </w:p>
    <w:p>
      <w:pPr>
        <w:pStyle w:val="TextBody"/>
        <w:bidi w:val="0"/>
        <w:spacing w:before="0" w:after="0"/>
        <w:jc w:val="left"/>
        <w:rPr/>
      </w:pPr>
      <w:r>
        <w:rPr/>
      </w:r>
    </w:p>
    <w:tbl>
      <w:tblPr>
        <w:tblW w:w="5460" w:type="dxa"/>
        <w:jc w:val="left"/>
        <w:tblInd w:w="0" w:type="dxa"/>
        <w:tblLayout w:type="fixed"/>
        <w:tblCellMar>
          <w:top w:w="28" w:type="dxa"/>
          <w:left w:w="28" w:type="dxa"/>
          <w:bottom w:w="28" w:type="dxa"/>
          <w:right w:w="28" w:type="dxa"/>
        </w:tblCellMar>
      </w:tblPr>
      <w:tblGrid>
        <w:gridCol w:w="332"/>
        <w:gridCol w:w="291"/>
        <w:gridCol w:w="293"/>
        <w:gridCol w:w="1329"/>
        <w:gridCol w:w="1329"/>
        <w:gridCol w:w="188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the Annual Meeting on July 14, 2026, a total of 31,146,094 shares of Class A Common Stock were present in person or represented by proxy, representing 31,146,094 votes or approximately 93% of the combined voting power of the Company’s outstanding Class A Common Stock as of the May 20, 2026 record date. The following are the voting results for the proposals considered and voted upon at the Annual Meeting, each of which were described in the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1 - Election of two Class II Directors to serve until the Company’s 2029 Annual Meeting of Stockholders, and until their respective successors have been duly elected and qualified.</w:t>
      </w:r>
    </w:p>
    <w:p>
      <w:pPr>
        <w:pStyle w:val="TextBody"/>
        <w:bidi w:val="0"/>
        <w:spacing w:before="0" w:after="0"/>
        <w:jc w:val="left"/>
        <w:rPr/>
      </w:pPr>
      <w:r>
        <w:rPr/>
      </w:r>
    </w:p>
    <w:tbl>
      <w:tblPr>
        <w:tblW w:w="7246" w:type="dxa"/>
        <w:jc w:val="left"/>
        <w:tblInd w:w="0" w:type="dxa"/>
        <w:tblLayout w:type="fixed"/>
        <w:tblCellMar>
          <w:top w:w="28" w:type="dxa"/>
          <w:left w:w="28" w:type="dxa"/>
          <w:bottom w:w="28" w:type="dxa"/>
          <w:right w:w="28" w:type="dxa"/>
        </w:tblCellMar>
      </w:tblPr>
      <w:tblGrid>
        <w:gridCol w:w="607"/>
        <w:gridCol w:w="534"/>
        <w:gridCol w:w="538"/>
        <w:gridCol w:w="109"/>
        <w:gridCol w:w="109"/>
        <w:gridCol w:w="109"/>
        <w:gridCol w:w="540"/>
        <w:gridCol w:w="541"/>
        <w:gridCol w:w="341"/>
        <w:gridCol w:w="109"/>
        <w:gridCol w:w="109"/>
        <w:gridCol w:w="109"/>
        <w:gridCol w:w="494"/>
        <w:gridCol w:w="494"/>
        <w:gridCol w:w="496"/>
        <w:gridCol w:w="109"/>
        <w:gridCol w:w="109"/>
        <w:gridCol w:w="109"/>
        <w:gridCol w:w="492"/>
        <w:gridCol w:w="492"/>
        <w:gridCol w:w="696"/>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Teri Bariquit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29,304,294 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881,596 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Rosensweig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28,996,484 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1,189,406 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2 - Ratification of the appointment of PricewaterhouseCoopers LLP as the Company’s independent registered public accounting firm for the fiscal year ending January 31, 2027.</w:t>
      </w:r>
    </w:p>
    <w:p>
      <w:pPr>
        <w:pStyle w:val="TextBody"/>
        <w:bidi w:val="0"/>
        <w:spacing w:before="0" w:after="0"/>
        <w:jc w:val="left"/>
        <w:rPr/>
      </w:pPr>
      <w:r>
        <w:rPr/>
      </w:r>
    </w:p>
    <w:tbl>
      <w:tblPr>
        <w:tblW w:w="5351"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22"/>
        <w:gridCol w:w="522"/>
        <w:gridCol w:w="741"/>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31,136,572 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3 - Stockholders approved the amendment and restatement of our Certificate of Incorporation to eliminate the 50,000,000 authorized shares of Class B common stock, none of which are currently outstanding.</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30,180,242 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4 - Approval of the amendment and restatement of our Certificate of Incorporation to eliminate the 10,000,000 authorized shares of preferred stock, none of which are currently outstanding.</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30,178,687 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5 - Approval of the amendment and restatement of our Certificate of Incorporation to eliminate supermajority voting provisions.</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28,962,254 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1,219,200 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6 - Approval of the amendment and restatement of our Certificate of Incorporation to implement quorum requirement for meetings of the Board.</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29,017,586 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1,167,186 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Item 7 - Approval of the amendment and restatement of our Certificate of Incorporation to permit stockholders holding at least 40% of the voting power of all of the then-outstanding Common Stock to call special meetings of stockholders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30,180,224 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8 - Approval of the amendment and restatement of our Certificate of Incorporation to eliminate the prohibition against stockholders acting by written consent.</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29,051,461 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1,129,897 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9 - Approval of the amendment and restatement of our Certificate of Incorporation to limit liability of officers as permitted by law.</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29,944,516 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239,232 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10 - Approval of the amendment and restatement of our Certificate of Incorporation for certain board designation rights and to make certain other conforming changes consistent with the Investor Rights Agreement (as defined in the Proxy Statement).</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29,007,163 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1,176,707 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11 - Approval of the amendment and restatement of our Certificate of Incorporation to revise certain corporate opportunity provisions, including limiting the definition of ‘‘Exempt Person’’ to designated directors of STORY3 and Nexus (each as defined in the Proxy Statement) rather than all directors, and eliminating the provision that no director shall be liable to the Company, its subsidiaries, or its stockholders for breach of any duty relating to compliance with such corporate opportunity provisions.</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30,179,354 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12 - Approval of the First Amendment to the 2021 Plan to increase the maximum number of shares of Class A Common Stock authorized for issuance under the 2021 Plan by 3,899,439 to 10,171,225.</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583"/>
        <w:gridCol w:w="513"/>
        <w:gridCol w:w="332"/>
        <w:gridCol w:w="109"/>
        <w:gridCol w:w="109"/>
        <w:gridCol w:w="109"/>
        <w:gridCol w:w="494"/>
        <w:gridCol w:w="494"/>
        <w:gridCol w:w="496"/>
        <w:gridCol w:w="109"/>
        <w:gridCol w:w="109"/>
        <w:gridCol w:w="109"/>
        <w:gridCol w:w="579"/>
        <w:gridCol w:w="579"/>
        <w:gridCol w:w="581"/>
        <w:gridCol w:w="492"/>
        <w:gridCol w:w="492"/>
        <w:gridCol w:w="696"/>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28,989,066 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1,195,986 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960,204 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 foregoing votes, Teri Bariquit and Daniel Rosensweig were elected as Class II Directors and each of Items 2, 3, 4, 5, 6, 7, 8, 9, 10, 11 and 12 were approved. No other items were presented for stockholder approval at the Annual Meeting.</w:t>
      </w:r>
    </w:p>
    <w:p>
      <w:pPr>
        <w:pStyle w:val="TextBody"/>
        <w:bidi w:val="0"/>
        <w:spacing w:before="0" w:after="0"/>
        <w:jc w:val="left"/>
        <w:rPr/>
      </w:pPr>
      <w:r>
        <w:rPr/>
      </w:r>
    </w:p>
    <w:tbl>
      <w:tblPr>
        <w:tblW w:w="4036" w:type="dxa"/>
        <w:jc w:val="left"/>
        <w:tblInd w:w="0" w:type="dxa"/>
        <w:tblLayout w:type="fixed"/>
        <w:tblCellMar>
          <w:top w:w="28" w:type="dxa"/>
          <w:left w:w="28" w:type="dxa"/>
          <w:bottom w:w="28" w:type="dxa"/>
          <w:right w:w="28" w:type="dxa"/>
        </w:tblCellMar>
      </w:tblPr>
      <w:tblGrid>
        <w:gridCol w:w="332"/>
        <w:gridCol w:w="291"/>
        <w:gridCol w:w="293"/>
        <w:gridCol w:w="913"/>
        <w:gridCol w:w="913"/>
        <w:gridCol w:w="129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Financial Statements and Exhibits.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360"/>
        <w:gridCol w:w="317"/>
        <w:gridCol w:w="318"/>
        <w:gridCol w:w="109"/>
        <w:gridCol w:w="109"/>
        <w:gridCol w:w="109"/>
        <w:gridCol w:w="2591"/>
        <w:gridCol w:w="2591"/>
        <w:gridCol w:w="3701"/>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rtr-13tharcertificateofinc.htm">
              <w:r>
                <w:rPr>
                  <w:rStyle w:val="InternetLink"/>
                  <w:rFonts w:ascii="Times New Roman;serif" w:hAnsi="Times New Roman;serif"/>
                  <w:b w:val="false"/>
                  <w:color w:val="0000FF"/>
                  <w:sz w:val="20"/>
                </w:rPr>
                <w:t>Thirteenth Amended and Restated Certificate of Incorporation of Rent the Runway, Inc., dated July 15, 2026.</w:t>
              </w:r>
            </w:hyperlink>
            <w:r>
              <w:rPr>
                <w:color w:val="0E32E1"/>
              </w:rPr>
              <w:t xml:space="preserve"> </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0"/>
              </w:rPr>
            </w:pPr>
            <w:r>
              <w:rPr>
                <w:rFonts w:ascii="Times New Roman;serif" w:hAnsi="Times New Roman;serif"/>
                <w:b w:val="false"/>
                <w:color w:val="0E32E1"/>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lineRule="auto" w:line="276" w:before="0" w:after="0"/>
        <w:jc w:val="left"/>
        <w:rPr>
          <w:color w:val="000000"/>
        </w:rPr>
      </w:pPr>
      <w:r>
        <w:rPr>
          <w:color w:val="000000"/>
        </w:rPr>
        <w:t> </w:t>
      </w:r>
    </w:p>
    <w:tbl>
      <w:tblPr>
        <w:tblW w:w="7675"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70"/>
        <w:gridCol w:w="270"/>
        <w:gridCol w:w="270"/>
        <w:gridCol w:w="270"/>
        <w:gridCol w:w="270"/>
        <w:gridCol w:w="270"/>
        <w:gridCol w:w="1171"/>
        <w:gridCol w:w="1171"/>
        <w:gridCol w:w="167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RENT THE RUNWAY,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Cara Schembri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Cara Schembri </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Chief Legal &amp; Administrative Officer;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THIRTEENTH AMENDED AND RESTATED CERTIFICATE OF INCORPORATION</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RENT THE RUNWAY, INC.</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Rent the Runway, Inc., a corporation organized and existing under the laws of the State of Delaware, hereby certifies as follows:</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1. The Corporation was originally incorporated pursuant to the General Corporation Law of the State of Delaware (the “</w:t>
      </w:r>
      <w:r>
        <w:rPr>
          <w:rFonts w:ascii="Times New Roman;serif" w:hAnsi="Times New Roman;serif"/>
          <w:b/>
          <w:i/>
          <w:color w:val="000000"/>
          <w:sz w:val="20"/>
          <w:shd w:fill="FFFFFF" w:val="clear"/>
        </w:rPr>
        <w:t>DGCL</w:t>
      </w:r>
      <w:r>
        <w:rPr>
          <w:color w:val="000000"/>
          <w:shd w:fill="FFFFFF" w:val="clear"/>
        </w:rPr>
        <w:t>”</w:t>
      </w:r>
      <w:r>
        <w:rPr>
          <w:rFonts w:ascii="Times New Roman;serif" w:hAnsi="Times New Roman;serif"/>
          <w:b w:val="false"/>
          <w:color w:val="000000"/>
          <w:sz w:val="20"/>
          <w:shd w:fill="FFFFFF" w:val="clear"/>
        </w:rPr>
        <w:t>) on March 3, 2009, under the name Rent the Runway, Inc.</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2. The Corporation is filing this Thirteenth Amended and Restated Certificate of Incorporation of the Corporation (the “</w:t>
      </w:r>
      <w:r>
        <w:rPr>
          <w:rFonts w:ascii="Times New Roman;serif" w:hAnsi="Times New Roman;serif"/>
          <w:b/>
          <w:i/>
          <w:color w:val="000000"/>
          <w:sz w:val="20"/>
          <w:shd w:fill="FFFFFF" w:val="clear"/>
        </w:rPr>
        <w:t>Certificate of Incorporation</w:t>
      </w:r>
      <w:r>
        <w:rPr>
          <w:color w:val="000000"/>
          <w:shd w:fill="FFFFFF" w:val="clear"/>
        </w:rPr>
        <w:t>”</w:t>
      </w:r>
      <w:r>
        <w:rPr>
          <w:rFonts w:ascii="Times New Roman;serif" w:hAnsi="Times New Roman;serif"/>
          <w:b w:val="false"/>
          <w:color w:val="000000"/>
          <w:sz w:val="20"/>
          <w:shd w:fill="FFFFFF" w:val="clear"/>
        </w:rPr>
        <w:t>), which restates, integrates and further amends the Twelfth Amended and Restated Certificate of Incorporation, as heretofore amended (the “</w:t>
      </w:r>
      <w:r>
        <w:rPr>
          <w:rFonts w:ascii="Times New Roman;serif" w:hAnsi="Times New Roman;serif"/>
          <w:b/>
          <w:i/>
          <w:color w:val="000000"/>
          <w:sz w:val="20"/>
          <w:shd w:fill="FFFFFF" w:val="clear"/>
        </w:rPr>
        <w:t>Prior Certificate</w:t>
      </w:r>
      <w:r>
        <w:rPr>
          <w:color w:val="000000"/>
          <w:shd w:fill="FFFFFF" w:val="clear"/>
        </w:rPr>
        <w:t>”</w:t>
      </w:r>
      <w:r>
        <w:rPr>
          <w:rFonts w:ascii="Times New Roman;serif" w:hAnsi="Times New Roman;serif"/>
          <w:b w:val="false"/>
          <w:color w:val="000000"/>
          <w:sz w:val="20"/>
          <w:shd w:fill="FFFFFF" w:val="clear"/>
        </w:rPr>
        <w:t>), and which was duly adopted by all necessary action of the Board of Directors of the Corporation (the “</w:t>
      </w:r>
      <w:r>
        <w:rPr>
          <w:rFonts w:ascii="Times New Roman;serif" w:hAnsi="Times New Roman;serif"/>
          <w:b/>
          <w:i/>
          <w:color w:val="000000"/>
          <w:sz w:val="20"/>
          <w:shd w:fill="FFFFFF" w:val="clear"/>
        </w:rPr>
        <w:t>Board of Directors</w:t>
      </w:r>
      <w:r>
        <w:rPr>
          <w:color w:val="000000"/>
          <w:shd w:fill="FFFFFF" w:val="clear"/>
        </w:rPr>
        <w:t>”</w:t>
      </w:r>
      <w:r>
        <w:rPr>
          <w:rFonts w:ascii="Times New Roman;serif" w:hAnsi="Times New Roman;serif"/>
          <w:b w:val="false"/>
          <w:color w:val="000000"/>
          <w:sz w:val="20"/>
          <w:shd w:fill="FFFFFF" w:val="clear"/>
        </w:rPr>
        <w:t>) and the stockholders of the Corporation in accordance with the provisions of Sections 242 and 245 of the DGCL.</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 The text of the Prior Certificate is hereby amended and restated in its entirety by this Certificate of Incorporation to read in full as follows: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The name of the corporation is Rent the Runway, Inc. (the “</w:t>
      </w:r>
      <w:r>
        <w:rPr>
          <w:rFonts w:ascii="Times New Roman;serif" w:hAnsi="Times New Roman;serif"/>
          <w:b/>
          <w:i/>
          <w:color w:val="000000"/>
          <w:sz w:val="20"/>
          <w:shd w:fill="FFFFFF" w:val="clear"/>
        </w:rPr>
        <w:t>Corporation</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II.</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address of the Corporation’s registered office in the State of Delaware is Corporation Trust Center, 1209 Orange St., Wilmington, County of New Castle, Delaware 19801 and its registered agent at such address is The Corporation Trust Company.</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III.</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3.1 </w:t>
      </w:r>
      <w:r>
        <w:rPr>
          <w:rFonts w:ascii="Times New Roman;serif" w:hAnsi="Times New Roman;serif"/>
          <w:b w:val="false"/>
          <w:color w:val="000000"/>
          <w:sz w:val="20"/>
          <w:u w:val="single"/>
          <w:shd w:fill="FFFFFF" w:val="clear"/>
        </w:rPr>
        <w:t>Purposes</w:t>
      </w:r>
      <w:r>
        <w:rPr>
          <w:rFonts w:ascii="Times New Roman;serif" w:hAnsi="Times New Roman;serif"/>
          <w:b w:val="false"/>
          <w:color w:val="000000"/>
          <w:sz w:val="20"/>
          <w:shd w:fill="FFFFFF" w:val="clear"/>
        </w:rPr>
        <w:t>. The nature of the business of the Corporation and the objects or purposes to be transacted, promoted or carried on by the Corporation is to engage in any lawful act or activity for which corporations may be organized under the DGCL, including, without limitation, (i) exercising all rights, powers, privileges and other incidents of ownership or possession with respect to the Corporation’s assets, including managing, holding, selling and disposing of such assets and (ii) engaging in any other activities incidental or ancillary thereto.</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IV.</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4.1 </w:t>
      </w:r>
      <w:r>
        <w:rPr>
          <w:rFonts w:ascii="Times New Roman;serif" w:hAnsi="Times New Roman;serif"/>
          <w:b w:val="false"/>
          <w:color w:val="000000"/>
          <w:sz w:val="20"/>
          <w:u w:val="single"/>
          <w:shd w:fill="FFFFFF" w:val="clear"/>
        </w:rPr>
        <w:t>Authorized Stock</w:t>
      </w:r>
      <w:r>
        <w:rPr>
          <w:rFonts w:ascii="Times New Roman;serif" w:hAnsi="Times New Roman;serif"/>
          <w:b w:val="false"/>
          <w:color w:val="000000"/>
          <w:sz w:val="20"/>
          <w:shd w:fill="FFFFFF" w:val="clear"/>
        </w:rPr>
        <w:t>. The total number of shares of all classes of stock that the Corporation is authorized to issue is three hundred million (300,000,000), consisting of three hundred million (300,000,000) shares of Class A common stock, with a par value of $0.001 per share (the “</w:t>
      </w:r>
      <w:r>
        <w:rPr>
          <w:rFonts w:ascii="Times New Roman;serif" w:hAnsi="Times New Roman;serif"/>
          <w:b/>
          <w:i/>
          <w:color w:val="000000"/>
          <w:sz w:val="20"/>
          <w:shd w:fill="FFFFFF" w:val="clear"/>
        </w:rPr>
        <w:t>Class A Common Stock</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4.2 </w:t>
      </w:r>
      <w:r>
        <w:rPr>
          <w:rFonts w:ascii="Times New Roman;serif" w:hAnsi="Times New Roman;serif"/>
          <w:b w:val="false"/>
          <w:color w:val="000000"/>
          <w:sz w:val="20"/>
          <w:u w:val="single"/>
          <w:shd w:fill="FFFFFF" w:val="clear"/>
        </w:rPr>
        <w:t>Class A Common Stock</w:t>
      </w:r>
      <w:r>
        <w:rPr>
          <w:rFonts w:ascii="Times New Roman;serif" w:hAnsi="Times New Roman;serif"/>
          <w:b w:val="false"/>
          <w:color w:val="000000"/>
          <w:sz w:val="20"/>
          <w:shd w:fill="FFFFFF" w:val="clear"/>
        </w:rPr>
        <w:t xml:space="preserve">. </w:t>
      </w:r>
    </w:p>
    <w:p>
      <w:pPr>
        <w:pStyle w:val="TextBody"/>
        <w:bidi w:val="0"/>
        <w:spacing w:lineRule="auto" w:line="288" w:before="0" w:after="240"/>
        <w:ind w:left="0" w:right="0" w:firstLine="1102"/>
        <w:jc w:val="left"/>
        <w:rPr/>
      </w:pPr>
      <w:r>
        <w:rPr>
          <w:rFonts w:ascii="Times New Roman;serif" w:hAnsi="Times New Roman;serif"/>
          <w:b w:val="false"/>
          <w:color w:val="000000"/>
          <w:sz w:val="20"/>
          <w:shd w:fill="FFFFFF" w:val="clear"/>
        </w:rPr>
        <w:t>(a) </w:t>
      </w:r>
      <w:r>
        <w:rPr>
          <w:rFonts w:ascii="Times New Roman;serif" w:hAnsi="Times New Roman;serif"/>
          <w:b w:val="false"/>
          <w:color w:val="000000"/>
          <w:sz w:val="20"/>
          <w:u w:val="single"/>
          <w:shd w:fill="FFFFFF" w:val="clear"/>
        </w:rPr>
        <w:t>Voting Rights</w:t>
      </w:r>
      <w:r>
        <w:rPr>
          <w:rFonts w:ascii="Times New Roman;serif" w:hAnsi="Times New Roman;serif"/>
          <w:b w:val="false"/>
          <w:color w:val="000000"/>
          <w:sz w:val="20"/>
          <w:shd w:fill="FFFFFF" w:val="clear"/>
        </w:rPr>
        <w:t>. Except as otherwise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95630"/>
                <wp:effectExtent l="0" t="0" r="0" b="0"/>
                <wp:wrapNone/>
                <wp:docPr id="7" name="Frame7"/>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59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pStyle w:val="TextBody"/>
        <w:bidi w:val="0"/>
        <w:spacing w:lineRule="auto" w:line="288" w:before="0" w:after="240"/>
        <w:ind w:left="0" w:right="0" w:firstLine="159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The holders of shares of Class A Common Stock shall vote together as a single class on all matters submitted to a vote of stockholders of the Corporation.</w:t>
      </w:r>
    </w:p>
    <w:p>
      <w:pPr>
        <w:pStyle w:val="TextBody"/>
        <w:bidi w:val="0"/>
        <w:spacing w:lineRule="auto" w:line="288" w:before="0" w:after="240"/>
        <w:ind w:left="0" w:right="0" w:firstLine="1170"/>
        <w:jc w:val="left"/>
        <w:rPr/>
      </w:pPr>
      <w:r>
        <w:rPr>
          <w:rFonts w:ascii="Times New Roman;serif" w:hAnsi="Times New Roman;serif"/>
          <w:b w:val="false"/>
          <w:color w:val="000000"/>
          <w:sz w:val="20"/>
          <w:shd w:fill="FFFFFF" w:val="clear"/>
        </w:rPr>
        <w:t>(b) </w:t>
      </w:r>
      <w:r>
        <w:rPr>
          <w:rFonts w:ascii="Times New Roman;serif" w:hAnsi="Times New Roman;serif"/>
          <w:b w:val="false"/>
          <w:color w:val="000000"/>
          <w:sz w:val="20"/>
          <w:u w:val="single"/>
          <w:shd w:fill="FFFFFF" w:val="clear"/>
        </w:rPr>
        <w:t>Dividends</w:t>
      </w:r>
      <w:r>
        <w:rPr>
          <w:rFonts w:ascii="Times New Roman;serif" w:hAnsi="Times New Roman;serif"/>
          <w:b w:val="false"/>
          <w:color w:val="000000"/>
          <w:sz w:val="20"/>
          <w:shd w:fill="FFFFFF" w:val="clear"/>
        </w:rPr>
        <w:t xml:space="preserve">. Subject to applicable law, dividends may be declared and paid on the Class A Common Stock out of the assets or funds of the Corporation that are by law available therefor, at such times and in such amounts as the Board of Directors in its discretion shall determine. </w:t>
      </w:r>
    </w:p>
    <w:p>
      <w:pPr>
        <w:pStyle w:val="TextBody"/>
        <w:bidi w:val="0"/>
        <w:spacing w:lineRule="auto" w:line="288" w:before="0" w:after="240"/>
        <w:ind w:left="0" w:right="0" w:firstLine="1102"/>
        <w:jc w:val="left"/>
        <w:rPr/>
      </w:pPr>
      <w:r>
        <w:rPr>
          <w:rFonts w:ascii="Times New Roman;serif" w:hAnsi="Times New Roman;serif"/>
          <w:b w:val="false"/>
          <w:color w:val="000000"/>
          <w:sz w:val="20"/>
          <w:shd w:fill="FFFFFF" w:val="clear"/>
        </w:rPr>
        <w:t>(c) </w:t>
      </w:r>
      <w:r>
        <w:rPr>
          <w:rFonts w:ascii="Times New Roman;serif" w:hAnsi="Times New Roman;serif"/>
          <w:b w:val="false"/>
          <w:color w:val="000000"/>
          <w:sz w:val="20"/>
          <w:u w:val="single"/>
          <w:shd w:fill="FFFFFF" w:val="clear"/>
        </w:rPr>
        <w:t>Liquidation Rights</w:t>
      </w:r>
      <w:r>
        <w:rPr>
          <w:rFonts w:ascii="Times New Roman;serif" w:hAnsi="Times New Roman;serif"/>
          <w:b w:val="false"/>
          <w:color w:val="000000"/>
          <w:sz w:val="20"/>
          <w:shd w:fill="FFFFFF" w:val="clear"/>
        </w:rPr>
        <w:t>. In the event of liquidation, dissolution or winding up of the affairs of the Corporation, whether voluntary or involuntary, after payment or provision for payment of the debts and other liabilities of the Corporation, the remaining assets and funds of the Corporation available for distribution shall be divided among and paid ratably to the holders of all outstanding shares of Class A Common Stock in proportion to the number of shares held by each such stockholder.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Times New Roman;serif" w:hAnsi="Times New Roman;serif"/>
          <w:b w:val="false"/>
          <w:color w:val="000000"/>
          <w:sz w:val="20"/>
          <w:u w:val="single"/>
          <w:shd w:fill="FFFFFF" w:val="clear"/>
        </w:rPr>
        <w:t>Section 4.2(c)</w:t>
      </w:r>
      <w:r>
        <w:rPr>
          <w:rFonts w:ascii="Times New Roman;serif" w:hAnsi="Times New Roman;serif"/>
          <w:b w:val="false"/>
          <w:color w:val="000000"/>
          <w:sz w:val="20"/>
          <w:shd w:fill="FFFFFF" w:val="clear"/>
        </w:rPr>
        <w:t>.</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V.</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Times New Roman;serif" w:hAnsi="Times New Roman;serif"/>
          <w:b/>
          <w:i/>
          <w:color w:val="000000"/>
          <w:sz w:val="20"/>
          <w:shd w:fill="FFFFFF" w:val="clear"/>
        </w:rPr>
        <w:t>Bylaws</w:t>
      </w:r>
      <w:r>
        <w:rPr>
          <w:color w:val="000000"/>
          <w:shd w:fill="FFFFFF" w:val="clear"/>
        </w:rPr>
        <w:t>”</w:t>
      </w:r>
      <w:r>
        <w:rPr>
          <w:rFonts w:ascii="Times New Roman;serif" w:hAnsi="Times New Roman;serif"/>
          <w:b w:val="false"/>
          <w:color w:val="000000"/>
          <w:sz w:val="20"/>
          <w:shd w:fill="FFFFFF" w:val="clear"/>
        </w:rPr>
        <w:t>). The affirmative vote of at least a majority of the Whole Board of Directors shall be required in order for the Board of Directors to adopt, repeal, alter, amend or rescind the Bylaws. For purposes of this Certificate of Incorporation, the term “</w:t>
      </w:r>
      <w:r>
        <w:rPr>
          <w:rFonts w:ascii="Times New Roman;serif" w:hAnsi="Times New Roman;serif"/>
          <w:b/>
          <w:i/>
          <w:color w:val="000000"/>
          <w:sz w:val="20"/>
          <w:shd w:fill="FFFFFF" w:val="clear"/>
        </w:rPr>
        <w:t>Whole Board of Directors</w:t>
      </w:r>
      <w:r>
        <w:rPr>
          <w:color w:val="000000"/>
          <w:shd w:fill="FFFFFF" w:val="clear"/>
        </w:rPr>
        <w:t xml:space="preserve">” </w:t>
      </w:r>
      <w:r>
        <w:rPr>
          <w:rFonts w:ascii="Times New Roman;serif" w:hAnsi="Times New Roman;serif"/>
          <w:b w:val="false"/>
          <w:color w:val="000000"/>
          <w:sz w:val="20"/>
          <w:shd w:fill="FFFFFF" w:val="clear"/>
        </w:rPr>
        <w:t>shall mean the total number of authorized directors (from time to time) whether or not there exist any vacancies in previously authorized directorships or newly created directorships. The stockholders shall also have power to adopt, repeal, alter, amend or rescind the Bylaws. In addition to any other vote of the holders of any class or series of stock of the Corporation required by applicable law or by this Certificate of Incorporation, any adoption, repeal, alteration, amendment or rescission of the Bylaws by the stockholders shall require the affirmative vote of the holders of a majority of the voting power of all of the then outstanding shares of capital stock of the Corporation entitled to vote generally in the election of directors, voting together as a single class.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VI.</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6.1 </w:t>
      </w:r>
      <w:r>
        <w:rPr>
          <w:rFonts w:ascii="Times New Roman;serif" w:hAnsi="Times New Roman;serif"/>
          <w:b w:val="false"/>
          <w:color w:val="000000"/>
          <w:sz w:val="20"/>
          <w:u w:val="single"/>
          <w:shd w:fill="FFFFFF" w:val="clear"/>
        </w:rPr>
        <w:t>Ballot</w:t>
      </w:r>
      <w:r>
        <w:rPr>
          <w:rFonts w:ascii="Times New Roman;serif" w:hAnsi="Times New Roman;serif"/>
          <w:b w:val="false"/>
          <w:color w:val="000000"/>
          <w:sz w:val="20"/>
          <w:shd w:fill="FFFFFF" w:val="clear"/>
        </w:rPr>
        <w:t>. Elections of directors (each such director, in such capacity, a “</w:t>
      </w:r>
      <w:r>
        <w:rPr>
          <w:rFonts w:ascii="Times New Roman;serif" w:hAnsi="Times New Roman;serif"/>
          <w:b/>
          <w:i/>
          <w:color w:val="000000"/>
          <w:sz w:val="20"/>
          <w:shd w:fill="FFFFFF" w:val="clear"/>
        </w:rPr>
        <w:t>Director</w:t>
      </w:r>
      <w:r>
        <w:rPr>
          <w:color w:val="000000"/>
          <w:shd w:fill="FFFFFF" w:val="clear"/>
        </w:rPr>
        <w:t>”</w:t>
      </w:r>
      <w:r>
        <w:rPr>
          <w:rFonts w:ascii="Times New Roman;serif" w:hAnsi="Times New Roman;serif"/>
          <w:b w:val="false"/>
          <w:color w:val="000000"/>
          <w:sz w:val="20"/>
          <w:shd w:fill="FFFFFF" w:val="clear"/>
        </w:rPr>
        <w:t>) need not be by written ballot unless the Bylaws shall so provide.</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6.2 </w:t>
      </w:r>
      <w:r>
        <w:rPr>
          <w:rFonts w:ascii="Times New Roman;serif" w:hAnsi="Times New Roman;serif"/>
          <w:b w:val="false"/>
          <w:color w:val="000000"/>
          <w:sz w:val="20"/>
          <w:u w:val="single"/>
          <w:shd w:fill="FFFFFF" w:val="clear"/>
        </w:rPr>
        <w:t>Classification of the Board of Directors</w:t>
      </w:r>
      <w:r>
        <w:rPr>
          <w:rFonts w:ascii="Times New Roman;serif" w:hAnsi="Times New Roman;serif"/>
          <w:b w:val="false"/>
          <w:color w:val="000000"/>
          <w:sz w:val="20"/>
          <w:shd w:fill="FFFFFF" w:val="clear"/>
        </w:rPr>
        <w:t>. Except as otherwise required by applicable law, the Directors shall be divided into three classes, designated as Class I, Class II and Class III, as nearly equal in number as possible. Directors already in office shall be assigned to each class at the time such classification becomes effective, in accordance with a resolution or resolutions adopted by the Board of Directors. At each annual meeting</w:t>
      </w:r>
      <w:r>
        <w:rPr>
          <w:color w:val="000000"/>
        </w:rPr>
        <w:t xml:space="preserve"> </w:t>
      </w:r>
      <w:r>
        <w:rPr>
          <w:rFonts w:ascii="Times New Roman;serif" w:hAnsi="Times New Roman;serif"/>
          <w:b w:val="false"/>
          <w:color w:val="000000"/>
          <w:sz w:val="20"/>
          <w:shd w:fill="FFFFFF" w:val="clear"/>
        </w:rPr>
        <w:t>of stockholders, the Directors of the class to be elected at each annual meeting of stockholders shall be elected 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in accordance with </w:t>
      </w:r>
      <w:r>
        <w:rPr>
          <w:rFonts w:ascii="Times New Roman;serif" w:hAnsi="Times New Roman;serif"/>
          <w:b w:val="false"/>
          <w:color w:val="000000"/>
          <w:sz w:val="20"/>
          <w:u w:val="single"/>
          <w:shd w:fill="FFFFFF" w:val="clear"/>
        </w:rPr>
        <w:t>Section 6.4</w:t>
      </w:r>
      <w:r>
        <w:rPr>
          <w:rFonts w:ascii="Times New Roman;serif" w:hAnsi="Times New Roman;serif"/>
          <w:b w:val="false"/>
          <w:color w:val="000000"/>
          <w:sz w:val="20"/>
          <w:shd w:fill="FFFFFF" w:val="clear"/>
        </w:rPr>
        <w:t>, shall hold office for a term that shall coincide with the remaining term of that class, but in no case shall a decrease in the total number of Directors remove or shorten the term of any incumbent Director. Notwithstanding the foregoing provisions of this </w:t>
      </w:r>
      <w:r>
        <w:rPr>
          <w:rFonts w:ascii="Times New Roman;serif" w:hAnsi="Times New Roman;serif"/>
          <w:b w:val="false"/>
          <w:color w:val="000000"/>
          <w:sz w:val="20"/>
          <w:u w:val="single"/>
          <w:shd w:fill="FFFFFF" w:val="clear"/>
        </w:rPr>
        <w:t>Section 6.2</w:t>
      </w:r>
      <w:r>
        <w:rPr>
          <w:rFonts w:ascii="Times New Roman;serif" w:hAnsi="Times New Roman;serif"/>
          <w:b w:val="false"/>
          <w:color w:val="000000"/>
          <w:sz w:val="20"/>
          <w:shd w:fill="FFFFFF" w:val="clear"/>
        </w:rPr>
        <w:t xml:space="preserve">, each Director shall serve until his or her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successor is duly elected and qualified or until his or her death, resignation, disqualification, retirement, or removal. Each director shall hold office until the annual meeting at which such Director’s term expires and until his or her successor is duly elected and qualified, or until his or her earlier death, resignation, disqualification or removal. No decrease in the number of Directors shall shorten the term of any incumbent Director.</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6.3 </w:t>
      </w:r>
      <w:r>
        <w:rPr>
          <w:rFonts w:ascii="Times New Roman;serif" w:hAnsi="Times New Roman;serif"/>
          <w:b w:val="false"/>
          <w:color w:val="000000"/>
          <w:sz w:val="20"/>
          <w:u w:val="single"/>
          <w:shd w:fill="FFFFFF" w:val="clear"/>
        </w:rPr>
        <w:t>Number and Terms of the Board of Directors</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1080"/>
        <w:jc w:val="left"/>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The number of Directors shall be fixed from time to time in the manner provided in the Bylaws. </w:t>
      </w:r>
    </w:p>
    <w:p>
      <w:pPr>
        <w:pStyle w:val="TextBody"/>
        <w:bidi w:val="0"/>
        <w:spacing w:lineRule="auto" w:line="288" w:before="0" w:after="240"/>
        <w:ind w:left="0" w:right="0" w:firstLine="1080"/>
        <w:jc w:val="left"/>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Notwithstanding anything in this Certificate of Incorporation to the contrary, in the event that Nexus or STORY 3, as applicable, no longer has the right to designate a Director for appointment by the Board of Directors pursuant to the Investor Rights Agreement (each such occurrence, a “</w:t>
      </w:r>
      <w:r>
        <w:rPr>
          <w:rFonts w:ascii="Times New Roman;serif" w:hAnsi="Times New Roman;serif"/>
          <w:b/>
          <w:i/>
          <w:color w:val="000000"/>
          <w:sz w:val="20"/>
          <w:shd w:fill="FFFFFF" w:val="clear"/>
        </w:rPr>
        <w:t>Loss of Designation Rights</w:t>
      </w:r>
      <w:r>
        <w:rPr>
          <w:color w:val="000000"/>
          <w:shd w:fill="FFFFFF" w:val="clear"/>
        </w:rPr>
        <w:t>”</w:t>
      </w:r>
      <w:r>
        <w:rPr>
          <w:rFonts w:ascii="Times New Roman;serif" w:hAnsi="Times New Roman;serif"/>
          <w:b w:val="false"/>
          <w:color w:val="000000"/>
          <w:sz w:val="20"/>
          <w:shd w:fill="FFFFFF" w:val="clear"/>
        </w:rPr>
        <w:t>), then (unless a majority of Directors (with the affected party’s Board of Directors designees abstaining) agree in writing that such Director’s term shall not expire as a result of a Loss of Designation Rights) the term of such Director designated for appointment by Nexus or STORY 3, as applicable, shall expire upon such Loss of Designation Rights.</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6.4 </w:t>
      </w:r>
      <w:r>
        <w:rPr>
          <w:rFonts w:ascii="Times New Roman;serif" w:hAnsi="Times New Roman;serif"/>
          <w:b w:val="false"/>
          <w:color w:val="000000"/>
          <w:sz w:val="20"/>
          <w:u w:val="single"/>
          <w:shd w:fill="FFFFFF" w:val="clear"/>
        </w:rPr>
        <w:t>Newly Created Directorships and Vacancies</w:t>
      </w:r>
      <w:r>
        <w:rPr>
          <w:rFonts w:ascii="Times New Roman;serif" w:hAnsi="Times New Roman;serif"/>
          <w:b w:val="false"/>
          <w:color w:val="000000"/>
          <w:sz w:val="20"/>
          <w:shd w:fill="FFFFFF" w:val="clear"/>
        </w:rPr>
        <w:t xml:space="preserve">. Except as otherwise required by law and this Certificate of Incorporation,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only by a majority of the Directors then in office, though less than a quorum, or by a sole remaining Director, and shall not be filled by the stockholders unless the Board of Directors determines by resolution that any such vacancy or newly created directorship shall be filled by the stockholders;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that, in the event of a vacancy on the Board of Directors resulting from the death, resignation, disqualification, removal from office or other cause with respect to a Director designated for appointment in accordance with the Investor Rights Agreement, the Person or Persons entitled to designate such Director in accordance with the Investor Rights Agreement shall have the exclusive right to identify a replacement Director for appointment by the Board of Directors to fill such vacancy. Any Director elected to fill a newly created directorship or vacancy in accordance with the preceding sentence shall hold office until the next annual meeting of stockholders held to elect the class of Directors to which such Director is elected and until his or her successor is duly elected and qualified or until his or her earlier death, resignation, retirement, disqualification, or removal. The Secretary of the Corporation shall maintain a copy of the Investor Rights Agreement at the principal executive offices of the Corporation and a copy thereof shall be provided free of charge to any stockholder who makes a request therefor.</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 xml:space="preserve">Section 6.5 </w:t>
      </w:r>
      <w:r>
        <w:rPr>
          <w:rFonts w:ascii="Times New Roman;serif" w:hAnsi="Times New Roman;serif"/>
          <w:b w:val="false"/>
          <w:color w:val="000000"/>
          <w:sz w:val="20"/>
          <w:u w:val="single"/>
          <w:shd w:fill="FFFFFF" w:val="clear"/>
        </w:rPr>
        <w:t>Quorum; Vote Required</w:t>
      </w:r>
      <w:r>
        <w:rPr>
          <w:rFonts w:ascii="Times New Roman;serif" w:hAnsi="Times New Roman;serif"/>
          <w:b w:val="false"/>
          <w:color w:val="000000"/>
          <w:sz w:val="20"/>
          <w:shd w:fill="FFFFFF" w:val="clear"/>
        </w:rPr>
        <w:t xml:space="preserve">. </w:t>
      </w:r>
    </w:p>
    <w:p>
      <w:pPr>
        <w:pStyle w:val="TextBody"/>
        <w:bidi w:val="0"/>
        <w:spacing w:lineRule="auto" w:line="288" w:before="0" w:after="240"/>
        <w:ind w:left="0" w:right="0" w:firstLine="1080"/>
        <w:jc w:val="left"/>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Subject to </w:t>
      </w:r>
      <w:r>
        <w:rPr>
          <w:rFonts w:ascii="Times New Roman;serif" w:hAnsi="Times New Roman;serif"/>
          <w:b w:val="false"/>
          <w:color w:val="000000"/>
          <w:sz w:val="20"/>
          <w:u w:val="single"/>
          <w:shd w:fill="FFFFFF" w:val="clear"/>
        </w:rPr>
        <w:t>Section 6.5(b)</w:t>
      </w:r>
      <w:r>
        <w:rPr>
          <w:rFonts w:ascii="Times New Roman;serif" w:hAnsi="Times New Roman;serif"/>
          <w:b w:val="false"/>
          <w:color w:val="000000"/>
          <w:sz w:val="20"/>
          <w:shd w:fill="FFFFFF" w:val="clear"/>
        </w:rPr>
        <w:t xml:space="preserve">, at all meetings of the Board of Directors a majority of the Whole Board of Directors shall constitute a quorum for the transaction of business. The affirmative vote of a majority of the Directors present at any meeting of the Board of Directors at which a quorum is present shall be the act of the Board of Directors, except as may be otherwise specifically required by applicable law or this Certificate of Incorporation. If a quorum is not present at any meeting of the Board of Directors, then the directors present thereat may adjourn the meeting from time to time, without notice other than announcement at the meeting, until a quorum is present. </w:t>
      </w:r>
    </w:p>
    <w:p>
      <w:pPr>
        <w:pStyle w:val="TextBody"/>
        <w:bidi w:val="0"/>
        <w:spacing w:lineRule="auto" w:line="288" w:before="0" w:after="240"/>
        <w:ind w:left="0" w:right="0" w:firstLine="1080"/>
        <w:jc w:val="left"/>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 xml:space="preserve">In addition to any requirements under the DGCL or this Certificate of Incorporation, (i) 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and (ii) so long as STORY 3 has the right to appoint the STORY 3 Director in accordance with the Investor Rights Agreement, the STORY 3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must be present (in person or by means of conference telephone or other communications equipment by means of which all Persons participating in the meeting can hear each other) at any meeting of the Board of Directors for a quorum to exist;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if the Nexus Director or the STORY 3 Director, as applicable, fails to attend three (3) or more consecutive meetings of the Board of Directors that are held during ordinary business hours for which such Director has received notice at least two (2) business days prior to such meeting, quorum shall be deemed to be present at the next meeting immediately following such failure held during ordinary business hours for which such Director has received notice at least two (2) business days prior to such meeting so long as the other Directors required for quorum pursuant to this </w:t>
      </w:r>
      <w:r>
        <w:rPr>
          <w:rFonts w:ascii="Times New Roman;serif" w:hAnsi="Times New Roman;serif"/>
          <w:b w:val="false"/>
          <w:color w:val="000000"/>
          <w:sz w:val="20"/>
          <w:u w:val="single"/>
          <w:shd w:fill="FFFFFF" w:val="clear"/>
        </w:rPr>
        <w:t>Section 6.5</w:t>
      </w:r>
      <w:r>
        <w:rPr>
          <w:color w:val="000000"/>
          <w:shd w:fill="FFFFFF" w:val="clear"/>
        </w:rPr>
        <w:t xml:space="preserve"> </w:t>
      </w:r>
      <w:r>
        <w:rPr>
          <w:rFonts w:ascii="Times New Roman;serif" w:hAnsi="Times New Roman;serif"/>
          <w:b w:val="false"/>
          <w:color w:val="000000"/>
          <w:sz w:val="20"/>
          <w:shd w:fill="FFFFFF" w:val="clear"/>
        </w:rPr>
        <w:t>are present.</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6.6 </w:t>
      </w:r>
      <w:r>
        <w:rPr>
          <w:rFonts w:ascii="Times New Roman;serif" w:hAnsi="Times New Roman;serif"/>
          <w:b w:val="false"/>
          <w:color w:val="000000"/>
          <w:sz w:val="20"/>
          <w:u w:val="single"/>
          <w:shd w:fill="FFFFFF" w:val="clear"/>
        </w:rPr>
        <w:t>Removal</w:t>
      </w:r>
      <w:r>
        <w:rPr>
          <w:rFonts w:ascii="Times New Roman;serif" w:hAnsi="Times New Roman;serif"/>
          <w:b w:val="false"/>
          <w:color w:val="000000"/>
          <w:sz w:val="20"/>
          <w:shd w:fill="FFFFFF" w:val="clear"/>
        </w:rPr>
        <w:t>. For so long as the Board of Directors is classified, any Director may be removed for cause only by an affirmative vote of the holders of a majority of the voting power of all of the then outstanding shares of capital stock entitled to vote generally in the election of Directors, at a meeting duly called for that purpose.</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6.7 </w:t>
      </w:r>
      <w:r>
        <w:rPr>
          <w:rFonts w:ascii="Times New Roman;serif" w:hAnsi="Times New Roman;serif"/>
          <w:b w:val="false"/>
          <w:color w:val="000000"/>
          <w:sz w:val="20"/>
          <w:u w:val="single"/>
          <w:shd w:fill="FFFFFF" w:val="clear"/>
        </w:rPr>
        <w:t>Notice</w:t>
      </w:r>
      <w:r>
        <w:rPr>
          <w:rFonts w:ascii="Times New Roman;serif" w:hAnsi="Times New Roman;serif"/>
          <w:b w:val="false"/>
          <w:color w:val="000000"/>
          <w:sz w:val="20"/>
          <w:shd w:fill="FFFFFF" w:val="clear"/>
        </w:rPr>
        <w:t>. Advance notice of stockholder nominations for election of Directors and other business to be brought by stockholders before a meeting of stockholders shall be given in the manner provided by the Bylaws.</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 xml:space="preserve">Section 6.8 </w:t>
      </w:r>
      <w:r>
        <w:rPr>
          <w:rFonts w:ascii="Times New Roman;serif" w:hAnsi="Times New Roman;serif"/>
          <w:b w:val="false"/>
          <w:color w:val="000000"/>
          <w:sz w:val="20"/>
          <w:u w:val="single"/>
          <w:shd w:fill="FFFFFF" w:val="clear"/>
        </w:rPr>
        <w:t>Special Meetings of Stockholders</w:t>
      </w:r>
      <w:r>
        <w:rPr>
          <w:rFonts w:ascii="Times New Roman;serif" w:hAnsi="Times New Roman;serif"/>
          <w:b w:val="false"/>
          <w:color w:val="000000"/>
          <w:sz w:val="20"/>
          <w:shd w:fill="FFFFFF" w:val="clear"/>
        </w:rPr>
        <w:t>. Subject to applicable law, special meetings of stockholders of the Corporation may be called, for any purpose or purposes, at any time only by or at the direction of (i) a majority of the Whole Board of Directors, (ii) the chairperson of the Board of Directors or (iii) the holders of at least forty percent (40%) of the voting power of all of the then-outstanding shares of the Corporation, and may not be called by any other person or persons.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VII.</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action required or permitted to be taken at any meeting of the holders of Class A Common Stock may be taken without a meeting, without prior notice and without a vote, if a written consent or consents, setting forth the action so taken, shall be signed by the holders of Class A Common Stock then outstanding having not less than the minimum number of votes that would be necessary to authorize or take such action at a meeting at which all shares of Class A Common Stock then outstanding were present and voted and shall be delivered to the Corporation in accordance with the DGCL. Prompt notice of the taking of corporate action without a meeting by less than unanimous consent of the holders of Class A Common Stock then outstanding shall, to the extent required by applicable law, be given to those holders of Class A Common Stock who have not consented and who, if the action had been taken at a meeting, would have been entitled to notice of the meeting if the record date for notice of such meeting had been the date that consents signed by a sufficient number of holders of Class A Common Stock to take the action were delivered to the Corporation in accordance with the DGCL.</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VIII.</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 xml:space="preserve">Except with respect to </w:t>
      </w:r>
      <w:r>
        <w:rPr>
          <w:rFonts w:ascii="Times New Roman;serif" w:hAnsi="Times New Roman;serif"/>
          <w:b w:val="false"/>
          <w:color w:val="000000"/>
          <w:sz w:val="20"/>
          <w:u w:val="single"/>
          <w:shd w:fill="FFFFFF" w:val="clear"/>
        </w:rPr>
        <w:t>Articles I</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u w:val="single"/>
          <w:shd w:fill="FFFFFF" w:val="clear"/>
        </w:rPr>
        <w:t>II</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u w:val="single"/>
          <w:shd w:fill="FFFFFF" w:val="clear"/>
        </w:rPr>
        <w:t>III</w:t>
      </w:r>
      <w:r>
        <w:rPr>
          <w:rFonts w:ascii="Times New Roman;serif" w:hAnsi="Times New Roman;serif"/>
          <w:b w:val="false"/>
          <w:color w:val="000000"/>
          <w:sz w:val="20"/>
          <w:shd w:fill="FFFFFF" w:val="clear"/>
        </w:rPr>
        <w:t>, in addition to any vote of the holders of shares of any class or series of capital stock of the Corporation required by applicable law or by this Certificate of Incorporation, the adoption, amendment or repeal of the Certificate of Incorporation shall require the affirmative vote of the holders of a majority of the voting power of all of the then outstanding shares of voting stock of the Corporation entitled to vote thereon. 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IX.</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or officer of the Corporation shall be personally liable to the Corporation or its stockholders for monetary damages for any breach of his or her fiduciary duties as a Director or officer of the Corporation; </w:t>
      </w:r>
      <w:r>
        <w:rPr>
          <w:rFonts w:ascii="Times New Roman;serif" w:hAnsi="Times New Roman;serif"/>
          <w:b w:val="false"/>
          <w:i/>
          <w:color w:val="000000"/>
          <w:sz w:val="20"/>
          <w:shd w:fill="FFFFFF" w:val="clear"/>
        </w:rPr>
        <w:t>provided</w:t>
      </w:r>
      <w:r>
        <w:rPr>
          <w:color w:val="000000"/>
          <w:shd w:fill="FFFFFF" w:val="clear"/>
        </w:rPr>
        <w:t xml:space="preserve"> </w:t>
      </w:r>
      <w:r>
        <w:rPr>
          <w:rFonts w:ascii="Times New Roman;serif" w:hAnsi="Times New Roman;serif"/>
          <w:b w:val="false"/>
          <w:color w:val="000000"/>
          <w:sz w:val="20"/>
          <w:shd w:fill="FFFFFF" w:val="clear"/>
        </w:rPr>
        <w:t>that the foregoing clause shall not eliminate or limit the liability of any officer of the Corporation in any action by or in the right of the Corporation. No amendment to, or modification or repeal of, this </w:t>
      </w:r>
      <w:r>
        <w:rPr>
          <w:rFonts w:ascii="Times New Roman;serif" w:hAnsi="Times New Roman;serif"/>
          <w:b w:val="false"/>
          <w:color w:val="000000"/>
          <w:sz w:val="20"/>
          <w:u w:val="single"/>
          <w:shd w:fill="FFFFFF" w:val="clear"/>
        </w:rPr>
        <w:t>Article IX</w:t>
      </w:r>
      <w:r>
        <w:rPr>
          <w:color w:val="000000"/>
          <w:shd w:fill="FFFFFF" w:val="clear"/>
        </w:rPr>
        <w:t> </w:t>
      </w:r>
      <w:r>
        <w:rPr>
          <w:rFonts w:ascii="Times New Roman;serif" w:hAnsi="Times New Roman;serif"/>
          <w:b w:val="false"/>
          <w:color w:val="000000"/>
          <w:sz w:val="20"/>
          <w:shd w:fill="FFFFFF" w:val="clear"/>
        </w:rPr>
        <w:t>shall adversely affect any right or protection of a Director or of any officer, employee or agent of the Corporation existing hereunder with respect to any act or omission occurring prior to such amendment, modification or repeal.</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X.</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10.1 </w:t>
      </w:r>
      <w:r>
        <w:rPr>
          <w:rFonts w:ascii="Times New Roman;serif" w:hAnsi="Times New Roman;serif"/>
          <w:b w:val="false"/>
          <w:color w:val="000000"/>
          <w:sz w:val="20"/>
          <w:u w:val="single"/>
          <w:shd w:fill="FFFFFF" w:val="clear"/>
        </w:rPr>
        <w:t>Corporate Opportunity</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1102"/>
        <w:jc w:val="left"/>
        <w:rPr/>
      </w:pPr>
      <w:r>
        <w:rPr>
          <w:rFonts w:ascii="Times New Roman;serif" w:hAnsi="Times New Roman;serif"/>
          <w:b w:val="false"/>
          <w:color w:val="000000"/>
          <w:sz w:val="20"/>
          <w:shd w:fill="FFFFFF" w:val="clear"/>
        </w:rPr>
        <w:t>(a) 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the STORY 3 Director or the Nexus Director (or his or her respective affiliates) who is not employed by the Corporation or its subsidiaries (each such Person, an “</w:t>
      </w:r>
      <w:r>
        <w:rPr>
          <w:rFonts w:ascii="Times New Roman;serif" w:hAnsi="Times New Roman;serif"/>
          <w:b/>
          <w:i/>
          <w:color w:val="000000"/>
          <w:sz w:val="20"/>
          <w:shd w:fill="FFFFFF" w:val="clear"/>
        </w:rPr>
        <w:t>Exempt Person</w:t>
      </w:r>
      <w:r>
        <w:rPr>
          <w:color w:val="000000"/>
          <w:shd w:fill="FFFFFF" w:val="clear"/>
        </w:rPr>
        <w:t>”</w:t>
      </w:r>
      <w:r>
        <w:rPr>
          <w:rFonts w:ascii="Times New Roman;serif" w:hAnsi="Times New Roman;serif"/>
          <w:b w:val="false"/>
          <w:color w:val="000000"/>
          <w:sz w:val="20"/>
          <w:shd w:fill="FFFFFF" w:val="clear"/>
        </w:rPr>
        <w:t>);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Times New Roman;serif" w:hAnsi="Times New Roman;serif"/>
          <w:b w:val="false"/>
          <w:color w:val="000000"/>
          <w:sz w:val="20"/>
          <w:u w:val="single"/>
          <w:shd w:fill="FFFFFF" w:val="clear"/>
        </w:rPr>
        <w:t>Section 10.1(a)</w:t>
      </w:r>
      <w:r>
        <w:rPr>
          <w:color w:val="000000"/>
          <w:shd w:fill="FFFFFF" w:val="clear"/>
        </w:rPr>
        <w:t> </w:t>
      </w:r>
      <w:r>
        <w:rPr>
          <w:rFonts w:ascii="Times New Roman;serif" w:hAnsi="Times New Roman;serif"/>
          <w:b w:val="false"/>
          <w:color w:val="000000"/>
          <w:sz w:val="20"/>
          <w:shd w:fill="FFFFFF" w:val="clear"/>
        </w:rPr>
        <w:t>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pStyle w:val="TextBody"/>
        <w:bidi w:val="0"/>
        <w:spacing w:lineRule="auto" w:line="288" w:before="0" w:after="240"/>
        <w:ind w:left="0" w:right="0" w:firstLine="1102"/>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XI.</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the Corporation consents in writing to the selection of an alternative forum, (a) (i) any derivative action, suit or proceeding brought on behalf of the Corporation, (ii) any action, suit or proceeding asserting a claim of breach of a fiduciary duty owed by any current or former Director, officer or other employee or stockholder of the Corporation to the Corporation or the Corporation’s stockholders, creditors or other constituents, (iii) any action, suit or proceeding asserting a claim arising pursuant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shd w:fill="FFFFFF" w:val="clear"/>
        </w:rPr>
        <w:t>provision of the DGCL, this Certificate of Incorporation or the Bylaws (as either may be amended or restated) or as to which the DGCL confers exclusive jurisdiction on the Court of Chancery of the State of Delaware (the “</w:t>
      </w:r>
      <w:r>
        <w:rPr>
          <w:rFonts w:ascii="Times New Roman;serif" w:hAnsi="Times New Roman;serif"/>
          <w:b/>
          <w:i/>
          <w:color w:val="000000"/>
          <w:sz w:val="20"/>
          <w:shd w:fill="FFFFFF" w:val="clear"/>
        </w:rPr>
        <w:t>Court of Chancery</w:t>
      </w:r>
      <w:r>
        <w:rPr>
          <w:color w:val="000000"/>
          <w:shd w:fill="FFFFFF" w:val="clear"/>
        </w:rPr>
        <w:t>”</w:t>
      </w:r>
      <w:r>
        <w:rPr>
          <w:rFonts w:ascii="Times New Roman;serif" w:hAnsi="Times New Roman;serif"/>
          <w:b w:val="false"/>
          <w:color w:val="000000"/>
          <w:sz w:val="20"/>
          <w:shd w:fill="FFFFFF" w:val="clear"/>
        </w:rPr>
        <w:t>), or (iv) any action, suit or proceeding asserting a claim governed by the internal affairs doctrine, shall be exclusively brought in the Court of Chancery or, if such court does not have subject matter jurisdiction thereof, the federal district court of the District of Delaware or other state courts of the State of Delaware; and (b) the federal district courts of the United States of America (the “</w:t>
      </w:r>
      <w:r>
        <w:rPr>
          <w:rFonts w:ascii="Times New Roman;serif" w:hAnsi="Times New Roman;serif"/>
          <w:b/>
          <w:i/>
          <w:color w:val="000000"/>
          <w:sz w:val="20"/>
          <w:shd w:fill="FFFFFF" w:val="clear"/>
        </w:rPr>
        <w:t>Federal Courts</w:t>
      </w:r>
      <w:r>
        <w:rPr>
          <w:color w:val="000000"/>
          <w:shd w:fill="FFFFFF" w:val="clear"/>
        </w:rPr>
        <w:t>”</w:t>
      </w:r>
      <w:r>
        <w:rPr>
          <w:rFonts w:ascii="Times New Roman;serif" w:hAnsi="Times New Roman;serif"/>
          <w:b w:val="false"/>
          <w:color w:val="000000"/>
          <w:sz w:val="20"/>
          <w:shd w:fill="FFFFFF" w:val="clear"/>
        </w:rPr>
        <w:t>) shall be the exclusive forum for the resolution of any complaint asserting a cause of action arising under the Securities Act. If any provision or provisions of this</w:t>
      </w:r>
      <w:r>
        <w:rPr>
          <w:color w:val="000000"/>
          <w:u w:val="single"/>
          <w:shd w:fill="FFFFFF" w:val="clear"/>
        </w:rPr>
        <w:t> </w:t>
      </w:r>
      <w:r>
        <w:rPr>
          <w:rFonts w:ascii="Times New Roman;serif" w:hAnsi="Times New Roman;serif"/>
          <w:b w:val="false"/>
          <w:color w:val="000000"/>
          <w:sz w:val="20"/>
          <w:u w:val="single"/>
          <w:shd w:fill="FFFFFF" w:val="clear"/>
        </w:rPr>
        <w:t>Article XI</w:t>
      </w:r>
      <w:r>
        <w:rPr>
          <w:color w:val="000000"/>
          <w:shd w:fill="FFFFFF" w:val="clear"/>
        </w:rPr>
        <w:t> </w:t>
      </w:r>
      <w:r>
        <w:rPr>
          <w:rFonts w:ascii="Times New Roman;serif" w:hAnsi="Times New Roman;serif"/>
          <w:b w:val="false"/>
          <w:color w:val="000000"/>
          <w:sz w:val="20"/>
          <w:shd w:fill="FFFFFF" w:val="clear"/>
        </w:rPr>
        <w:t>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w:t>
      </w:r>
      <w:r>
        <w:rPr>
          <w:rFonts w:ascii="Times New Roman;serif" w:hAnsi="Times New Roman;serif"/>
          <w:b w:val="false"/>
          <w:color w:val="000000"/>
          <w:sz w:val="20"/>
          <w:u w:val="single"/>
          <w:shd w:fill="FFFFFF" w:val="clear"/>
        </w:rPr>
        <w:t>Article XI</w:t>
      </w:r>
      <w:r>
        <w:rPr>
          <w:color w:val="000000"/>
          <w:shd w:fill="FFFFFF" w:val="clear"/>
        </w:rPr>
        <w:t> </w:t>
      </w:r>
      <w:r>
        <w:rPr>
          <w:rFonts w:ascii="Times New Roman;serif" w:hAnsi="Times New Roman;serif"/>
          <w:b w:val="false"/>
          <w:color w:val="000000"/>
          <w:sz w:val="20"/>
          <w:shd w:fill="FFFFFF" w:val="clear"/>
        </w:rPr>
        <w:t>(including, without limitation, each portion of any sentence of this </w:t>
      </w:r>
      <w:r>
        <w:rPr>
          <w:rFonts w:ascii="Times New Roman;serif" w:hAnsi="Times New Roman;serif"/>
          <w:b w:val="false"/>
          <w:color w:val="000000"/>
          <w:sz w:val="20"/>
          <w:u w:val="single"/>
          <w:shd w:fill="FFFFFF" w:val="clear"/>
        </w:rPr>
        <w:t>Article XI</w:t>
      </w:r>
      <w:r>
        <w:rPr>
          <w:color w:val="000000"/>
          <w:shd w:fill="FFFFFF" w:val="clear"/>
        </w:rPr>
        <w:t> </w:t>
      </w:r>
      <w:r>
        <w:rPr>
          <w:rFonts w:ascii="Times New Roman;serif" w:hAnsi="Times New Roman;serif"/>
          <w:b w:val="false"/>
          <w:color w:val="000000"/>
          <w:sz w:val="20"/>
          <w:shd w:fill="FFFFFF" w:val="clear"/>
        </w:rPr>
        <w:t>containing any such provision held to be invalid, illegal or unenforceable that is not itself held to be invalid, illegal or unenforceable) and the application of such provision to other Persons and circumstances shall not in any way be affected or impaired thereby. If any action, the subject matter of which is within the scope of the first sentence of this </w:t>
      </w:r>
      <w:r>
        <w:rPr>
          <w:rFonts w:ascii="Times New Roman;serif" w:hAnsi="Times New Roman;serif"/>
          <w:b w:val="false"/>
          <w:color w:val="000000"/>
          <w:sz w:val="20"/>
          <w:u w:val="single"/>
          <w:shd w:fill="FFFFFF" w:val="clear"/>
        </w:rPr>
        <w:t>Article XI</w:t>
      </w:r>
      <w:r>
        <w:rPr>
          <w:rFonts w:ascii="Times New Roman;serif" w:hAnsi="Times New Roman;serif"/>
          <w:b w:val="false"/>
          <w:color w:val="000000"/>
          <w:sz w:val="20"/>
          <w:shd w:fill="FFFFFF" w:val="clear"/>
        </w:rPr>
        <w:t>, is filed in a court other than the Court of Chancery or the Federal Courts, as applicable, (a “</w:t>
      </w:r>
      <w:r>
        <w:rPr>
          <w:rFonts w:ascii="Times New Roman;serif" w:hAnsi="Times New Roman;serif"/>
          <w:b/>
          <w:i/>
          <w:color w:val="000000"/>
          <w:sz w:val="20"/>
          <w:shd w:fill="FFFFFF" w:val="clear"/>
        </w:rPr>
        <w:t>Foreign Action</w:t>
      </w:r>
      <w:r>
        <w:rPr>
          <w:color w:val="000000"/>
          <w:shd w:fill="FFFFFF" w:val="clear"/>
        </w:rPr>
        <w:t>”</w:t>
      </w:r>
      <w:r>
        <w:rPr>
          <w:rFonts w:ascii="Times New Roman;serif" w:hAnsi="Times New Roman;serif"/>
          <w:b w:val="false"/>
          <w:color w:val="000000"/>
          <w:sz w:val="20"/>
          <w:shd w:fill="FFFFFF" w:val="clear"/>
        </w:rPr>
        <w:t>) in the name of any stockholder, such stockholder shall be deemed to have consented to (i) the personal jurisdiction of the Court of Chancery and the other state and federal courts in the State of Delaware or the Federal Courts, as applicable, in connection with any action brought in any such court to enforce the first sentence of this </w:t>
      </w:r>
      <w:r>
        <w:rPr>
          <w:rFonts w:ascii="Times New Roman;serif" w:hAnsi="Times New Roman;serif"/>
          <w:b w:val="false"/>
          <w:color w:val="000000"/>
          <w:sz w:val="20"/>
          <w:u w:val="single"/>
          <w:shd w:fill="FFFFFF" w:val="clear"/>
        </w:rPr>
        <w:t>Article XI</w:t>
      </w:r>
      <w:r>
        <w:rPr>
          <w:color w:val="000000"/>
          <w:shd w:fill="FFFFFF" w:val="clear"/>
        </w:rPr>
        <w:t> </w:t>
      </w:r>
      <w:r>
        <w:rPr>
          <w:rFonts w:ascii="Times New Roman;serif" w:hAnsi="Times New Roman;serif"/>
          <w:b w:val="false"/>
          <w:color w:val="000000"/>
          <w:sz w:val="20"/>
          <w:shd w:fill="FFFFFF" w:val="clear"/>
        </w:rPr>
        <w:t>and (ii) having service of process made upon such stockholder in any such action by service upon such stockholder’s counsel in the Foreign Action as agent for such stockholder. To the fullest extent permitted by law, any Person purchasing or otherwise acquiring or holding any interest in shares of capital stock of the Corporation shall be deemed to have notice of and consented to the provisions of this </w:t>
      </w:r>
      <w:r>
        <w:rPr>
          <w:rFonts w:ascii="Times New Roman;serif" w:hAnsi="Times New Roman;serif"/>
          <w:b w:val="false"/>
          <w:color w:val="000000"/>
          <w:sz w:val="20"/>
          <w:u w:val="single"/>
          <w:shd w:fill="FFFFFF" w:val="clear"/>
        </w:rPr>
        <w:t>Article XI</w:t>
      </w:r>
      <w:r>
        <w:rPr>
          <w:rFonts w:ascii="Times New Roman;serif" w:hAnsi="Times New Roman;serif"/>
          <w:b w:val="false"/>
          <w:color w:val="000000"/>
          <w:sz w:val="20"/>
          <w:shd w:fill="FFFFFF" w:val="clear"/>
        </w:rPr>
        <w:t>. The provisions of this </w:t>
      </w:r>
      <w:r>
        <w:rPr>
          <w:rFonts w:ascii="Times New Roman;serif" w:hAnsi="Times New Roman;serif"/>
          <w:b w:val="false"/>
          <w:color w:val="000000"/>
          <w:sz w:val="20"/>
          <w:u w:val="single"/>
          <w:shd w:fill="FFFFFF" w:val="clear"/>
        </w:rPr>
        <w:t>Article XI</w:t>
      </w:r>
      <w:r>
        <w:rPr>
          <w:color w:val="000000"/>
          <w:shd w:fill="FFFFFF" w:val="clear"/>
        </w:rPr>
        <w:t> </w:t>
      </w:r>
      <w:r>
        <w:rPr>
          <w:rFonts w:ascii="Times New Roman;serif" w:hAnsi="Times New Roman;serif"/>
          <w:b w:val="false"/>
          <w:color w:val="000000"/>
          <w:sz w:val="20"/>
          <w:shd w:fill="FFFFFF" w:val="clear"/>
        </w:rPr>
        <w:t>shall not apply to suits brought to enforce any liability or duty created by the Exchange Act or any other claim for which the federal courts of the United States have exclusive jurisdiction.</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XII.</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Corporation expressly elects not to be governed by Section 203 of the DGCL and the restrictions and limitations set forth therein.</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XIII.</w:t>
      </w:r>
    </w:p>
    <w:p>
      <w:pPr>
        <w:pStyle w:val="TextBody"/>
        <w:bidi w:val="0"/>
        <w:spacing w:lineRule="auto" w:line="288" w:before="0" w:after="240"/>
        <w:ind w:left="0" w:right="0" w:firstLine="490"/>
        <w:jc w:val="left"/>
        <w:rPr/>
      </w:pPr>
      <w:r>
        <w:rPr>
          <w:rFonts w:ascii="Times New Roman;serif" w:hAnsi="Times New Roman;serif"/>
          <w:b w:val="false"/>
          <w:color w:val="000000"/>
          <w:sz w:val="20"/>
          <w:shd w:fill="FFFFFF" w:val="clear"/>
        </w:rPr>
        <w:t>Section 13.1 </w:t>
      </w:r>
      <w:r>
        <w:rPr>
          <w:rFonts w:ascii="Times New Roman;serif" w:hAnsi="Times New Roman;serif"/>
          <w:b w:val="false"/>
          <w:color w:val="000000"/>
          <w:sz w:val="20"/>
          <w:u w:val="single"/>
          <w:shd w:fill="FFFFFF" w:val="clear"/>
        </w:rPr>
        <w:t>Definitions</w:t>
      </w:r>
      <w:r>
        <w:rPr>
          <w:rFonts w:ascii="Times New Roman;serif" w:hAnsi="Times New Roman;serif"/>
          <w:b w:val="false"/>
          <w:color w:val="000000"/>
          <w:sz w:val="20"/>
          <w:shd w:fill="FFFFFF" w:val="clear"/>
        </w:rPr>
        <w:t>. As used in this Certificate of Incorporation, the following terms shall have the following meanings:</w:t>
      </w:r>
    </w:p>
    <w:p>
      <w:pPr>
        <w:pStyle w:val="TextBody"/>
        <w:bidi w:val="0"/>
        <w:spacing w:lineRule="auto" w:line="288" w:before="0" w:after="240"/>
        <w:ind w:left="0" w:right="0" w:firstLine="1080"/>
        <w:jc w:val="left"/>
        <w:rPr/>
      </w:pPr>
      <w:r>
        <w:rPr>
          <w:rFonts w:ascii="Times New Roman;serif" w:hAnsi="Times New Roman;serif"/>
          <w:b w:val="false"/>
          <w:color w:val="000000"/>
          <w:sz w:val="20"/>
        </w:rPr>
        <w:t>(a)</w:t>
      </w:r>
      <w:r>
        <w:rPr>
          <w:color w:val="000000"/>
          <w:shd w:fill="FFFFFF" w:val="clear"/>
        </w:rPr>
        <w:t>“</w:t>
      </w:r>
      <w:r>
        <w:rPr>
          <w:rFonts w:ascii="Times New Roman;serif" w:hAnsi="Times New Roman;serif"/>
          <w:b/>
          <w:i/>
          <w:color w:val="000000"/>
          <w:sz w:val="20"/>
          <w:shd w:fill="FFFFFF" w:val="clear"/>
        </w:rPr>
        <w:t>Affiliate</w:t>
      </w:r>
      <w:r>
        <w:rPr>
          <w:color w:val="000000"/>
          <w:shd w:fill="FFFFFF" w:val="clear"/>
        </w:rPr>
        <w:t xml:space="preserve">” </w:t>
      </w:r>
      <w:r>
        <w:rPr>
          <w:rFonts w:ascii="Times New Roman;serif" w:hAnsi="Times New Roman;serif"/>
          <w:b w:val="false"/>
          <w:color w:val="000000"/>
          <w:sz w:val="20"/>
          <w:shd w:fill="FFFFFF" w:val="clear"/>
        </w:rPr>
        <w:t>means, with respect to any Person, any other Person who or which, directly or indirectly, controls, is controlled by, or is under common control with such specified Person.</w:t>
      </w:r>
    </w:p>
    <w:p>
      <w:pPr>
        <w:pStyle w:val="TextBody"/>
        <w:bidi w:val="0"/>
        <w:spacing w:lineRule="auto" w:line="288" w:before="0" w:after="240"/>
        <w:ind w:left="0" w:right="0" w:firstLine="1080"/>
        <w:jc w:val="left"/>
        <w:rPr/>
      </w:pPr>
      <w:r>
        <w:rPr>
          <w:rFonts w:ascii="Times New Roman;serif" w:hAnsi="Times New Roman;serif"/>
          <w:b w:val="false"/>
          <w:color w:val="000000"/>
          <w:sz w:val="20"/>
        </w:rPr>
        <w:t>(b)</w:t>
      </w:r>
      <w:r>
        <w:rPr>
          <w:color w:val="000000"/>
          <w:shd w:fill="FFFFFF" w:val="clear"/>
        </w:rPr>
        <w:t>“</w:t>
      </w:r>
      <w:r>
        <w:rPr>
          <w:rFonts w:ascii="Times New Roman;serif" w:hAnsi="Times New Roman;serif"/>
          <w:b/>
          <w:i/>
          <w:color w:val="000000"/>
          <w:sz w:val="20"/>
          <w:shd w:fill="FFFFFF" w:val="clear"/>
        </w:rPr>
        <w:t>Exchange Act</w:t>
      </w:r>
      <w:r>
        <w:rPr>
          <w:color w:val="000000"/>
          <w:shd w:fill="FFFFFF" w:val="clear"/>
        </w:rPr>
        <w:t xml:space="preserve">” </w:t>
      </w:r>
      <w:r>
        <w:rPr>
          <w:rFonts w:ascii="Times New Roman;serif" w:hAnsi="Times New Roman;serif"/>
          <w:b w:val="false"/>
          <w:color w:val="000000"/>
          <w:sz w:val="20"/>
          <w:shd w:fill="FFFFFF" w:val="clear"/>
        </w:rPr>
        <w:t>means the U.S. Securities Exchange Act of 1934, as amended, and any applicable rules and regulations promulgated thereunder, and any successor to such statute, rules or regulations.</w:t>
      </w:r>
    </w:p>
    <w:p>
      <w:pPr>
        <w:pStyle w:val="TextBody"/>
        <w:bidi w:val="0"/>
        <w:spacing w:lineRule="auto" w:line="288" w:before="0" w:after="240"/>
        <w:ind w:left="0" w:right="0" w:firstLine="1080"/>
        <w:jc w:val="left"/>
        <w:rPr/>
      </w:pPr>
      <w:r>
        <w:rPr>
          <w:rFonts w:ascii="Times New Roman;serif" w:hAnsi="Times New Roman;serif"/>
          <w:b w:val="false"/>
          <w:color w:val="000000"/>
          <w:sz w:val="20"/>
        </w:rPr>
        <w:t>(c)</w:t>
      </w:r>
      <w:r>
        <w:rPr>
          <w:color w:val="000000"/>
          <w:shd w:fill="FFFFFF" w:val="clear"/>
        </w:rPr>
        <w:t>“</w:t>
      </w:r>
      <w:r>
        <w:rPr>
          <w:rFonts w:ascii="Times New Roman;serif" w:hAnsi="Times New Roman;serif"/>
          <w:b/>
          <w:i/>
          <w:color w:val="000000"/>
          <w:sz w:val="20"/>
          <w:shd w:fill="FFFFFF" w:val="clear"/>
        </w:rPr>
        <w:t>Investor Rights Agreement</w:t>
      </w:r>
      <w:r>
        <w:rPr>
          <w:color w:val="000000"/>
          <w:shd w:fill="FFFFFF" w:val="clear"/>
        </w:rPr>
        <w:t xml:space="preserve">” </w:t>
      </w:r>
      <w:r>
        <w:rPr>
          <w:rFonts w:ascii="Times New Roman;serif" w:hAnsi="Times New Roman;serif"/>
          <w:b w:val="false"/>
          <w:color w:val="000000"/>
          <w:sz w:val="20"/>
          <w:shd w:fill="FFFFFF" w:val="clear"/>
        </w:rPr>
        <w:t>means that certain Investor Rights Agreement, dated as of August 20, 2025, by and among the Corporation, CHS US Investments LLC, Nexus and STORY 3.</w:t>
      </w:r>
    </w:p>
    <w:p>
      <w:pPr>
        <w:pStyle w:val="TextBody"/>
        <w:bidi w:val="0"/>
        <w:spacing w:lineRule="auto" w:line="288" w:before="0" w:after="240"/>
        <w:ind w:left="0" w:right="0" w:firstLine="1080"/>
        <w:jc w:val="left"/>
        <w:rPr/>
      </w:pPr>
      <w:r>
        <w:rPr>
          <w:rFonts w:ascii="Times New Roman;serif" w:hAnsi="Times New Roman;serif"/>
          <w:b w:val="false"/>
          <w:color w:val="000000"/>
          <w:sz w:val="20"/>
        </w:rPr>
        <w:t>(d)</w:t>
      </w:r>
      <w:r>
        <w:rPr>
          <w:color w:val="000000"/>
          <w:shd w:fill="FFFFFF" w:val="clear"/>
        </w:rPr>
        <w:t>“</w:t>
      </w:r>
      <w:r>
        <w:rPr>
          <w:rFonts w:ascii="Times New Roman;serif" w:hAnsi="Times New Roman;serif"/>
          <w:b/>
          <w:i/>
          <w:color w:val="000000"/>
          <w:sz w:val="20"/>
          <w:shd w:fill="FFFFFF" w:val="clear"/>
        </w:rPr>
        <w:t>Nexus</w:t>
      </w:r>
      <w:r>
        <w:rPr>
          <w:color w:val="000000"/>
          <w:shd w:fill="FFFFFF" w:val="clear"/>
        </w:rPr>
        <w:t xml:space="preserve">” </w:t>
      </w:r>
      <w:r>
        <w:rPr>
          <w:rFonts w:ascii="Times New Roman;serif" w:hAnsi="Times New Roman;serif"/>
          <w:b w:val="false"/>
          <w:color w:val="000000"/>
          <w:sz w:val="20"/>
          <w:shd w:fill="FFFFFF" w:val="clear"/>
        </w:rPr>
        <w:t>means Gateway Runway, LLC, a Delaware limited liability company, together with its Affiliates.</w:t>
      </w:r>
    </w:p>
    <w:p>
      <w:pPr>
        <w:pStyle w:val="TextBody"/>
        <w:bidi w:val="0"/>
        <w:spacing w:lineRule="auto" w:line="288" w:before="0" w:after="240"/>
        <w:ind w:left="0" w:right="0" w:firstLine="1080"/>
        <w:jc w:val="left"/>
        <w:rPr/>
      </w:pPr>
      <w:r>
        <w:rPr>
          <w:rFonts w:ascii="Times New Roman;serif" w:hAnsi="Times New Roman;serif"/>
          <w:b w:val="false"/>
          <w:color w:val="000000"/>
          <w:sz w:val="20"/>
        </w:rPr>
        <w:t>(e)</w:t>
      </w:r>
      <w:r>
        <w:rPr>
          <w:color w:val="000000"/>
          <w:shd w:fill="FFFFFF" w:val="clear"/>
        </w:rPr>
        <w:t>“</w:t>
      </w:r>
      <w:r>
        <w:rPr>
          <w:rFonts w:ascii="Times New Roman;serif" w:hAnsi="Times New Roman;serif"/>
          <w:b/>
          <w:i/>
          <w:color w:val="000000"/>
          <w:sz w:val="20"/>
          <w:shd w:fill="FFFFFF" w:val="clear"/>
        </w:rPr>
        <w:t>Nexus Director</w:t>
      </w:r>
      <w:r>
        <w:rPr>
          <w:color w:val="000000"/>
          <w:shd w:fill="FFFFFF" w:val="clear"/>
        </w:rPr>
        <w:t xml:space="preserve">” </w:t>
      </w:r>
      <w:r>
        <w:rPr>
          <w:rFonts w:ascii="Times New Roman;serif" w:hAnsi="Times New Roman;serif"/>
          <w:b w:val="false"/>
          <w:color w:val="000000"/>
          <w:sz w:val="20"/>
          <w:shd w:fill="FFFFFF" w:val="clear"/>
        </w:rPr>
        <w:t>means a Director appointed to the Board of Directors by Nexus in accordance with the Investor Rights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1080"/>
        <w:jc w:val="left"/>
        <w:rPr/>
      </w:pPr>
      <w:r>
        <w:rPr>
          <w:rFonts w:ascii="Times New Roman;serif" w:hAnsi="Times New Roman;serif"/>
          <w:b w:val="false"/>
          <w:color w:val="000000"/>
          <w:sz w:val="20"/>
        </w:rPr>
        <w:t>(f)</w:t>
      </w:r>
      <w:r>
        <w:rPr>
          <w:color w:val="000000"/>
          <w:shd w:fill="FFFFFF" w:val="clear"/>
        </w:rPr>
        <w:t>“</w:t>
      </w:r>
      <w:r>
        <w:rPr>
          <w:rFonts w:ascii="Times New Roman;serif" w:hAnsi="Times New Roman;serif"/>
          <w:b/>
          <w:i/>
          <w:color w:val="000000"/>
          <w:sz w:val="20"/>
          <w:shd w:fill="FFFFFF" w:val="clear"/>
        </w:rPr>
        <w:t>Person</w:t>
      </w:r>
      <w:r>
        <w:rPr>
          <w:color w:val="000000"/>
          <w:shd w:fill="FFFFFF" w:val="clear"/>
        </w:rPr>
        <w:t xml:space="preserve">” </w:t>
      </w:r>
      <w:r>
        <w:rPr>
          <w:rFonts w:ascii="Times New Roman;serif" w:hAnsi="Times New Roman;serif"/>
          <w:b w:val="false"/>
          <w:color w:val="000000"/>
          <w:sz w:val="20"/>
          <w:shd w:fill="FFFFFF" w:val="clear"/>
        </w:rPr>
        <w:t>means any individual, corporation, partnership, limited partnership, limited liability company, unincorporated association, trusts or other entity. </w:t>
      </w:r>
    </w:p>
    <w:p>
      <w:pPr>
        <w:pStyle w:val="TextBody"/>
        <w:bidi w:val="0"/>
        <w:spacing w:lineRule="auto" w:line="288" w:before="0" w:after="240"/>
        <w:ind w:left="0" w:right="0" w:firstLine="1080"/>
        <w:jc w:val="left"/>
        <w:rPr/>
      </w:pPr>
      <w:r>
        <w:rPr>
          <w:rFonts w:ascii="Times New Roman;serif" w:hAnsi="Times New Roman;serif"/>
          <w:b w:val="false"/>
          <w:color w:val="000000"/>
          <w:sz w:val="20"/>
        </w:rPr>
        <w:t>(g)</w:t>
      </w:r>
      <w:r>
        <w:rPr>
          <w:color w:val="000000"/>
          <w:shd w:fill="FFFFFF" w:val="clear"/>
        </w:rPr>
        <w:t>“</w:t>
      </w:r>
      <w:r>
        <w:rPr>
          <w:rFonts w:ascii="Times New Roman;serif" w:hAnsi="Times New Roman;serif"/>
          <w:b/>
          <w:i/>
          <w:color w:val="000000"/>
          <w:sz w:val="20"/>
          <w:shd w:fill="FFFFFF" w:val="clear"/>
        </w:rPr>
        <w:t>Securities Act</w:t>
      </w:r>
      <w:r>
        <w:rPr>
          <w:color w:val="000000"/>
          <w:shd w:fill="FFFFFF" w:val="clear"/>
        </w:rPr>
        <w:t xml:space="preserve">” </w:t>
      </w:r>
      <w:r>
        <w:rPr>
          <w:rFonts w:ascii="Times New Roman;serif" w:hAnsi="Times New Roman;serif"/>
          <w:b w:val="false"/>
          <w:color w:val="000000"/>
          <w:sz w:val="20"/>
          <w:shd w:fill="FFFFFF" w:val="clear"/>
        </w:rPr>
        <w:t>means the U.S. Securities Act of 1933, as amended, and applicable rules and regulations promulgated thereunder, and any successor to such statute, rules or regulations.</w:t>
      </w:r>
    </w:p>
    <w:p>
      <w:pPr>
        <w:pStyle w:val="TextBody"/>
        <w:bidi w:val="0"/>
        <w:spacing w:lineRule="auto" w:line="288" w:before="0" w:after="240"/>
        <w:ind w:left="0" w:right="0" w:firstLine="1080"/>
        <w:jc w:val="left"/>
        <w:rPr/>
      </w:pPr>
      <w:r>
        <w:rPr>
          <w:rFonts w:ascii="Times New Roman;serif" w:hAnsi="Times New Roman;serif"/>
          <w:b w:val="false"/>
          <w:color w:val="000000"/>
          <w:sz w:val="20"/>
        </w:rPr>
        <w:t>(h)</w:t>
      </w:r>
      <w:r>
        <w:rPr>
          <w:color w:val="000000"/>
          <w:shd w:fill="FFFFFF" w:val="clear"/>
        </w:rPr>
        <w:t>“</w:t>
      </w:r>
      <w:r>
        <w:rPr>
          <w:rFonts w:ascii="Times New Roman;serif" w:hAnsi="Times New Roman;serif"/>
          <w:b/>
          <w:i/>
          <w:color w:val="000000"/>
          <w:sz w:val="20"/>
          <w:shd w:fill="FFFFFF" w:val="clear"/>
        </w:rPr>
        <w:t>STORY 3</w:t>
      </w:r>
      <w:r>
        <w:rPr>
          <w:color w:val="000000"/>
          <w:shd w:fill="FFFFFF" w:val="clear"/>
        </w:rPr>
        <w:t xml:space="preserve">” </w:t>
      </w:r>
      <w:r>
        <w:rPr>
          <w:rFonts w:ascii="Times New Roman;serif" w:hAnsi="Times New Roman;serif"/>
          <w:b w:val="false"/>
          <w:color w:val="000000"/>
          <w:sz w:val="20"/>
          <w:shd w:fill="FFFFFF" w:val="clear"/>
        </w:rPr>
        <w:t>means S3 RR Aggregator, LLC, a Delaware limited liability company, together with its Affiliates.</w:t>
      </w:r>
    </w:p>
    <w:p>
      <w:pPr>
        <w:pStyle w:val="TextBody"/>
        <w:bidi w:val="0"/>
        <w:spacing w:lineRule="auto" w:line="288" w:before="0" w:after="240"/>
        <w:ind w:left="0" w:right="0" w:firstLine="1080"/>
        <w:jc w:val="left"/>
        <w:rPr/>
      </w:pPr>
      <w:r>
        <w:rPr>
          <w:rFonts w:ascii="Times New Roman;serif" w:hAnsi="Times New Roman;serif"/>
          <w:b w:val="false"/>
          <w:color w:val="000000"/>
          <w:sz w:val="20"/>
        </w:rPr>
        <w:t>(i)</w:t>
      </w:r>
      <w:r>
        <w:rPr>
          <w:color w:val="000000"/>
          <w:shd w:fill="FFFFFF" w:val="clear"/>
        </w:rPr>
        <w:t>“</w:t>
      </w:r>
      <w:r>
        <w:rPr>
          <w:rFonts w:ascii="Times New Roman;serif" w:hAnsi="Times New Roman;serif"/>
          <w:b/>
          <w:i/>
          <w:color w:val="000000"/>
          <w:sz w:val="20"/>
          <w:shd w:fill="FFFFFF" w:val="clear"/>
        </w:rPr>
        <w:t>STORY 3 Director</w:t>
      </w:r>
      <w:r>
        <w:rPr>
          <w:color w:val="000000"/>
          <w:shd w:fill="FFFFFF" w:val="clear"/>
        </w:rPr>
        <w:t xml:space="preserve">” </w:t>
      </w:r>
      <w:r>
        <w:rPr>
          <w:rFonts w:ascii="Times New Roman;serif" w:hAnsi="Times New Roman;serif"/>
          <w:b w:val="false"/>
          <w:color w:val="000000"/>
          <w:sz w:val="20"/>
          <w:shd w:fill="FFFFFF" w:val="clear"/>
        </w:rPr>
        <w:t>means a Director appointed to the Board of Directors by STORY 3 in accordance with the Investor Rights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WITNESS WHEREOF, the Corporation has caused this Thirteenth Amended and Restated Certificate of Incorporation to be signed on this July 15, 2026.</w:t>
      </w:r>
    </w:p>
    <w:p>
      <w:pPr>
        <w:pStyle w:val="TextBody"/>
        <w:bidi w:val="0"/>
        <w:spacing w:before="0" w:after="0"/>
        <w:ind w:left="0" w:right="0" w:firstLine="490"/>
        <w:jc w:val="left"/>
        <w:rPr/>
      </w:pPr>
      <w:r>
        <w:rPr/>
      </w:r>
    </w:p>
    <w:tbl>
      <w:tblPr>
        <w:tblW w:w="53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0"/>
        <w:gridCol w:w="270"/>
        <w:gridCol w:w="270"/>
        <w:gridCol w:w="270"/>
        <w:gridCol w:w="270"/>
        <w:gridCol w:w="270"/>
        <w:gridCol w:w="786"/>
        <w:gridCol w:w="786"/>
        <w:gridCol w:w="11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RENT THE RUNWAY,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Teri Bariquit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Teri Bariquit</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bl>
    <w:p>
      <w:pPr>
        <w:pStyle w:val="TextBody"/>
        <w:bidi w:val="0"/>
        <w:spacing w:lineRule="auto" w:line="288" w:before="0" w:after="0"/>
        <w:ind w:left="0" w:right="0" w:firstLine="49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5866</Words>
  <Characters>30665</Characters>
  <CharactersWithSpaces>36361</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