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55880</wp:posOffset>
            </wp:positionV>
            <wp:extent cx="24257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87630</wp:posOffset>
            </wp:positionV>
            <wp:extent cx="24257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89"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2"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14,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64770</wp:posOffset>
            </wp:positionV>
            <wp:extent cx="24257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Rent the Runway,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55880</wp:posOffset>
            </wp:positionV>
            <wp:extent cx="24257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89" w:lineRule="exact"/>
        <w:rPr>
          <w:sz w:val="24"/>
          <w:szCs w:val="24"/>
          <w:color w:val="auto"/>
        </w:rPr>
      </w:pPr>
    </w:p>
    <w:tbl>
      <w:tblPr>
        <w:tblLayout w:type="fixed"/>
        <w:tblInd w:w="1000" w:type="dxa"/>
        <w:tblCellMar>
          <w:top w:w="0" w:type="dxa"/>
          <w:left w:w="0" w:type="dxa"/>
          <w:bottom w:w="0" w:type="dxa"/>
          <w:right w:w="0" w:type="dxa"/>
        </w:tblCellMar>
      </w:tblPr>
      <w:tr>
        <w:trPr>
          <w:trHeight w:val="238"/>
        </w:trPr>
        <w:tc>
          <w:tcPr>
            <w:tcW w:w="1840" w:type="dxa"/>
            <w:vAlign w:val="bottom"/>
          </w:tcPr>
          <w:p>
            <w:pPr>
              <w:jc w:val="center"/>
              <w:ind w:right="12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700" w:type="dxa"/>
            <w:vAlign w:val="bottom"/>
            <w:gridSpan w:val="2"/>
          </w:tcPr>
          <w:p>
            <w:pPr>
              <w:ind w:left="2360"/>
              <w:spacing w:after="0"/>
              <w:rPr>
                <w:sz w:val="20"/>
                <w:szCs w:val="20"/>
                <w:color w:val="auto"/>
              </w:rPr>
            </w:pPr>
            <w:r>
              <w:rPr>
                <w:rFonts w:ascii="Times New Roman" w:cs="Times New Roman" w:eastAsia="Times New Roman" w:hAnsi="Times New Roman"/>
                <w:sz w:val="18"/>
                <w:szCs w:val="18"/>
                <w:b w:val="1"/>
                <w:bCs w:val="1"/>
                <w:color w:val="auto"/>
              </w:rPr>
              <w:t>001-40958</w:t>
            </w:r>
          </w:p>
        </w:tc>
        <w:tc>
          <w:tcPr>
            <w:tcW w:w="900" w:type="dxa"/>
            <w:vAlign w:val="bottom"/>
          </w:tcPr>
          <w:p>
            <w:pPr>
              <w:spacing w:after="0"/>
              <w:rPr>
                <w:sz w:val="20"/>
                <w:szCs w:val="20"/>
                <w:color w:val="auto"/>
              </w:rPr>
            </w:pPr>
          </w:p>
        </w:tc>
        <w:tc>
          <w:tcPr>
            <w:tcW w:w="1660" w:type="dxa"/>
            <w:vAlign w:val="bottom"/>
          </w:tcPr>
          <w:p>
            <w:pPr>
              <w:jc w:val="center"/>
              <w:ind w:left="162"/>
              <w:spacing w:after="0"/>
              <w:rPr>
                <w:sz w:val="20"/>
                <w:szCs w:val="20"/>
                <w:color w:val="auto"/>
              </w:rPr>
            </w:pPr>
            <w:r>
              <w:rPr>
                <w:rFonts w:ascii="Times New Roman" w:cs="Times New Roman" w:eastAsia="Times New Roman" w:hAnsi="Times New Roman"/>
                <w:sz w:val="18"/>
                <w:szCs w:val="18"/>
                <w:b w:val="1"/>
                <w:bCs w:val="1"/>
                <w:color w:val="auto"/>
                <w:w w:val="98"/>
              </w:rPr>
              <w:t>80-0376379</w:t>
            </w:r>
          </w:p>
        </w:tc>
      </w:tr>
      <w:tr>
        <w:trPr>
          <w:trHeight w:val="178"/>
        </w:trPr>
        <w:tc>
          <w:tcPr>
            <w:tcW w:w="184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880" w:type="dxa"/>
            <w:vAlign w:val="bottom"/>
          </w:tcPr>
          <w:p>
            <w:pPr>
              <w:spacing w:after="0"/>
              <w:rPr>
                <w:sz w:val="15"/>
                <w:szCs w:val="15"/>
                <w:color w:val="auto"/>
              </w:rPr>
            </w:pPr>
          </w:p>
        </w:tc>
        <w:tc>
          <w:tcPr>
            <w:tcW w:w="4720" w:type="dxa"/>
            <w:vAlign w:val="bottom"/>
            <w:gridSpan w:val="2"/>
          </w:tcPr>
          <w:p>
            <w:pPr>
              <w:ind w:left="1480"/>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660" w:type="dxa"/>
            <w:vAlign w:val="bottom"/>
          </w:tcPr>
          <w:p>
            <w:pPr>
              <w:jc w:val="center"/>
              <w:ind w:left="16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84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880" w:type="dxa"/>
            <w:vAlign w:val="bottom"/>
          </w:tcPr>
          <w:p>
            <w:pPr>
              <w:spacing w:after="0"/>
              <w:rPr>
                <w:sz w:val="16"/>
                <w:szCs w:val="16"/>
                <w:color w:val="auto"/>
              </w:rPr>
            </w:pPr>
          </w:p>
        </w:tc>
        <w:tc>
          <w:tcPr>
            <w:tcW w:w="4720" w:type="dxa"/>
            <w:vAlign w:val="bottom"/>
            <w:gridSpan w:val="2"/>
          </w:tcPr>
          <w:p>
            <w:pPr>
              <w:ind w:left="14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660" w:type="dxa"/>
            <w:vAlign w:val="bottom"/>
          </w:tcPr>
          <w:p>
            <w:pPr>
              <w:jc w:val="center"/>
              <w:ind w:left="16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420"/>
        </w:trPr>
        <w:tc>
          <w:tcPr>
            <w:tcW w:w="1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72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Rent the Runway, Inc.</w:t>
            </w:r>
          </w:p>
        </w:tc>
        <w:tc>
          <w:tcPr>
            <w:tcW w:w="1660" w:type="dxa"/>
            <w:vAlign w:val="bottom"/>
          </w:tcPr>
          <w:p>
            <w:pPr>
              <w:spacing w:after="0"/>
              <w:rPr>
                <w:sz w:val="24"/>
                <w:szCs w:val="24"/>
                <w:color w:val="auto"/>
              </w:rPr>
            </w:pPr>
          </w:p>
        </w:tc>
      </w:tr>
      <w:tr>
        <w:trPr>
          <w:trHeight w:val="216"/>
        </w:trPr>
        <w:tc>
          <w:tcPr>
            <w:tcW w:w="1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72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10 Jay Street</w:t>
            </w:r>
          </w:p>
        </w:tc>
        <w:tc>
          <w:tcPr>
            <w:tcW w:w="1660" w:type="dxa"/>
            <w:vAlign w:val="bottom"/>
          </w:tcPr>
          <w:p>
            <w:pPr>
              <w:spacing w:after="0"/>
              <w:rPr>
                <w:sz w:val="18"/>
                <w:szCs w:val="18"/>
                <w:color w:val="auto"/>
              </w:rPr>
            </w:pPr>
          </w:p>
        </w:tc>
      </w:tr>
      <w:tr>
        <w:trPr>
          <w:trHeight w:val="200"/>
        </w:trPr>
        <w:tc>
          <w:tcPr>
            <w:tcW w:w="18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720" w:type="dxa"/>
            <w:vAlign w:val="bottom"/>
            <w:gridSpan w:val="2"/>
          </w:tcPr>
          <w:p>
            <w:pPr>
              <w:jc w:val="center"/>
              <w:ind w:right="900"/>
              <w:spacing w:after="0" w:line="201" w:lineRule="exact"/>
              <w:rPr>
                <w:sz w:val="20"/>
                <w:szCs w:val="20"/>
                <w:color w:val="auto"/>
              </w:rPr>
            </w:pPr>
            <w:r>
              <w:rPr>
                <w:rFonts w:ascii="Times New Roman" w:cs="Times New Roman" w:eastAsia="Times New Roman" w:hAnsi="Times New Roman"/>
                <w:sz w:val="18"/>
                <w:szCs w:val="18"/>
                <w:b w:val="1"/>
                <w:bCs w:val="1"/>
                <w:color w:val="auto"/>
                <w:w w:val="98"/>
              </w:rPr>
              <w:t>Brooklyn, New York 11201</w:t>
            </w:r>
          </w:p>
        </w:tc>
        <w:tc>
          <w:tcPr>
            <w:tcW w:w="1660" w:type="dxa"/>
            <w:vAlign w:val="bottom"/>
          </w:tcPr>
          <w:p>
            <w:pPr>
              <w:spacing w:after="0"/>
              <w:rPr>
                <w:sz w:val="17"/>
                <w:szCs w:val="17"/>
                <w:color w:val="auto"/>
              </w:rPr>
            </w:pPr>
          </w:p>
        </w:tc>
      </w:tr>
      <w:tr>
        <w:trPr>
          <w:trHeight w:val="190"/>
        </w:trPr>
        <w:tc>
          <w:tcPr>
            <w:tcW w:w="18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720" w:type="dxa"/>
            <w:vAlign w:val="bottom"/>
            <w:gridSpan w:val="2"/>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660" w:type="dxa"/>
            <w:vAlign w:val="bottom"/>
          </w:tcPr>
          <w:p>
            <w:pPr>
              <w:spacing w:after="0"/>
              <w:rPr>
                <w:sz w:val="16"/>
                <w:szCs w:val="16"/>
                <w:color w:val="auto"/>
              </w:rPr>
            </w:pPr>
          </w:p>
        </w:tc>
      </w:tr>
      <w:tr>
        <w:trPr>
          <w:trHeight w:val="320"/>
        </w:trPr>
        <w:tc>
          <w:tcPr>
            <w:tcW w:w="1840" w:type="dxa"/>
            <w:vAlign w:val="bottom"/>
          </w:tcPr>
          <w:p>
            <w:pPr>
              <w:spacing w:after="0"/>
              <w:rPr>
                <w:sz w:val="24"/>
                <w:szCs w:val="24"/>
                <w:color w:val="auto"/>
              </w:rPr>
            </w:pPr>
          </w:p>
        </w:tc>
        <w:tc>
          <w:tcPr>
            <w:tcW w:w="560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(212) 524-6860</w:t>
            </w:r>
          </w:p>
        </w:tc>
        <w:tc>
          <w:tcPr>
            <w:tcW w:w="1660" w:type="dxa"/>
            <w:vAlign w:val="bottom"/>
          </w:tcPr>
          <w:p>
            <w:pPr>
              <w:spacing w:after="0"/>
              <w:rPr>
                <w:sz w:val="24"/>
                <w:szCs w:val="24"/>
                <w:color w:val="auto"/>
              </w:rPr>
            </w:pPr>
          </w:p>
        </w:tc>
      </w:tr>
      <w:tr>
        <w:trPr>
          <w:trHeight w:val="81"/>
        </w:trPr>
        <w:tc>
          <w:tcPr>
            <w:tcW w:w="1840" w:type="dxa"/>
            <w:vAlign w:val="bottom"/>
          </w:tcPr>
          <w:p>
            <w:pPr>
              <w:spacing w:after="0"/>
              <w:rPr>
                <w:sz w:val="7"/>
                <w:szCs w:val="7"/>
                <w:color w:val="auto"/>
              </w:rPr>
            </w:pPr>
          </w:p>
        </w:tc>
        <w:tc>
          <w:tcPr>
            <w:tcW w:w="880" w:type="dxa"/>
            <w:vAlign w:val="bottom"/>
          </w:tcPr>
          <w:p>
            <w:pPr>
              <w:spacing w:after="0"/>
              <w:rPr>
                <w:sz w:val="7"/>
                <w:szCs w:val="7"/>
                <w:color w:val="auto"/>
              </w:rPr>
            </w:pPr>
          </w:p>
        </w:tc>
        <w:tc>
          <w:tcPr>
            <w:tcW w:w="3820" w:type="dxa"/>
            <w:vAlign w:val="bottom"/>
            <w:tcBorders>
              <w:bottom w:val="single" w:sz="8" w:color="auto"/>
            </w:tcBorders>
          </w:tcPr>
          <w:p>
            <w:pPr>
              <w:spacing w:after="0"/>
              <w:rPr>
                <w:sz w:val="7"/>
                <w:szCs w:val="7"/>
                <w:color w:val="auto"/>
              </w:rPr>
            </w:pPr>
          </w:p>
        </w:tc>
        <w:tc>
          <w:tcPr>
            <w:tcW w:w="900" w:type="dxa"/>
            <w:vAlign w:val="bottom"/>
          </w:tcPr>
          <w:p>
            <w:pPr>
              <w:spacing w:after="0"/>
              <w:rPr>
                <w:sz w:val="7"/>
                <w:szCs w:val="7"/>
                <w:color w:val="auto"/>
              </w:rPr>
            </w:pPr>
          </w:p>
        </w:tc>
        <w:tc>
          <w:tcPr>
            <w:tcW w:w="1660" w:type="dxa"/>
            <w:vAlign w:val="bottom"/>
          </w:tcPr>
          <w:p>
            <w:pPr>
              <w:spacing w:after="0"/>
              <w:rPr>
                <w:sz w:val="7"/>
                <w:szCs w:val="7"/>
                <w:color w:val="auto"/>
              </w:rPr>
            </w:pPr>
          </w:p>
        </w:tc>
      </w:tr>
    </w:tbl>
    <w:p>
      <w:pPr>
        <w:spacing w:after="0" w:line="17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1060" w:hanging="397"/>
        <w:spacing w:after="0"/>
        <w:tabs>
          <w:tab w:leader="none" w:pos="10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1060" w:hanging="397"/>
        <w:spacing w:after="0"/>
        <w:tabs>
          <w:tab w:leader="none" w:pos="10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1060" w:hanging="397"/>
        <w:spacing w:after="0"/>
        <w:tabs>
          <w:tab w:leader="none" w:pos="10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38" w:lineRule="exact"/>
        <w:rPr>
          <w:rFonts w:ascii="MS PGothic" w:cs="MS PGothic" w:eastAsia="MS PGothic" w:hAnsi="MS PGothic"/>
          <w:sz w:val="18"/>
          <w:szCs w:val="18"/>
          <w:color w:val="auto"/>
        </w:rPr>
      </w:pPr>
    </w:p>
    <w:p>
      <w:pPr>
        <w:ind w:left="1060" w:hanging="397"/>
        <w:spacing w:after="0"/>
        <w:tabs>
          <w:tab w:leader="none" w:pos="10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65"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3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580" w:type="dxa"/>
            <w:vAlign w:val="bottom"/>
          </w:tcPr>
          <w:p>
            <w:pPr>
              <w:spacing w:after="0"/>
              <w:rPr>
                <w:sz w:val="15"/>
                <w:szCs w:val="15"/>
                <w:color w:val="auto"/>
              </w:rPr>
            </w:pPr>
          </w:p>
        </w:tc>
      </w:tr>
      <w:tr>
        <w:trPr>
          <w:trHeight w:val="204"/>
        </w:trPr>
        <w:tc>
          <w:tcPr>
            <w:tcW w:w="3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r>
      <w:tr>
        <w:trPr>
          <w:trHeight w:val="174"/>
        </w:trPr>
        <w:tc>
          <w:tcPr>
            <w:tcW w:w="378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rPr>
              <w:t>Class A common stock, $0.001 par value per</w:t>
            </w:r>
          </w:p>
        </w:tc>
        <w:tc>
          <w:tcPr>
            <w:tcW w:w="160" w:type="dxa"/>
            <w:vAlign w:val="bottom"/>
          </w:tcPr>
          <w:p>
            <w:pPr>
              <w:spacing w:after="0"/>
              <w:rPr>
                <w:sz w:val="15"/>
                <w:szCs w:val="15"/>
                <w:color w:val="auto"/>
              </w:rPr>
            </w:pPr>
          </w:p>
        </w:tc>
        <w:tc>
          <w:tcPr>
            <w:tcW w:w="358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9"/>
              </w:rPr>
              <w:t>RENT</w:t>
            </w:r>
          </w:p>
        </w:tc>
        <w:tc>
          <w:tcPr>
            <w:tcW w:w="140" w:type="dxa"/>
            <w:vAlign w:val="bottom"/>
          </w:tcPr>
          <w:p>
            <w:pPr>
              <w:spacing w:after="0"/>
              <w:rPr>
                <w:sz w:val="15"/>
                <w:szCs w:val="15"/>
                <w:color w:val="auto"/>
              </w:rPr>
            </w:pPr>
          </w:p>
        </w:tc>
        <w:tc>
          <w:tcPr>
            <w:tcW w:w="358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38"/>
        </w:trPr>
        <w:tc>
          <w:tcPr>
            <w:tcW w:w="39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3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80" w:type="dxa"/>
            <w:vAlign w:val="bottom"/>
          </w:tcPr>
          <w:p>
            <w:pPr>
              <w:spacing w:after="0"/>
              <w:rPr>
                <w:sz w:val="20"/>
                <w:szCs w:val="20"/>
                <w:color w:val="auto"/>
              </w:rPr>
            </w:pPr>
          </w:p>
        </w:tc>
      </w:tr>
    </w:tbl>
    <w:p>
      <w:pPr>
        <w:spacing w:after="0" w:line="184" w:lineRule="exact"/>
        <w:rPr>
          <w:sz w:val="24"/>
          <w:szCs w:val="24"/>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4" w:lineRule="exact"/>
        <w:rPr>
          <w:sz w:val="24"/>
          <w:szCs w:val="24"/>
          <w:color w:val="auto"/>
        </w:rPr>
      </w:pPr>
    </w:p>
    <w:p>
      <w:pPr>
        <w:ind w:right="160"/>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1" w:name="page2"/>
    <w:bookmarkEnd w:id="1"/>
    <w:p>
      <w:pPr>
        <w:ind w:left="2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16" w:lineRule="exact"/>
        <w:rPr>
          <w:sz w:val="20"/>
          <w:szCs w:val="20"/>
          <w:color w:val="auto"/>
        </w:rPr>
      </w:pPr>
    </w:p>
    <w:p>
      <w:pPr>
        <w:ind w:right="860"/>
        <w:spacing w:after="0" w:line="266" w:lineRule="auto"/>
        <w:rPr>
          <w:sz w:val="20"/>
          <w:szCs w:val="20"/>
          <w:color w:val="auto"/>
        </w:rPr>
      </w:pPr>
      <w:r>
        <w:rPr>
          <w:rFonts w:ascii="Times New Roman" w:cs="Times New Roman" w:eastAsia="Times New Roman" w:hAnsi="Times New Roman"/>
          <w:sz w:val="18"/>
          <w:szCs w:val="18"/>
          <w:color w:val="auto"/>
        </w:rPr>
        <w:t>On April 14, 2026, Rent the Runway, Inc. (the “Company”) issued a press release announcing its financial results for the quarter and year ended January 31, 2026. A copy of the press release is furnished as Exhibit 99.1 to this Form 8-K and is incorporated by reference.</w:t>
      </w:r>
    </w:p>
    <w:p>
      <w:pPr>
        <w:spacing w:after="0" w:line="189"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8"/>
          <w:szCs w:val="18"/>
          <w:color w:val="auto"/>
        </w:rPr>
        <w:t>Information in Exhibit 99.1 of this Form 8-K shall not be deemed “filed” for the purposes of Section 18 of the Securities Exchange Act of 1934, as amended (the “Exchange Act”), or otherwise incorporated by reference into any filing pursuant to the Securities Act of 1933, as amended, or the Exchange Act, except as otherwise expressly stated in such filing.</w:t>
      </w:r>
    </w:p>
    <w:p>
      <w:pPr>
        <w:spacing w:after="0" w:line="1" w:lineRule="exact"/>
        <w:rPr>
          <w:sz w:val="20"/>
          <w:szCs w:val="20"/>
          <w:color w:val="auto"/>
        </w:rPr>
      </w:pPr>
    </w:p>
    <w:p>
      <w:pPr>
        <w:ind w:left="2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820" w:type="dxa"/>
            <w:vAlign w:val="bottom"/>
            <w:gridSpan w:val="3"/>
          </w:tcPr>
          <w:p>
            <w:pPr>
              <w:ind w:left="44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3"/>
        </w:trPr>
        <w:tc>
          <w:tcPr>
            <w:tcW w:w="12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c>
          <w:tcPr>
            <w:tcW w:w="49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60" w:type="dxa"/>
            <w:vAlign w:val="bottom"/>
          </w:tcPr>
          <w:p>
            <w:pPr>
              <w:spacing w:after="0"/>
              <w:rPr>
                <w:sz w:val="21"/>
                <w:szCs w:val="21"/>
                <w:color w:val="auto"/>
              </w:rPr>
            </w:pPr>
          </w:p>
        </w:tc>
        <w:tc>
          <w:tcPr>
            <w:tcW w:w="9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Press Release issued by Rent the Runway, Inc. on April 14, 2026</w:t>
            </w:r>
          </w:p>
        </w:tc>
        <w:tc>
          <w:tcPr>
            <w:tcW w:w="0" w:type="dxa"/>
            <w:vAlign w:val="bottom"/>
          </w:tcPr>
          <w:p>
            <w:pPr>
              <w:spacing w:after="0"/>
              <w:rPr>
                <w:sz w:val="1"/>
                <w:szCs w:val="1"/>
                <w:color w:val="auto"/>
              </w:rPr>
            </w:pPr>
          </w:p>
        </w:tc>
      </w:tr>
      <w:tr>
        <w:trPr>
          <w:trHeight w:val="20"/>
        </w:trPr>
        <w:tc>
          <w:tcPr>
            <w:tcW w:w="1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line="20" w:lineRule="exact"/>
              <w:rPr>
                <w:sz w:val="1"/>
                <w:szCs w:val="1"/>
                <w:color w:val="auto"/>
              </w:rPr>
            </w:pPr>
          </w:p>
        </w:tc>
        <w:tc>
          <w:tcPr>
            <w:tcW w:w="4680" w:type="dxa"/>
            <w:vAlign w:val="bottom"/>
            <w:shd w:val="clear" w:color="auto" w:fill="0000FF"/>
          </w:tcPr>
          <w:p>
            <w:pPr>
              <w:spacing w:after="0" w:line="20" w:lineRule="exact"/>
              <w:rPr>
                <w:sz w:val="1"/>
                <w:szCs w:val="1"/>
                <w:color w:val="auto"/>
              </w:rPr>
            </w:pPr>
          </w:p>
        </w:tc>
        <w:tc>
          <w:tcPr>
            <w:tcW w:w="5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2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c>
          <w:tcPr>
            <w:tcW w:w="0" w:type="dxa"/>
            <w:vAlign w:val="bottom"/>
          </w:tcPr>
          <w:p>
            <w:pPr>
              <w:spacing w:after="0"/>
              <w:rPr>
                <w:sz w:val="1"/>
                <w:szCs w:val="1"/>
                <w:color w:val="auto"/>
              </w:rPr>
            </w:pPr>
          </w:p>
        </w:tc>
      </w:tr>
      <w:tr>
        <w:trPr>
          <w:trHeight w:val="2450"/>
        </w:trPr>
        <w:tc>
          <w:tcPr>
            <w:tcW w:w="1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680" w:type="dxa"/>
            <w:vAlign w:val="bottom"/>
            <w:tcBorders>
              <w:bottom w:val="single" w:sz="8" w:color="9A9A9A"/>
            </w:tcBorders>
          </w:tcPr>
          <w:p>
            <w:pPr>
              <w:spacing w:after="0"/>
              <w:rPr>
                <w:sz w:val="24"/>
                <w:szCs w:val="24"/>
                <w:color w:val="auto"/>
              </w:rPr>
            </w:pPr>
          </w:p>
        </w:tc>
        <w:tc>
          <w:tcPr>
            <w:tcW w:w="49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06" w:right="33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1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RENT THE RUNWAY, INC.</w:t>
      </w:r>
    </w:p>
    <w:p>
      <w:pPr>
        <w:spacing w:after="0" w:line="135" w:lineRule="exact"/>
        <w:rPr>
          <w:sz w:val="20"/>
          <w:szCs w:val="20"/>
          <w:color w:val="auto"/>
        </w:rPr>
      </w:pPr>
    </w:p>
    <w:p>
      <w:pPr>
        <w:ind w:left="440"/>
        <w:spacing w:after="0"/>
        <w:tabs>
          <w:tab w:leader="none" w:pos="5560" w:val="left"/>
          <w:tab w:leader="none" w:pos="6180" w:val="left"/>
        </w:tabs>
        <w:rPr>
          <w:sz w:val="20"/>
          <w:szCs w:val="20"/>
          <w:color w:val="auto"/>
        </w:rPr>
      </w:pPr>
      <w:r>
        <w:rPr>
          <w:rFonts w:ascii="Times New Roman" w:cs="Times New Roman" w:eastAsia="Times New Roman" w:hAnsi="Times New Roman"/>
          <w:sz w:val="18"/>
          <w:szCs w:val="18"/>
          <w:color w:val="auto"/>
        </w:rPr>
        <w:t>Date: April 14,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Siddharth Thacker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1889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Siddharth Thacker</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160"/>
          </w:cols>
          <w:pgMar w:left="320" w:top="765"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Rent the Runway, Inc. Announces Fourth Quarter and Full Year 2025 Results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Strong Finish to FY25 with Q4 Ending Active Subscribers +20.1% YoY; Revenue up 20% YoY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Highest Quarterly Revenue in Company History at $91.7M</w:t>
      </w:r>
    </w:p>
    <w:p>
      <w:pPr>
        <w:spacing w:after="0" w:line="278" w:lineRule="exact"/>
        <w:rPr>
          <w:sz w:val="20"/>
          <w:szCs w:val="20"/>
          <w:color w:val="auto"/>
        </w:rPr>
      </w:pPr>
    </w:p>
    <w:p>
      <w:pPr>
        <w:jc w:val="center"/>
        <w:spacing w:after="0" w:line="300" w:lineRule="auto"/>
        <w:rPr>
          <w:sz w:val="20"/>
          <w:szCs w:val="20"/>
          <w:color w:val="auto"/>
        </w:rPr>
      </w:pPr>
      <w:r>
        <w:rPr>
          <w:rFonts w:ascii="Arial" w:cs="Arial" w:eastAsia="Arial" w:hAnsi="Arial"/>
          <w:sz w:val="20"/>
          <w:szCs w:val="20"/>
          <w:color w:val="auto"/>
        </w:rPr>
        <w:t>RTR Exits FY25 with Transformed Balance Sheet, Improved Inventory Position, Robust Product Roadmap, and Higher Customer Satisfaction.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Expects Double-Digit Revenue Growth in FY26 Led By Continued Product and Inventory Experience Improvements</w:t>
      </w:r>
    </w:p>
    <w:p>
      <w:pPr>
        <w:spacing w:after="0" w:line="268" w:lineRule="exact"/>
        <w:rPr>
          <w:sz w:val="20"/>
          <w:szCs w:val="20"/>
          <w:color w:val="auto"/>
        </w:rPr>
      </w:pPr>
    </w:p>
    <w:p>
      <w:pPr>
        <w:jc w:val="both"/>
        <w:spacing w:after="0" w:line="292" w:lineRule="auto"/>
        <w:rPr>
          <w:sz w:val="20"/>
          <w:szCs w:val="20"/>
          <w:color w:val="auto"/>
        </w:rPr>
      </w:pPr>
      <w:r>
        <w:rPr>
          <w:rFonts w:ascii="Arial" w:cs="Arial" w:eastAsia="Arial" w:hAnsi="Arial"/>
          <w:sz w:val="20"/>
          <w:szCs w:val="20"/>
          <w:b w:val="1"/>
          <w:bCs w:val="1"/>
          <w:color w:val="auto"/>
        </w:rPr>
        <w:t xml:space="preserve">NEW YORK, April 14, 2026 </w:t>
      </w:r>
      <w:r>
        <w:rPr>
          <w:rFonts w:ascii="Arial" w:cs="Arial" w:eastAsia="Arial" w:hAnsi="Arial"/>
          <w:sz w:val="20"/>
          <w:szCs w:val="20"/>
          <w:color w:val="auto"/>
        </w:rPr>
        <w:t>- Rent the Runway, Inc. (“Rent the Runway” or "RTR") (NASDAQ: RENT), the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transforming the way women get dressed, today reported financial results for the fiscal quarter and fiscal year 2025 ended January 31, 2026.</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Business Highlights</w:t>
      </w:r>
    </w:p>
    <w:p>
      <w:pPr>
        <w:spacing w:after="0" w:line="256" w:lineRule="exact"/>
        <w:rPr>
          <w:sz w:val="20"/>
          <w:szCs w:val="20"/>
          <w:color w:val="auto"/>
        </w:rPr>
      </w:pPr>
    </w:p>
    <w:p>
      <w:pPr>
        <w:ind w:left="500" w:right="160" w:hanging="492"/>
        <w:spacing w:after="0" w:line="277" w:lineRule="auto"/>
        <w:tabs>
          <w:tab w:leader="none" w:pos="488" w:val="left"/>
        </w:tabs>
        <w:numPr>
          <w:ilvl w:val="0"/>
          <w:numId w:val="2"/>
        </w:numPr>
        <w:rPr>
          <w:rFonts w:ascii="Arial" w:cs="Arial" w:eastAsia="Arial" w:hAnsi="Arial"/>
          <w:sz w:val="20"/>
          <w:szCs w:val="20"/>
          <w:b w:val="1"/>
          <w:bCs w:val="1"/>
          <w:i w:val="1"/>
          <w:iCs w:val="1"/>
          <w:color w:val="auto"/>
        </w:rPr>
      </w:pPr>
      <w:r>
        <w:rPr>
          <w:rFonts w:ascii="Arial" w:cs="Arial" w:eastAsia="Arial" w:hAnsi="Arial"/>
          <w:sz w:val="20"/>
          <w:szCs w:val="20"/>
          <w:b w:val="1"/>
          <w:bCs w:val="1"/>
          <w:color w:val="auto"/>
        </w:rPr>
        <w:t xml:space="preserve">Drove Significant Growth in Active Subscriber Base: </w:t>
      </w:r>
      <w:r>
        <w:rPr>
          <w:rFonts w:ascii="Arial" w:cs="Arial" w:eastAsia="Arial" w:hAnsi="Arial"/>
          <w:sz w:val="20"/>
          <w:szCs w:val="20"/>
          <w:color w:val="auto"/>
        </w:rPr>
        <w:t>Ended Fiscal Year 2025 with 143,796 active subscribers,</w:t>
      </w:r>
      <w:r>
        <w:rPr>
          <w:rFonts w:ascii="Arial" w:cs="Arial" w:eastAsia="Arial" w:hAnsi="Arial"/>
          <w:sz w:val="20"/>
          <w:szCs w:val="20"/>
          <w:b w:val="1"/>
          <w:bCs w:val="1"/>
          <w:color w:val="auto"/>
        </w:rPr>
        <w:t xml:space="preserve"> </w:t>
      </w:r>
      <w:r>
        <w:rPr>
          <w:rFonts w:ascii="Arial" w:cs="Arial" w:eastAsia="Arial" w:hAnsi="Arial"/>
          <w:sz w:val="20"/>
          <w:szCs w:val="20"/>
          <w:color w:val="auto"/>
        </w:rPr>
        <w:t>representing a 20% year-over-year increase. This growth was supported by making our largest ever inventory investment last year, which served as the primary lever to driving substantial improvements in subscriber loyalty.</w:t>
      </w:r>
    </w:p>
    <w:p>
      <w:pPr>
        <w:ind w:left="500" w:right="260" w:hanging="330"/>
        <w:spacing w:after="0" w:line="274" w:lineRule="auto"/>
        <w:tabs>
          <w:tab w:leader="none" w:pos="488" w:val="left"/>
        </w:tabs>
        <w:numPr>
          <w:ilvl w:val="1"/>
          <w:numId w:val="2"/>
        </w:numPr>
        <w:rPr>
          <w:rFonts w:ascii="Arial" w:cs="Arial" w:eastAsia="Arial" w:hAnsi="Arial"/>
          <w:sz w:val="20"/>
          <w:szCs w:val="20"/>
          <w:color w:val="auto"/>
        </w:rPr>
      </w:pPr>
      <w:r>
        <w:rPr>
          <w:rFonts w:ascii="Arial" w:cs="Arial" w:eastAsia="Arial" w:hAnsi="Arial"/>
          <w:sz w:val="20"/>
          <w:szCs w:val="20"/>
          <w:b w:val="1"/>
          <w:bCs w:val="1"/>
          <w:color w:val="auto"/>
        </w:rPr>
        <w:t xml:space="preserve">Record levels of Customer Satisfaction: </w:t>
      </w:r>
      <w:r>
        <w:rPr>
          <w:rFonts w:ascii="Arial" w:cs="Arial" w:eastAsia="Arial" w:hAnsi="Arial"/>
          <w:sz w:val="20"/>
          <w:szCs w:val="20"/>
          <w:color w:val="auto"/>
        </w:rPr>
        <w:t>Achieved 39% year-over-year growth in Subscription Net Promoter Score for</w:t>
      </w:r>
      <w:r>
        <w:rPr>
          <w:rFonts w:ascii="Arial" w:cs="Arial" w:eastAsia="Arial" w:hAnsi="Arial"/>
          <w:sz w:val="20"/>
          <w:szCs w:val="20"/>
          <w:b w:val="1"/>
          <w:bCs w:val="1"/>
          <w:color w:val="auto"/>
        </w:rPr>
        <w:t xml:space="preserve"> </w:t>
      </w:r>
      <w:r>
        <w:rPr>
          <w:rFonts w:ascii="Arial" w:cs="Arial" w:eastAsia="Arial" w:hAnsi="Arial"/>
          <w:sz w:val="20"/>
          <w:szCs w:val="20"/>
          <w:color w:val="auto"/>
        </w:rPr>
        <w:t>fiscal year 2025, which has more than tripled since 2022</w:t>
      </w:r>
    </w:p>
    <w:p>
      <w:pPr>
        <w:spacing w:after="0" w:line="1" w:lineRule="exact"/>
        <w:rPr>
          <w:rFonts w:ascii="Arial" w:cs="Arial" w:eastAsia="Arial" w:hAnsi="Arial"/>
          <w:sz w:val="20"/>
          <w:szCs w:val="20"/>
          <w:color w:val="auto"/>
        </w:rPr>
      </w:pPr>
    </w:p>
    <w:p>
      <w:pPr>
        <w:ind w:left="500" w:right="100" w:hanging="330"/>
        <w:spacing w:after="0" w:line="274" w:lineRule="auto"/>
        <w:tabs>
          <w:tab w:leader="none" w:pos="488" w:val="left"/>
        </w:tabs>
        <w:numPr>
          <w:ilvl w:val="1"/>
          <w:numId w:val="2"/>
        </w:numPr>
        <w:rPr>
          <w:rFonts w:ascii="Arial" w:cs="Arial" w:eastAsia="Arial" w:hAnsi="Arial"/>
          <w:sz w:val="20"/>
          <w:szCs w:val="20"/>
          <w:color w:val="auto"/>
        </w:rPr>
      </w:pPr>
      <w:r>
        <w:rPr>
          <w:rFonts w:ascii="Arial" w:cs="Arial" w:eastAsia="Arial" w:hAnsi="Arial"/>
          <w:sz w:val="20"/>
          <w:szCs w:val="20"/>
          <w:b w:val="1"/>
          <w:bCs w:val="1"/>
          <w:color w:val="auto"/>
        </w:rPr>
        <w:t>Achieved Significant Success in Subscription Add-ons</w:t>
      </w:r>
      <w:r>
        <w:rPr>
          <w:rFonts w:ascii="Arial" w:cs="Arial" w:eastAsia="Arial" w:hAnsi="Arial"/>
          <w:sz w:val="20"/>
          <w:szCs w:val="20"/>
          <w:color w:val="auto"/>
        </w:rPr>
        <w:t>: Q4 2025 add-on revenue grew by 67% year-over-year,</w:t>
      </w:r>
      <w:r>
        <w:rPr>
          <w:rFonts w:ascii="Arial" w:cs="Arial" w:eastAsia="Arial" w:hAnsi="Arial"/>
          <w:sz w:val="20"/>
          <w:szCs w:val="20"/>
          <w:b w:val="1"/>
          <w:bCs w:val="1"/>
          <w:color w:val="auto"/>
        </w:rPr>
        <w:t xml:space="preserve"> </w:t>
      </w:r>
      <w:r>
        <w:rPr>
          <w:rFonts w:ascii="Arial" w:cs="Arial" w:eastAsia="Arial" w:hAnsi="Arial"/>
          <w:sz w:val="20"/>
          <w:szCs w:val="20"/>
          <w:color w:val="auto"/>
        </w:rPr>
        <w:t>increasing from 40% in Q3, 24% in Q2 and 4% in Q1. We’re aiming to expand on this momentum in 2026 to drive higher revenue per subscriber by expanding membership flexibility, giving her more freedom to get the inventory she wants when she wants it and higher cross-sell across our offerings.</w:t>
      </w:r>
    </w:p>
    <w:p>
      <w:pPr>
        <w:spacing w:after="0" w:line="2" w:lineRule="exact"/>
        <w:rPr>
          <w:rFonts w:ascii="Arial" w:cs="Arial" w:eastAsia="Arial" w:hAnsi="Arial"/>
          <w:sz w:val="20"/>
          <w:szCs w:val="20"/>
          <w:color w:val="auto"/>
        </w:rPr>
      </w:pPr>
    </w:p>
    <w:p>
      <w:pPr>
        <w:ind w:left="500" w:right="80" w:hanging="330"/>
        <w:spacing w:after="0" w:line="274" w:lineRule="auto"/>
        <w:tabs>
          <w:tab w:leader="none" w:pos="488" w:val="left"/>
        </w:tabs>
        <w:numPr>
          <w:ilvl w:val="1"/>
          <w:numId w:val="2"/>
        </w:numPr>
        <w:rPr>
          <w:rFonts w:ascii="Arial" w:cs="Arial" w:eastAsia="Arial" w:hAnsi="Arial"/>
          <w:sz w:val="20"/>
          <w:szCs w:val="20"/>
          <w:color w:val="auto"/>
        </w:rPr>
      </w:pPr>
      <w:r>
        <w:rPr>
          <w:rFonts w:ascii="Arial" w:cs="Arial" w:eastAsia="Arial" w:hAnsi="Arial"/>
          <w:sz w:val="20"/>
          <w:szCs w:val="20"/>
          <w:b w:val="1"/>
          <w:bCs w:val="1"/>
          <w:color w:val="auto"/>
        </w:rPr>
        <w:t>Launched RTR Marketplace Pilot</w:t>
      </w:r>
      <w:r>
        <w:rPr>
          <w:rFonts w:ascii="Arial" w:cs="Arial" w:eastAsia="Arial" w:hAnsi="Arial"/>
          <w:sz w:val="20"/>
          <w:szCs w:val="20"/>
          <w:color w:val="auto"/>
        </w:rPr>
        <w:t>: In March 2026, we began testing a highly curated purchase destination for wardrobe</w:t>
      </w:r>
      <w:r>
        <w:rPr>
          <w:rFonts w:ascii="Arial" w:cs="Arial" w:eastAsia="Arial" w:hAnsi="Arial"/>
          <w:sz w:val="20"/>
          <w:szCs w:val="20"/>
          <w:b w:val="1"/>
          <w:bCs w:val="1"/>
          <w:color w:val="auto"/>
        </w:rPr>
        <w:t xml:space="preserve"> </w:t>
      </w:r>
      <w:r>
        <w:rPr>
          <w:rFonts w:ascii="Arial" w:cs="Arial" w:eastAsia="Arial" w:hAnsi="Arial"/>
          <w:sz w:val="20"/>
          <w:szCs w:val="20"/>
          <w:color w:val="auto"/>
        </w:rPr>
        <w:t>essentials—including shoes, beauty, and basics—to a subset of loyal subscribers with the goal to drive order "attach rates." According to a 2025 Customer Survey, 86% of respondents expressed interest in purchasing complementary items from Rent the Runway.</w:t>
      </w:r>
    </w:p>
    <w:p>
      <w:pPr>
        <w:spacing w:after="0" w:line="2" w:lineRule="exact"/>
        <w:rPr>
          <w:rFonts w:ascii="Arial" w:cs="Arial" w:eastAsia="Arial" w:hAnsi="Arial"/>
          <w:sz w:val="20"/>
          <w:szCs w:val="20"/>
          <w:color w:val="auto"/>
        </w:rPr>
      </w:pPr>
    </w:p>
    <w:p>
      <w:pPr>
        <w:ind w:left="500" w:right="120" w:hanging="330"/>
        <w:spacing w:after="0" w:line="283" w:lineRule="auto"/>
        <w:tabs>
          <w:tab w:leader="none" w:pos="488" w:val="left"/>
        </w:tabs>
        <w:numPr>
          <w:ilvl w:val="1"/>
          <w:numId w:val="2"/>
        </w:numPr>
        <w:rPr>
          <w:rFonts w:ascii="Arial" w:cs="Arial" w:eastAsia="Arial" w:hAnsi="Arial"/>
          <w:sz w:val="20"/>
          <w:szCs w:val="20"/>
          <w:color w:val="auto"/>
        </w:rPr>
      </w:pPr>
      <w:r>
        <w:rPr>
          <w:rFonts w:ascii="Arial" w:cs="Arial" w:eastAsia="Arial" w:hAnsi="Arial"/>
          <w:sz w:val="20"/>
          <w:szCs w:val="20"/>
          <w:b w:val="1"/>
          <w:bCs w:val="1"/>
          <w:color w:val="auto"/>
        </w:rPr>
        <w:t>Search and Browsing Experience</w:t>
      </w:r>
      <w:r>
        <w:rPr>
          <w:rFonts w:ascii="Arial" w:cs="Arial" w:eastAsia="Arial" w:hAnsi="Arial"/>
          <w:sz w:val="20"/>
          <w:szCs w:val="20"/>
          <w:color w:val="auto"/>
        </w:rPr>
        <w:t>: We’ve recently launched a series of improvements that make it easier for our</w:t>
      </w:r>
      <w:r>
        <w:rPr>
          <w:rFonts w:ascii="Arial" w:cs="Arial" w:eastAsia="Arial" w:hAnsi="Arial"/>
          <w:sz w:val="20"/>
          <w:szCs w:val="20"/>
          <w:b w:val="1"/>
          <w:bCs w:val="1"/>
          <w:color w:val="auto"/>
        </w:rPr>
        <w:t xml:space="preserve"> </w:t>
      </w:r>
      <w:r>
        <w:rPr>
          <w:rFonts w:ascii="Arial" w:cs="Arial" w:eastAsia="Arial" w:hAnsi="Arial"/>
          <w:sz w:val="20"/>
          <w:szCs w:val="20"/>
          <w:color w:val="auto"/>
        </w:rPr>
        <w:t>customers to find styles to rent. We have a new search algorithm that we launched in February 2026 that has performed approximately 10% better in subscription conversion rate; in December 2025, we launched a new AI-driven similar styles recommendation across our product detail pages (PDPs) and introduced Quick Hearting, a new way of browsing that now powers 28% of her new hearts.</w:t>
      </w:r>
    </w:p>
    <w:p>
      <w:pPr>
        <w:sectPr>
          <w:pgSz w:w="11900" w:h="16838" w:orient="portrait"/>
          <w:cols w:equalWidth="0" w:num="1">
            <w:col w:w="11240"/>
          </w:cols>
          <w:pgMar w:left="320" w:top="1101" w:right="339" w:bottom="1440" w:gutter="0" w:footer="0" w:header="0"/>
        </w:sectPr>
      </w:pPr>
    </w:p>
    <w:bookmarkStart w:id="4" w:name="page5"/>
    <w:bookmarkEnd w:id="4"/>
    <w:p>
      <w:pPr>
        <w:ind w:left="500" w:right="40" w:hanging="330"/>
        <w:spacing w:after="0" w:line="275" w:lineRule="auto"/>
        <w:tabs>
          <w:tab w:leader="none" w:pos="488" w:val="left"/>
        </w:tabs>
        <w:numPr>
          <w:ilvl w:val="0"/>
          <w:numId w:val="3"/>
        </w:numPr>
        <w:rPr>
          <w:rFonts w:ascii="Arial" w:cs="Arial" w:eastAsia="Arial" w:hAnsi="Arial"/>
          <w:sz w:val="20"/>
          <w:szCs w:val="20"/>
          <w:color w:val="auto"/>
        </w:rPr>
      </w:pPr>
      <w:r>
        <w:rPr>
          <w:rFonts w:ascii="Arial" w:cs="Arial" w:eastAsia="Arial" w:hAnsi="Arial"/>
          <w:sz w:val="20"/>
          <w:szCs w:val="20"/>
          <w:b w:val="1"/>
          <w:bCs w:val="1"/>
          <w:color w:val="auto"/>
        </w:rPr>
        <w:t>A Continued Shift to Bold Authenticity in our Marketing Strategy</w:t>
      </w:r>
      <w:r>
        <w:rPr>
          <w:rFonts w:ascii="Arial" w:cs="Arial" w:eastAsia="Arial" w:hAnsi="Arial"/>
          <w:sz w:val="20"/>
          <w:szCs w:val="20"/>
          <w:color w:val="auto"/>
        </w:rPr>
        <w:t>: In 2025 we changed the way we market by leading</w:t>
      </w:r>
      <w:r>
        <w:rPr>
          <w:rFonts w:ascii="Arial" w:cs="Arial" w:eastAsia="Arial" w:hAnsi="Arial"/>
          <w:sz w:val="20"/>
          <w:szCs w:val="20"/>
          <w:b w:val="1"/>
          <w:bCs w:val="1"/>
          <w:color w:val="auto"/>
        </w:rPr>
        <w:t xml:space="preserve"> </w:t>
      </w:r>
      <w:r>
        <w:rPr>
          <w:rFonts w:ascii="Arial" w:cs="Arial" w:eastAsia="Arial" w:hAnsi="Arial"/>
          <w:sz w:val="20"/>
          <w:szCs w:val="20"/>
          <w:color w:val="auto"/>
        </w:rPr>
        <w:t>with our community first, and as of April 2026, we have over 1,900 creators across our community programs. In Q4 2025 our total social audience was up 15% year-over-year and CGC (customer generated content) grew over 3x year-over-year, primarily driven by creator-led content on Instagram and TikTok. Our “Muse” content engine surpassed 13 million impressions in Q4 and has since driven 20 million impressions in February and March 2026 alone. In FY26, we are allocating a portion of our paid media marketing budget to continue to further scale these community-led, organic, word-of-mouth channels.</w:t>
      </w:r>
    </w:p>
    <w:p>
      <w:pPr>
        <w:spacing w:after="0" w:line="4" w:lineRule="exact"/>
        <w:rPr>
          <w:rFonts w:ascii="Arial" w:cs="Arial" w:eastAsia="Arial" w:hAnsi="Arial"/>
          <w:sz w:val="20"/>
          <w:szCs w:val="20"/>
          <w:color w:val="auto"/>
        </w:rPr>
      </w:pPr>
    </w:p>
    <w:p>
      <w:pPr>
        <w:ind w:left="500" w:right="120" w:hanging="330"/>
        <w:spacing w:after="0" w:line="280" w:lineRule="auto"/>
        <w:tabs>
          <w:tab w:leader="none" w:pos="488" w:val="left"/>
        </w:tabs>
        <w:numPr>
          <w:ilvl w:val="0"/>
          <w:numId w:val="3"/>
        </w:numPr>
        <w:rPr>
          <w:rFonts w:ascii="Arial" w:cs="Arial" w:eastAsia="Arial" w:hAnsi="Arial"/>
          <w:sz w:val="20"/>
          <w:szCs w:val="20"/>
          <w:color w:val="auto"/>
        </w:rPr>
      </w:pPr>
      <w:r>
        <w:rPr>
          <w:rFonts w:ascii="Arial" w:cs="Arial" w:eastAsia="Arial" w:hAnsi="Arial"/>
          <w:sz w:val="20"/>
          <w:szCs w:val="20"/>
          <w:b w:val="1"/>
          <w:bCs w:val="1"/>
          <w:color w:val="auto"/>
        </w:rPr>
        <w:t>Investing in AI-Driven Discovery in FY26</w:t>
      </w:r>
      <w:r>
        <w:rPr>
          <w:rFonts w:ascii="Arial" w:cs="Arial" w:eastAsia="Arial" w:hAnsi="Arial"/>
          <w:sz w:val="20"/>
          <w:szCs w:val="20"/>
          <w:color w:val="auto"/>
        </w:rPr>
        <w:t>. We are working to transform the customer experience in 2026 from a</w:t>
      </w:r>
      <w:r>
        <w:rPr>
          <w:rFonts w:ascii="Arial" w:cs="Arial" w:eastAsia="Arial" w:hAnsi="Arial"/>
          <w:sz w:val="20"/>
          <w:szCs w:val="20"/>
          <w:b w:val="1"/>
          <w:bCs w:val="1"/>
          <w:color w:val="auto"/>
        </w:rPr>
        <w:t xml:space="preserve"> </w:t>
      </w:r>
      <w:r>
        <w:rPr>
          <w:rFonts w:ascii="Arial" w:cs="Arial" w:eastAsia="Arial" w:hAnsi="Arial"/>
          <w:sz w:val="20"/>
          <w:szCs w:val="20"/>
          <w:color w:val="auto"/>
        </w:rPr>
        <w:t>traditional e-commerce grid to an AI-powered discovery model. We are focused on building an enhanced discovery platform to allow our customer to better search for inventory by being able to browse in outfit groupings, improve conversational search, and view items in robust PDPs with visual versatility, including seeing the item in motion and in her size. We’re also leaning into Answer Engine Optimization (AEO) and SEO strategies with a goal of ensuring that Rent the Runway is the top destination for discovery online.</w:t>
      </w:r>
    </w:p>
    <w:p>
      <w:pPr>
        <w:spacing w:after="0" w:line="215" w:lineRule="exact"/>
        <w:rPr>
          <w:sz w:val="20"/>
          <w:szCs w:val="20"/>
          <w:color w:val="auto"/>
        </w:rPr>
      </w:pPr>
    </w:p>
    <w:p>
      <w:pPr>
        <w:spacing w:after="0" w:line="280" w:lineRule="auto"/>
        <w:rPr>
          <w:sz w:val="20"/>
          <w:szCs w:val="20"/>
          <w:color w:val="auto"/>
        </w:rPr>
      </w:pPr>
      <w:r>
        <w:rPr>
          <w:rFonts w:ascii="Arial" w:cs="Arial" w:eastAsia="Arial" w:hAnsi="Arial"/>
          <w:sz w:val="20"/>
          <w:szCs w:val="20"/>
          <w:color w:val="auto"/>
        </w:rPr>
        <w:t>Jennifer Hyman, Co-Founder and CEO of Rent the Runway said: "Last year, we made a calculated bet that increasing our inventory investment was the strongest lever to unlock growth. Today, that strategy has paid off, demonstrated by the significant growth in our subscribers in FY25. Having also strengthened our balance sheet through a strategic recapitalization, I believe that we are operating from our strongest financial position in years. As we enter fiscal year 2026, we plan to continue to evolve, revolutionizing the customer experience by leveraging AI technologies and diversifying our revenue through new streams like our online marketplace and B2B services. We are laser-focused on building a durable, multi-faceted platform that defines the future of fashion."</w:t>
      </w:r>
    </w:p>
    <w:p>
      <w:pPr>
        <w:spacing w:after="0" w:line="201" w:lineRule="exact"/>
        <w:rPr>
          <w:sz w:val="20"/>
          <w:szCs w:val="20"/>
          <w:color w:val="auto"/>
        </w:rPr>
      </w:pPr>
    </w:p>
    <w:p>
      <w:pPr>
        <w:ind w:right="800"/>
        <w:spacing w:after="0" w:line="290" w:lineRule="auto"/>
        <w:rPr>
          <w:sz w:val="20"/>
          <w:szCs w:val="20"/>
          <w:color w:val="auto"/>
        </w:rPr>
      </w:pPr>
      <w:r>
        <w:rPr>
          <w:rFonts w:ascii="Arial" w:cs="Arial" w:eastAsia="Arial" w:hAnsi="Arial"/>
          <w:sz w:val="20"/>
          <w:szCs w:val="20"/>
          <w:color w:val="auto"/>
        </w:rPr>
        <w:t>"FY25 was a pivotal year for Rent the Runway with transformational changes in both our balance sheet and customer experience," said Sid Thacker, Chief Financial Officer of Rent the Runway. "We look forward to continuing to delight our customers and to driving sustainable growth in the years ahead."</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Fourth Quarter 2025 Key Metrics and Financial Highlights</w:t>
      </w:r>
    </w:p>
    <w:p>
      <w:pPr>
        <w:spacing w:after="0" w:line="272" w:lineRule="exact"/>
        <w:rPr>
          <w:sz w:val="20"/>
          <w:szCs w:val="20"/>
          <w:color w:val="auto"/>
        </w:rPr>
      </w:pPr>
    </w:p>
    <w:p>
      <w:pPr>
        <w:ind w:left="480" w:hanging="310"/>
        <w:spacing w:after="0"/>
        <w:tabs>
          <w:tab w:leader="none" w:pos="480" w:val="left"/>
        </w:tabs>
        <w:numPr>
          <w:ilvl w:val="0"/>
          <w:numId w:val="4"/>
        </w:numPr>
        <w:rPr>
          <w:rFonts w:ascii="Arial" w:cs="Arial" w:eastAsia="Arial" w:hAnsi="Arial"/>
          <w:sz w:val="20"/>
          <w:szCs w:val="20"/>
          <w:b w:val="1"/>
          <w:bCs w:val="1"/>
          <w:color w:val="auto"/>
        </w:rPr>
      </w:pPr>
      <w:r>
        <w:rPr>
          <w:rFonts w:ascii="Arial" w:cs="Arial" w:eastAsia="Arial" w:hAnsi="Arial"/>
          <w:sz w:val="20"/>
          <w:szCs w:val="20"/>
          <w:color w:val="auto"/>
        </w:rPr>
        <w:t>Revenue was $91.7 million, a 20.0% increase year-over-year from $76.4 million in the fourth quarter of fiscal year 2024.</w:t>
      </w:r>
    </w:p>
    <w:p>
      <w:pPr>
        <w:spacing w:after="0" w:line="41" w:lineRule="exact"/>
        <w:rPr>
          <w:rFonts w:ascii="Arial" w:cs="Arial" w:eastAsia="Arial" w:hAnsi="Arial"/>
          <w:sz w:val="20"/>
          <w:szCs w:val="20"/>
          <w:b w:val="1"/>
          <w:bCs w:val="1"/>
          <w:color w:val="auto"/>
        </w:rPr>
      </w:pPr>
    </w:p>
    <w:p>
      <w:pPr>
        <w:ind w:left="480" w:hanging="310"/>
        <w:spacing w:after="0"/>
        <w:tabs>
          <w:tab w:leader="none" w:pos="480" w:val="left"/>
        </w:tabs>
        <w:numPr>
          <w:ilvl w:val="0"/>
          <w:numId w:val="4"/>
        </w:numPr>
        <w:rPr>
          <w:rFonts w:ascii="Arial" w:cs="Arial" w:eastAsia="Arial" w:hAnsi="Arial"/>
          <w:sz w:val="20"/>
          <w:szCs w:val="20"/>
          <w:b w:val="1"/>
          <w:bCs w:val="1"/>
          <w:color w:val="auto"/>
        </w:rPr>
      </w:pPr>
      <w:r>
        <w:rPr>
          <w:rFonts w:ascii="Arial" w:cs="Arial" w:eastAsia="Arial" w:hAnsi="Arial"/>
          <w:sz w:val="20"/>
          <w:szCs w:val="20"/>
          <w:color w:val="auto"/>
        </w:rPr>
        <w:t>143,796 ending Active Subscribers, representing an increase of 20.1% from 119,778 at the end of the fiscal year 2024.</w:t>
      </w:r>
    </w:p>
    <w:p>
      <w:pPr>
        <w:spacing w:after="0" w:line="40" w:lineRule="exact"/>
        <w:rPr>
          <w:rFonts w:ascii="Arial" w:cs="Arial" w:eastAsia="Arial" w:hAnsi="Arial"/>
          <w:sz w:val="20"/>
          <w:szCs w:val="20"/>
          <w:b w:val="1"/>
          <w:bCs w:val="1"/>
          <w:color w:val="auto"/>
        </w:rPr>
      </w:pPr>
    </w:p>
    <w:p>
      <w:pPr>
        <w:ind w:left="500" w:right="260" w:hanging="330"/>
        <w:spacing w:after="0" w:line="269" w:lineRule="auto"/>
        <w:tabs>
          <w:tab w:leader="none" w:pos="488" w:val="left"/>
        </w:tabs>
        <w:numPr>
          <w:ilvl w:val="0"/>
          <w:numId w:val="4"/>
        </w:numPr>
        <w:rPr>
          <w:rFonts w:ascii="Arial" w:cs="Arial" w:eastAsia="Arial" w:hAnsi="Arial"/>
          <w:sz w:val="20"/>
          <w:szCs w:val="20"/>
          <w:color w:val="auto"/>
        </w:rPr>
      </w:pPr>
      <w:r>
        <w:rPr>
          <w:rFonts w:ascii="Arial" w:cs="Arial" w:eastAsia="Arial" w:hAnsi="Arial"/>
          <w:sz w:val="20"/>
          <w:szCs w:val="20"/>
          <w:color w:val="auto"/>
        </w:rPr>
        <w:t>146,356 Average Active Subscribers, representing an increase of 16.0% from 126,148 at the end of the fourth quarter of fiscal year 2024.</w:t>
      </w:r>
    </w:p>
    <w:p>
      <w:pPr>
        <w:ind w:left="500" w:right="40" w:hanging="330"/>
        <w:spacing w:after="0" w:line="274" w:lineRule="auto"/>
        <w:tabs>
          <w:tab w:leader="none" w:pos="488" w:val="left"/>
        </w:tabs>
        <w:numPr>
          <w:ilvl w:val="0"/>
          <w:numId w:val="4"/>
        </w:numPr>
        <w:rPr>
          <w:rFonts w:ascii="Arial" w:cs="Arial" w:eastAsia="Arial" w:hAnsi="Arial"/>
          <w:sz w:val="20"/>
          <w:szCs w:val="20"/>
          <w:b w:val="1"/>
          <w:bCs w:val="1"/>
          <w:color w:val="auto"/>
        </w:rPr>
      </w:pPr>
      <w:r>
        <w:rPr>
          <w:rFonts w:ascii="Arial" w:cs="Arial" w:eastAsia="Arial" w:hAnsi="Arial"/>
          <w:sz w:val="20"/>
          <w:szCs w:val="20"/>
          <w:color w:val="auto"/>
        </w:rPr>
        <w:t>183,552 ending Total Subscribers, representing an increase of 11.9% from 164,004 at the end of the fourth quarter of fiscal year 2024.</w:t>
      </w:r>
    </w:p>
    <w:p>
      <w:pPr>
        <w:spacing w:after="0" w:line="1" w:lineRule="exact"/>
        <w:rPr>
          <w:rFonts w:ascii="Arial" w:cs="Arial" w:eastAsia="Arial" w:hAnsi="Arial"/>
          <w:sz w:val="20"/>
          <w:szCs w:val="20"/>
          <w:b w:val="1"/>
          <w:bCs w:val="1"/>
          <w:color w:val="auto"/>
        </w:rPr>
      </w:pPr>
    </w:p>
    <w:p>
      <w:pPr>
        <w:ind w:left="500" w:right="120" w:hanging="330"/>
        <w:spacing w:after="0" w:line="274" w:lineRule="auto"/>
        <w:tabs>
          <w:tab w:leader="none" w:pos="488" w:val="left"/>
        </w:tabs>
        <w:numPr>
          <w:ilvl w:val="0"/>
          <w:numId w:val="4"/>
        </w:numPr>
        <w:rPr>
          <w:rFonts w:ascii="Arial" w:cs="Arial" w:eastAsia="Arial" w:hAnsi="Arial"/>
          <w:sz w:val="20"/>
          <w:szCs w:val="20"/>
          <w:b w:val="1"/>
          <w:bCs w:val="1"/>
          <w:color w:val="auto"/>
        </w:rPr>
      </w:pPr>
      <w:r>
        <w:rPr>
          <w:rFonts w:ascii="Arial" w:cs="Arial" w:eastAsia="Arial" w:hAnsi="Arial"/>
          <w:sz w:val="20"/>
          <w:szCs w:val="20"/>
          <w:color w:val="auto"/>
        </w:rPr>
        <w:t>Gross Profit was $35.4 million, representing a change of 22.9% from $28.8 million in the fourth quarter of fiscal year 2024. Gross Margin was 38.6%, as compared to 37.7% in the fourth quarter of fiscal year 2024.</w:t>
      </w:r>
    </w:p>
    <w:p>
      <w:pPr>
        <w:spacing w:after="0" w:line="1" w:lineRule="exact"/>
        <w:rPr>
          <w:rFonts w:ascii="Arial" w:cs="Arial" w:eastAsia="Arial" w:hAnsi="Arial"/>
          <w:sz w:val="20"/>
          <w:szCs w:val="20"/>
          <w:b w:val="1"/>
          <w:bCs w:val="1"/>
          <w:color w:val="auto"/>
        </w:rPr>
      </w:pPr>
    </w:p>
    <w:p>
      <w:pPr>
        <w:ind w:left="500" w:right="220" w:hanging="330"/>
        <w:spacing w:after="0" w:line="338" w:lineRule="auto"/>
        <w:tabs>
          <w:tab w:leader="none" w:pos="488" w:val="left"/>
        </w:tabs>
        <w:numPr>
          <w:ilvl w:val="0"/>
          <w:numId w:val="4"/>
        </w:numPr>
        <w:rPr>
          <w:rFonts w:ascii="Arial" w:cs="Arial" w:eastAsia="Arial" w:hAnsi="Arial"/>
          <w:sz w:val="19"/>
          <w:szCs w:val="19"/>
          <w:b w:val="1"/>
          <w:bCs w:val="1"/>
          <w:color w:val="auto"/>
        </w:rPr>
      </w:pPr>
      <w:r>
        <w:rPr>
          <w:rFonts w:ascii="Arial" w:cs="Arial" w:eastAsia="Arial" w:hAnsi="Arial"/>
          <w:sz w:val="19"/>
          <w:szCs w:val="19"/>
          <w:color w:val="auto"/>
        </w:rPr>
        <w:t>Net Income (Loss) was $(1.4) million, as compared to $(13.4) million in the fourth quarter of fiscal year 2024. Net Income (Loss) as a percentage of revenue was (1.5)%, as compared to (17.5)% in the fourth quarter of fiscal year 2024.</w:t>
      </w:r>
    </w:p>
    <w:p>
      <w:pPr>
        <w:sectPr>
          <w:pgSz w:w="11900" w:h="16838" w:orient="portrait"/>
          <w:cols w:equalWidth="0" w:num="1">
            <w:col w:w="11240"/>
          </w:cols>
          <w:pgMar w:left="320" w:top="1101" w:right="339" w:bottom="1440" w:gutter="0" w:footer="0" w:header="0"/>
        </w:sectPr>
      </w:pPr>
    </w:p>
    <w:bookmarkStart w:id="5" w:name="page6"/>
    <w:bookmarkEnd w:id="5"/>
    <w:p>
      <w:pPr>
        <w:ind w:left="500" w:right="660" w:hanging="330"/>
        <w:spacing w:after="0" w:line="314" w:lineRule="auto"/>
        <w:tabs>
          <w:tab w:leader="none" w:pos="488" w:val="left"/>
        </w:tabs>
        <w:numPr>
          <w:ilvl w:val="0"/>
          <w:numId w:val="5"/>
        </w:numPr>
        <w:rPr>
          <w:rFonts w:ascii="Arial" w:cs="Arial" w:eastAsia="Arial" w:hAnsi="Arial"/>
          <w:sz w:val="20"/>
          <w:szCs w:val="20"/>
          <w:b w:val="1"/>
          <w:bCs w:val="1"/>
          <w:color w:val="auto"/>
        </w:rPr>
      </w:pPr>
      <w:r>
        <w:rPr>
          <w:rFonts w:ascii="Arial" w:cs="Arial" w:eastAsia="Arial" w:hAnsi="Arial"/>
          <w:sz w:val="20"/>
          <w:szCs w:val="20"/>
          <w:color w:val="auto"/>
        </w:rPr>
        <w:t>Adjusted EBITDA was $18.3 million, as compared to $17.4 million in the fourth quarter of fiscal year 2024. Adjusted EBITDA Margin was 20.0%, as compared to 22.8% in the fourth quarter of fiscal year 2024.</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Fiscal Year 2025 Key Metrics and Financial Highlights</w:t>
      </w:r>
    </w:p>
    <w:p>
      <w:pPr>
        <w:spacing w:after="0" w:line="285" w:lineRule="exact"/>
        <w:rPr>
          <w:sz w:val="20"/>
          <w:szCs w:val="20"/>
          <w:color w:val="auto"/>
        </w:rPr>
      </w:pPr>
    </w:p>
    <w:p>
      <w:pPr>
        <w:ind w:left="480" w:hanging="310"/>
        <w:spacing w:after="0"/>
        <w:tabs>
          <w:tab w:leader="none" w:pos="480" w:val="left"/>
        </w:tabs>
        <w:numPr>
          <w:ilvl w:val="0"/>
          <w:numId w:val="6"/>
        </w:numPr>
        <w:rPr>
          <w:rFonts w:ascii="Arial" w:cs="Arial" w:eastAsia="Arial" w:hAnsi="Arial"/>
          <w:sz w:val="20"/>
          <w:szCs w:val="20"/>
          <w:color w:val="auto"/>
        </w:rPr>
      </w:pPr>
      <w:r>
        <w:rPr>
          <w:rFonts w:ascii="Arial" w:cs="Arial" w:eastAsia="Arial" w:hAnsi="Arial"/>
          <w:sz w:val="20"/>
          <w:szCs w:val="20"/>
          <w:color w:val="auto"/>
        </w:rPr>
        <w:t>Revenue was $329.8 million, a 7.7% increase year-over-year from $306.2 million in fiscal year 2024.</w:t>
      </w:r>
    </w:p>
    <w:p>
      <w:pPr>
        <w:spacing w:after="0" w:line="31" w:lineRule="exact"/>
        <w:rPr>
          <w:rFonts w:ascii="Arial" w:cs="Arial" w:eastAsia="Arial" w:hAnsi="Arial"/>
          <w:sz w:val="20"/>
          <w:szCs w:val="20"/>
          <w:color w:val="auto"/>
        </w:rPr>
      </w:pPr>
    </w:p>
    <w:p>
      <w:pPr>
        <w:ind w:left="500" w:right="360" w:hanging="330"/>
        <w:spacing w:after="0" w:line="274" w:lineRule="auto"/>
        <w:tabs>
          <w:tab w:leader="none" w:pos="488" w:val="left"/>
        </w:tabs>
        <w:numPr>
          <w:ilvl w:val="0"/>
          <w:numId w:val="6"/>
        </w:numPr>
        <w:rPr>
          <w:rFonts w:ascii="Arial" w:cs="Arial" w:eastAsia="Arial" w:hAnsi="Arial"/>
          <w:sz w:val="20"/>
          <w:szCs w:val="20"/>
          <w:b w:val="1"/>
          <w:bCs w:val="1"/>
          <w:color w:val="auto"/>
        </w:rPr>
      </w:pPr>
      <w:r>
        <w:rPr>
          <w:rFonts w:ascii="Arial" w:cs="Arial" w:eastAsia="Arial" w:hAnsi="Arial"/>
          <w:sz w:val="20"/>
          <w:szCs w:val="20"/>
          <w:color w:val="auto"/>
        </w:rPr>
        <w:t>143,558 Average Active Subscribers representing an increase of 8.3% year-over-year from 132,574 at the end of fiscal year 2024.</w:t>
      </w:r>
    </w:p>
    <w:p>
      <w:pPr>
        <w:spacing w:after="0" w:line="1" w:lineRule="exact"/>
        <w:rPr>
          <w:rFonts w:ascii="Arial" w:cs="Arial" w:eastAsia="Arial" w:hAnsi="Arial"/>
          <w:sz w:val="20"/>
          <w:szCs w:val="20"/>
          <w:b w:val="1"/>
          <w:bCs w:val="1"/>
          <w:color w:val="auto"/>
        </w:rPr>
      </w:pPr>
    </w:p>
    <w:p>
      <w:pPr>
        <w:ind w:left="500" w:right="320" w:hanging="330"/>
        <w:spacing w:after="0" w:line="274" w:lineRule="auto"/>
        <w:tabs>
          <w:tab w:leader="none" w:pos="488" w:val="left"/>
        </w:tabs>
        <w:numPr>
          <w:ilvl w:val="0"/>
          <w:numId w:val="6"/>
        </w:numPr>
        <w:rPr>
          <w:rFonts w:ascii="Arial" w:cs="Arial" w:eastAsia="Arial" w:hAnsi="Arial"/>
          <w:sz w:val="20"/>
          <w:szCs w:val="20"/>
          <w:color w:val="auto"/>
        </w:rPr>
      </w:pPr>
      <w:r>
        <w:rPr>
          <w:rFonts w:ascii="Arial" w:cs="Arial" w:eastAsia="Arial" w:hAnsi="Arial"/>
          <w:sz w:val="20"/>
          <w:szCs w:val="20"/>
          <w:color w:val="auto"/>
        </w:rPr>
        <w:t>Gross Profit was $107.5 million, representing a change of (7.2)% year-over-year from $115.9 million in fiscal year 2024. Gross Margin was 32.6%, as compared to 37.9% in fiscal year 2024.</w:t>
      </w:r>
    </w:p>
    <w:p>
      <w:pPr>
        <w:spacing w:after="0" w:line="1" w:lineRule="exact"/>
        <w:rPr>
          <w:rFonts w:ascii="Arial" w:cs="Arial" w:eastAsia="Arial" w:hAnsi="Arial"/>
          <w:sz w:val="20"/>
          <w:szCs w:val="20"/>
          <w:color w:val="auto"/>
        </w:rPr>
      </w:pPr>
    </w:p>
    <w:p>
      <w:pPr>
        <w:ind w:left="500" w:right="980" w:hanging="330"/>
        <w:spacing w:after="0" w:line="250" w:lineRule="auto"/>
        <w:tabs>
          <w:tab w:leader="none" w:pos="488" w:val="left"/>
        </w:tabs>
        <w:numPr>
          <w:ilvl w:val="0"/>
          <w:numId w:val="6"/>
        </w:numPr>
        <w:rPr>
          <w:rFonts w:ascii="Arial" w:cs="Arial" w:eastAsia="Arial" w:hAnsi="Arial"/>
          <w:sz w:val="20"/>
          <w:szCs w:val="20"/>
          <w:b w:val="1"/>
          <w:bCs w:val="1"/>
          <w:color w:val="auto"/>
        </w:rPr>
      </w:pPr>
      <w:r>
        <w:rPr>
          <w:rFonts w:ascii="Arial" w:cs="Arial" w:eastAsia="Arial" w:hAnsi="Arial"/>
          <w:sz w:val="20"/>
          <w:szCs w:val="20"/>
          <w:color w:val="auto"/>
        </w:rPr>
        <w:t>Net Income (Loss) was $22.6 million, as compared to $(69.9) million in fiscal year 2024. Net Income (Loss) as a percentage of revenue was 6.9%, as compared to (22.8)% in fiscal year 2024.</w:t>
      </w:r>
      <w:r>
        <w:rPr>
          <w:rFonts w:ascii="Arial" w:cs="Arial" w:eastAsia="Arial" w:hAnsi="Arial"/>
          <w:sz w:val="25"/>
          <w:szCs w:val="25"/>
          <w:color w:val="auto"/>
          <w:vertAlign w:val="superscript"/>
        </w:rPr>
        <w:t>1</w:t>
      </w:r>
    </w:p>
    <w:p>
      <w:pPr>
        <w:ind w:left="500" w:right="60" w:hanging="330"/>
        <w:spacing w:after="0" w:line="267" w:lineRule="auto"/>
        <w:tabs>
          <w:tab w:leader="none" w:pos="488" w:val="left"/>
        </w:tabs>
        <w:numPr>
          <w:ilvl w:val="0"/>
          <w:numId w:val="6"/>
        </w:numPr>
        <w:rPr>
          <w:rFonts w:ascii="Arial" w:cs="Arial" w:eastAsia="Arial" w:hAnsi="Arial"/>
          <w:sz w:val="20"/>
          <w:szCs w:val="20"/>
          <w:b w:val="1"/>
          <w:bCs w:val="1"/>
          <w:color w:val="auto"/>
        </w:rPr>
      </w:pPr>
      <w:r>
        <w:rPr>
          <w:rFonts w:ascii="Arial" w:cs="Arial" w:eastAsia="Arial" w:hAnsi="Arial"/>
          <w:sz w:val="20"/>
          <w:szCs w:val="20"/>
          <w:color w:val="auto"/>
        </w:rPr>
        <w:t>Adjusted EBITDA was $24.9 million, as compared to $46.9 million in fiscal year 2024. Adjusted EBITDA Margin was 7.6%, as compared to 15.3% in fiscal year 2024.</w:t>
      </w:r>
    </w:p>
    <w:p>
      <w:pPr>
        <w:spacing w:after="0" w:line="1" w:lineRule="exact"/>
        <w:rPr>
          <w:rFonts w:ascii="Arial" w:cs="Arial" w:eastAsia="Arial" w:hAnsi="Arial"/>
          <w:sz w:val="20"/>
          <w:szCs w:val="20"/>
          <w:b w:val="1"/>
          <w:bCs w:val="1"/>
          <w:color w:val="auto"/>
        </w:rPr>
      </w:pPr>
    </w:p>
    <w:p>
      <w:pPr>
        <w:ind w:left="500" w:right="240" w:hanging="330"/>
        <w:spacing w:after="0" w:line="274" w:lineRule="auto"/>
        <w:tabs>
          <w:tab w:leader="none" w:pos="488" w:val="left"/>
        </w:tabs>
        <w:numPr>
          <w:ilvl w:val="0"/>
          <w:numId w:val="6"/>
        </w:numPr>
        <w:rPr>
          <w:rFonts w:ascii="Arial" w:cs="Arial" w:eastAsia="Arial" w:hAnsi="Arial"/>
          <w:sz w:val="20"/>
          <w:szCs w:val="20"/>
          <w:color w:val="auto"/>
        </w:rPr>
      </w:pPr>
      <w:r>
        <w:rPr>
          <w:rFonts w:ascii="Arial" w:cs="Arial" w:eastAsia="Arial" w:hAnsi="Arial"/>
          <w:sz w:val="20"/>
          <w:szCs w:val="20"/>
          <w:color w:val="auto"/>
        </w:rPr>
        <w:t>Net cash provided by (used in) operating activities was $3.5 million for fiscal year 2025, as compared to $12.9 million for fiscal year 2024.</w:t>
      </w:r>
    </w:p>
    <w:p>
      <w:pPr>
        <w:spacing w:after="0" w:line="1" w:lineRule="exact"/>
        <w:rPr>
          <w:rFonts w:ascii="Arial" w:cs="Arial" w:eastAsia="Arial" w:hAnsi="Arial"/>
          <w:sz w:val="20"/>
          <w:szCs w:val="20"/>
          <w:color w:val="auto"/>
        </w:rPr>
      </w:pPr>
    </w:p>
    <w:p>
      <w:pPr>
        <w:ind w:left="500" w:hanging="330"/>
        <w:spacing w:after="0" w:line="274" w:lineRule="auto"/>
        <w:tabs>
          <w:tab w:leader="none" w:pos="488" w:val="left"/>
        </w:tabs>
        <w:numPr>
          <w:ilvl w:val="0"/>
          <w:numId w:val="6"/>
        </w:numPr>
        <w:rPr>
          <w:rFonts w:ascii="Arial" w:cs="Arial" w:eastAsia="Arial" w:hAnsi="Arial"/>
          <w:sz w:val="20"/>
          <w:szCs w:val="20"/>
          <w:color w:val="auto"/>
        </w:rPr>
      </w:pPr>
      <w:r>
        <w:rPr>
          <w:rFonts w:ascii="Arial" w:cs="Arial" w:eastAsia="Arial" w:hAnsi="Arial"/>
          <w:sz w:val="20"/>
          <w:szCs w:val="20"/>
          <w:color w:val="auto"/>
        </w:rPr>
        <w:t>Net cash provided by (used in) operating activities as a percentage of revenue was 1.1% for fiscal year 2025, as compared to 4.2% for fiscal year 2024.</w:t>
      </w:r>
    </w:p>
    <w:p>
      <w:pPr>
        <w:spacing w:after="0" w:line="1" w:lineRule="exact"/>
        <w:rPr>
          <w:rFonts w:ascii="Arial" w:cs="Arial" w:eastAsia="Arial" w:hAnsi="Arial"/>
          <w:sz w:val="20"/>
          <w:szCs w:val="20"/>
          <w:color w:val="auto"/>
        </w:rPr>
      </w:pPr>
    </w:p>
    <w:p>
      <w:pPr>
        <w:ind w:left="500" w:right="180" w:hanging="330"/>
        <w:spacing w:after="0" w:line="274" w:lineRule="auto"/>
        <w:tabs>
          <w:tab w:leader="none" w:pos="488" w:val="left"/>
        </w:tabs>
        <w:numPr>
          <w:ilvl w:val="0"/>
          <w:numId w:val="6"/>
        </w:numPr>
        <w:rPr>
          <w:rFonts w:ascii="Arial" w:cs="Arial" w:eastAsia="Arial" w:hAnsi="Arial"/>
          <w:sz w:val="20"/>
          <w:szCs w:val="20"/>
          <w:color w:val="auto"/>
        </w:rPr>
      </w:pPr>
      <w:r>
        <w:rPr>
          <w:rFonts w:ascii="Arial" w:cs="Arial" w:eastAsia="Arial" w:hAnsi="Arial"/>
          <w:sz w:val="20"/>
          <w:szCs w:val="20"/>
          <w:color w:val="auto"/>
        </w:rPr>
        <w:t>Net cash used in investing activities was $(49.5) million for fiscal year 2025, as compared to $(20.1) million for fiscal year 2024.</w:t>
      </w:r>
    </w:p>
    <w:p>
      <w:pPr>
        <w:spacing w:after="0" w:line="1" w:lineRule="exact"/>
        <w:rPr>
          <w:rFonts w:ascii="Arial" w:cs="Arial" w:eastAsia="Arial" w:hAnsi="Arial"/>
          <w:sz w:val="20"/>
          <w:szCs w:val="20"/>
          <w:color w:val="auto"/>
        </w:rPr>
      </w:pPr>
    </w:p>
    <w:p>
      <w:pPr>
        <w:ind w:left="500" w:right="200" w:hanging="330"/>
        <w:spacing w:after="0" w:line="274" w:lineRule="auto"/>
        <w:tabs>
          <w:tab w:leader="none" w:pos="488" w:val="left"/>
        </w:tabs>
        <w:numPr>
          <w:ilvl w:val="0"/>
          <w:numId w:val="6"/>
        </w:numPr>
        <w:rPr>
          <w:rFonts w:ascii="Arial" w:cs="Arial" w:eastAsia="Arial" w:hAnsi="Arial"/>
          <w:sz w:val="20"/>
          <w:szCs w:val="20"/>
          <w:color w:val="auto"/>
        </w:rPr>
      </w:pPr>
      <w:r>
        <w:rPr>
          <w:rFonts w:ascii="Arial" w:cs="Arial" w:eastAsia="Arial" w:hAnsi="Arial"/>
          <w:sz w:val="20"/>
          <w:szCs w:val="20"/>
          <w:color w:val="auto"/>
        </w:rPr>
        <w:t xml:space="preserve">Net cash used in investing activities as a percentage of revenue was (15.0)% for fiscal year </w:t>
      </w:r>
      <w:r>
        <w:rPr>
          <w:rFonts w:ascii="Arial" w:cs="Arial" w:eastAsia="Arial" w:hAnsi="Arial"/>
          <w:sz w:val="17"/>
          <w:szCs w:val="17"/>
          <w:color w:val="auto"/>
        </w:rPr>
        <w:t>2025</w:t>
      </w:r>
      <w:r>
        <w:rPr>
          <w:rFonts w:ascii="Arial" w:cs="Arial" w:eastAsia="Arial" w:hAnsi="Arial"/>
          <w:sz w:val="20"/>
          <w:szCs w:val="20"/>
          <w:color w:val="auto"/>
        </w:rPr>
        <w:t>, as compared to (6.6)% for fiscal year 2024.</w:t>
      </w:r>
    </w:p>
    <w:p>
      <w:pPr>
        <w:spacing w:after="0" w:line="1" w:lineRule="exact"/>
        <w:rPr>
          <w:rFonts w:ascii="Arial" w:cs="Arial" w:eastAsia="Arial" w:hAnsi="Arial"/>
          <w:sz w:val="20"/>
          <w:szCs w:val="20"/>
          <w:color w:val="auto"/>
        </w:rPr>
      </w:pPr>
    </w:p>
    <w:p>
      <w:pPr>
        <w:ind w:left="480" w:hanging="310"/>
        <w:spacing w:after="0"/>
        <w:tabs>
          <w:tab w:leader="none" w:pos="480" w:val="left"/>
        </w:tabs>
        <w:numPr>
          <w:ilvl w:val="0"/>
          <w:numId w:val="6"/>
        </w:numPr>
        <w:rPr>
          <w:rFonts w:ascii="Arial" w:cs="Arial" w:eastAsia="Arial" w:hAnsi="Arial"/>
          <w:sz w:val="20"/>
          <w:szCs w:val="20"/>
          <w:color w:val="auto"/>
        </w:rPr>
      </w:pPr>
      <w:r>
        <w:rPr>
          <w:rFonts w:ascii="Arial" w:cs="Arial" w:eastAsia="Arial" w:hAnsi="Arial"/>
          <w:sz w:val="20"/>
          <w:szCs w:val="20"/>
          <w:color w:val="auto"/>
        </w:rPr>
        <w:t>As of January 31, 2026, cash and cash equivalents was $50.4 million.</w:t>
      </w: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Outlook</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For fiscal year 2026, Rent the Runway expects:</w:t>
      </w:r>
    </w:p>
    <w:p>
      <w:pPr>
        <w:spacing w:after="0" w:line="40" w:lineRule="exact"/>
        <w:rPr>
          <w:sz w:val="20"/>
          <w:szCs w:val="20"/>
          <w:color w:val="auto"/>
        </w:rPr>
      </w:pPr>
    </w:p>
    <w:p>
      <w:pPr>
        <w:ind w:left="500" w:right="700" w:hanging="330"/>
        <w:spacing w:after="0" w:line="270" w:lineRule="auto"/>
        <w:tabs>
          <w:tab w:leader="none" w:pos="488" w:val="left"/>
        </w:tabs>
        <w:numPr>
          <w:ilvl w:val="0"/>
          <w:numId w:val="7"/>
        </w:numPr>
        <w:rPr>
          <w:rFonts w:ascii="Arial" w:cs="Arial" w:eastAsia="Arial" w:hAnsi="Arial"/>
          <w:sz w:val="20"/>
          <w:szCs w:val="20"/>
          <w:color w:val="auto"/>
        </w:rPr>
      </w:pPr>
      <w:r>
        <w:rPr>
          <w:rFonts w:ascii="Arial" w:cs="Arial" w:eastAsia="Arial" w:hAnsi="Arial"/>
          <w:sz w:val="20"/>
          <w:szCs w:val="20"/>
          <w:color w:val="auto"/>
        </w:rPr>
        <w:t>Double-Digit Revenue Growth versus fiscal year 2025, led primarily by continued product and inventory experience improvements.</w:t>
      </w:r>
    </w:p>
    <w:p>
      <w:pPr>
        <w:ind w:left="480" w:hanging="310"/>
        <w:spacing w:after="0" w:line="236" w:lineRule="auto"/>
        <w:tabs>
          <w:tab w:leader="none" w:pos="480" w:val="left"/>
        </w:tabs>
        <w:numPr>
          <w:ilvl w:val="0"/>
          <w:numId w:val="7"/>
        </w:numPr>
        <w:rPr>
          <w:rFonts w:ascii="Arial" w:cs="Arial" w:eastAsia="Arial" w:hAnsi="Arial"/>
          <w:sz w:val="20"/>
          <w:szCs w:val="20"/>
          <w:color w:val="auto"/>
        </w:rPr>
      </w:pPr>
      <w:r>
        <w:rPr>
          <w:rFonts w:ascii="Arial" w:cs="Arial" w:eastAsia="Arial" w:hAnsi="Arial"/>
          <w:sz w:val="20"/>
          <w:szCs w:val="20"/>
          <w:color w:val="auto"/>
        </w:rPr>
        <w:t>Adjusted EBITDA Margin</w:t>
      </w:r>
      <w:r>
        <w:rPr>
          <w:rFonts w:ascii="Arial" w:cs="Arial" w:eastAsia="Arial" w:hAnsi="Arial"/>
          <w:sz w:val="25"/>
          <w:szCs w:val="25"/>
          <w:color w:val="auto"/>
          <w:vertAlign w:val="superscript"/>
        </w:rPr>
        <w:t>2</w:t>
      </w:r>
      <w:r>
        <w:rPr>
          <w:rFonts w:ascii="Arial" w:cs="Arial" w:eastAsia="Arial" w:hAnsi="Arial"/>
          <w:sz w:val="20"/>
          <w:szCs w:val="20"/>
          <w:color w:val="auto"/>
        </w:rPr>
        <w:t xml:space="preserve"> of between 4% and 7%</w:t>
      </w:r>
    </w:p>
    <w:p>
      <w:pPr>
        <w:ind w:left="480" w:hanging="310"/>
        <w:spacing w:after="0"/>
        <w:tabs>
          <w:tab w:leader="none" w:pos="480" w:val="left"/>
        </w:tabs>
        <w:numPr>
          <w:ilvl w:val="0"/>
          <w:numId w:val="7"/>
        </w:numPr>
        <w:rPr>
          <w:rFonts w:ascii="Arial" w:cs="Arial" w:eastAsia="Arial" w:hAnsi="Arial"/>
          <w:sz w:val="20"/>
          <w:szCs w:val="20"/>
          <w:color w:val="auto"/>
        </w:rPr>
      </w:pPr>
      <w:r>
        <w:rPr>
          <w:rFonts w:ascii="Arial" w:cs="Arial" w:eastAsia="Arial" w:hAnsi="Arial"/>
          <w:sz w:val="20"/>
          <w:szCs w:val="20"/>
          <w:color w:val="auto"/>
        </w:rPr>
        <w:t>Rental Product Acquired</w:t>
      </w:r>
      <w:r>
        <w:rPr>
          <w:rFonts w:ascii="Arial" w:cs="Arial" w:eastAsia="Arial" w:hAnsi="Arial"/>
          <w:sz w:val="25"/>
          <w:szCs w:val="25"/>
          <w:color w:val="auto"/>
          <w:vertAlign w:val="superscript"/>
        </w:rPr>
        <w:t>3</w:t>
      </w:r>
      <w:r>
        <w:rPr>
          <w:rFonts w:ascii="Arial" w:cs="Arial" w:eastAsia="Arial" w:hAnsi="Arial"/>
          <w:sz w:val="20"/>
          <w:szCs w:val="20"/>
          <w:color w:val="auto"/>
        </w:rPr>
        <w:t xml:space="preserve"> of between $45 million and $50 million versus $74.9 million in fiscal year 2025.</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For the fiscal first quarter of 2026, Rent the Runway expects:</w:t>
      </w:r>
    </w:p>
    <w:p>
      <w:pPr>
        <w:spacing w:after="0" w:line="31" w:lineRule="exact"/>
        <w:rPr>
          <w:sz w:val="20"/>
          <w:szCs w:val="20"/>
          <w:color w:val="auto"/>
        </w:rPr>
      </w:pPr>
    </w:p>
    <w:p>
      <w:pPr>
        <w:ind w:left="480" w:hanging="310"/>
        <w:spacing w:after="0"/>
        <w:tabs>
          <w:tab w:leader="none" w:pos="480" w:val="left"/>
        </w:tabs>
        <w:numPr>
          <w:ilvl w:val="0"/>
          <w:numId w:val="8"/>
        </w:numPr>
        <w:rPr>
          <w:rFonts w:ascii="Arial" w:cs="Arial" w:eastAsia="Arial" w:hAnsi="Arial"/>
          <w:sz w:val="20"/>
          <w:szCs w:val="20"/>
          <w:color w:val="auto"/>
        </w:rPr>
      </w:pPr>
      <w:r>
        <w:rPr>
          <w:rFonts w:ascii="Arial" w:cs="Arial" w:eastAsia="Arial" w:hAnsi="Arial"/>
          <w:sz w:val="20"/>
          <w:szCs w:val="20"/>
          <w:color w:val="auto"/>
        </w:rPr>
        <w:t>Revenue of between $85 million and $87 million</w:t>
      </w:r>
    </w:p>
    <w:p>
      <w:pPr>
        <w:spacing w:after="0" w:line="26" w:lineRule="exact"/>
        <w:rPr>
          <w:rFonts w:ascii="Arial" w:cs="Arial" w:eastAsia="Arial" w:hAnsi="Arial"/>
          <w:sz w:val="20"/>
          <w:szCs w:val="20"/>
          <w:color w:val="auto"/>
        </w:rPr>
      </w:pPr>
    </w:p>
    <w:p>
      <w:pPr>
        <w:ind w:left="480" w:hanging="310"/>
        <w:spacing w:after="0"/>
        <w:tabs>
          <w:tab w:leader="none" w:pos="480" w:val="left"/>
        </w:tabs>
        <w:numPr>
          <w:ilvl w:val="0"/>
          <w:numId w:val="8"/>
        </w:numPr>
        <w:rPr>
          <w:rFonts w:ascii="Arial" w:cs="Arial" w:eastAsia="Arial" w:hAnsi="Arial"/>
          <w:sz w:val="20"/>
          <w:szCs w:val="20"/>
          <w:color w:val="auto"/>
        </w:rPr>
      </w:pPr>
      <w:r>
        <w:rPr>
          <w:rFonts w:ascii="Arial" w:cs="Arial" w:eastAsia="Arial" w:hAnsi="Arial"/>
          <w:sz w:val="20"/>
          <w:szCs w:val="20"/>
          <w:color w:val="auto"/>
        </w:rPr>
        <w:t>Adjusted EBITDA Margin</w:t>
      </w:r>
      <w:r>
        <w:rPr>
          <w:rFonts w:ascii="Arial" w:cs="Arial" w:eastAsia="Arial" w:hAnsi="Arial"/>
          <w:sz w:val="25"/>
          <w:szCs w:val="25"/>
          <w:color w:val="auto"/>
          <w:vertAlign w:val="superscript"/>
        </w:rPr>
        <w:t>4</w:t>
      </w:r>
      <w:r>
        <w:rPr>
          <w:rFonts w:ascii="Arial" w:cs="Arial" w:eastAsia="Arial" w:hAnsi="Arial"/>
          <w:sz w:val="20"/>
          <w:szCs w:val="20"/>
          <w:color w:val="auto"/>
        </w:rPr>
        <w:t xml:space="preserve"> of between -5% and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17145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100" w:hanging="92"/>
        <w:spacing w:after="0"/>
        <w:tabs>
          <w:tab w:leader="none" w:pos="100" w:val="left"/>
        </w:tabs>
        <w:numPr>
          <w:ilvl w:val="0"/>
          <w:numId w:val="9"/>
        </w:numPr>
        <w:rPr>
          <w:rFonts w:ascii="Arial" w:cs="Arial" w:eastAsia="Arial" w:hAnsi="Arial"/>
          <w:sz w:val="9"/>
          <w:szCs w:val="9"/>
          <w:color w:val="auto"/>
        </w:rPr>
      </w:pPr>
      <w:r>
        <w:rPr>
          <w:rFonts w:ascii="Arial" w:cs="Arial" w:eastAsia="Arial" w:hAnsi="Arial"/>
          <w:sz w:val="14"/>
          <w:szCs w:val="14"/>
          <w:color w:val="auto"/>
        </w:rPr>
        <w:t>Net Income for fiscal year 2025 includes a $96.3M Gain on Debt Restructuring as a result of the recapitalization.</w:t>
      </w:r>
    </w:p>
    <w:p>
      <w:pPr>
        <w:spacing w:after="0" w:line="15" w:lineRule="exact"/>
        <w:rPr>
          <w:sz w:val="20"/>
          <w:szCs w:val="20"/>
          <w:color w:val="auto"/>
        </w:rPr>
      </w:pPr>
    </w:p>
    <w:p>
      <w:pPr>
        <w:ind w:right="100" w:firstLine="8"/>
        <w:spacing w:after="0" w:line="241" w:lineRule="auto"/>
        <w:tabs>
          <w:tab w:leader="none" w:pos="92" w:val="left"/>
        </w:tabs>
        <w:numPr>
          <w:ilvl w:val="0"/>
          <w:numId w:val="10"/>
        </w:numPr>
        <w:rPr>
          <w:rFonts w:ascii="Arial" w:cs="Arial" w:eastAsia="Arial" w:hAnsi="Arial"/>
          <w:sz w:val="9"/>
          <w:szCs w:val="9"/>
          <w:color w:val="auto"/>
        </w:rPr>
      </w:pPr>
      <w:r>
        <w:rPr>
          <w:rFonts w:ascii="Arial" w:cs="Arial" w:eastAsia="Arial" w:hAnsi="Arial"/>
          <w:sz w:val="14"/>
          <w:szCs w:val="14"/>
          <w:color w:val="auto"/>
        </w:rPr>
        <w:t>Represents a non-GAAP financial measure. As more fully described in the Non-GAAP Financial Measures section of this release, a reconciliation of Adjusted EBITDA Margin for fiscal year 2026 is not available without unreasonable efforts.</w:t>
      </w:r>
    </w:p>
    <w:p>
      <w:pPr>
        <w:ind w:right="40"/>
        <w:spacing w:after="0" w:line="252" w:lineRule="auto"/>
        <w:rPr>
          <w:rFonts w:ascii="Arial" w:cs="Arial" w:eastAsia="Arial" w:hAnsi="Arial"/>
          <w:sz w:val="9"/>
          <w:szCs w:val="9"/>
          <w:color w:val="auto"/>
        </w:rPr>
      </w:pPr>
      <w:r>
        <w:rPr>
          <w:rFonts w:ascii="Arial" w:cs="Arial" w:eastAsia="Arial" w:hAnsi="Arial"/>
          <w:sz w:val="9"/>
          <w:szCs w:val="9"/>
          <w:color w:val="auto"/>
        </w:rPr>
        <w:t xml:space="preserve">3 </w:t>
      </w:r>
      <w:r>
        <w:rPr>
          <w:rFonts w:ascii="Arial" w:cs="Arial" w:eastAsia="Arial" w:hAnsi="Arial"/>
          <w:sz w:val="14"/>
          <w:szCs w:val="14"/>
          <w:color w:val="auto"/>
        </w:rPr>
        <w:t>Purchases of Rental Product as presented on the Consolidated Statement of Cash Flows may vary from Rental Product Acquired due to timing of payments for rental product.</w:t>
      </w:r>
      <w:r>
        <w:rPr>
          <w:rFonts w:ascii="Arial" w:cs="Arial" w:eastAsia="Arial" w:hAnsi="Arial"/>
          <w:sz w:val="9"/>
          <w:szCs w:val="9"/>
          <w:color w:val="auto"/>
        </w:rPr>
        <w:t xml:space="preserve"> </w:t>
      </w:r>
      <w:r>
        <w:rPr>
          <w:rFonts w:ascii="Arial" w:cs="Arial" w:eastAsia="Arial" w:hAnsi="Arial"/>
          <w:sz w:val="14"/>
          <w:szCs w:val="14"/>
          <w:color w:val="auto"/>
        </w:rPr>
        <w:t>Rental Product Acquired reflects the cost of owned rental product received in the period.</w:t>
      </w:r>
    </w:p>
    <w:p>
      <w:pPr>
        <w:ind w:right="100"/>
        <w:spacing w:after="0" w:line="323" w:lineRule="auto"/>
        <w:rPr>
          <w:rFonts w:ascii="Arial" w:cs="Arial" w:eastAsia="Arial" w:hAnsi="Arial"/>
          <w:sz w:val="9"/>
          <w:szCs w:val="9"/>
          <w:color w:val="auto"/>
        </w:rPr>
      </w:pPr>
      <w:r>
        <w:rPr>
          <w:rFonts w:ascii="Arial" w:cs="Arial" w:eastAsia="Arial" w:hAnsi="Arial"/>
          <w:sz w:val="9"/>
          <w:szCs w:val="9"/>
          <w:color w:val="auto"/>
        </w:rPr>
        <w:t xml:space="preserve">4 </w:t>
      </w:r>
      <w:r>
        <w:rPr>
          <w:rFonts w:ascii="Arial" w:cs="Arial" w:eastAsia="Arial" w:hAnsi="Arial"/>
          <w:sz w:val="14"/>
          <w:szCs w:val="14"/>
          <w:color w:val="auto"/>
        </w:rPr>
        <w:t>Represents a non-GAAP financial measure. As more fully described in the Non-GAAP Financial Measures section of this release, a reconciliation of Adjusted EBITDA Margin</w:t>
      </w:r>
      <w:r>
        <w:rPr>
          <w:rFonts w:ascii="Arial" w:cs="Arial" w:eastAsia="Arial" w:hAnsi="Arial"/>
          <w:sz w:val="9"/>
          <w:szCs w:val="9"/>
          <w:color w:val="auto"/>
        </w:rPr>
        <w:t xml:space="preserve"> </w:t>
      </w:r>
      <w:r>
        <w:rPr>
          <w:rFonts w:ascii="Arial" w:cs="Arial" w:eastAsia="Arial" w:hAnsi="Arial"/>
          <w:sz w:val="14"/>
          <w:szCs w:val="14"/>
          <w:color w:val="auto"/>
        </w:rPr>
        <w:t>for the first quarter of fiscal year 2026 is not available without unreasonable efforts.</w:t>
      </w:r>
    </w:p>
    <w:p>
      <w:pPr>
        <w:sectPr>
          <w:pgSz w:w="11900" w:h="16838" w:orient="portrait"/>
          <w:cols w:equalWidth="0" w:num="1">
            <w:col w:w="11220"/>
          </w:cols>
          <w:pgMar w:left="320" w:top="1103" w:right="359" w:bottom="1440" w:gutter="0" w:footer="0" w:header="0"/>
        </w:sectPr>
      </w:pPr>
    </w:p>
    <w:bookmarkStart w:id="6" w:name="page7"/>
    <w:bookmarkEnd w:id="6"/>
    <w:p>
      <w:pPr>
        <w:spacing w:after="0" w:line="290" w:lineRule="auto"/>
        <w:rPr>
          <w:sz w:val="20"/>
          <w:szCs w:val="20"/>
          <w:color w:val="auto"/>
        </w:rPr>
      </w:pPr>
      <w:r>
        <w:rPr>
          <w:rFonts w:ascii="Arial" w:cs="Arial" w:eastAsia="Arial" w:hAnsi="Arial"/>
          <w:sz w:val="20"/>
          <w:szCs w:val="20"/>
          <w:color w:val="auto"/>
        </w:rPr>
        <w:t>There are unknowns around the economy, such as fuel surcharges, tariffs, and other macroeconomic developments, which are not incorporated into our expectations and that can materially affect actual results for fiscal year 2026 versus our current expectations.</w:t>
      </w:r>
    </w:p>
    <w:p>
      <w:pPr>
        <w:spacing w:after="0" w:line="206" w:lineRule="exact"/>
        <w:rPr>
          <w:sz w:val="20"/>
          <w:szCs w:val="20"/>
          <w:color w:val="auto"/>
        </w:rPr>
      </w:pPr>
    </w:p>
    <w:p>
      <w:pPr>
        <w:ind w:right="340"/>
        <w:spacing w:after="0" w:line="300" w:lineRule="auto"/>
        <w:rPr>
          <w:sz w:val="20"/>
          <w:szCs w:val="20"/>
          <w:color w:val="auto"/>
        </w:rPr>
      </w:pPr>
      <w:r>
        <w:rPr>
          <w:rFonts w:ascii="Arial" w:cs="Arial" w:eastAsia="Arial" w:hAnsi="Arial"/>
          <w:sz w:val="20"/>
          <w:szCs w:val="20"/>
          <w:color w:val="auto"/>
        </w:rPr>
        <w:t>Please see our fourth quarter 2025 earnings presentation at https://investors.renttherunway.com/ under the “Presentations” section for supplemental guidance.</w:t>
      </w:r>
    </w:p>
    <w:p>
      <w:pPr>
        <w:sectPr>
          <w:pgSz w:w="11900" w:h="16838" w:orient="portrait"/>
          <w:cols w:equalWidth="0" w:num="1">
            <w:col w:w="11080"/>
          </w:cols>
          <w:pgMar w:left="320" w:top="1103" w:right="49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color w:val="auto"/>
        </w:rPr>
        <w:t>Earnings Presentation, Conference Call and Webcast</w:t>
      </w:r>
    </w:p>
    <w:p>
      <w:pPr>
        <w:spacing w:after="0" w:line="272" w:lineRule="exact"/>
        <w:rPr>
          <w:sz w:val="20"/>
          <w:szCs w:val="20"/>
          <w:color w:val="auto"/>
        </w:rPr>
      </w:pPr>
    </w:p>
    <w:p>
      <w:pPr>
        <w:spacing w:after="0" w:line="271" w:lineRule="auto"/>
        <w:rPr>
          <w:sz w:val="20"/>
          <w:szCs w:val="20"/>
          <w:color w:val="auto"/>
        </w:rPr>
      </w:pPr>
      <w:r>
        <w:rPr>
          <w:rFonts w:ascii="Arial" w:cs="Arial" w:eastAsia="Arial" w:hAnsi="Arial"/>
          <w:sz w:val="20"/>
          <w:szCs w:val="20"/>
          <w:color w:val="auto"/>
        </w:rPr>
        <w:t>The fourth quarter and fiscal year 2025 Earnings Presentation is now accessible through the Investor Relations section of Rent the Runway’s website at https://investors.renttherunway.com/ under the “Presentations” section.</w:t>
      </w:r>
    </w:p>
    <w:p>
      <w:pPr>
        <w:spacing w:after="0" w:line="183" w:lineRule="exact"/>
        <w:rPr>
          <w:sz w:val="20"/>
          <w:szCs w:val="20"/>
          <w:color w:val="auto"/>
        </w:rPr>
      </w:pPr>
    </w:p>
    <w:p>
      <w:pPr>
        <w:ind w:right="180"/>
        <w:spacing w:after="0" w:line="300" w:lineRule="auto"/>
        <w:rPr>
          <w:sz w:val="20"/>
          <w:szCs w:val="20"/>
          <w:color w:val="auto"/>
        </w:rPr>
      </w:pPr>
      <w:r>
        <w:rPr>
          <w:rFonts w:ascii="Arial" w:cs="Arial" w:eastAsia="Arial" w:hAnsi="Arial"/>
          <w:sz w:val="20"/>
          <w:szCs w:val="20"/>
          <w:color w:val="auto"/>
        </w:rPr>
        <w:t>Rent the Runway will host a conference call and webcast to discuss its fourth quarter and fiscal year 2025 financial results and provide a business update today, April 14, 2026, at 8:30 am ET.</w:t>
      </w:r>
    </w:p>
    <w:p>
      <w:pPr>
        <w:spacing w:after="0" w:line="195" w:lineRule="exact"/>
        <w:rPr>
          <w:sz w:val="20"/>
          <w:szCs w:val="20"/>
          <w:color w:val="auto"/>
        </w:rPr>
      </w:pPr>
    </w:p>
    <w:p>
      <w:pPr>
        <w:ind w:right="120"/>
        <w:spacing w:after="0" w:line="290" w:lineRule="auto"/>
        <w:rPr>
          <w:sz w:val="20"/>
          <w:szCs w:val="20"/>
          <w:color w:val="auto"/>
        </w:rPr>
      </w:pPr>
      <w:r>
        <w:rPr>
          <w:rFonts w:ascii="Arial" w:cs="Arial" w:eastAsia="Arial" w:hAnsi="Arial"/>
          <w:sz w:val="20"/>
          <w:szCs w:val="20"/>
          <w:color w:val="auto"/>
        </w:rPr>
        <w:t>The financial results and live webcast will be accessible through the Investor Relations section of Rent the Runway’s website at https://investors.renttherunway.com/ under the “Events” section. To access the call through a conference line, dial 1-877-407-3982 (in the U.S.) or 1-201-493-6780 (international callers).</w:t>
      </w:r>
    </w:p>
    <w:p>
      <w:pPr>
        <w:spacing w:after="0" w:line="179" w:lineRule="exact"/>
        <w:rPr>
          <w:sz w:val="20"/>
          <w:szCs w:val="20"/>
          <w:color w:val="auto"/>
        </w:rPr>
      </w:pPr>
    </w:p>
    <w:p>
      <w:pPr>
        <w:jc w:val="both"/>
        <w:ind w:right="120"/>
        <w:spacing w:after="0" w:line="298" w:lineRule="auto"/>
        <w:rPr>
          <w:sz w:val="20"/>
          <w:szCs w:val="20"/>
          <w:color w:val="auto"/>
        </w:rPr>
      </w:pPr>
      <w:r>
        <w:rPr>
          <w:rFonts w:ascii="Arial" w:cs="Arial" w:eastAsia="Arial" w:hAnsi="Arial"/>
          <w:sz w:val="19"/>
          <w:szCs w:val="19"/>
          <w:color w:val="auto"/>
        </w:rPr>
        <w:t>A replay of the conference call will be posted shortly after the call and will be available for at least fourteen days. To access the replay, dial 1-844-512-2921 (in the U.S.) or 1-412-317-6671 (international callers). The access code for the replay is 13759147.</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Rent the Runway, Inc.</w:t>
      </w:r>
    </w:p>
    <w:p>
      <w:pPr>
        <w:spacing w:after="0" w:line="272" w:lineRule="exact"/>
        <w:rPr>
          <w:sz w:val="20"/>
          <w:szCs w:val="20"/>
          <w:color w:val="auto"/>
        </w:rPr>
      </w:pPr>
    </w:p>
    <w:p>
      <w:pPr>
        <w:jc w:val="both"/>
        <w:spacing w:after="0" w:line="279" w:lineRule="auto"/>
        <w:rPr>
          <w:sz w:val="20"/>
          <w:szCs w:val="20"/>
          <w:color w:val="auto"/>
        </w:rPr>
      </w:pPr>
      <w:r>
        <w:rPr>
          <w:rFonts w:ascii="Arial" w:cs="Arial" w:eastAsia="Arial" w:hAnsi="Arial"/>
          <w:sz w:val="20"/>
          <w:szCs w:val="20"/>
          <w:color w:val="auto"/>
        </w:rPr>
        <w:t>Founded in 2009, Rent the Runway is disrupting the trillion-dollar fashion industry and changing the way women get dressed through the Closet in the Cloud. RTR’s mission has remained the same since its founding: powering women to feel their best every day. Through RTR, customers can subscribe, rent items a-la-carte and shop resale from hundreds of designer brands. The Closet in the Cloud offers a wide assortment of millions of items for every occasion, from evening wear and accessories to ready-to-wear, workwear, denim, casual, maternity, outerwear, blouses, knitwear, loungewear, jewelry, handbags, activewear and ski wear. RTR has built a two-sided discovery engine, which connects deeply engaged customers and differentiated brand partners on a powerful platform built around its brand, data, logistics and technology. Under CEO and Co-Founder Jennifer Hyman’s leadership, RTR has been named to CNBC’s “Disruptor 50” five times in ten years, and has been placed on Fast Company’s Most Innovative Companies list four times, while Hyman herself has been named to the “TIME 100: Most Influential People in the World" and as one of People Magazine’s “Women Changing the World."</w:t>
      </w:r>
    </w:p>
    <w:p>
      <w:pPr>
        <w:sectPr>
          <w:pgSz w:w="11900" w:h="16838" w:orient="portrait"/>
          <w:cols w:equalWidth="0" w:num="1">
            <w:col w:w="11240"/>
          </w:cols>
          <w:pgMar w:left="320" w:top="1101" w:right="339" w:bottom="1440" w:gutter="0" w:footer="0" w:header="0"/>
        </w:sectPr>
      </w:pPr>
    </w:p>
    <w:bookmarkStart w:id="8" w:name="page9"/>
    <w:bookmarkEnd w:id="8"/>
    <w:p>
      <w:pPr>
        <w:ind w:right="20"/>
        <w:spacing w:after="0" w:line="245" w:lineRule="auto"/>
        <w:rPr>
          <w:sz w:val="20"/>
          <w:szCs w:val="20"/>
          <w:color w:val="auto"/>
        </w:rPr>
      </w:pPr>
      <w:r>
        <w:rPr>
          <w:rFonts w:ascii="Arial" w:cs="Arial" w:eastAsia="Arial" w:hAnsi="Arial"/>
          <w:sz w:val="19"/>
          <w:szCs w:val="19"/>
          <w:b w:val="1"/>
          <w:bCs w:val="1"/>
          <w:color w:val="auto"/>
        </w:rPr>
        <w:t xml:space="preserve">Forward-Looking Statements: </w:t>
      </w:r>
      <w:r>
        <w:rPr>
          <w:rFonts w:ascii="Arial" w:cs="Arial" w:eastAsia="Arial" w:hAnsi="Arial"/>
          <w:sz w:val="19"/>
          <w:szCs w:val="19"/>
          <w:color w:val="auto"/>
        </w:rPr>
        <w:t>This press release contains forward-looking statements within the meaning of the Private</w:t>
      </w:r>
      <w:r>
        <w:rPr>
          <w:rFonts w:ascii="Arial" w:cs="Arial" w:eastAsia="Arial" w:hAnsi="Arial"/>
          <w:sz w:val="19"/>
          <w:szCs w:val="19"/>
          <w:b w:val="1"/>
          <w:bCs w:val="1"/>
          <w:color w:val="auto"/>
        </w:rPr>
        <w:t xml:space="preserve"> </w:t>
      </w:r>
      <w:r>
        <w:rPr>
          <w:rFonts w:ascii="Arial" w:cs="Arial" w:eastAsia="Arial" w:hAnsi="Arial"/>
          <w:sz w:val="19"/>
          <w:szCs w:val="19"/>
          <w:color w:val="auto"/>
        </w:rPr>
        <w:t>Securities Litigation Reform Act of 1995. All statements contained in this press release that do not relate to matters of historical fact should be considered forward-looking statements. These statements include, but are not limited to, guidance and underlying assumptions for the first fiscal quarter of 2026 and the fiscal year 2026, and statements regarding the anticipated benefits of the recapitalization transactions, the impact of potential product and customer experience improvements, the impact and volume of our new inventory, the success of our AI investments and initiatives, the success of our marketing plans, and our position for sustained growth. Forward-looking statements are inherently subject to risks and uncertainties, some of which cannot be predicted or quantified. In some cases, you can identify forward-looking statements because they contain words such as “aim,” “anticipate,” “believe,” “contemplate,” “continue,” “could,” “estimate,” “expect,” “intend,” “may,” “plan,” “potential,” “predict,” “project,” “should,” “target,” “toward,” “will,” or “would,” or the negative of these words or other similar terms or expressions. You should not put undue reliance on any forward-looking statements. Forward-looking statements should not be read as a guarantee of future performance or results and will not necessarily be accurate indications of the times at, or by, which such performance or results will be achieved, if at all. Forward-looking statements are based on information available at the time those statements are made and were based on current expectations, estimates, forecasts, and projections as well as the beliefs and assumptions of management as of that time with respect to future events. These statements are subject to risks and uncertainties, many of which involve factors or circumstances that are beyond our control, that could cause actual performance or results to differ materially from those expressed in or suggested by the forward-looking statements. In light of these risks and uncertainties, the forward-looking events and circumstances discussed in this press release may not occur and actual results could differ materially from those anticipated or implied in the forward-looking statements. These risks and uncertainties include our ability to drive future growth or manage our growth effectively; the highly competitive and rapidly changing nature of the global fashion industry; risks related to the macroeconomic environment, including war in the Middle East and fuel surcharges; changes in global trade policies, tariffs, and other measures that could restrict international trade; our ability to cost-effectively grow our customer base; any failure to attract or retain customers; our ability to accurately forecast customer demand, acquire and manage our offerings effectively and plan for future expenses; risks arising from the restructuring of our operations; our reliance on the effective operation of proprietary technology systems and software as well as those of third-party vendors and service providers; risks related to shipping, logistics and our supply chain; risks related to AI technology; our failure to realize all of the anticipated benefits of the recapitalization transactions, or that those benefits may be short-lived or insufficient for our future needs; failure to manage the transition of our Board of Directors; our failure to comply with the covenants under our credit agreement; our ability to remediate our material weaknesses in our internal control over financial reporting; our ability to comply with laws and regulations applicable to our business; our reliance on the experience and expertise of our senior management and other key personnel; our ability to adequately obtain, maintain, protect and enforce our intellectual property and proprietary rights; compliance with data privacy, data security, data protection and consumer protection laws and industry standards; risks associated with our brand and manufacturing partners; our reliance on third parties to provide payment processing infrastructure underlying our business; our dependence on online sources to attract consumers and promote our business which may be affected by third-party interference or cause our customer acquisition costs to rise; failure by us, our brand partners, or third party manufacturers to comply with our vendor code of conduct or other laws; risks related to our debt; our noncompliance with Nasdaq Marketplace Rule 5606(c)(2)(A), which requires listed companies to have at least three audit committee members; and risks related to our Class A capital stock and ownership structure.</w:t>
      </w:r>
    </w:p>
    <w:p>
      <w:pPr>
        <w:spacing w:after="0" w:line="200" w:lineRule="exact"/>
        <w:rPr>
          <w:sz w:val="20"/>
          <w:szCs w:val="20"/>
          <w:color w:val="auto"/>
        </w:rPr>
      </w:pPr>
    </w:p>
    <w:p>
      <w:pPr>
        <w:spacing w:after="0" w:line="230"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Additional information regarding these and other risks and uncertainties that could cause actual results to differ materially from the expectations is included in our Quarterly Report on Form 10-Q for the quarter ended October 31, 2025, as will be updated in our Annual Report on Form 10-K for the year ended January 31, 2026. Except as required by law, we do not undertake any obligation to publicly update or revise any forward-looking statement, whether as a result of new information, future developments, or otherwise.</w:t>
      </w:r>
    </w:p>
    <w:p>
      <w:pPr>
        <w:sectPr>
          <w:pgSz w:w="11900" w:h="16838" w:orient="portrait"/>
          <w:cols w:equalWidth="0" w:num="1">
            <w:col w:w="11240"/>
          </w:cols>
          <w:pgMar w:left="320" w:top="1088" w:right="339" w:bottom="1440" w:gutter="0" w:footer="0" w:header="0"/>
        </w:sectPr>
      </w:pPr>
    </w:p>
    <w:bookmarkStart w:id="9" w:name="page10"/>
    <w:bookmarkEnd w:id="9"/>
    <w:p>
      <w:pPr>
        <w:spacing w:after="0"/>
        <w:rPr>
          <w:sz w:val="20"/>
          <w:szCs w:val="20"/>
          <w:color w:val="auto"/>
        </w:rPr>
      </w:pPr>
      <w:r>
        <w:rPr>
          <w:rFonts w:ascii="Arial" w:cs="Arial" w:eastAsia="Arial" w:hAnsi="Arial"/>
          <w:sz w:val="20"/>
          <w:szCs w:val="20"/>
          <w:b w:val="1"/>
          <w:bCs w:val="1"/>
          <w:color w:val="auto"/>
        </w:rPr>
        <w:t>Key Business and Financial Metrics</w:t>
      </w:r>
    </w:p>
    <w:p>
      <w:pPr>
        <w:spacing w:after="0" w:line="285"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Active Subscribers is defined as the number of subscribers with an active membership as of the last day of any given period and excludes paused subscribers. Total Subscribers represents the number of subscribers with an active or paused membership as of the last day of the period and excludes subscribers who had an active or paused subscription during the period, but ended their subscription prior to the last day of the fiscal period.</w:t>
      </w:r>
    </w:p>
    <w:p>
      <w:pPr>
        <w:spacing w:after="0" w:line="211" w:lineRule="exact"/>
        <w:rPr>
          <w:sz w:val="20"/>
          <w:szCs w:val="20"/>
          <w:color w:val="auto"/>
        </w:rPr>
      </w:pPr>
    </w:p>
    <w:p>
      <w:pPr>
        <w:jc w:val="both"/>
        <w:ind w:right="580"/>
        <w:spacing w:after="0" w:line="290" w:lineRule="auto"/>
        <w:rPr>
          <w:sz w:val="20"/>
          <w:szCs w:val="20"/>
          <w:color w:val="auto"/>
        </w:rPr>
      </w:pPr>
      <w:r>
        <w:rPr>
          <w:rFonts w:ascii="Arial" w:cs="Arial" w:eastAsia="Arial" w:hAnsi="Arial"/>
          <w:sz w:val="20"/>
          <w:szCs w:val="20"/>
          <w:color w:val="auto"/>
        </w:rPr>
        <w:t>Average Active Subscribers is defined as the mean of the beginning of quarter and end of quarter Active Subscribers for a quarterly period; and for other periods, represents the mean of the Average Active Subscribers of every quarter within that period.</w:t>
      </w:r>
    </w:p>
    <w:p>
      <w:pPr>
        <w:spacing w:after="0" w:line="192" w:lineRule="exact"/>
        <w:rPr>
          <w:sz w:val="20"/>
          <w:szCs w:val="20"/>
          <w:color w:val="auto"/>
        </w:rPr>
      </w:pPr>
    </w:p>
    <w:p>
      <w:pPr>
        <w:ind w:right="20"/>
        <w:spacing w:after="0" w:line="280" w:lineRule="auto"/>
        <w:rPr>
          <w:sz w:val="20"/>
          <w:szCs w:val="20"/>
          <w:color w:val="auto"/>
        </w:rPr>
      </w:pPr>
      <w:r>
        <w:rPr>
          <w:rFonts w:ascii="Arial" w:cs="Arial" w:eastAsia="Arial" w:hAnsi="Arial"/>
          <w:sz w:val="20"/>
          <w:szCs w:val="20"/>
          <w:color w:val="auto"/>
        </w:rPr>
        <w:t>Gross Profit is defined as total revenue less costs related to activities to fulfill customer orders and rental product acquisition costs, presented as fulfillment and rental product depreciation and revenue share, respectively, on the consolidated statement of operations. We depreciate owned apparel assets over three years and owned accessory assets over two years, net of 20% and 30% salvage values, respectively, and recognize the depreciation on a straight-line basis and remaining cost of items when sold or retired on our consolidated statement of operations. Rental product depreciation expense is time-based and reflects all rental product items we own. We use Gross Profit and Gross Profit as a percentage of revenue, or Gross Margin, to measure the continued efficiency of our business after the cost of our products and fulfillment costs are included.</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w:t>
      </w: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20"/>
          <w:szCs w:val="20"/>
          <w:color w:val="auto"/>
        </w:rPr>
        <w:t>This press release and the accompanying tables contain the non-GAAP financial measures of Adjusted EBITDA, Adjusted EBITDA margin, free cash flow, and free cash flow margin. In addition to our results determined in accordance with GAAP, we believe that Adjusted EBITDA and Adjusted EBITDA margin are useful in evaluating our performance and free cash flow and free cash flow margin are useful in evaluating our performance and liquidity. Adjusted EBITDA is a key performance measure used by management to assess our operating performance and the operating leverage of our business prior to capital expenditures. These non-GAAP financial metrics are not meant to be considered as indicators of our financial performance in isolation from or as a substitute for our financial information prepared in accordance with GAAP and should be read only in conjunction with financial information presented on a GAAP basis. There are limitations to the use of the non-GAAP financial metrics presented in this press release. For example, our non-GAAP financial metrics may not be comparable to similarly titled measures of other companies. Other companies, including companies in our industry, may calculate non-GAAP financial metrics differently than we do, limiting the usefulness of those measures for comparative purposes.</w:t>
      </w:r>
    </w:p>
    <w:p>
      <w:pPr>
        <w:spacing w:after="0" w:line="226" w:lineRule="exact"/>
        <w:rPr>
          <w:sz w:val="20"/>
          <w:szCs w:val="20"/>
          <w:color w:val="auto"/>
        </w:rPr>
      </w:pPr>
    </w:p>
    <w:p>
      <w:pPr>
        <w:ind w:right="180"/>
        <w:spacing w:after="0" w:line="282" w:lineRule="auto"/>
        <w:rPr>
          <w:sz w:val="20"/>
          <w:szCs w:val="20"/>
          <w:color w:val="auto"/>
        </w:rPr>
      </w:pPr>
      <w:r>
        <w:rPr>
          <w:rFonts w:ascii="Arial" w:cs="Arial" w:eastAsia="Arial" w:hAnsi="Arial"/>
          <w:sz w:val="20"/>
          <w:szCs w:val="20"/>
          <w:color w:val="auto"/>
        </w:rPr>
        <w:t>We define Adjusted EBITDA as net income (loss), adjusted to exclude interest expense, rental product depreciation, other depreciation and amortization, share-based compensation expense, write-off of liquidated assets, non-recurring adjustments, non-ordinary course legal fees, restructuring charges, Gain on Debt Restructuring, income tax (benefit) expense, other income and expense, and other gains / losses. Adjusted EBITDA margin is defined as Adjusted EBITDA calculated as a percentage of total revenue, net for a period.</w:t>
      </w:r>
    </w:p>
    <w:p>
      <w:pPr>
        <w:sectPr>
          <w:pgSz w:w="11900" w:h="16838" w:orient="portrait"/>
          <w:cols w:equalWidth="0" w:num="1">
            <w:col w:w="11240"/>
          </w:cols>
          <w:pgMar w:left="320" w:top="1344" w:right="339" w:bottom="1440" w:gutter="0" w:footer="0" w:header="0"/>
        </w:sectPr>
      </w:pPr>
    </w:p>
    <w:bookmarkStart w:id="10" w:name="page11"/>
    <w:bookmarkEnd w:id="10"/>
    <w:p>
      <w:pPr>
        <w:spacing w:after="0"/>
        <w:rPr>
          <w:sz w:val="20"/>
          <w:szCs w:val="20"/>
          <w:color w:val="auto"/>
        </w:rPr>
      </w:pPr>
      <w:r>
        <w:rPr>
          <w:rFonts w:ascii="Arial" w:cs="Arial" w:eastAsia="Arial" w:hAnsi="Arial"/>
          <w:sz w:val="20"/>
          <w:szCs w:val="20"/>
          <w:color w:val="auto"/>
        </w:rPr>
        <w:t>We define free cash flow as net cash used in operating activities and net cash used in investing activities on a combined basis.</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Free cash flow margin is defined as free cash flow as a percentage of revenue.</w:t>
      </w:r>
    </w:p>
    <w:p>
      <w:pPr>
        <w:spacing w:after="0" w:line="270" w:lineRule="exact"/>
        <w:rPr>
          <w:sz w:val="20"/>
          <w:szCs w:val="20"/>
          <w:color w:val="auto"/>
        </w:rPr>
      </w:pPr>
    </w:p>
    <w:p>
      <w:pPr>
        <w:spacing w:after="0" w:line="278" w:lineRule="auto"/>
        <w:rPr>
          <w:sz w:val="20"/>
          <w:szCs w:val="20"/>
          <w:color w:val="auto"/>
        </w:rPr>
      </w:pPr>
      <w:r>
        <w:rPr>
          <w:rFonts w:ascii="Arial" w:cs="Arial" w:eastAsia="Arial" w:hAnsi="Arial"/>
          <w:sz w:val="20"/>
          <w:szCs w:val="20"/>
          <w:color w:val="auto"/>
        </w:rPr>
        <w:t>The reconciliation of presented non-GAAP financial metrics to the most directly comparable GAAP financial measure is presented below. We encourage reviewing the reconciliation in conjunction with the presentation of the non-GAAP financial metrics for each of the periods presented. In future periods, we may exclude similar items, may incur income and expenses similar to these excluded items, and may include other expenses, costs and non-recurring items. Reconciliations of free cash flow and Adjusted EBITDA margin expectations for fiscal year 2026 and Q1 2026, respectively, to the most directly comparable GAAP measures are not available without unreasonable efforts on a forward-looking basis due to the high variability, complexity, and low visibility with respect to the charges excluded from these non-GAAP measures, in particular, share-based compensation expense, and non-recurring expenses, which can have unpredictable fluctuations based on unforeseen activity that is out of our control and/or cannot reasonably be predicted.</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Investor Relations</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investors@renttherunway.com</w:t>
      </w: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Press</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press@renttherunway.com</w:t>
      </w:r>
    </w:p>
    <w:p>
      <w:pPr>
        <w:sectPr>
          <w:pgSz w:w="11900" w:h="16838" w:orient="portrait"/>
          <w:cols w:equalWidth="0" w:num="1">
            <w:col w:w="11220"/>
          </w:cols>
          <w:pgMar w:left="320" w:top="1103" w:right="359" w:bottom="1440" w:gutter="0" w:footer="0" w:header="0"/>
        </w:sectPr>
      </w:pPr>
    </w:p>
    <w:bookmarkStart w:id="11" w:name="page12"/>
    <w:bookmarkEnd w:id="11"/>
    <w:p>
      <w:pPr>
        <w:ind w:left="4200"/>
        <w:spacing w:after="0"/>
        <w:rPr>
          <w:sz w:val="20"/>
          <w:szCs w:val="20"/>
          <w:color w:val="auto"/>
        </w:rPr>
      </w:pPr>
      <w:r>
        <w:rPr>
          <w:rFonts w:ascii="Arial" w:cs="Arial" w:eastAsia="Arial" w:hAnsi="Arial"/>
          <w:sz w:val="20"/>
          <w:szCs w:val="20"/>
          <w:b w:val="1"/>
          <w:bCs w:val="1"/>
          <w:color w:val="auto"/>
        </w:rPr>
        <w:t>Rent the Runway, Inc.</w:t>
      </w:r>
    </w:p>
    <w:p>
      <w:pPr>
        <w:ind w:left="3840"/>
        <w:spacing w:after="0" w:line="197" w:lineRule="auto"/>
        <w:rPr>
          <w:sz w:val="20"/>
          <w:szCs w:val="20"/>
          <w:color w:val="auto"/>
        </w:rPr>
      </w:pPr>
      <w:r>
        <w:rPr>
          <w:rFonts w:ascii="Arial" w:cs="Arial" w:eastAsia="Arial" w:hAnsi="Arial"/>
          <w:sz w:val="20"/>
          <w:szCs w:val="20"/>
          <w:b w:val="1"/>
          <w:bCs w:val="1"/>
          <w:color w:val="auto"/>
        </w:rPr>
        <w:t>Consolidated Balance Sheets</w:t>
      </w:r>
    </w:p>
    <w:p>
      <w:pPr>
        <w:jc w:val="center"/>
        <w:ind w:right="40"/>
        <w:spacing w:after="0"/>
        <w:rPr>
          <w:sz w:val="20"/>
          <w:szCs w:val="20"/>
          <w:color w:val="auto"/>
        </w:rPr>
      </w:pPr>
      <w:r>
        <w:rPr>
          <w:rFonts w:ascii="Arial" w:cs="Arial" w:eastAsia="Arial" w:hAnsi="Arial"/>
          <w:sz w:val="20"/>
          <w:szCs w:val="20"/>
          <w:b w:val="1"/>
          <w:bCs w:val="1"/>
          <w:color w:val="auto"/>
        </w:rPr>
        <w:t>(in millions)</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January 31,</w:t>
            </w:r>
          </w:p>
        </w:tc>
        <w:tc>
          <w:tcPr>
            <w:tcW w:w="220" w:type="dxa"/>
            <w:vAlign w:val="bottom"/>
          </w:tcPr>
          <w:p>
            <w:pPr>
              <w:spacing w:after="0"/>
              <w:rPr>
                <w:sz w:val="17"/>
                <w:szCs w:val="17"/>
                <w:color w:val="auto"/>
              </w:rPr>
            </w:pPr>
          </w:p>
        </w:tc>
        <w:tc>
          <w:tcPr>
            <w:tcW w:w="1260" w:type="dxa"/>
            <w:vAlign w:val="bottom"/>
          </w:tcPr>
          <w:p>
            <w:pPr>
              <w:jc w:val="right"/>
              <w:ind w:right="276"/>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236"/>
        </w:trPr>
        <w:tc>
          <w:tcPr>
            <w:tcW w:w="74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26"/>
        </w:trPr>
        <w:tc>
          <w:tcPr>
            <w:tcW w:w="7420" w:type="dxa"/>
            <w:vAlign w:val="bottom"/>
          </w:tcPr>
          <w:p>
            <w:pPr>
              <w:spacing w:after="0"/>
              <w:rPr>
                <w:sz w:val="20"/>
                <w:szCs w:val="20"/>
                <w:color w:val="auto"/>
              </w:rPr>
            </w:pPr>
            <w:r>
              <w:rPr>
                <w:rFonts w:ascii="Arial" w:cs="Arial" w:eastAsia="Arial" w:hAnsi="Arial"/>
                <w:sz w:val="17"/>
                <w:szCs w:val="17"/>
                <w:b w:val="1"/>
                <w:bCs w:val="1"/>
                <w:color w:val="auto"/>
              </w:rPr>
              <w:t>Assets</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7420" w:type="dxa"/>
            <w:vAlign w:val="bottom"/>
          </w:tcPr>
          <w:p>
            <w:pPr>
              <w:spacing w:after="0"/>
              <w:rPr>
                <w:sz w:val="20"/>
                <w:szCs w:val="20"/>
                <w:color w:val="auto"/>
              </w:rPr>
            </w:pPr>
            <w:r>
              <w:rPr>
                <w:rFonts w:ascii="Arial" w:cs="Arial" w:eastAsia="Arial" w:hAnsi="Arial"/>
                <w:sz w:val="17"/>
                <w:szCs w:val="17"/>
                <w:color w:val="auto"/>
              </w:rPr>
              <w:t>Current assets:</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7420" w:type="dxa"/>
            <w:vAlign w:val="bottom"/>
          </w:tcPr>
          <w:p>
            <w:pPr>
              <w:ind w:left="320"/>
              <w:spacing w:after="0"/>
              <w:rPr>
                <w:sz w:val="20"/>
                <w:szCs w:val="20"/>
                <w:color w:val="auto"/>
              </w:rPr>
            </w:pPr>
            <w:r>
              <w:rPr>
                <w:rFonts w:ascii="Arial" w:cs="Arial" w:eastAsia="Arial" w:hAnsi="Arial"/>
                <w:sz w:val="17"/>
                <w:szCs w:val="17"/>
                <w:color w:val="auto"/>
              </w:rPr>
              <w:t>Cash and cash equivalents</w:t>
            </w:r>
          </w:p>
        </w:tc>
        <w:tc>
          <w:tcPr>
            <w:tcW w:w="220" w:type="dxa"/>
            <w:vAlign w:val="bottom"/>
          </w:tcPr>
          <w:p>
            <w:pPr>
              <w:jc w:val="right"/>
              <w:ind w:right="36"/>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50.4</w:t>
            </w:r>
          </w:p>
        </w:tc>
        <w:tc>
          <w:tcPr>
            <w:tcW w:w="100" w:type="dxa"/>
            <w:vAlign w:val="bottom"/>
          </w:tcPr>
          <w:p>
            <w:pPr>
              <w:spacing w:after="0"/>
              <w:rPr>
                <w:sz w:val="23"/>
                <w:szCs w:val="23"/>
                <w:color w:val="auto"/>
              </w:rPr>
            </w:pPr>
          </w:p>
        </w:tc>
        <w:tc>
          <w:tcPr>
            <w:tcW w:w="220" w:type="dxa"/>
            <w:vAlign w:val="bottom"/>
          </w:tcPr>
          <w:p>
            <w:pPr>
              <w:jc w:val="right"/>
              <w:ind w:right="36"/>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77.4</w:t>
            </w:r>
          </w:p>
        </w:tc>
        <w:tc>
          <w:tcPr>
            <w:tcW w:w="0" w:type="dxa"/>
            <w:vAlign w:val="bottom"/>
          </w:tcPr>
          <w:p>
            <w:pPr>
              <w:spacing w:after="0"/>
              <w:rPr>
                <w:sz w:val="1"/>
                <w:szCs w:val="1"/>
                <w:color w:val="auto"/>
              </w:rPr>
            </w:pPr>
          </w:p>
        </w:tc>
      </w:tr>
      <w:tr>
        <w:trPr>
          <w:trHeight w:val="257"/>
        </w:trPr>
        <w:tc>
          <w:tcPr>
            <w:tcW w:w="7420" w:type="dxa"/>
            <w:vAlign w:val="bottom"/>
          </w:tcPr>
          <w:p>
            <w:pPr>
              <w:ind w:left="320"/>
              <w:spacing w:after="0"/>
              <w:rPr>
                <w:sz w:val="20"/>
                <w:szCs w:val="20"/>
                <w:color w:val="auto"/>
              </w:rPr>
            </w:pPr>
            <w:r>
              <w:rPr>
                <w:rFonts w:ascii="Arial" w:cs="Arial" w:eastAsia="Arial" w:hAnsi="Arial"/>
                <w:sz w:val="17"/>
                <w:szCs w:val="17"/>
                <w:color w:val="auto"/>
              </w:rPr>
              <w:t>Restricted cash, current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66"/>
        </w:trPr>
        <w:tc>
          <w:tcPr>
            <w:tcW w:w="7420" w:type="dxa"/>
            <w:vAlign w:val="bottom"/>
          </w:tcPr>
          <w:p>
            <w:pPr>
              <w:ind w:left="320"/>
              <w:spacing w:after="0"/>
              <w:rPr>
                <w:sz w:val="20"/>
                <w:szCs w:val="20"/>
                <w:color w:val="auto"/>
              </w:rPr>
            </w:pPr>
            <w:r>
              <w:rPr>
                <w:rFonts w:ascii="Arial" w:cs="Arial" w:eastAsia="Arial" w:hAnsi="Arial"/>
                <w:sz w:val="17"/>
                <w:szCs w:val="17"/>
                <w:color w:val="auto"/>
              </w:rPr>
              <w:t>Prepaid expenses and other current assets</w:t>
            </w:r>
          </w:p>
        </w:tc>
        <w:tc>
          <w:tcPr>
            <w:tcW w:w="2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254"/>
        </w:trPr>
        <w:tc>
          <w:tcPr>
            <w:tcW w:w="7420" w:type="dxa"/>
            <w:vAlign w:val="bottom"/>
          </w:tcPr>
          <w:p>
            <w:pPr>
              <w:ind w:left="640"/>
              <w:spacing w:after="0"/>
              <w:rPr>
                <w:sz w:val="20"/>
                <w:szCs w:val="20"/>
                <w:color w:val="auto"/>
              </w:rPr>
            </w:pPr>
            <w:r>
              <w:rPr>
                <w:rFonts w:ascii="Arial" w:cs="Arial" w:eastAsia="Arial" w:hAnsi="Arial"/>
                <w:sz w:val="17"/>
                <w:szCs w:val="17"/>
                <w:color w:val="auto"/>
              </w:rPr>
              <w:t>Total current assets</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66.7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93.9</w:t>
            </w:r>
          </w:p>
        </w:tc>
        <w:tc>
          <w:tcPr>
            <w:tcW w:w="0" w:type="dxa"/>
            <w:vAlign w:val="bottom"/>
          </w:tcPr>
          <w:p>
            <w:pPr>
              <w:spacing w:after="0"/>
              <w:rPr>
                <w:sz w:val="1"/>
                <w:szCs w:val="1"/>
                <w:color w:val="auto"/>
              </w:rPr>
            </w:pPr>
          </w:p>
        </w:tc>
      </w:tr>
      <w:tr>
        <w:trPr>
          <w:trHeight w:val="259"/>
        </w:trPr>
        <w:tc>
          <w:tcPr>
            <w:tcW w:w="7420" w:type="dxa"/>
            <w:vAlign w:val="bottom"/>
          </w:tcPr>
          <w:p>
            <w:pPr>
              <w:spacing w:after="0"/>
              <w:rPr>
                <w:sz w:val="20"/>
                <w:szCs w:val="20"/>
                <w:color w:val="auto"/>
              </w:rPr>
            </w:pPr>
            <w:r>
              <w:rPr>
                <w:rFonts w:ascii="Arial" w:cs="Arial" w:eastAsia="Arial" w:hAnsi="Arial"/>
                <w:sz w:val="17"/>
                <w:szCs w:val="17"/>
                <w:color w:val="auto"/>
              </w:rPr>
              <w:t>Restricted cash</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4.4</w:t>
            </w:r>
          </w:p>
        </w:tc>
        <w:tc>
          <w:tcPr>
            <w:tcW w:w="0" w:type="dxa"/>
            <w:vAlign w:val="bottom"/>
          </w:tcPr>
          <w:p>
            <w:pPr>
              <w:spacing w:after="0"/>
              <w:rPr>
                <w:sz w:val="1"/>
                <w:szCs w:val="1"/>
                <w:color w:val="auto"/>
              </w:rPr>
            </w:pPr>
          </w:p>
        </w:tc>
      </w:tr>
      <w:tr>
        <w:trPr>
          <w:trHeight w:val="283"/>
        </w:trPr>
        <w:tc>
          <w:tcPr>
            <w:tcW w:w="7420" w:type="dxa"/>
            <w:vAlign w:val="bottom"/>
          </w:tcPr>
          <w:p>
            <w:pPr>
              <w:spacing w:after="0"/>
              <w:rPr>
                <w:sz w:val="20"/>
                <w:szCs w:val="20"/>
                <w:color w:val="auto"/>
              </w:rPr>
            </w:pPr>
            <w:r>
              <w:rPr>
                <w:rFonts w:ascii="Arial" w:cs="Arial" w:eastAsia="Arial" w:hAnsi="Arial"/>
                <w:sz w:val="17"/>
                <w:szCs w:val="17"/>
                <w:color w:val="auto"/>
              </w:rPr>
              <w:t>Rental product, net</w:t>
            </w: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86.0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73.3</w:t>
            </w:r>
          </w:p>
        </w:tc>
        <w:tc>
          <w:tcPr>
            <w:tcW w:w="0" w:type="dxa"/>
            <w:vAlign w:val="bottom"/>
          </w:tcPr>
          <w:p>
            <w:pPr>
              <w:spacing w:after="0"/>
              <w:rPr>
                <w:sz w:val="1"/>
                <w:szCs w:val="1"/>
                <w:color w:val="auto"/>
              </w:rPr>
            </w:pPr>
          </w:p>
        </w:tc>
      </w:tr>
      <w:tr>
        <w:trPr>
          <w:trHeight w:val="283"/>
        </w:trPr>
        <w:tc>
          <w:tcPr>
            <w:tcW w:w="7420" w:type="dxa"/>
            <w:vAlign w:val="bottom"/>
          </w:tcPr>
          <w:p>
            <w:pPr>
              <w:spacing w:after="0"/>
              <w:rPr>
                <w:sz w:val="20"/>
                <w:szCs w:val="20"/>
                <w:color w:val="auto"/>
              </w:rPr>
            </w:pPr>
            <w:r>
              <w:rPr>
                <w:rFonts w:ascii="Arial" w:cs="Arial" w:eastAsia="Arial" w:hAnsi="Arial"/>
                <w:sz w:val="17"/>
                <w:szCs w:val="17"/>
                <w:color w:val="auto"/>
              </w:rPr>
              <w:t>Fixed assets, net</w:t>
            </w: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24.0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28.3</w:t>
            </w:r>
          </w:p>
        </w:tc>
        <w:tc>
          <w:tcPr>
            <w:tcW w:w="0" w:type="dxa"/>
            <w:vAlign w:val="bottom"/>
          </w:tcPr>
          <w:p>
            <w:pPr>
              <w:spacing w:after="0"/>
              <w:rPr>
                <w:sz w:val="1"/>
                <w:szCs w:val="1"/>
                <w:color w:val="auto"/>
              </w:rPr>
            </w:pPr>
          </w:p>
        </w:tc>
      </w:tr>
      <w:tr>
        <w:trPr>
          <w:trHeight w:val="284"/>
        </w:trPr>
        <w:tc>
          <w:tcPr>
            <w:tcW w:w="7420" w:type="dxa"/>
            <w:vAlign w:val="bottom"/>
          </w:tcPr>
          <w:p>
            <w:pPr>
              <w:spacing w:after="0"/>
              <w:rPr>
                <w:sz w:val="20"/>
                <w:szCs w:val="20"/>
                <w:color w:val="auto"/>
              </w:rPr>
            </w:pPr>
            <w:r>
              <w:rPr>
                <w:rFonts w:ascii="Arial" w:cs="Arial" w:eastAsia="Arial" w:hAnsi="Arial"/>
                <w:sz w:val="17"/>
                <w:szCs w:val="17"/>
                <w:color w:val="auto"/>
              </w:rPr>
              <w:t>Intangible assets, net</w:t>
            </w: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83"/>
        </w:trPr>
        <w:tc>
          <w:tcPr>
            <w:tcW w:w="7420" w:type="dxa"/>
            <w:vAlign w:val="bottom"/>
          </w:tcPr>
          <w:p>
            <w:pPr>
              <w:spacing w:after="0"/>
              <w:rPr>
                <w:sz w:val="20"/>
                <w:szCs w:val="20"/>
                <w:color w:val="auto"/>
              </w:rPr>
            </w:pPr>
            <w:r>
              <w:rPr>
                <w:rFonts w:ascii="Arial" w:cs="Arial" w:eastAsia="Arial" w:hAnsi="Arial"/>
                <w:sz w:val="17"/>
                <w:szCs w:val="17"/>
                <w:color w:val="auto"/>
              </w:rPr>
              <w:t>Operating lease right-of-use assets</w:t>
            </w: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29.3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32.1</w:t>
            </w:r>
          </w:p>
        </w:tc>
        <w:tc>
          <w:tcPr>
            <w:tcW w:w="0" w:type="dxa"/>
            <w:vAlign w:val="bottom"/>
          </w:tcPr>
          <w:p>
            <w:pPr>
              <w:spacing w:after="0"/>
              <w:rPr>
                <w:sz w:val="1"/>
                <w:szCs w:val="1"/>
                <w:color w:val="auto"/>
              </w:rPr>
            </w:pPr>
          </w:p>
        </w:tc>
      </w:tr>
      <w:tr>
        <w:trPr>
          <w:trHeight w:val="317"/>
        </w:trPr>
        <w:tc>
          <w:tcPr>
            <w:tcW w:w="7420" w:type="dxa"/>
            <w:vAlign w:val="bottom"/>
          </w:tcPr>
          <w:p>
            <w:pPr>
              <w:spacing w:after="0"/>
              <w:rPr>
                <w:sz w:val="20"/>
                <w:szCs w:val="20"/>
                <w:color w:val="auto"/>
              </w:rPr>
            </w:pPr>
            <w:r>
              <w:rPr>
                <w:rFonts w:ascii="Arial" w:cs="Arial" w:eastAsia="Arial" w:hAnsi="Arial"/>
                <w:sz w:val="17"/>
                <w:szCs w:val="17"/>
                <w:color w:val="auto"/>
              </w:rPr>
              <w:t>Other assets</w:t>
            </w: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57"/>
        </w:trPr>
        <w:tc>
          <w:tcPr>
            <w:tcW w:w="7420" w:type="dxa"/>
            <w:vAlign w:val="bottom"/>
          </w:tcPr>
          <w:p>
            <w:pPr>
              <w:ind w:left="640"/>
              <w:spacing w:after="0"/>
              <w:rPr>
                <w:sz w:val="20"/>
                <w:szCs w:val="20"/>
                <w:color w:val="auto"/>
              </w:rPr>
            </w:pPr>
            <w:r>
              <w:rPr>
                <w:rFonts w:ascii="Arial" w:cs="Arial" w:eastAsia="Arial" w:hAnsi="Arial"/>
                <w:sz w:val="17"/>
                <w:szCs w:val="17"/>
                <w:color w:val="auto"/>
              </w:rPr>
              <w:t>Total assets</w:t>
            </w:r>
          </w:p>
        </w:tc>
        <w:tc>
          <w:tcPr>
            <w:tcW w:w="2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221.0</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240.0</w:t>
            </w:r>
          </w:p>
        </w:tc>
        <w:tc>
          <w:tcPr>
            <w:tcW w:w="0" w:type="dxa"/>
            <w:vAlign w:val="bottom"/>
          </w:tcPr>
          <w:p>
            <w:pPr>
              <w:spacing w:after="0"/>
              <w:rPr>
                <w:sz w:val="1"/>
                <w:szCs w:val="1"/>
                <w:color w:val="auto"/>
              </w:rPr>
            </w:pPr>
          </w:p>
        </w:tc>
      </w:tr>
      <w:tr>
        <w:trPr>
          <w:trHeight w:val="21"/>
        </w:trPr>
        <w:tc>
          <w:tcPr>
            <w:tcW w:w="7420" w:type="dxa"/>
            <w:vAlign w:val="bottom"/>
            <w:vMerge w:val="restart"/>
          </w:tcPr>
          <w:p>
            <w:pPr>
              <w:spacing w:after="0"/>
              <w:rPr>
                <w:sz w:val="20"/>
                <w:szCs w:val="20"/>
                <w:color w:val="auto"/>
              </w:rPr>
            </w:pPr>
            <w:r>
              <w:rPr>
                <w:rFonts w:ascii="Arial" w:cs="Arial" w:eastAsia="Arial" w:hAnsi="Arial"/>
                <w:sz w:val="16"/>
                <w:szCs w:val="16"/>
                <w:b w:val="1"/>
                <w:bCs w:val="1"/>
                <w:color w:val="auto"/>
              </w:rPr>
              <w:t>Liabilities and Stockholders’ Equity (Deficit)</w:t>
            </w: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74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420" w:type="dxa"/>
            <w:vAlign w:val="bottom"/>
          </w:tcPr>
          <w:p>
            <w:pPr>
              <w:spacing w:after="0"/>
              <w:rPr>
                <w:sz w:val="20"/>
                <w:szCs w:val="20"/>
                <w:color w:val="auto"/>
              </w:rPr>
            </w:pPr>
            <w:r>
              <w:rPr>
                <w:rFonts w:ascii="Arial" w:cs="Arial" w:eastAsia="Arial" w:hAnsi="Arial"/>
                <w:sz w:val="17"/>
                <w:szCs w:val="17"/>
                <w:color w:val="auto"/>
              </w:rPr>
              <w:t>Current liabilities:</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7420" w:type="dxa"/>
            <w:vAlign w:val="bottom"/>
          </w:tcPr>
          <w:p>
            <w:pPr>
              <w:ind w:left="160"/>
              <w:spacing w:after="0"/>
              <w:rPr>
                <w:sz w:val="20"/>
                <w:szCs w:val="20"/>
                <w:color w:val="auto"/>
              </w:rPr>
            </w:pPr>
            <w:r>
              <w:rPr>
                <w:rFonts w:ascii="Arial" w:cs="Arial" w:eastAsia="Arial" w:hAnsi="Arial"/>
                <w:sz w:val="17"/>
                <w:szCs w:val="17"/>
                <w:color w:val="auto"/>
              </w:rPr>
              <w:t>Accounts payable</w:t>
            </w:r>
          </w:p>
        </w:tc>
        <w:tc>
          <w:tcPr>
            <w:tcW w:w="220" w:type="dxa"/>
            <w:vAlign w:val="bottom"/>
          </w:tcPr>
          <w:p>
            <w:pPr>
              <w:jc w:val="right"/>
              <w:ind w:right="36"/>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9.9</w:t>
            </w:r>
          </w:p>
        </w:tc>
        <w:tc>
          <w:tcPr>
            <w:tcW w:w="100" w:type="dxa"/>
            <w:vAlign w:val="bottom"/>
          </w:tcPr>
          <w:p>
            <w:pPr>
              <w:spacing w:after="0"/>
              <w:rPr>
                <w:sz w:val="22"/>
                <w:szCs w:val="22"/>
                <w:color w:val="auto"/>
              </w:rPr>
            </w:pPr>
          </w:p>
        </w:tc>
        <w:tc>
          <w:tcPr>
            <w:tcW w:w="220" w:type="dxa"/>
            <w:vAlign w:val="bottom"/>
          </w:tcPr>
          <w:p>
            <w:pPr>
              <w:jc w:val="right"/>
              <w:ind w:right="36"/>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6.2</w:t>
            </w:r>
          </w:p>
        </w:tc>
        <w:tc>
          <w:tcPr>
            <w:tcW w:w="0" w:type="dxa"/>
            <w:vAlign w:val="bottom"/>
          </w:tcPr>
          <w:p>
            <w:pPr>
              <w:spacing w:after="0"/>
              <w:rPr>
                <w:sz w:val="1"/>
                <w:szCs w:val="1"/>
                <w:color w:val="auto"/>
              </w:rPr>
            </w:pPr>
          </w:p>
        </w:tc>
      </w:tr>
      <w:tr>
        <w:trPr>
          <w:trHeight w:val="257"/>
        </w:trPr>
        <w:tc>
          <w:tcPr>
            <w:tcW w:w="7420" w:type="dxa"/>
            <w:vAlign w:val="bottom"/>
          </w:tcPr>
          <w:p>
            <w:pPr>
              <w:ind w:left="160"/>
              <w:spacing w:after="0"/>
              <w:rPr>
                <w:sz w:val="20"/>
                <w:szCs w:val="20"/>
                <w:color w:val="auto"/>
              </w:rPr>
            </w:pPr>
            <w:r>
              <w:rPr>
                <w:rFonts w:ascii="Arial" w:cs="Arial" w:eastAsia="Arial" w:hAnsi="Arial"/>
                <w:sz w:val="17"/>
                <w:szCs w:val="17"/>
                <w:color w:val="auto"/>
              </w:rPr>
              <w:t>Accrued expenses and other current liabilities</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29.1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19.6</w:t>
            </w:r>
          </w:p>
        </w:tc>
        <w:tc>
          <w:tcPr>
            <w:tcW w:w="0" w:type="dxa"/>
            <w:vAlign w:val="bottom"/>
          </w:tcPr>
          <w:p>
            <w:pPr>
              <w:spacing w:after="0"/>
              <w:rPr>
                <w:sz w:val="1"/>
                <w:szCs w:val="1"/>
                <w:color w:val="auto"/>
              </w:rPr>
            </w:pPr>
          </w:p>
        </w:tc>
      </w:tr>
      <w:tr>
        <w:trPr>
          <w:trHeight w:val="256"/>
        </w:trPr>
        <w:tc>
          <w:tcPr>
            <w:tcW w:w="7420" w:type="dxa"/>
            <w:vAlign w:val="bottom"/>
          </w:tcPr>
          <w:p>
            <w:pPr>
              <w:ind w:left="160"/>
              <w:spacing w:after="0"/>
              <w:rPr>
                <w:sz w:val="20"/>
                <w:szCs w:val="20"/>
                <w:color w:val="auto"/>
              </w:rPr>
            </w:pPr>
            <w:r>
              <w:rPr>
                <w:rFonts w:ascii="Arial" w:cs="Arial" w:eastAsia="Arial" w:hAnsi="Arial"/>
                <w:sz w:val="17"/>
                <w:szCs w:val="17"/>
                <w:color w:val="auto"/>
              </w:rPr>
              <w:t>Deferred revenue</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12.0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10.2</w:t>
            </w:r>
          </w:p>
        </w:tc>
        <w:tc>
          <w:tcPr>
            <w:tcW w:w="0" w:type="dxa"/>
            <w:vAlign w:val="bottom"/>
          </w:tcPr>
          <w:p>
            <w:pPr>
              <w:spacing w:after="0"/>
              <w:rPr>
                <w:sz w:val="1"/>
                <w:szCs w:val="1"/>
                <w:color w:val="auto"/>
              </w:rPr>
            </w:pPr>
          </w:p>
        </w:tc>
      </w:tr>
      <w:tr>
        <w:trPr>
          <w:trHeight w:val="257"/>
        </w:trPr>
        <w:tc>
          <w:tcPr>
            <w:tcW w:w="7420" w:type="dxa"/>
            <w:vAlign w:val="bottom"/>
          </w:tcPr>
          <w:p>
            <w:pPr>
              <w:ind w:left="160"/>
              <w:spacing w:after="0"/>
              <w:rPr>
                <w:sz w:val="20"/>
                <w:szCs w:val="20"/>
                <w:color w:val="auto"/>
              </w:rPr>
            </w:pPr>
            <w:r>
              <w:rPr>
                <w:rFonts w:ascii="Arial" w:cs="Arial" w:eastAsia="Arial" w:hAnsi="Arial"/>
                <w:sz w:val="17"/>
                <w:szCs w:val="17"/>
                <w:color w:val="auto"/>
              </w:rPr>
              <w:t>Customer credit and gift card liabilities</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6.7</w:t>
            </w:r>
          </w:p>
        </w:tc>
        <w:tc>
          <w:tcPr>
            <w:tcW w:w="0" w:type="dxa"/>
            <w:vAlign w:val="bottom"/>
          </w:tcPr>
          <w:p>
            <w:pPr>
              <w:spacing w:after="0"/>
              <w:rPr>
                <w:sz w:val="1"/>
                <w:szCs w:val="1"/>
                <w:color w:val="auto"/>
              </w:rPr>
            </w:pPr>
          </w:p>
        </w:tc>
      </w:tr>
      <w:tr>
        <w:trPr>
          <w:trHeight w:val="256"/>
        </w:trPr>
        <w:tc>
          <w:tcPr>
            <w:tcW w:w="7420" w:type="dxa"/>
            <w:vAlign w:val="bottom"/>
          </w:tcPr>
          <w:p>
            <w:pPr>
              <w:ind w:left="160"/>
              <w:spacing w:after="0"/>
              <w:rPr>
                <w:sz w:val="20"/>
                <w:szCs w:val="20"/>
                <w:color w:val="auto"/>
              </w:rPr>
            </w:pPr>
            <w:r>
              <w:rPr>
                <w:rFonts w:ascii="Arial" w:cs="Arial" w:eastAsia="Arial" w:hAnsi="Arial"/>
                <w:sz w:val="17"/>
                <w:szCs w:val="17"/>
                <w:color w:val="auto"/>
              </w:rPr>
              <w:t>Operating lease liabilities</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7"/>
        </w:trPr>
        <w:tc>
          <w:tcPr>
            <w:tcW w:w="7420" w:type="dxa"/>
            <w:vAlign w:val="bottom"/>
            <w:vMerge w:val="restart"/>
          </w:tcPr>
          <w:p>
            <w:pPr>
              <w:ind w:left="640"/>
              <w:spacing w:after="0"/>
              <w:rPr>
                <w:sz w:val="20"/>
                <w:szCs w:val="20"/>
                <w:color w:val="auto"/>
              </w:rPr>
            </w:pPr>
            <w:r>
              <w:rPr>
                <w:rFonts w:ascii="Arial" w:cs="Arial" w:eastAsia="Arial" w:hAnsi="Arial"/>
                <w:sz w:val="17"/>
                <w:szCs w:val="17"/>
                <w:color w:val="auto"/>
              </w:rPr>
              <w:t>Total current liabilities</w:t>
            </w: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4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47.4</w:t>
            </w:r>
          </w:p>
        </w:tc>
        <w:tc>
          <w:tcPr>
            <w:tcW w:w="0" w:type="dxa"/>
            <w:vAlign w:val="bottom"/>
          </w:tcPr>
          <w:p>
            <w:pPr>
              <w:spacing w:after="0"/>
              <w:rPr>
                <w:sz w:val="1"/>
                <w:szCs w:val="1"/>
                <w:color w:val="auto"/>
              </w:rPr>
            </w:pPr>
          </w:p>
        </w:tc>
      </w:tr>
      <w:tr>
        <w:trPr>
          <w:trHeight w:val="257"/>
        </w:trPr>
        <w:tc>
          <w:tcPr>
            <w:tcW w:w="7420" w:type="dxa"/>
            <w:vAlign w:val="bottom"/>
          </w:tcPr>
          <w:p>
            <w:pPr>
              <w:spacing w:after="0"/>
              <w:rPr>
                <w:sz w:val="20"/>
                <w:szCs w:val="20"/>
                <w:color w:val="auto"/>
              </w:rPr>
            </w:pPr>
            <w:r>
              <w:rPr>
                <w:rFonts w:ascii="Arial" w:cs="Arial" w:eastAsia="Arial" w:hAnsi="Arial"/>
                <w:sz w:val="17"/>
                <w:szCs w:val="17"/>
                <w:color w:val="auto"/>
              </w:rPr>
              <w:t>Long-term debt, net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156.6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333.7</w:t>
            </w:r>
          </w:p>
        </w:tc>
        <w:tc>
          <w:tcPr>
            <w:tcW w:w="0" w:type="dxa"/>
            <w:vAlign w:val="bottom"/>
          </w:tcPr>
          <w:p>
            <w:pPr>
              <w:spacing w:after="0"/>
              <w:rPr>
                <w:sz w:val="1"/>
                <w:szCs w:val="1"/>
                <w:color w:val="auto"/>
              </w:rPr>
            </w:pPr>
          </w:p>
        </w:tc>
      </w:tr>
      <w:tr>
        <w:trPr>
          <w:trHeight w:val="256"/>
        </w:trPr>
        <w:tc>
          <w:tcPr>
            <w:tcW w:w="7420" w:type="dxa"/>
            <w:vAlign w:val="bottom"/>
          </w:tcPr>
          <w:p>
            <w:pPr>
              <w:spacing w:after="0"/>
              <w:rPr>
                <w:sz w:val="20"/>
                <w:szCs w:val="20"/>
                <w:color w:val="auto"/>
              </w:rPr>
            </w:pPr>
            <w:r>
              <w:rPr>
                <w:rFonts w:ascii="Arial" w:cs="Arial" w:eastAsia="Arial" w:hAnsi="Arial"/>
                <w:sz w:val="17"/>
                <w:szCs w:val="17"/>
                <w:color w:val="auto"/>
              </w:rPr>
              <w:t>Operating lease liabilities</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35.7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41.0</w:t>
            </w:r>
          </w:p>
        </w:tc>
        <w:tc>
          <w:tcPr>
            <w:tcW w:w="0" w:type="dxa"/>
            <w:vAlign w:val="bottom"/>
          </w:tcPr>
          <w:p>
            <w:pPr>
              <w:spacing w:after="0"/>
              <w:rPr>
                <w:sz w:val="1"/>
                <w:szCs w:val="1"/>
                <w:color w:val="auto"/>
              </w:rPr>
            </w:pPr>
          </w:p>
        </w:tc>
      </w:tr>
      <w:tr>
        <w:trPr>
          <w:trHeight w:val="257"/>
        </w:trPr>
        <w:tc>
          <w:tcPr>
            <w:tcW w:w="7420" w:type="dxa"/>
            <w:vAlign w:val="bottom"/>
          </w:tcPr>
          <w:p>
            <w:pPr>
              <w:spacing w:after="0"/>
              <w:rPr>
                <w:sz w:val="20"/>
                <w:szCs w:val="20"/>
                <w:color w:val="auto"/>
              </w:rPr>
            </w:pPr>
            <w:r>
              <w:rPr>
                <w:rFonts w:ascii="Arial" w:cs="Arial" w:eastAsia="Arial" w:hAnsi="Arial"/>
                <w:sz w:val="17"/>
                <w:szCs w:val="17"/>
                <w:color w:val="auto"/>
              </w:rPr>
              <w:t>Other liabilities</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27"/>
        </w:trPr>
        <w:tc>
          <w:tcPr>
            <w:tcW w:w="7420" w:type="dxa"/>
            <w:vAlign w:val="bottom"/>
            <w:vMerge w:val="restart"/>
          </w:tcPr>
          <w:p>
            <w:pPr>
              <w:ind w:left="640"/>
              <w:spacing w:after="0"/>
              <w:rPr>
                <w:sz w:val="20"/>
                <w:szCs w:val="20"/>
                <w:color w:val="auto"/>
              </w:rPr>
            </w:pPr>
            <w:r>
              <w:rPr>
                <w:rFonts w:ascii="Arial" w:cs="Arial" w:eastAsia="Arial" w:hAnsi="Arial"/>
                <w:sz w:val="17"/>
                <w:szCs w:val="17"/>
                <w:color w:val="auto"/>
              </w:rPr>
              <w:t>Total liabilities</w:t>
            </w: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4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257.1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422.5</w:t>
            </w:r>
          </w:p>
        </w:tc>
        <w:tc>
          <w:tcPr>
            <w:tcW w:w="0" w:type="dxa"/>
            <w:vAlign w:val="bottom"/>
          </w:tcPr>
          <w:p>
            <w:pPr>
              <w:spacing w:after="0"/>
              <w:rPr>
                <w:sz w:val="1"/>
                <w:szCs w:val="1"/>
                <w:color w:val="auto"/>
              </w:rPr>
            </w:pPr>
          </w:p>
        </w:tc>
      </w:tr>
      <w:tr>
        <w:trPr>
          <w:trHeight w:val="27"/>
        </w:trPr>
        <w:tc>
          <w:tcPr>
            <w:tcW w:w="7420" w:type="dxa"/>
            <w:vAlign w:val="bottom"/>
            <w:vMerge w:val="restart"/>
          </w:tcPr>
          <w:p>
            <w:pPr>
              <w:spacing w:after="0"/>
              <w:rPr>
                <w:sz w:val="20"/>
                <w:szCs w:val="20"/>
                <w:color w:val="auto"/>
              </w:rPr>
            </w:pPr>
            <w:r>
              <w:rPr>
                <w:rFonts w:ascii="Arial" w:cs="Arial" w:eastAsia="Arial" w:hAnsi="Arial"/>
                <w:sz w:val="17"/>
                <w:szCs w:val="17"/>
                <w:color w:val="auto"/>
              </w:rPr>
              <w:t>Stockholders’ equity (deficit)</w:t>
            </w: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6"/>
        </w:trPr>
        <w:tc>
          <w:tcPr>
            <w:tcW w:w="74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420" w:type="dxa"/>
            <w:vAlign w:val="bottom"/>
          </w:tcPr>
          <w:p>
            <w:pPr>
              <w:ind w:left="320"/>
              <w:spacing w:after="0"/>
              <w:rPr>
                <w:sz w:val="20"/>
                <w:szCs w:val="20"/>
                <w:color w:val="auto"/>
              </w:rPr>
            </w:pPr>
            <w:r>
              <w:rPr>
                <w:rFonts w:ascii="Arial" w:cs="Arial" w:eastAsia="Arial" w:hAnsi="Arial"/>
                <w:sz w:val="17"/>
                <w:szCs w:val="17"/>
                <w:color w:val="auto"/>
              </w:rPr>
              <w:t>Class A common stock</w:t>
            </w:r>
          </w:p>
        </w:tc>
        <w:tc>
          <w:tcPr>
            <w:tcW w:w="220" w:type="dxa"/>
            <w:vAlign w:val="bottom"/>
          </w:tcPr>
          <w:p>
            <w:pPr>
              <w:spacing w:after="0"/>
              <w:rPr>
                <w:sz w:val="23"/>
                <w:szCs w:val="23"/>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83"/>
        </w:trPr>
        <w:tc>
          <w:tcPr>
            <w:tcW w:w="7420" w:type="dxa"/>
            <w:vAlign w:val="bottom"/>
          </w:tcPr>
          <w:p>
            <w:pPr>
              <w:ind w:left="320"/>
              <w:spacing w:after="0"/>
              <w:rPr>
                <w:sz w:val="20"/>
                <w:szCs w:val="20"/>
                <w:color w:val="auto"/>
              </w:rPr>
            </w:pPr>
            <w:r>
              <w:rPr>
                <w:rFonts w:ascii="Arial" w:cs="Arial" w:eastAsia="Arial" w:hAnsi="Arial"/>
                <w:sz w:val="17"/>
                <w:szCs w:val="17"/>
                <w:color w:val="auto"/>
              </w:rPr>
              <w:t>Class B common stock</w:t>
            </w:r>
          </w:p>
        </w:tc>
        <w:tc>
          <w:tcPr>
            <w:tcW w:w="220" w:type="dxa"/>
            <w:vAlign w:val="bottom"/>
          </w:tcPr>
          <w:p>
            <w:pPr>
              <w:spacing w:after="0"/>
              <w:rPr>
                <w:sz w:val="24"/>
                <w:szCs w:val="24"/>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83"/>
        </w:trPr>
        <w:tc>
          <w:tcPr>
            <w:tcW w:w="7420" w:type="dxa"/>
            <w:vAlign w:val="bottom"/>
          </w:tcPr>
          <w:p>
            <w:pPr>
              <w:ind w:left="320"/>
              <w:spacing w:after="0"/>
              <w:rPr>
                <w:sz w:val="20"/>
                <w:szCs w:val="20"/>
                <w:color w:val="auto"/>
              </w:rPr>
            </w:pPr>
            <w:r>
              <w:rPr>
                <w:rFonts w:ascii="Arial" w:cs="Arial" w:eastAsia="Arial" w:hAnsi="Arial"/>
                <w:sz w:val="17"/>
                <w:szCs w:val="17"/>
                <w:color w:val="auto"/>
              </w:rPr>
              <w:t>Preferred stock</w:t>
            </w:r>
          </w:p>
        </w:tc>
        <w:tc>
          <w:tcPr>
            <w:tcW w:w="220" w:type="dxa"/>
            <w:vAlign w:val="bottom"/>
          </w:tcPr>
          <w:p>
            <w:pPr>
              <w:spacing w:after="0"/>
              <w:rPr>
                <w:sz w:val="24"/>
                <w:szCs w:val="24"/>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84"/>
        </w:trPr>
        <w:tc>
          <w:tcPr>
            <w:tcW w:w="7420" w:type="dxa"/>
            <w:vAlign w:val="bottom"/>
          </w:tcPr>
          <w:p>
            <w:pPr>
              <w:ind w:left="320"/>
              <w:spacing w:after="0"/>
              <w:rPr>
                <w:sz w:val="20"/>
                <w:szCs w:val="20"/>
                <w:color w:val="auto"/>
              </w:rPr>
            </w:pPr>
            <w:r>
              <w:rPr>
                <w:rFonts w:ascii="Arial" w:cs="Arial" w:eastAsia="Arial" w:hAnsi="Arial"/>
                <w:sz w:val="17"/>
                <w:szCs w:val="17"/>
                <w:color w:val="auto"/>
              </w:rPr>
              <w:t>Additional paid-in capital</w:t>
            </w: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1,064.3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940.5</w:t>
            </w:r>
          </w:p>
        </w:tc>
        <w:tc>
          <w:tcPr>
            <w:tcW w:w="0" w:type="dxa"/>
            <w:vAlign w:val="bottom"/>
          </w:tcPr>
          <w:p>
            <w:pPr>
              <w:spacing w:after="0"/>
              <w:rPr>
                <w:sz w:val="1"/>
                <w:szCs w:val="1"/>
                <w:color w:val="auto"/>
              </w:rPr>
            </w:pPr>
          </w:p>
        </w:tc>
      </w:tr>
      <w:tr>
        <w:trPr>
          <w:trHeight w:val="283"/>
        </w:trPr>
        <w:tc>
          <w:tcPr>
            <w:tcW w:w="7420" w:type="dxa"/>
            <w:vAlign w:val="bottom"/>
          </w:tcPr>
          <w:p>
            <w:pPr>
              <w:ind w:left="320"/>
              <w:spacing w:after="0"/>
              <w:rPr>
                <w:sz w:val="20"/>
                <w:szCs w:val="20"/>
                <w:color w:val="auto"/>
              </w:rPr>
            </w:pPr>
            <w:r>
              <w:rPr>
                <w:rFonts w:ascii="Arial" w:cs="Arial" w:eastAsia="Arial" w:hAnsi="Arial"/>
                <w:sz w:val="17"/>
                <w:szCs w:val="17"/>
                <w:color w:val="auto"/>
              </w:rPr>
              <w:t>Accumulated deficit</w:t>
            </w: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(1,100.4)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(1,123.0)</w:t>
            </w:r>
          </w:p>
        </w:tc>
        <w:tc>
          <w:tcPr>
            <w:tcW w:w="0" w:type="dxa"/>
            <w:vAlign w:val="bottom"/>
          </w:tcPr>
          <w:p>
            <w:pPr>
              <w:spacing w:after="0"/>
              <w:rPr>
                <w:sz w:val="1"/>
                <w:szCs w:val="1"/>
                <w:color w:val="auto"/>
              </w:rPr>
            </w:pPr>
          </w:p>
        </w:tc>
      </w:tr>
      <w:tr>
        <w:trPr>
          <w:trHeight w:val="40"/>
        </w:trPr>
        <w:tc>
          <w:tcPr>
            <w:tcW w:w="7420" w:type="dxa"/>
            <w:vAlign w:val="bottom"/>
            <w:vMerge w:val="restart"/>
          </w:tcPr>
          <w:p>
            <w:pPr>
              <w:spacing w:after="0"/>
              <w:rPr>
                <w:sz w:val="20"/>
                <w:szCs w:val="20"/>
                <w:color w:val="auto"/>
              </w:rPr>
            </w:pPr>
            <w:r>
              <w:rPr>
                <w:rFonts w:ascii="Arial" w:cs="Arial" w:eastAsia="Arial" w:hAnsi="Arial"/>
                <w:sz w:val="17"/>
                <w:szCs w:val="17"/>
                <w:color w:val="auto"/>
              </w:rPr>
              <w:t>Total stockholders’ equity (deficit)</w:t>
            </w: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74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(182.5)</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420" w:type="dxa"/>
            <w:vAlign w:val="bottom"/>
          </w:tcPr>
          <w:p>
            <w:pPr>
              <w:spacing w:after="0"/>
              <w:rPr>
                <w:sz w:val="20"/>
                <w:szCs w:val="20"/>
                <w:color w:val="auto"/>
              </w:rPr>
            </w:pPr>
            <w:r>
              <w:rPr>
                <w:rFonts w:ascii="Arial" w:cs="Arial" w:eastAsia="Arial" w:hAnsi="Arial"/>
                <w:sz w:val="17"/>
                <w:szCs w:val="17"/>
                <w:color w:val="auto"/>
              </w:rPr>
              <w:t>Total liabilities and stockholders’ equity (deficit)</w:t>
            </w:r>
          </w:p>
        </w:tc>
        <w:tc>
          <w:tcPr>
            <w:tcW w:w="2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221.0</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240.0</w:t>
            </w: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0480"/>
          </w:cols>
          <w:pgMar w:left="720" w:top="1067" w:right="699" w:bottom="1440" w:gutter="0" w:footer="0" w:header="0"/>
        </w:sectPr>
      </w:pPr>
    </w:p>
    <w:bookmarkStart w:id="12" w:name="page13"/>
    <w:bookmarkEnd w:id="12"/>
    <w:p>
      <w:pPr>
        <w:ind w:left="4580"/>
        <w:spacing w:after="0"/>
        <w:rPr>
          <w:sz w:val="20"/>
          <w:szCs w:val="20"/>
          <w:color w:val="auto"/>
        </w:rPr>
      </w:pPr>
      <w:r>
        <w:rPr>
          <w:rFonts w:ascii="Arial" w:cs="Arial" w:eastAsia="Arial" w:hAnsi="Arial"/>
          <w:sz w:val="20"/>
          <w:szCs w:val="20"/>
          <w:b w:val="1"/>
          <w:bCs w:val="1"/>
          <w:color w:val="auto"/>
        </w:rPr>
        <w:t>Rent the Runway, Inc.</w:t>
      </w:r>
    </w:p>
    <w:p>
      <w:pPr>
        <w:ind w:left="3740"/>
        <w:spacing w:after="0" w:line="231" w:lineRule="auto"/>
        <w:rPr>
          <w:sz w:val="20"/>
          <w:szCs w:val="20"/>
          <w:color w:val="auto"/>
        </w:rPr>
      </w:pPr>
      <w:r>
        <w:rPr>
          <w:rFonts w:ascii="Arial" w:cs="Arial" w:eastAsia="Arial" w:hAnsi="Arial"/>
          <w:sz w:val="20"/>
          <w:szCs w:val="20"/>
          <w:b w:val="1"/>
          <w:bCs w:val="1"/>
          <w:color w:val="auto"/>
        </w:rPr>
        <w:t>Consolidated Statements of Operations</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40" w:type="dxa"/>
            <w:vAlign w:val="bottom"/>
            <w:gridSpan w:val="5"/>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5"/>
                <w:szCs w:val="15"/>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Years Ended</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1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January 31,</w:t>
            </w:r>
          </w:p>
        </w:tc>
        <w:tc>
          <w:tcPr>
            <w:tcW w:w="10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January 31,</w:t>
            </w: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1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2026</w:t>
            </w:r>
          </w:p>
        </w:tc>
        <w:tc>
          <w:tcPr>
            <w:tcW w:w="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2026</w:t>
            </w:r>
          </w:p>
        </w:tc>
        <w:tc>
          <w:tcPr>
            <w:tcW w:w="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34"/>
        </w:trPr>
        <w:tc>
          <w:tcPr>
            <w:tcW w:w="5180" w:type="dxa"/>
            <w:vAlign w:val="bottom"/>
          </w:tcPr>
          <w:p>
            <w:pPr>
              <w:spacing w:after="0"/>
              <w:rPr>
                <w:sz w:val="20"/>
                <w:szCs w:val="20"/>
                <w:color w:val="auto"/>
              </w:rPr>
            </w:pPr>
            <w:r>
              <w:rPr>
                <w:rFonts w:ascii="Arial" w:cs="Arial" w:eastAsia="Arial" w:hAnsi="Arial"/>
                <w:sz w:val="18"/>
                <w:szCs w:val="18"/>
                <w:color w:val="auto"/>
              </w:rPr>
              <w:t>Revenue:</w:t>
            </w: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77.8</w:t>
            </w:r>
          </w:p>
        </w:tc>
        <w:tc>
          <w:tcPr>
            <w:tcW w:w="80" w:type="dxa"/>
            <w:vAlign w:val="bottom"/>
          </w:tcPr>
          <w:p>
            <w:pPr>
              <w:spacing w:after="0"/>
              <w:rPr>
                <w:sz w:val="20"/>
                <w:szCs w:val="20"/>
                <w:color w:val="auto"/>
              </w:rPr>
            </w:pPr>
          </w:p>
        </w:tc>
        <w:tc>
          <w:tcPr>
            <w:tcW w:w="480" w:type="dxa"/>
            <w:vAlign w:val="bottom"/>
            <w:vMerge w:val="restart"/>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64.6</w:t>
            </w:r>
          </w:p>
        </w:tc>
        <w:tc>
          <w:tcPr>
            <w:tcW w:w="100" w:type="dxa"/>
            <w:vAlign w:val="bottom"/>
          </w:tcPr>
          <w:p>
            <w:pPr>
              <w:spacing w:after="0"/>
              <w:rPr>
                <w:sz w:val="20"/>
                <w:szCs w:val="20"/>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286.0</w:t>
            </w:r>
          </w:p>
        </w:tc>
        <w:tc>
          <w:tcPr>
            <w:tcW w:w="80" w:type="dxa"/>
            <w:vAlign w:val="bottom"/>
          </w:tcPr>
          <w:p>
            <w:pPr>
              <w:spacing w:after="0"/>
              <w:rPr>
                <w:sz w:val="20"/>
                <w:szCs w:val="20"/>
                <w:color w:val="auto"/>
              </w:rPr>
            </w:pPr>
          </w:p>
        </w:tc>
        <w:tc>
          <w:tcPr>
            <w:tcW w:w="440" w:type="dxa"/>
            <w:vAlign w:val="bottom"/>
            <w:vMerge w:val="restart"/>
          </w:tcPr>
          <w:p>
            <w:pPr>
              <w:jc w:val="right"/>
              <w:ind w:right="230"/>
              <w:spacing w:after="0"/>
              <w:rPr>
                <w:sz w:val="20"/>
                <w:szCs w:val="20"/>
                <w:color w:val="auto"/>
              </w:rPr>
            </w:pPr>
            <w:r>
              <w:rPr>
                <w:rFonts w:ascii="Arial" w:cs="Arial" w:eastAsia="Arial" w:hAnsi="Arial"/>
                <w:sz w:val="18"/>
                <w:szCs w:val="18"/>
                <w:color w:val="auto"/>
                <w:w w:val="9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265.5</w:t>
            </w:r>
          </w:p>
        </w:tc>
        <w:tc>
          <w:tcPr>
            <w:tcW w:w="0" w:type="dxa"/>
            <w:vAlign w:val="bottom"/>
          </w:tcPr>
          <w:p>
            <w:pPr>
              <w:spacing w:after="0"/>
              <w:rPr>
                <w:sz w:val="1"/>
                <w:szCs w:val="1"/>
                <w:color w:val="auto"/>
              </w:rPr>
            </w:pPr>
          </w:p>
        </w:tc>
      </w:tr>
      <w:tr>
        <w:trPr>
          <w:trHeight w:val="297"/>
        </w:trPr>
        <w:tc>
          <w:tcPr>
            <w:tcW w:w="5180" w:type="dxa"/>
            <w:vAlign w:val="bottom"/>
          </w:tcPr>
          <w:p>
            <w:pPr>
              <w:ind w:left="340"/>
              <w:spacing w:after="0"/>
              <w:rPr>
                <w:sz w:val="20"/>
                <w:szCs w:val="20"/>
                <w:color w:val="auto"/>
              </w:rPr>
            </w:pPr>
            <w:r>
              <w:rPr>
                <w:rFonts w:ascii="Arial" w:cs="Arial" w:eastAsia="Arial" w:hAnsi="Arial"/>
                <w:sz w:val="18"/>
                <w:szCs w:val="18"/>
                <w:color w:val="auto"/>
              </w:rPr>
              <w:t>Subscription and Reserve rental revenue</w:t>
            </w:r>
          </w:p>
        </w:tc>
        <w:tc>
          <w:tcPr>
            <w:tcW w:w="320" w:type="dxa"/>
            <w:vAlign w:val="bottom"/>
            <w:vMerge w:val="continue"/>
          </w:tcPr>
          <w:p>
            <w:pPr>
              <w:spacing w:after="0"/>
              <w:rPr>
                <w:sz w:val="24"/>
                <w:szCs w:val="24"/>
                <w:color w:val="auto"/>
              </w:rPr>
            </w:pPr>
          </w:p>
        </w:tc>
        <w:tc>
          <w:tcPr>
            <w:tcW w:w="11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vMerge w:val="continue"/>
          </w:tcPr>
          <w:p>
            <w:pPr>
              <w:spacing w:after="0"/>
              <w:rPr>
                <w:sz w:val="24"/>
                <w:szCs w:val="24"/>
                <w:color w:val="auto"/>
              </w:rPr>
            </w:pPr>
          </w:p>
        </w:tc>
        <w:tc>
          <w:tcPr>
            <w:tcW w:w="10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vMerge w:val="continue"/>
          </w:tcPr>
          <w:p>
            <w:pPr>
              <w:spacing w:after="0"/>
              <w:rPr>
                <w:sz w:val="24"/>
                <w:szCs w:val="24"/>
                <w:color w:val="auto"/>
              </w:rPr>
            </w:pPr>
          </w:p>
        </w:tc>
        <w:tc>
          <w:tcPr>
            <w:tcW w:w="11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vMerge w:val="continue"/>
          </w:tcPr>
          <w:p>
            <w:pPr>
              <w:spacing w:after="0"/>
              <w:rPr>
                <w:sz w:val="24"/>
                <w:szCs w:val="24"/>
                <w:color w:val="auto"/>
              </w:rPr>
            </w:pPr>
          </w:p>
        </w:tc>
        <w:tc>
          <w:tcPr>
            <w:tcW w:w="9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180" w:type="dxa"/>
            <w:vAlign w:val="bottom"/>
          </w:tcPr>
          <w:p>
            <w:pPr>
              <w:ind w:left="340"/>
              <w:spacing w:after="0"/>
              <w:rPr>
                <w:sz w:val="20"/>
                <w:szCs w:val="20"/>
                <w:color w:val="auto"/>
              </w:rPr>
            </w:pPr>
            <w:r>
              <w:rPr>
                <w:rFonts w:ascii="Arial" w:cs="Arial" w:eastAsia="Arial" w:hAnsi="Arial"/>
                <w:sz w:val="18"/>
                <w:szCs w:val="18"/>
                <w:color w:val="auto"/>
              </w:rPr>
              <w:t>Other revenue</w:t>
            </w:r>
          </w:p>
        </w:tc>
        <w:tc>
          <w:tcPr>
            <w:tcW w:w="3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13.9</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43.8</w:t>
            </w: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180" w:type="dxa"/>
            <w:vAlign w:val="bottom"/>
          </w:tcPr>
          <w:p>
            <w:pPr>
              <w:ind w:left="660"/>
              <w:spacing w:after="0"/>
              <w:rPr>
                <w:sz w:val="20"/>
                <w:szCs w:val="20"/>
                <w:color w:val="auto"/>
              </w:rPr>
            </w:pPr>
            <w:r>
              <w:rPr>
                <w:rFonts w:ascii="Arial" w:cs="Arial" w:eastAsia="Arial" w:hAnsi="Arial"/>
                <w:sz w:val="18"/>
                <w:szCs w:val="18"/>
                <w:color w:val="auto"/>
              </w:rPr>
              <w:t>Total revenue, net</w:t>
            </w:r>
          </w:p>
        </w:tc>
        <w:tc>
          <w:tcPr>
            <w:tcW w:w="3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91.7</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329.8</w:t>
            </w: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306.2</w:t>
            </w:r>
          </w:p>
        </w:tc>
        <w:tc>
          <w:tcPr>
            <w:tcW w:w="0" w:type="dxa"/>
            <w:vAlign w:val="bottom"/>
          </w:tcPr>
          <w:p>
            <w:pPr>
              <w:spacing w:after="0"/>
              <w:rPr>
                <w:sz w:val="1"/>
                <w:szCs w:val="1"/>
                <w:color w:val="auto"/>
              </w:rPr>
            </w:pPr>
          </w:p>
        </w:tc>
      </w:tr>
      <w:tr>
        <w:trPr>
          <w:trHeight w:val="23"/>
        </w:trPr>
        <w:tc>
          <w:tcPr>
            <w:tcW w:w="5180" w:type="dxa"/>
            <w:vAlign w:val="bottom"/>
            <w:vMerge w:val="restart"/>
          </w:tcPr>
          <w:p>
            <w:pPr>
              <w:spacing w:after="0"/>
              <w:rPr>
                <w:sz w:val="20"/>
                <w:szCs w:val="20"/>
                <w:color w:val="auto"/>
              </w:rPr>
            </w:pPr>
            <w:r>
              <w:rPr>
                <w:rFonts w:ascii="Arial" w:cs="Arial" w:eastAsia="Arial" w:hAnsi="Arial"/>
                <w:sz w:val="18"/>
                <w:szCs w:val="18"/>
                <w:color w:val="auto"/>
              </w:rPr>
              <w:t>Costs and expenses:</w:t>
            </w: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18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180" w:type="dxa"/>
            <w:vAlign w:val="bottom"/>
          </w:tcPr>
          <w:p>
            <w:pPr>
              <w:ind w:left="340"/>
              <w:spacing w:after="0"/>
              <w:rPr>
                <w:sz w:val="20"/>
                <w:szCs w:val="20"/>
                <w:color w:val="auto"/>
              </w:rPr>
            </w:pPr>
            <w:r>
              <w:rPr>
                <w:rFonts w:ascii="Arial" w:cs="Arial" w:eastAsia="Arial" w:hAnsi="Arial"/>
                <w:sz w:val="18"/>
                <w:szCs w:val="18"/>
                <w:color w:val="auto"/>
              </w:rPr>
              <w:t>Fulfillment</w:t>
            </w:r>
          </w:p>
        </w:tc>
        <w:tc>
          <w:tcPr>
            <w:tcW w:w="3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21.6</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88.5</w:t>
            </w: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70"/>
        </w:trPr>
        <w:tc>
          <w:tcPr>
            <w:tcW w:w="5180" w:type="dxa"/>
            <w:vAlign w:val="bottom"/>
          </w:tcPr>
          <w:p>
            <w:pPr>
              <w:ind w:left="340"/>
              <w:spacing w:after="0"/>
              <w:rPr>
                <w:sz w:val="20"/>
                <w:szCs w:val="20"/>
                <w:color w:val="auto"/>
              </w:rPr>
            </w:pPr>
            <w:r>
              <w:rPr>
                <w:rFonts w:ascii="Arial" w:cs="Arial" w:eastAsia="Arial" w:hAnsi="Arial"/>
                <w:sz w:val="18"/>
                <w:szCs w:val="18"/>
                <w:color w:val="auto"/>
              </w:rPr>
              <w:t>Technology</w:t>
            </w:r>
          </w:p>
        </w:tc>
        <w:tc>
          <w:tcPr>
            <w:tcW w:w="3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39.3</w:t>
            </w: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70"/>
        </w:trPr>
        <w:tc>
          <w:tcPr>
            <w:tcW w:w="5180" w:type="dxa"/>
            <w:vAlign w:val="bottom"/>
          </w:tcPr>
          <w:p>
            <w:pPr>
              <w:ind w:left="340"/>
              <w:spacing w:after="0"/>
              <w:rPr>
                <w:sz w:val="20"/>
                <w:szCs w:val="20"/>
                <w:color w:val="auto"/>
              </w:rPr>
            </w:pPr>
            <w:r>
              <w:rPr>
                <w:rFonts w:ascii="Arial" w:cs="Arial" w:eastAsia="Arial" w:hAnsi="Arial"/>
                <w:sz w:val="18"/>
                <w:szCs w:val="18"/>
                <w:color w:val="auto"/>
              </w:rPr>
              <w:t>Marketing</w:t>
            </w:r>
          </w:p>
        </w:tc>
        <w:tc>
          <w:tcPr>
            <w:tcW w:w="3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27.0</w:t>
            </w: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70"/>
        </w:trPr>
        <w:tc>
          <w:tcPr>
            <w:tcW w:w="518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20.8</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88.8</w:t>
            </w: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70"/>
        </w:trPr>
        <w:tc>
          <w:tcPr>
            <w:tcW w:w="5180" w:type="dxa"/>
            <w:vAlign w:val="bottom"/>
          </w:tcPr>
          <w:p>
            <w:pPr>
              <w:ind w:left="340"/>
              <w:spacing w:after="0"/>
              <w:rPr>
                <w:sz w:val="20"/>
                <w:szCs w:val="20"/>
                <w:color w:val="auto"/>
              </w:rPr>
            </w:pPr>
            <w:r>
              <w:rPr>
                <w:rFonts w:ascii="Arial" w:cs="Arial" w:eastAsia="Arial" w:hAnsi="Arial"/>
                <w:sz w:val="18"/>
                <w:szCs w:val="18"/>
                <w:color w:val="auto"/>
              </w:rPr>
              <w:t>Rental product depreciation and revenue share</w:t>
            </w:r>
          </w:p>
        </w:tc>
        <w:tc>
          <w:tcPr>
            <w:tcW w:w="3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34.7</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133.8</w:t>
            </w: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107.5</w:t>
            </w:r>
          </w:p>
        </w:tc>
        <w:tc>
          <w:tcPr>
            <w:tcW w:w="0" w:type="dxa"/>
            <w:vAlign w:val="bottom"/>
          </w:tcPr>
          <w:p>
            <w:pPr>
              <w:spacing w:after="0"/>
              <w:rPr>
                <w:sz w:val="1"/>
                <w:szCs w:val="1"/>
                <w:color w:val="auto"/>
              </w:rPr>
            </w:pPr>
          </w:p>
        </w:tc>
      </w:tr>
      <w:tr>
        <w:trPr>
          <w:trHeight w:val="270"/>
        </w:trPr>
        <w:tc>
          <w:tcPr>
            <w:tcW w:w="5180" w:type="dxa"/>
            <w:vAlign w:val="bottom"/>
          </w:tcPr>
          <w:p>
            <w:pPr>
              <w:ind w:left="340"/>
              <w:spacing w:after="0"/>
              <w:rPr>
                <w:sz w:val="20"/>
                <w:szCs w:val="20"/>
                <w:color w:val="auto"/>
              </w:rPr>
            </w:pPr>
            <w:r>
              <w:rPr>
                <w:rFonts w:ascii="Arial" w:cs="Arial" w:eastAsia="Arial" w:hAnsi="Arial"/>
                <w:sz w:val="18"/>
                <w:szCs w:val="18"/>
                <w:color w:val="auto"/>
              </w:rPr>
              <w:t>Other depreciation and amortization</w:t>
            </w:r>
          </w:p>
        </w:tc>
        <w:tc>
          <w:tcPr>
            <w:tcW w:w="3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9.9</w:t>
            </w: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97"/>
        </w:trPr>
        <w:tc>
          <w:tcPr>
            <w:tcW w:w="5180" w:type="dxa"/>
            <w:vAlign w:val="bottom"/>
          </w:tcPr>
          <w:p>
            <w:pPr>
              <w:ind w:left="340"/>
              <w:spacing w:after="0"/>
              <w:rPr>
                <w:sz w:val="20"/>
                <w:szCs w:val="20"/>
                <w:color w:val="auto"/>
              </w:rPr>
            </w:pPr>
            <w:r>
              <w:rPr>
                <w:rFonts w:ascii="Arial" w:cs="Arial" w:eastAsia="Arial" w:hAnsi="Arial"/>
                <w:sz w:val="18"/>
                <w:szCs w:val="18"/>
                <w:color w:val="auto"/>
              </w:rPr>
              <w:t>Restructuring charges</w:t>
            </w:r>
          </w:p>
        </w:tc>
        <w:tc>
          <w:tcPr>
            <w:tcW w:w="320" w:type="dxa"/>
            <w:vAlign w:val="bottom"/>
          </w:tcPr>
          <w:p>
            <w:pPr>
              <w:spacing w:after="0"/>
              <w:rPr>
                <w:sz w:val="24"/>
                <w:szCs w:val="2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180" w:type="dxa"/>
            <w:vAlign w:val="bottom"/>
          </w:tcPr>
          <w:p>
            <w:pPr>
              <w:ind w:left="660"/>
              <w:spacing w:after="0"/>
              <w:rPr>
                <w:sz w:val="20"/>
                <w:szCs w:val="20"/>
                <w:color w:val="auto"/>
              </w:rPr>
            </w:pPr>
            <w:r>
              <w:rPr>
                <w:rFonts w:ascii="Arial" w:cs="Arial" w:eastAsia="Arial" w:hAnsi="Arial"/>
                <w:sz w:val="18"/>
                <w:szCs w:val="18"/>
                <w:color w:val="auto"/>
              </w:rPr>
              <w:t>Total costs and expenses</w:t>
            </w:r>
          </w:p>
        </w:tc>
        <w:tc>
          <w:tcPr>
            <w:tcW w:w="3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93.2</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387.3</w:t>
            </w: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353.7</w:t>
            </w: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5180" w:type="dxa"/>
            <w:vAlign w:val="bottom"/>
          </w:tcPr>
          <w:p>
            <w:pPr>
              <w:ind w:left="980"/>
              <w:spacing w:after="0"/>
              <w:rPr>
                <w:sz w:val="20"/>
                <w:szCs w:val="20"/>
                <w:color w:val="auto"/>
              </w:rPr>
            </w:pPr>
            <w:r>
              <w:rPr>
                <w:rFonts w:ascii="Arial" w:cs="Arial" w:eastAsia="Arial" w:hAnsi="Arial"/>
                <w:sz w:val="18"/>
                <w:szCs w:val="18"/>
                <w:color w:val="auto"/>
              </w:rPr>
              <w:t>Operating loss</w:t>
            </w:r>
          </w:p>
        </w:tc>
        <w:tc>
          <w:tcPr>
            <w:tcW w:w="3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(57.5)</w:t>
            </w: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70"/>
        </w:trPr>
        <w:tc>
          <w:tcPr>
            <w:tcW w:w="5180" w:type="dxa"/>
            <w:vAlign w:val="bottom"/>
          </w:tcPr>
          <w:p>
            <w:pPr>
              <w:spacing w:after="0"/>
              <w:rPr>
                <w:sz w:val="20"/>
                <w:szCs w:val="20"/>
                <w:color w:val="auto"/>
              </w:rPr>
            </w:pPr>
            <w:r>
              <w:rPr>
                <w:rFonts w:ascii="Arial" w:cs="Arial" w:eastAsia="Arial" w:hAnsi="Arial"/>
                <w:sz w:val="18"/>
                <w:szCs w:val="18"/>
                <w:color w:val="auto"/>
              </w:rPr>
              <w:t>Gain on Debt Restructuring</w:t>
            </w:r>
          </w:p>
        </w:tc>
        <w:tc>
          <w:tcPr>
            <w:tcW w:w="320" w:type="dxa"/>
            <w:vAlign w:val="bottom"/>
          </w:tcPr>
          <w:p>
            <w:pPr>
              <w:spacing w:after="0"/>
              <w:rPr>
                <w:sz w:val="23"/>
                <w:szCs w:val="23"/>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3"/>
                <w:szCs w:val="23"/>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96.3</w:t>
            </w: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180" w:type="dxa"/>
            <w:vAlign w:val="bottom"/>
          </w:tcPr>
          <w:p>
            <w:pPr>
              <w:spacing w:after="0"/>
              <w:rPr>
                <w:sz w:val="20"/>
                <w:szCs w:val="20"/>
                <w:color w:val="auto"/>
              </w:rPr>
            </w:pPr>
            <w:r>
              <w:rPr>
                <w:rFonts w:ascii="Arial" w:cs="Arial" w:eastAsia="Arial" w:hAnsi="Arial"/>
                <w:sz w:val="18"/>
                <w:szCs w:val="18"/>
                <w:color w:val="auto"/>
              </w:rPr>
              <w:t>Interest income / (expense), net</w:t>
            </w:r>
          </w:p>
        </w:tc>
        <w:tc>
          <w:tcPr>
            <w:tcW w:w="3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(20.3)</w:t>
            </w: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70"/>
        </w:trPr>
        <w:tc>
          <w:tcPr>
            <w:tcW w:w="5180" w:type="dxa"/>
            <w:vAlign w:val="bottom"/>
          </w:tcPr>
          <w:p>
            <w:pPr>
              <w:spacing w:after="0"/>
              <w:rPr>
                <w:sz w:val="20"/>
                <w:szCs w:val="20"/>
                <w:color w:val="auto"/>
              </w:rPr>
            </w:pPr>
            <w:r>
              <w:rPr>
                <w:rFonts w:ascii="Arial" w:cs="Arial" w:eastAsia="Arial" w:hAnsi="Arial"/>
                <w:sz w:val="18"/>
                <w:szCs w:val="18"/>
                <w:color w:val="auto"/>
              </w:rPr>
              <w:t>Other income / (expense), net</w:t>
            </w:r>
          </w:p>
        </w:tc>
        <w:tc>
          <w:tcPr>
            <w:tcW w:w="3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
        </w:trPr>
        <w:tc>
          <w:tcPr>
            <w:tcW w:w="5180" w:type="dxa"/>
            <w:vAlign w:val="bottom"/>
            <w:vMerge w:val="restart"/>
          </w:tcPr>
          <w:p>
            <w:pPr>
              <w:ind w:left="880"/>
              <w:spacing w:after="0"/>
              <w:rPr>
                <w:sz w:val="20"/>
                <w:szCs w:val="20"/>
                <w:color w:val="auto"/>
              </w:rPr>
            </w:pPr>
            <w:r>
              <w:rPr>
                <w:rFonts w:ascii="Arial" w:cs="Arial" w:eastAsia="Arial" w:hAnsi="Arial"/>
                <w:sz w:val="18"/>
                <w:szCs w:val="18"/>
                <w:color w:val="auto"/>
              </w:rPr>
              <w:t>Net income (loss) before income tax benefit /</w:t>
            </w: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51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22.7</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39"/>
        </w:trPr>
        <w:tc>
          <w:tcPr>
            <w:tcW w:w="5180" w:type="dxa"/>
            <w:vAlign w:val="bottom"/>
          </w:tcPr>
          <w:p>
            <w:pPr>
              <w:ind w:left="1040"/>
              <w:spacing w:after="0"/>
              <w:rPr>
                <w:sz w:val="20"/>
                <w:szCs w:val="20"/>
                <w:color w:val="auto"/>
              </w:rPr>
            </w:pPr>
            <w:r>
              <w:rPr>
                <w:rFonts w:ascii="Arial" w:cs="Arial" w:eastAsia="Arial" w:hAnsi="Arial"/>
                <w:sz w:val="18"/>
                <w:szCs w:val="18"/>
                <w:color w:val="auto"/>
              </w:rPr>
              <w:t>(expense)</w:t>
            </w:r>
          </w:p>
        </w:tc>
        <w:tc>
          <w:tcPr>
            <w:tcW w:w="320" w:type="dxa"/>
            <w:vAlign w:val="bottom"/>
          </w:tcPr>
          <w:p>
            <w:pPr>
              <w:spacing w:after="0"/>
              <w:rPr>
                <w:sz w:val="20"/>
                <w:szCs w:val="20"/>
                <w:color w:val="auto"/>
              </w:rPr>
            </w:pPr>
          </w:p>
        </w:tc>
        <w:tc>
          <w:tcPr>
            <w:tcW w:w="11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180" w:type="dxa"/>
            <w:vAlign w:val="bottom"/>
          </w:tcPr>
          <w:p>
            <w:pPr>
              <w:spacing w:after="0"/>
              <w:rPr>
                <w:sz w:val="20"/>
                <w:szCs w:val="20"/>
                <w:color w:val="auto"/>
              </w:rPr>
            </w:pPr>
            <w:r>
              <w:rPr>
                <w:rFonts w:ascii="Arial" w:cs="Arial" w:eastAsia="Arial" w:hAnsi="Arial"/>
                <w:sz w:val="18"/>
                <w:szCs w:val="18"/>
                <w:color w:val="auto"/>
              </w:rPr>
              <w:t>Income tax benefit / (expense)</w:t>
            </w:r>
          </w:p>
        </w:tc>
        <w:tc>
          <w:tcPr>
            <w:tcW w:w="3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5180" w:type="dxa"/>
            <w:vAlign w:val="bottom"/>
          </w:tcPr>
          <w:p>
            <w:pPr>
              <w:ind w:left="980"/>
              <w:spacing w:after="0"/>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4"/>
                <w:szCs w:val="24"/>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80" w:type="dxa"/>
            <w:vAlign w:val="bottom"/>
          </w:tcPr>
          <w:p>
            <w:pPr>
              <w:spacing w:after="0"/>
              <w:rPr>
                <w:sz w:val="24"/>
                <w:szCs w:val="24"/>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Arial" w:cs="Arial" w:eastAsia="Arial" w:hAnsi="Arial"/>
                <w:sz w:val="18"/>
                <w:szCs w:val="18"/>
                <w:color w:val="auto"/>
              </w:rPr>
              <w:t>Net income (loss) per share attributable to common</w:t>
            </w: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5180" w:type="dxa"/>
            <w:vAlign w:val="bottom"/>
            <w:vMerge w:val="continue"/>
          </w:tcPr>
          <w:p>
            <w:pPr>
              <w:spacing w:after="0"/>
              <w:rPr>
                <w:sz w:val="16"/>
                <w:szCs w:val="16"/>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(0.04)</w:t>
            </w:r>
          </w:p>
        </w:tc>
        <w:tc>
          <w:tcPr>
            <w:tcW w:w="80" w:type="dxa"/>
            <w:vAlign w:val="bottom"/>
          </w:tcPr>
          <w:p>
            <w:pPr>
              <w:spacing w:after="0"/>
              <w:rPr>
                <w:sz w:val="16"/>
                <w:szCs w:val="16"/>
                <w:color w:val="auto"/>
              </w:rPr>
            </w:pPr>
          </w:p>
        </w:tc>
        <w:tc>
          <w:tcPr>
            <w:tcW w:w="480" w:type="dxa"/>
            <w:vAlign w:val="bottom"/>
            <w:vMerge w:val="restart"/>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16"/>
                <w:szCs w:val="16"/>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1.89</w:t>
            </w:r>
          </w:p>
        </w:tc>
        <w:tc>
          <w:tcPr>
            <w:tcW w:w="80" w:type="dxa"/>
            <w:vAlign w:val="bottom"/>
          </w:tcPr>
          <w:p>
            <w:pPr>
              <w:spacing w:after="0"/>
              <w:rPr>
                <w:sz w:val="16"/>
                <w:szCs w:val="16"/>
                <w:color w:val="auto"/>
              </w:rPr>
            </w:pPr>
          </w:p>
        </w:tc>
        <w:tc>
          <w:tcPr>
            <w:tcW w:w="440" w:type="dxa"/>
            <w:vAlign w:val="bottom"/>
            <w:vMerge w:val="restart"/>
          </w:tcPr>
          <w:p>
            <w:pPr>
              <w:jc w:val="right"/>
              <w:ind w:right="230"/>
              <w:spacing w:after="0"/>
              <w:rPr>
                <w:sz w:val="20"/>
                <w:szCs w:val="20"/>
                <w:color w:val="auto"/>
              </w:rPr>
            </w:pPr>
            <w:r>
              <w:rPr>
                <w:rFonts w:ascii="Arial" w:cs="Arial" w:eastAsia="Arial" w:hAnsi="Arial"/>
                <w:sz w:val="18"/>
                <w:szCs w:val="18"/>
                <w:color w:val="auto"/>
                <w:w w:val="9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(17.62)</w:t>
            </w:r>
          </w:p>
        </w:tc>
        <w:tc>
          <w:tcPr>
            <w:tcW w:w="0" w:type="dxa"/>
            <w:vAlign w:val="bottom"/>
          </w:tcPr>
          <w:p>
            <w:pPr>
              <w:spacing w:after="0"/>
              <w:rPr>
                <w:sz w:val="1"/>
                <w:szCs w:val="1"/>
                <w:color w:val="auto"/>
              </w:rPr>
            </w:pPr>
          </w:p>
        </w:tc>
      </w:tr>
      <w:tr>
        <w:trPr>
          <w:trHeight w:val="240"/>
        </w:trPr>
        <w:tc>
          <w:tcPr>
            <w:tcW w:w="5180" w:type="dxa"/>
            <w:vAlign w:val="bottom"/>
          </w:tcPr>
          <w:p>
            <w:pPr>
              <w:ind w:left="160"/>
              <w:spacing w:after="0"/>
              <w:rPr>
                <w:sz w:val="20"/>
                <w:szCs w:val="20"/>
                <w:color w:val="auto"/>
              </w:rPr>
            </w:pPr>
            <w:r>
              <w:rPr>
                <w:rFonts w:ascii="Arial" w:cs="Arial" w:eastAsia="Arial" w:hAnsi="Arial"/>
                <w:sz w:val="18"/>
                <w:szCs w:val="18"/>
                <w:color w:val="auto"/>
              </w:rPr>
              <w:t>stockholders, basic</w:t>
            </w:r>
          </w:p>
        </w:tc>
        <w:tc>
          <w:tcPr>
            <w:tcW w:w="32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5180" w:type="dxa"/>
            <w:vAlign w:val="bottom"/>
            <w:vMerge w:val="restart"/>
          </w:tcPr>
          <w:p>
            <w:pPr>
              <w:spacing w:after="0"/>
              <w:rPr>
                <w:sz w:val="20"/>
                <w:szCs w:val="20"/>
                <w:color w:val="auto"/>
              </w:rPr>
            </w:pPr>
            <w:r>
              <w:rPr>
                <w:rFonts w:ascii="Arial" w:cs="Arial" w:eastAsia="Arial" w:hAnsi="Arial"/>
                <w:sz w:val="18"/>
                <w:szCs w:val="18"/>
                <w:color w:val="auto"/>
              </w:rPr>
              <w:t>Net income (loss) per share attributable to common</w:t>
            </w: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5180" w:type="dxa"/>
            <w:vAlign w:val="bottom"/>
            <w:vMerge w:val="continue"/>
          </w:tcPr>
          <w:p>
            <w:pPr>
              <w:spacing w:after="0"/>
              <w:rPr>
                <w:sz w:val="16"/>
                <w:szCs w:val="16"/>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(0.04)</w:t>
            </w:r>
          </w:p>
        </w:tc>
        <w:tc>
          <w:tcPr>
            <w:tcW w:w="80" w:type="dxa"/>
            <w:vAlign w:val="bottom"/>
          </w:tcPr>
          <w:p>
            <w:pPr>
              <w:spacing w:after="0"/>
              <w:rPr>
                <w:sz w:val="16"/>
                <w:szCs w:val="16"/>
                <w:color w:val="auto"/>
              </w:rPr>
            </w:pPr>
          </w:p>
        </w:tc>
        <w:tc>
          <w:tcPr>
            <w:tcW w:w="480" w:type="dxa"/>
            <w:vAlign w:val="bottom"/>
            <w:vMerge w:val="restart"/>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16"/>
                <w:szCs w:val="16"/>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1.88</w:t>
            </w:r>
          </w:p>
        </w:tc>
        <w:tc>
          <w:tcPr>
            <w:tcW w:w="80" w:type="dxa"/>
            <w:vAlign w:val="bottom"/>
          </w:tcPr>
          <w:p>
            <w:pPr>
              <w:spacing w:after="0"/>
              <w:rPr>
                <w:sz w:val="16"/>
                <w:szCs w:val="16"/>
                <w:color w:val="auto"/>
              </w:rPr>
            </w:pPr>
          </w:p>
        </w:tc>
        <w:tc>
          <w:tcPr>
            <w:tcW w:w="440" w:type="dxa"/>
            <w:vAlign w:val="bottom"/>
            <w:vMerge w:val="restart"/>
          </w:tcPr>
          <w:p>
            <w:pPr>
              <w:jc w:val="right"/>
              <w:ind w:right="230"/>
              <w:spacing w:after="0"/>
              <w:rPr>
                <w:sz w:val="20"/>
                <w:szCs w:val="20"/>
                <w:color w:val="auto"/>
              </w:rPr>
            </w:pPr>
            <w:r>
              <w:rPr>
                <w:rFonts w:ascii="Arial" w:cs="Arial" w:eastAsia="Arial" w:hAnsi="Arial"/>
                <w:sz w:val="18"/>
                <w:szCs w:val="18"/>
                <w:color w:val="auto"/>
                <w:w w:val="9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(17.62)</w:t>
            </w:r>
          </w:p>
        </w:tc>
        <w:tc>
          <w:tcPr>
            <w:tcW w:w="0" w:type="dxa"/>
            <w:vAlign w:val="bottom"/>
          </w:tcPr>
          <w:p>
            <w:pPr>
              <w:spacing w:after="0"/>
              <w:rPr>
                <w:sz w:val="1"/>
                <w:szCs w:val="1"/>
                <w:color w:val="auto"/>
              </w:rPr>
            </w:pPr>
          </w:p>
        </w:tc>
      </w:tr>
      <w:tr>
        <w:trPr>
          <w:trHeight w:val="240"/>
        </w:trPr>
        <w:tc>
          <w:tcPr>
            <w:tcW w:w="5180" w:type="dxa"/>
            <w:vAlign w:val="bottom"/>
          </w:tcPr>
          <w:p>
            <w:pPr>
              <w:ind w:left="160"/>
              <w:spacing w:after="0"/>
              <w:rPr>
                <w:sz w:val="20"/>
                <w:szCs w:val="20"/>
                <w:color w:val="auto"/>
              </w:rPr>
            </w:pPr>
            <w:r>
              <w:rPr>
                <w:rFonts w:ascii="Arial" w:cs="Arial" w:eastAsia="Arial" w:hAnsi="Arial"/>
                <w:sz w:val="18"/>
                <w:szCs w:val="18"/>
                <w:color w:val="auto"/>
              </w:rPr>
              <w:t>stockholders, diluted</w:t>
            </w:r>
          </w:p>
        </w:tc>
        <w:tc>
          <w:tcPr>
            <w:tcW w:w="32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Arial" w:cs="Arial" w:eastAsia="Arial" w:hAnsi="Arial"/>
                <w:sz w:val="18"/>
                <w:szCs w:val="18"/>
                <w:color w:val="auto"/>
              </w:rPr>
              <w:t>Weighted-average shares used in computing net income (loss)</w:t>
            </w: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51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33,595,521</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4,094,651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11,961,285</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3,967,937</w:t>
            </w:r>
          </w:p>
        </w:tc>
        <w:tc>
          <w:tcPr>
            <w:tcW w:w="0" w:type="dxa"/>
            <w:vAlign w:val="bottom"/>
          </w:tcPr>
          <w:p>
            <w:pPr>
              <w:spacing w:after="0"/>
              <w:rPr>
                <w:sz w:val="1"/>
                <w:szCs w:val="1"/>
                <w:color w:val="auto"/>
              </w:rPr>
            </w:pPr>
          </w:p>
        </w:tc>
      </w:tr>
      <w:tr>
        <w:trPr>
          <w:trHeight w:val="235"/>
        </w:trPr>
        <w:tc>
          <w:tcPr>
            <w:tcW w:w="5180" w:type="dxa"/>
            <w:vAlign w:val="bottom"/>
          </w:tcPr>
          <w:p>
            <w:pPr>
              <w:ind w:left="160"/>
              <w:spacing w:after="0"/>
              <w:rPr>
                <w:sz w:val="20"/>
                <w:szCs w:val="20"/>
                <w:color w:val="auto"/>
              </w:rPr>
            </w:pPr>
            <w:r>
              <w:rPr>
                <w:rFonts w:ascii="Arial" w:cs="Arial" w:eastAsia="Arial" w:hAnsi="Arial"/>
                <w:sz w:val="18"/>
                <w:szCs w:val="18"/>
                <w:color w:val="auto"/>
              </w:rPr>
              <w:t>per share attributable to common stockholders, basic</w:t>
            </w: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Arial" w:cs="Arial" w:eastAsia="Arial" w:hAnsi="Arial"/>
                <w:sz w:val="18"/>
                <w:szCs w:val="18"/>
                <w:color w:val="auto"/>
              </w:rPr>
              <w:t>Weighted-average shares used in computing net income (loss)</w:t>
            </w: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51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33,595,521</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4,094,651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11,997,493</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3,967,937</w:t>
            </w:r>
          </w:p>
        </w:tc>
        <w:tc>
          <w:tcPr>
            <w:tcW w:w="0" w:type="dxa"/>
            <w:vAlign w:val="bottom"/>
          </w:tcPr>
          <w:p>
            <w:pPr>
              <w:spacing w:after="0"/>
              <w:rPr>
                <w:sz w:val="1"/>
                <w:szCs w:val="1"/>
                <w:color w:val="auto"/>
              </w:rPr>
            </w:pPr>
          </w:p>
        </w:tc>
      </w:tr>
      <w:tr>
        <w:trPr>
          <w:trHeight w:val="235"/>
        </w:trPr>
        <w:tc>
          <w:tcPr>
            <w:tcW w:w="5180" w:type="dxa"/>
            <w:vAlign w:val="bottom"/>
          </w:tcPr>
          <w:p>
            <w:pPr>
              <w:ind w:left="160"/>
              <w:spacing w:after="0"/>
              <w:rPr>
                <w:sz w:val="20"/>
                <w:szCs w:val="20"/>
                <w:color w:val="auto"/>
              </w:rPr>
            </w:pPr>
            <w:r>
              <w:rPr>
                <w:rFonts w:ascii="Arial" w:cs="Arial" w:eastAsia="Arial" w:hAnsi="Arial"/>
                <w:sz w:val="18"/>
                <w:szCs w:val="18"/>
                <w:color w:val="auto"/>
              </w:rPr>
              <w:t>per share attributable to common stockholders, diluted</w:t>
            </w: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1101" w:right="339" w:bottom="1440" w:gutter="0" w:footer="0" w:header="0"/>
        </w:sectPr>
      </w:pPr>
    </w:p>
    <w:bookmarkStart w:id="13" w:name="page14"/>
    <w:bookmarkEnd w:id="13"/>
    <w:p>
      <w:pPr>
        <w:ind w:left="4580"/>
        <w:spacing w:after="0"/>
        <w:rPr>
          <w:sz w:val="20"/>
          <w:szCs w:val="20"/>
          <w:color w:val="auto"/>
        </w:rPr>
      </w:pPr>
      <w:r>
        <w:rPr>
          <w:rFonts w:ascii="Arial" w:cs="Arial" w:eastAsia="Arial" w:hAnsi="Arial"/>
          <w:sz w:val="20"/>
          <w:szCs w:val="20"/>
          <w:b w:val="1"/>
          <w:bCs w:val="1"/>
          <w:color w:val="auto"/>
        </w:rPr>
        <w:t>Rent the Runway, Inc.</w:t>
      </w:r>
    </w:p>
    <w:p>
      <w:pPr>
        <w:jc w:val="right"/>
        <w:ind w:right="40"/>
        <w:spacing w:after="0" w:line="231" w:lineRule="auto"/>
        <w:rPr>
          <w:sz w:val="20"/>
          <w:szCs w:val="20"/>
          <w:color w:val="auto"/>
        </w:rPr>
      </w:pPr>
      <w:r>
        <w:rPr>
          <w:rFonts w:ascii="Arial" w:cs="Arial" w:eastAsia="Arial" w:hAnsi="Arial"/>
          <w:sz w:val="20"/>
          <w:szCs w:val="20"/>
          <w:b w:val="1"/>
          <w:bCs w:val="1"/>
          <w:color w:val="auto"/>
        </w:rPr>
        <w:t>Consolidated Statements of Cash Flow</w:t>
      </w:r>
    </w:p>
    <w:p>
      <w:pPr>
        <w:spacing w:after="0" w:line="1" w:lineRule="exact"/>
        <w:rPr>
          <w:sz w:val="20"/>
          <w:szCs w:val="20"/>
          <w:color w:val="auto"/>
        </w:rPr>
      </w:pPr>
    </w:p>
    <w:p>
      <w:pPr>
        <w:ind w:left="5040"/>
        <w:spacing w:after="0"/>
        <w:rPr>
          <w:sz w:val="20"/>
          <w:szCs w:val="20"/>
          <w:color w:val="auto"/>
        </w:rPr>
      </w:pPr>
      <w:r>
        <w:rPr>
          <w:rFonts w:ascii="Arial" w:cs="Arial" w:eastAsia="Arial" w:hAnsi="Arial"/>
          <w:sz w:val="20"/>
          <w:szCs w:val="20"/>
          <w:b w:val="1"/>
          <w:bCs w:val="1"/>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OPERATING ACTIVITIES</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Net income (loss)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Adjustments to reconcile net income (loss) to net cash (used in) provided by operating activities:</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Rental product depreciation and write-offs</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Write-off of rental product sold</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Other depreciation and amortization</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Loss from write-off of fixed assets</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Proceeds from rental product sold</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(Gain) / loss from liquidation of rental product</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Gain on Debt Restructuring</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Accrual of paid-in-kind interest</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Amortization of debt (premium) discount</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Share-based compensation expense</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Changes in operating assets and liabilities:</w:t>
      </w:r>
    </w:p>
    <w:p>
      <w:pPr>
        <w:spacing w:after="0" w:line="5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Prepaid expenses and other current assets</w:t>
      </w:r>
    </w:p>
    <w:p>
      <w:pPr>
        <w:spacing w:after="0" w:line="5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Operating lease right-of-use assets</w:t>
      </w:r>
    </w:p>
    <w:p>
      <w:pPr>
        <w:spacing w:after="0" w:line="5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Other assets</w:t>
      </w:r>
    </w:p>
    <w:p>
      <w:pPr>
        <w:spacing w:after="0" w:line="5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Accounts payable, accrued expenses and other current liabilities</w:t>
      </w:r>
    </w:p>
    <w:p>
      <w:pPr>
        <w:spacing w:after="0" w:line="5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Deferred revenue and customer credit liabilities</w:t>
      </w:r>
    </w:p>
    <w:p>
      <w:pPr>
        <w:spacing w:after="0" w:line="5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Operating lease liabilities</w:t>
      </w:r>
    </w:p>
    <w:p>
      <w:pPr>
        <w:spacing w:after="0" w:line="5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Other liabilities</w:t>
      </w:r>
    </w:p>
    <w:p>
      <w:pPr>
        <w:spacing w:after="0" w:line="10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Net cash (used in) provided by operating activities</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INVESTING ACTIVITIES</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Purchases of rental product</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Proceeds from liquidation of rental product</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Proceeds from sale of rental product</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Purchases of fixed and intangible assets</w:t>
      </w:r>
    </w:p>
    <w:p>
      <w:pPr>
        <w:spacing w:after="0" w:line="8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Net cash (used in) provided by investing activities</w:t>
      </w:r>
    </w:p>
    <w:p>
      <w:pPr>
        <w:spacing w:after="0" w:line="6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FINANCING ACTIVITIES</w:t>
      </w:r>
    </w:p>
    <w:p>
      <w:pPr>
        <w:spacing w:after="0" w:line="86" w:lineRule="exact"/>
        <w:rPr>
          <w:sz w:val="20"/>
          <w:szCs w:val="20"/>
          <w:color w:val="auto"/>
        </w:rPr>
      </w:pPr>
    </w:p>
    <w:p>
      <w:pPr>
        <w:spacing w:after="0"/>
        <w:rPr>
          <w:sz w:val="20"/>
          <w:szCs w:val="20"/>
          <w:color w:val="auto"/>
        </w:rPr>
      </w:pPr>
      <w:r>
        <w:rPr>
          <w:rFonts w:ascii="Arial" w:cs="Arial" w:eastAsia="Arial" w:hAnsi="Arial"/>
          <w:sz w:val="15"/>
          <w:szCs w:val="15"/>
          <w:color w:val="auto"/>
        </w:rPr>
        <w:t>Proceeds from issuance of common stock</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auto"/>
        </w:rPr>
        <w:t>Proceeds from long-term debt</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auto"/>
        </w:rPr>
        <w:t>Debt restructuring costs paid</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auto"/>
        </w:rPr>
        <w:t>Deferred financing costs paid</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auto"/>
        </w:rPr>
        <w:t>Deferred equity issuance costs paid</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auto"/>
        </w:rPr>
        <w:t>Proceeds from short-term financing agreements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Other financing payments</w:t>
      </w:r>
    </w:p>
    <w:p>
      <w:pPr>
        <w:spacing w:after="0" w:line="8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Net cash (used in) provided by financing activities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Net (decrease) increase in cash and cash equivalents and restricted cash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and restricted cash at beginning of period</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and restricted cash at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Years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32385</wp:posOffset>
            </wp:positionV>
            <wp:extent cx="19113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11350" cy="8890"/>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2025</w:t>
            </w:r>
          </w:p>
        </w:tc>
      </w:tr>
      <w:tr>
        <w:trPr>
          <w:trHeight w:val="440"/>
        </w:trPr>
        <w:tc>
          <w:tcPr>
            <w:tcW w:w="340" w:type="dxa"/>
            <w:vAlign w:val="bottom"/>
          </w:tcPr>
          <w:p>
            <w:pPr>
              <w:jc w:val="right"/>
              <w:ind w:right="144"/>
              <w:spacing w:after="0"/>
              <w:rPr>
                <w:sz w:val="20"/>
                <w:szCs w:val="20"/>
                <w:color w:val="auto"/>
              </w:rPr>
            </w:pPr>
            <w:r>
              <w:rPr>
                <w:rFonts w:ascii="Arial" w:cs="Arial" w:eastAsia="Arial" w:hAnsi="Arial"/>
                <w:sz w:val="15"/>
                <w:szCs w:val="15"/>
                <w:color w:val="auto"/>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22.6</w:t>
            </w:r>
          </w:p>
        </w:tc>
        <w:tc>
          <w:tcPr>
            <w:tcW w:w="100" w:type="dxa"/>
            <w:vAlign w:val="bottom"/>
          </w:tcPr>
          <w:p>
            <w:pPr>
              <w:spacing w:after="0"/>
              <w:rPr>
                <w:sz w:val="24"/>
                <w:szCs w:val="24"/>
                <w:color w:val="auto"/>
              </w:rPr>
            </w:pPr>
          </w:p>
        </w:tc>
        <w:tc>
          <w:tcPr>
            <w:tcW w:w="340" w:type="dxa"/>
            <w:vAlign w:val="bottom"/>
          </w:tcPr>
          <w:p>
            <w:pPr>
              <w:jc w:val="right"/>
              <w:ind w:right="164"/>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(69.9)</w:t>
            </w:r>
          </w:p>
        </w:tc>
      </w:tr>
      <w:tr>
        <w:trPr>
          <w:trHeight w:val="486"/>
        </w:trPr>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43.4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46.2</w:t>
            </w:r>
          </w:p>
        </w:tc>
      </w:tr>
      <w:tr>
        <w:trPr>
          <w:trHeight w:val="243"/>
        </w:trPr>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18.4</w:t>
            </w:r>
          </w:p>
        </w:tc>
      </w:tr>
      <w:tr>
        <w:trPr>
          <w:trHeight w:val="243"/>
        </w:trPr>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12.5</w:t>
            </w:r>
          </w:p>
        </w:tc>
      </w:tr>
      <w:tr>
        <w:trPr>
          <w:trHeight w:val="243"/>
        </w:trPr>
        <w:tc>
          <w:tcPr>
            <w:tcW w:w="34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0.3</w:t>
            </w:r>
          </w:p>
        </w:tc>
      </w:tr>
      <w:tr>
        <w:trPr>
          <w:trHeight w:val="243"/>
        </w:trPr>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(28.4)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(28.1)</w:t>
            </w:r>
          </w:p>
        </w:tc>
      </w:tr>
      <w:tr>
        <w:trPr>
          <w:trHeight w:val="243"/>
        </w:trPr>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1.3</w:t>
            </w:r>
          </w:p>
        </w:tc>
      </w:tr>
      <w:tr>
        <w:trPr>
          <w:trHeight w:val="243"/>
        </w:trPr>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(96.3)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43"/>
        </w:trPr>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43"/>
        </w:trPr>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27.0</w:t>
            </w:r>
          </w:p>
        </w:tc>
      </w:tr>
      <w:tr>
        <w:trPr>
          <w:trHeight w:val="260"/>
        </w:trPr>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9.7</w:t>
            </w:r>
          </w:p>
        </w:tc>
      </w:tr>
      <w:tr>
        <w:trPr>
          <w:trHeight w:val="486"/>
        </w:trPr>
        <w:tc>
          <w:tcPr>
            <w:tcW w:w="340" w:type="dxa"/>
            <w:vAlign w:val="bottom"/>
          </w:tcPr>
          <w:p>
            <w:pPr>
              <w:spacing w:after="0"/>
              <w:rPr>
                <w:sz w:val="24"/>
                <w:szCs w:val="2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4"/>
                <w:szCs w:val="24"/>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1.1</w:t>
            </w:r>
          </w:p>
        </w:tc>
      </w:tr>
      <w:tr>
        <w:trPr>
          <w:trHeight w:val="243"/>
        </w:trPr>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1.8</w:t>
            </w:r>
          </w:p>
        </w:tc>
      </w:tr>
      <w:tr>
        <w:trPr>
          <w:trHeight w:val="243"/>
        </w:trPr>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43"/>
        </w:trPr>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43"/>
        </w:trPr>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43"/>
        </w:trPr>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52"/>
        </w:trPr>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r>
      <w:tr>
        <w:trPr>
          <w:trHeight w:val="228"/>
        </w:trPr>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12.9</w:t>
            </w:r>
          </w:p>
        </w:tc>
      </w:tr>
      <w:tr>
        <w:trPr>
          <w:trHeight w:val="43"/>
        </w:trPr>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450"/>
        </w:trPr>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(75.9)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(49.2)</w:t>
            </w:r>
          </w:p>
        </w:tc>
      </w:tr>
      <w:tr>
        <w:trPr>
          <w:trHeight w:val="243"/>
        </w:trPr>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5.4</w:t>
            </w:r>
          </w:p>
        </w:tc>
      </w:tr>
      <w:tr>
        <w:trPr>
          <w:trHeight w:val="225"/>
        </w:trPr>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28.1</w:t>
            </w:r>
          </w:p>
        </w:tc>
      </w:tr>
      <w:tr>
        <w:trPr>
          <w:trHeight w:val="243"/>
        </w:trPr>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(4.4)</w:t>
            </w:r>
          </w:p>
        </w:tc>
      </w:tr>
      <w:tr>
        <w:trPr>
          <w:trHeight w:val="33"/>
        </w:trPr>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(49.5)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(20.1)</w:t>
            </w:r>
          </w:p>
        </w:tc>
      </w:tr>
      <w:tr>
        <w:trPr>
          <w:trHeight w:val="33"/>
        </w:trPr>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460"/>
        </w:trPr>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12.5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57"/>
        </w:trPr>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20.0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56"/>
        </w:trPr>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(11.8)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57"/>
        </w:trPr>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(0.4)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56"/>
        </w:trPr>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(0.4)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57"/>
        </w:trPr>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2.0</w:t>
            </w:r>
          </w:p>
        </w:tc>
      </w:tr>
      <w:tr>
        <w:trPr>
          <w:trHeight w:val="270"/>
        </w:trPr>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(2.3)</w:t>
            </w:r>
          </w:p>
        </w:tc>
      </w:tr>
      <w:tr>
        <w:trPr>
          <w:trHeight w:val="33"/>
        </w:trPr>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18.6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(0.3)</w:t>
            </w:r>
          </w:p>
        </w:tc>
      </w:tr>
      <w:tr>
        <w:trPr>
          <w:trHeight w:val="33"/>
        </w:trPr>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(27.4)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(7.5)</w:t>
            </w:r>
          </w:p>
        </w:tc>
      </w:tr>
      <w:tr>
        <w:trPr>
          <w:trHeight w:val="270"/>
        </w:trPr>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86.5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94.0</w:t>
            </w:r>
          </w:p>
        </w:tc>
      </w:tr>
      <w:tr>
        <w:trPr>
          <w:trHeight w:val="33"/>
        </w:trPr>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340" w:type="dxa"/>
            <w:vAlign w:val="bottom"/>
          </w:tcPr>
          <w:p>
            <w:pPr>
              <w:jc w:val="right"/>
              <w:ind w:right="144"/>
              <w:spacing w:after="0"/>
              <w:rPr>
                <w:sz w:val="20"/>
                <w:szCs w:val="20"/>
                <w:color w:val="auto"/>
              </w:rPr>
            </w:pPr>
            <w:r>
              <w:rPr>
                <w:rFonts w:ascii="Arial" w:cs="Arial" w:eastAsia="Arial" w:hAnsi="Arial"/>
                <w:sz w:val="15"/>
                <w:szCs w:val="15"/>
                <w:color w:val="auto"/>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59.1</w:t>
            </w:r>
          </w:p>
        </w:tc>
        <w:tc>
          <w:tcPr>
            <w:tcW w:w="100" w:type="dxa"/>
            <w:vAlign w:val="bottom"/>
          </w:tcPr>
          <w:p>
            <w:pPr>
              <w:spacing w:after="0"/>
              <w:rPr>
                <w:sz w:val="18"/>
                <w:szCs w:val="18"/>
                <w:color w:val="auto"/>
              </w:rPr>
            </w:pPr>
          </w:p>
        </w:tc>
        <w:tc>
          <w:tcPr>
            <w:tcW w:w="340" w:type="dxa"/>
            <w:vAlign w:val="bottom"/>
          </w:tcPr>
          <w:p>
            <w:pPr>
              <w:jc w:val="right"/>
              <w:ind w:right="164"/>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86.5</w:t>
            </w:r>
          </w:p>
        </w:tc>
      </w:tr>
      <w:tr>
        <w:trPr>
          <w:trHeight w:val="33"/>
        </w:trPr>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7480" w:space="720"/>
            <w:col w:w="3020"/>
          </w:cols>
          <w:pgMar w:left="340" w:top="1101" w:right="339" w:bottom="1440" w:gutter="0" w:footer="0" w:header="0"/>
        </w:sectPr>
      </w:pPr>
    </w:p>
    <w:bookmarkStart w:id="14" w:name="page15"/>
    <w:bookmarkEnd w:id="14"/>
    <w:p>
      <w:pPr>
        <w:ind w:left="4580"/>
        <w:spacing w:after="0"/>
        <w:rPr>
          <w:sz w:val="20"/>
          <w:szCs w:val="20"/>
          <w:color w:val="auto"/>
        </w:rPr>
      </w:pPr>
      <w:r>
        <w:rPr>
          <w:rFonts w:ascii="Arial" w:cs="Arial" w:eastAsia="Arial" w:hAnsi="Arial"/>
          <w:sz w:val="20"/>
          <w:szCs w:val="20"/>
          <w:b w:val="1"/>
          <w:bCs w:val="1"/>
          <w:color w:val="auto"/>
        </w:rPr>
        <w:t>Rent the Runway, Inc.</w:t>
      </w:r>
    </w:p>
    <w:p>
      <w:pPr>
        <w:spacing w:after="0" w:line="4" w:lineRule="exact"/>
        <w:rPr>
          <w:sz w:val="20"/>
          <w:szCs w:val="20"/>
          <w:color w:val="auto"/>
        </w:rPr>
      </w:pPr>
    </w:p>
    <w:p>
      <w:pPr>
        <w:ind w:left="3780"/>
        <w:spacing w:after="0"/>
        <w:rPr>
          <w:sz w:val="20"/>
          <w:szCs w:val="20"/>
          <w:color w:val="auto"/>
        </w:rPr>
      </w:pPr>
      <w:r>
        <w:rPr>
          <w:rFonts w:ascii="Arial" w:cs="Arial" w:eastAsia="Arial" w:hAnsi="Arial"/>
          <w:sz w:val="19"/>
          <w:szCs w:val="19"/>
          <w:b w:val="1"/>
          <w:bCs w:val="1"/>
          <w:color w:val="auto"/>
        </w:rPr>
        <w:t>Consolidated Statements of Cash Flow</w:t>
      </w:r>
    </w:p>
    <w:p>
      <w:pPr>
        <w:jc w:val="center"/>
        <w:spacing w:after="0"/>
        <w:rPr>
          <w:sz w:val="20"/>
          <w:szCs w:val="20"/>
          <w:color w:val="auto"/>
        </w:rPr>
      </w:pPr>
      <w:r>
        <w:rPr>
          <w:rFonts w:ascii="Arial" w:cs="Arial" w:eastAsia="Arial" w:hAnsi="Arial"/>
          <w:sz w:val="20"/>
          <w:szCs w:val="20"/>
          <w:b w:val="1"/>
          <w:bCs w:val="1"/>
          <w:color w:val="auto"/>
        </w:rPr>
        <w:t>(in millions)</w:t>
      </w:r>
    </w:p>
    <w:p>
      <w:pPr>
        <w:sectPr>
          <w:pgSz w:w="11900" w:h="16838" w:orient="portrait"/>
          <w:cols w:equalWidth="0" w:num="1">
            <w:col w:w="11220"/>
          </w:cols>
          <w:pgMar w:left="340" w:top="110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60" w:hanging="161"/>
        <w:spacing w:after="0" w:line="301" w:lineRule="auto"/>
        <w:rPr>
          <w:sz w:val="20"/>
          <w:szCs w:val="20"/>
          <w:color w:val="auto"/>
        </w:rPr>
      </w:pPr>
      <w:r>
        <w:rPr>
          <w:rFonts w:ascii="Arial" w:cs="Arial" w:eastAsia="Arial" w:hAnsi="Arial"/>
          <w:sz w:val="14"/>
          <w:szCs w:val="14"/>
          <w:b w:val="1"/>
          <w:bCs w:val="1"/>
          <w:color w:val="auto"/>
        </w:rPr>
        <w:t>RECONCILIATION OF CASH AND CASH EQUIVALENTS AND RESTRICTED CASH TO THE CONSOLIDATED BALANCE SHEETS: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Cash and cash equivalents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Restricted cash, current</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Restricted cash, noncurrent</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Total cash and cash equivalents and restricted cash</w:t>
      </w: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Supplemental Cash Flow Information:</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Cash payments (receipts) for:</w:t>
      </w:r>
    </w:p>
    <w:p>
      <w:pPr>
        <w:spacing w:after="0" w:line="6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Interest paid on loans</w:t>
      </w:r>
    </w:p>
    <w:p>
      <w:pPr>
        <w:spacing w:after="0" w:line="6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Interest paid on financing leases</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Fixed operating lease payments, net</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Fixed assets and intangibles received in the prior period</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Rental product received in the prior period</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Non-cash financing and investing activities:</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Purchases of fixed assets and intangibles not yet settled</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Purchases of rental product not yet settled</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Change in common stock related to debt restructuring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Years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32385</wp:posOffset>
            </wp:positionV>
            <wp:extent cx="19113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11350" cy="889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2025</w:t>
            </w:r>
          </w:p>
        </w:tc>
      </w:tr>
      <w:tr>
        <w:trPr>
          <w:trHeight w:val="600"/>
        </w:trPr>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50.4</w:t>
            </w:r>
          </w:p>
        </w:tc>
        <w:tc>
          <w:tcPr>
            <w:tcW w:w="100" w:type="dxa"/>
            <w:vAlign w:val="bottom"/>
          </w:tcPr>
          <w:p>
            <w:pPr>
              <w:spacing w:after="0"/>
              <w:rPr>
                <w:sz w:val="24"/>
                <w:szCs w:val="24"/>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77.4</w:t>
            </w:r>
          </w:p>
        </w:tc>
      </w:tr>
      <w:tr>
        <w:trPr>
          <w:trHeight w:val="229"/>
        </w:trPr>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4.7</w:t>
            </w:r>
          </w:p>
        </w:tc>
      </w:tr>
      <w:tr>
        <w:trPr>
          <w:trHeight w:val="243"/>
        </w:trPr>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4.4</w:t>
            </w:r>
          </w:p>
        </w:tc>
      </w:tr>
      <w:tr>
        <w:trPr>
          <w:trHeight w:val="22"/>
        </w:trPr>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15"/>
        </w:trPr>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59.1</w:t>
            </w:r>
          </w:p>
        </w:tc>
        <w:tc>
          <w:tcPr>
            <w:tcW w:w="10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86.5</w:t>
            </w:r>
          </w:p>
        </w:tc>
      </w:tr>
      <w:tr>
        <w:trPr>
          <w:trHeight w:val="22"/>
        </w:trPr>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1"/>
        </w:trPr>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60" w:type="dxa"/>
            <w:vAlign w:val="bottom"/>
          </w:tcPr>
          <w:p>
            <w:pPr>
              <w:jc w:val="right"/>
              <w:ind w:right="40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9"/>
        </w:trPr>
        <w:tc>
          <w:tcPr>
            <w:tcW w:w="560" w:type="dxa"/>
            <w:vAlign w:val="bottom"/>
          </w:tcPr>
          <w:p>
            <w:pPr>
              <w:spacing w:after="0"/>
              <w:rPr>
                <w:sz w:val="19"/>
                <w:szCs w:val="19"/>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0.1</w:t>
            </w:r>
          </w:p>
        </w:tc>
        <w:tc>
          <w:tcPr>
            <w:tcW w:w="6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243"/>
        </w:trPr>
        <w:tc>
          <w:tcPr>
            <w:tcW w:w="560" w:type="dxa"/>
            <w:vAlign w:val="bottom"/>
          </w:tcPr>
          <w:p>
            <w:pPr>
              <w:spacing w:after="0"/>
              <w:rPr>
                <w:sz w:val="21"/>
                <w:szCs w:val="21"/>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11.5</w:t>
            </w:r>
          </w:p>
        </w:tc>
        <w:tc>
          <w:tcPr>
            <w:tcW w:w="6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10.9</w:t>
            </w:r>
          </w:p>
        </w:tc>
      </w:tr>
      <w:tr>
        <w:trPr>
          <w:trHeight w:val="243"/>
        </w:trPr>
        <w:tc>
          <w:tcPr>
            <w:tcW w:w="560" w:type="dxa"/>
            <w:vAlign w:val="bottom"/>
          </w:tcPr>
          <w:p>
            <w:pPr>
              <w:spacing w:after="0"/>
              <w:rPr>
                <w:sz w:val="21"/>
                <w:szCs w:val="21"/>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0.3</w:t>
            </w:r>
          </w:p>
        </w:tc>
      </w:tr>
      <w:tr>
        <w:trPr>
          <w:trHeight w:val="243"/>
        </w:trPr>
        <w:tc>
          <w:tcPr>
            <w:tcW w:w="560" w:type="dxa"/>
            <w:vAlign w:val="bottom"/>
          </w:tcPr>
          <w:p>
            <w:pPr>
              <w:spacing w:after="0"/>
              <w:rPr>
                <w:sz w:val="21"/>
                <w:szCs w:val="21"/>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2.7</w:t>
            </w:r>
          </w:p>
        </w:tc>
        <w:tc>
          <w:tcPr>
            <w:tcW w:w="6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473"/>
        </w:trPr>
        <w:tc>
          <w:tcPr>
            <w:tcW w:w="560" w:type="dxa"/>
            <w:vAlign w:val="bottom"/>
          </w:tcPr>
          <w:p>
            <w:pPr>
              <w:jc w:val="right"/>
              <w:ind w:right="40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0.2</w:t>
            </w:r>
          </w:p>
        </w:tc>
        <w:tc>
          <w:tcPr>
            <w:tcW w:w="66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43"/>
        </w:trPr>
        <w:tc>
          <w:tcPr>
            <w:tcW w:w="560" w:type="dxa"/>
            <w:vAlign w:val="bottom"/>
          </w:tcPr>
          <w:p>
            <w:pPr>
              <w:spacing w:after="0"/>
              <w:rPr>
                <w:sz w:val="21"/>
                <w:szCs w:val="21"/>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1.6</w:t>
            </w:r>
          </w:p>
        </w:tc>
        <w:tc>
          <w:tcPr>
            <w:tcW w:w="6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243"/>
        </w:trPr>
        <w:tc>
          <w:tcPr>
            <w:tcW w:w="560" w:type="dxa"/>
            <w:vAlign w:val="bottom"/>
          </w:tcPr>
          <w:p>
            <w:pPr>
              <w:spacing w:after="0"/>
              <w:rPr>
                <w:sz w:val="21"/>
                <w:szCs w:val="21"/>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107.6</w:t>
            </w:r>
          </w:p>
        </w:tc>
        <w:tc>
          <w:tcPr>
            <w:tcW w:w="6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r>
    </w:tbl>
    <w:p>
      <w:pPr>
        <w:sectPr>
          <w:pgSz w:w="11900" w:h="16838" w:orient="portrait"/>
          <w:cols w:equalWidth="0" w:num="2">
            <w:col w:w="8020" w:space="180"/>
            <w:col w:w="3020"/>
          </w:cols>
          <w:pgMar w:left="340" w:top="1101" w:right="339" w:bottom="1440" w:gutter="0" w:footer="0" w:header="0"/>
          <w:type w:val="continuous"/>
        </w:sectPr>
      </w:pPr>
    </w:p>
    <w:bookmarkStart w:id="15" w:name="page16"/>
    <w:bookmarkEnd w:id="15"/>
    <w:p>
      <w:pPr>
        <w:ind w:left="4673"/>
        <w:spacing w:after="0"/>
        <w:rPr>
          <w:sz w:val="20"/>
          <w:szCs w:val="20"/>
          <w:color w:val="auto"/>
        </w:rPr>
      </w:pPr>
      <w:r>
        <w:rPr>
          <w:rFonts w:ascii="Arial" w:cs="Arial" w:eastAsia="Arial" w:hAnsi="Arial"/>
          <w:sz w:val="20"/>
          <w:szCs w:val="20"/>
          <w:b w:val="1"/>
          <w:bCs w:val="1"/>
          <w:color w:val="auto"/>
        </w:rPr>
        <w:t>Rent the Runway, Inc.</w:t>
      </w:r>
    </w:p>
    <w:p>
      <w:pPr>
        <w:ind w:left="2993"/>
        <w:spacing w:after="0" w:line="231" w:lineRule="auto"/>
        <w:rPr>
          <w:sz w:val="20"/>
          <w:szCs w:val="20"/>
          <w:color w:val="auto"/>
        </w:rPr>
      </w:pPr>
      <w:r>
        <w:rPr>
          <w:rFonts w:ascii="Arial" w:cs="Arial" w:eastAsia="Arial" w:hAnsi="Arial"/>
          <w:sz w:val="20"/>
          <w:szCs w:val="20"/>
          <w:b w:val="1"/>
          <w:bCs w:val="1"/>
          <w:color w:val="auto"/>
        </w:rPr>
        <w:t>Reconciliation of GAAP to Non-GAAP Financial Measures</w:t>
      </w:r>
    </w:p>
    <w:p>
      <w:pPr>
        <w:spacing w:after="0" w:line="1" w:lineRule="exact"/>
        <w:rPr>
          <w:sz w:val="20"/>
          <w:szCs w:val="20"/>
          <w:color w:val="auto"/>
        </w:rPr>
      </w:pPr>
    </w:p>
    <w:p>
      <w:pPr>
        <w:jc w:val="center"/>
        <w:ind w:right="-72"/>
        <w:spacing w:after="0"/>
        <w:rPr>
          <w:sz w:val="20"/>
          <w:szCs w:val="20"/>
          <w:color w:val="auto"/>
        </w:rPr>
      </w:pPr>
      <w:r>
        <w:rPr>
          <w:rFonts w:ascii="Arial" w:cs="Arial" w:eastAsia="Arial" w:hAnsi="Arial"/>
          <w:sz w:val="20"/>
          <w:szCs w:val="20"/>
          <w:b w:val="1"/>
          <w:bCs w:val="1"/>
          <w:color w:val="auto"/>
        </w:rPr>
        <w:t>(in millions)</w:t>
      </w:r>
    </w:p>
    <w:p>
      <w:pPr>
        <w:spacing w:after="0" w:line="200" w:lineRule="exact"/>
        <w:rPr>
          <w:sz w:val="20"/>
          <w:szCs w:val="20"/>
          <w:color w:val="auto"/>
        </w:rPr>
      </w:pPr>
    </w:p>
    <w:p>
      <w:pPr>
        <w:spacing w:after="0" w:line="241" w:lineRule="exact"/>
        <w:rPr>
          <w:sz w:val="20"/>
          <w:szCs w:val="20"/>
          <w:color w:val="auto"/>
        </w:rPr>
      </w:pPr>
    </w:p>
    <w:p>
      <w:pPr>
        <w:ind w:left="73" w:right="340"/>
        <w:spacing w:after="0" w:line="224" w:lineRule="auto"/>
        <w:rPr>
          <w:sz w:val="20"/>
          <w:szCs w:val="20"/>
          <w:color w:val="auto"/>
        </w:rPr>
      </w:pPr>
      <w:r>
        <w:rPr>
          <w:rFonts w:ascii="Arial" w:cs="Arial" w:eastAsia="Arial" w:hAnsi="Arial"/>
          <w:sz w:val="19"/>
          <w:szCs w:val="19"/>
          <w:color w:val="auto"/>
        </w:rPr>
        <w:t>The following table presents a reconciliation of net income (loss) and net income (loss) as a percentage of revenue, the most comparable GAAP financial measures, to Adjusted EBITDA and Adjusted EBITDA Margin, respectively, for the periods</w:t>
      </w:r>
    </w:p>
    <w:p>
      <w:pPr>
        <w:spacing w:after="0" w:line="2" w:lineRule="exact"/>
        <w:rPr>
          <w:sz w:val="20"/>
          <w:szCs w:val="20"/>
          <w:color w:val="auto"/>
        </w:rPr>
      </w:pPr>
    </w:p>
    <w:p>
      <w:pPr>
        <w:ind w:left="73"/>
        <w:spacing w:after="0"/>
        <w:rPr>
          <w:sz w:val="20"/>
          <w:szCs w:val="20"/>
          <w:color w:val="auto"/>
        </w:rPr>
      </w:pPr>
      <w:r>
        <w:rPr>
          <w:rFonts w:ascii="Arial" w:cs="Arial" w:eastAsia="Arial" w:hAnsi="Arial"/>
          <w:sz w:val="20"/>
          <w:szCs w:val="20"/>
          <w:color w:val="auto"/>
        </w:rPr>
        <w:t>presented:</w:t>
      </w:r>
    </w:p>
    <w:p>
      <w:pPr>
        <w:sectPr>
          <w:pgSz w:w="11900" w:h="16838" w:orient="portrait"/>
          <w:cols w:equalWidth="0" w:num="1">
            <w:col w:w="11313"/>
          </w:cols>
          <w:pgMar w:left="247" w:top="110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93"/>
        <w:spacing w:after="0"/>
        <w:rPr>
          <w:sz w:val="20"/>
          <w:szCs w:val="20"/>
          <w:color w:val="auto"/>
        </w:rPr>
      </w:pPr>
      <w:r>
        <w:rPr>
          <w:rFonts w:ascii="Arial" w:cs="Arial" w:eastAsia="Arial" w:hAnsi="Arial"/>
          <w:sz w:val="18"/>
          <w:szCs w:val="18"/>
          <w:color w:val="auto"/>
        </w:rPr>
        <w:t>Net income (loss)</w:t>
      </w:r>
    </w:p>
    <w:p>
      <w:pPr>
        <w:spacing w:after="0" w:line="88" w:lineRule="exact"/>
        <w:rPr>
          <w:sz w:val="20"/>
          <w:szCs w:val="20"/>
          <w:color w:val="auto"/>
        </w:rPr>
      </w:pPr>
    </w:p>
    <w:p>
      <w:pPr>
        <w:ind w:left="93"/>
        <w:spacing w:after="0"/>
        <w:rPr>
          <w:sz w:val="20"/>
          <w:szCs w:val="20"/>
          <w:color w:val="auto"/>
        </w:rPr>
      </w:pPr>
      <w:r>
        <w:rPr>
          <w:rFonts w:ascii="Arial" w:cs="Arial" w:eastAsia="Arial" w:hAnsi="Arial"/>
          <w:sz w:val="18"/>
          <w:szCs w:val="18"/>
          <w:color w:val="auto"/>
        </w:rPr>
        <w:t xml:space="preserve">Interest (income) / expense, net </w:t>
      </w:r>
      <w:r>
        <w:rPr>
          <w:rFonts w:ascii="Arial" w:cs="Arial" w:eastAsia="Arial" w:hAnsi="Arial"/>
          <w:sz w:val="23"/>
          <w:szCs w:val="23"/>
          <w:color w:val="auto"/>
          <w:vertAlign w:val="superscript"/>
        </w:rPr>
        <w:t>(1)</w:t>
      </w:r>
    </w:p>
    <w:p>
      <w:pPr>
        <w:spacing w:after="0" w:line="46" w:lineRule="exact"/>
        <w:rPr>
          <w:sz w:val="20"/>
          <w:szCs w:val="20"/>
          <w:color w:val="auto"/>
        </w:rPr>
      </w:pPr>
    </w:p>
    <w:p>
      <w:pPr>
        <w:ind w:left="93"/>
        <w:spacing w:after="0"/>
        <w:rPr>
          <w:sz w:val="20"/>
          <w:szCs w:val="20"/>
          <w:color w:val="auto"/>
        </w:rPr>
      </w:pPr>
      <w:r>
        <w:rPr>
          <w:rFonts w:ascii="Arial" w:cs="Arial" w:eastAsia="Arial" w:hAnsi="Arial"/>
          <w:sz w:val="18"/>
          <w:szCs w:val="18"/>
          <w:color w:val="auto"/>
        </w:rPr>
        <w:t>Rental product depreciation</w:t>
      </w:r>
    </w:p>
    <w:p>
      <w:pPr>
        <w:spacing w:after="0" w:line="77" w:lineRule="exact"/>
        <w:rPr>
          <w:sz w:val="20"/>
          <w:szCs w:val="20"/>
          <w:color w:val="auto"/>
        </w:rPr>
      </w:pPr>
    </w:p>
    <w:p>
      <w:pPr>
        <w:ind w:left="93"/>
        <w:spacing w:after="0"/>
        <w:rPr>
          <w:sz w:val="20"/>
          <w:szCs w:val="20"/>
          <w:color w:val="auto"/>
        </w:rPr>
      </w:pPr>
      <w:r>
        <w:rPr>
          <w:rFonts w:ascii="Arial" w:cs="Arial" w:eastAsia="Arial" w:hAnsi="Arial"/>
          <w:sz w:val="18"/>
          <w:szCs w:val="18"/>
          <w:color w:val="auto"/>
        </w:rPr>
        <w:t xml:space="preserve">Other depreciation and amortization </w:t>
      </w:r>
      <w:r>
        <w:rPr>
          <w:rFonts w:ascii="Arial" w:cs="Arial" w:eastAsia="Arial" w:hAnsi="Arial"/>
          <w:sz w:val="23"/>
          <w:szCs w:val="23"/>
          <w:color w:val="auto"/>
          <w:vertAlign w:val="superscript"/>
        </w:rPr>
        <w:t>(2)</w:t>
      </w:r>
    </w:p>
    <w:p>
      <w:pPr>
        <w:spacing w:after="0" w:line="46" w:lineRule="exact"/>
        <w:rPr>
          <w:sz w:val="20"/>
          <w:szCs w:val="20"/>
          <w:color w:val="auto"/>
        </w:rPr>
      </w:pPr>
    </w:p>
    <w:p>
      <w:pPr>
        <w:ind w:left="93"/>
        <w:spacing w:after="0"/>
        <w:rPr>
          <w:sz w:val="20"/>
          <w:szCs w:val="20"/>
          <w:color w:val="auto"/>
        </w:rPr>
      </w:pPr>
      <w:r>
        <w:rPr>
          <w:rFonts w:ascii="Arial" w:cs="Arial" w:eastAsia="Arial" w:hAnsi="Arial"/>
          <w:sz w:val="18"/>
          <w:szCs w:val="18"/>
          <w:color w:val="auto"/>
        </w:rPr>
        <w:t xml:space="preserve">Share-based compensation </w:t>
      </w:r>
      <w:r>
        <w:rPr>
          <w:rFonts w:ascii="Arial" w:cs="Arial" w:eastAsia="Arial" w:hAnsi="Arial"/>
          <w:sz w:val="23"/>
          <w:szCs w:val="23"/>
          <w:color w:val="auto"/>
          <w:vertAlign w:val="superscript"/>
        </w:rPr>
        <w:t>(3)</w:t>
      </w:r>
    </w:p>
    <w:p>
      <w:pPr>
        <w:spacing w:after="0" w:line="21" w:lineRule="exact"/>
        <w:rPr>
          <w:sz w:val="20"/>
          <w:szCs w:val="20"/>
          <w:color w:val="auto"/>
        </w:rPr>
      </w:pPr>
    </w:p>
    <w:p>
      <w:pPr>
        <w:ind w:left="93"/>
        <w:spacing w:after="0"/>
        <w:rPr>
          <w:sz w:val="20"/>
          <w:szCs w:val="20"/>
          <w:color w:val="auto"/>
        </w:rPr>
      </w:pPr>
      <w:r>
        <w:rPr>
          <w:rFonts w:ascii="Arial" w:cs="Arial" w:eastAsia="Arial" w:hAnsi="Arial"/>
          <w:sz w:val="18"/>
          <w:szCs w:val="18"/>
          <w:color w:val="auto"/>
        </w:rPr>
        <w:t xml:space="preserve">Write-off of liquidated assets </w:t>
      </w:r>
      <w:r>
        <w:rPr>
          <w:rFonts w:ascii="Arial" w:cs="Arial" w:eastAsia="Arial" w:hAnsi="Arial"/>
          <w:sz w:val="23"/>
          <w:szCs w:val="23"/>
          <w:color w:val="auto"/>
          <w:vertAlign w:val="superscript"/>
        </w:rPr>
        <w:t>(4)</w:t>
      </w:r>
    </w:p>
    <w:p>
      <w:pPr>
        <w:spacing w:after="0" w:line="33" w:lineRule="exact"/>
        <w:rPr>
          <w:sz w:val="20"/>
          <w:szCs w:val="20"/>
          <w:color w:val="auto"/>
        </w:rPr>
      </w:pPr>
    </w:p>
    <w:p>
      <w:pPr>
        <w:ind w:left="93"/>
        <w:spacing w:after="0"/>
        <w:rPr>
          <w:sz w:val="20"/>
          <w:szCs w:val="20"/>
          <w:color w:val="auto"/>
        </w:rPr>
      </w:pPr>
      <w:r>
        <w:rPr>
          <w:rFonts w:ascii="Arial" w:cs="Arial" w:eastAsia="Arial" w:hAnsi="Arial"/>
          <w:sz w:val="18"/>
          <w:szCs w:val="18"/>
          <w:color w:val="auto"/>
        </w:rPr>
        <w:t xml:space="preserve">Non-recurring adjustments </w:t>
      </w:r>
      <w:r>
        <w:rPr>
          <w:rFonts w:ascii="Arial" w:cs="Arial" w:eastAsia="Arial" w:hAnsi="Arial"/>
          <w:sz w:val="23"/>
          <w:szCs w:val="23"/>
          <w:color w:val="auto"/>
          <w:vertAlign w:val="superscript"/>
        </w:rPr>
        <w:t>(5)</w:t>
      </w:r>
    </w:p>
    <w:p>
      <w:pPr>
        <w:spacing w:after="0" w:line="33" w:lineRule="exact"/>
        <w:rPr>
          <w:sz w:val="20"/>
          <w:szCs w:val="20"/>
          <w:color w:val="auto"/>
        </w:rPr>
      </w:pPr>
    </w:p>
    <w:p>
      <w:pPr>
        <w:ind w:left="93"/>
        <w:spacing w:after="0"/>
        <w:rPr>
          <w:sz w:val="20"/>
          <w:szCs w:val="20"/>
          <w:color w:val="auto"/>
        </w:rPr>
      </w:pPr>
      <w:r>
        <w:rPr>
          <w:rFonts w:ascii="Arial" w:cs="Arial" w:eastAsia="Arial" w:hAnsi="Arial"/>
          <w:sz w:val="18"/>
          <w:szCs w:val="18"/>
          <w:color w:val="auto"/>
        </w:rPr>
        <w:t xml:space="preserve">Non-ordinary course legal fees </w:t>
      </w:r>
      <w:r>
        <w:rPr>
          <w:rFonts w:ascii="Arial" w:cs="Arial" w:eastAsia="Arial" w:hAnsi="Arial"/>
          <w:sz w:val="23"/>
          <w:szCs w:val="23"/>
          <w:color w:val="auto"/>
          <w:vertAlign w:val="superscript"/>
        </w:rPr>
        <w:t>(6)</w:t>
      </w:r>
    </w:p>
    <w:p>
      <w:pPr>
        <w:spacing w:after="0" w:line="33" w:lineRule="exact"/>
        <w:rPr>
          <w:sz w:val="20"/>
          <w:szCs w:val="20"/>
          <w:color w:val="auto"/>
        </w:rPr>
      </w:pPr>
    </w:p>
    <w:p>
      <w:pPr>
        <w:ind w:left="93"/>
        <w:spacing w:after="0"/>
        <w:rPr>
          <w:sz w:val="20"/>
          <w:szCs w:val="20"/>
          <w:color w:val="auto"/>
        </w:rPr>
      </w:pPr>
      <w:r>
        <w:rPr>
          <w:rFonts w:ascii="Arial" w:cs="Arial" w:eastAsia="Arial" w:hAnsi="Arial"/>
          <w:sz w:val="18"/>
          <w:szCs w:val="18"/>
          <w:color w:val="auto"/>
        </w:rPr>
        <w:t xml:space="preserve">Restructuring charges </w:t>
      </w:r>
      <w:r>
        <w:rPr>
          <w:rFonts w:ascii="Arial" w:cs="Arial" w:eastAsia="Arial" w:hAnsi="Arial"/>
          <w:sz w:val="23"/>
          <w:szCs w:val="23"/>
          <w:color w:val="auto"/>
          <w:vertAlign w:val="superscript"/>
        </w:rPr>
        <w:t>(7)</w:t>
      </w:r>
    </w:p>
    <w:p>
      <w:pPr>
        <w:spacing w:after="0" w:line="30" w:lineRule="exact"/>
        <w:rPr>
          <w:sz w:val="20"/>
          <w:szCs w:val="20"/>
          <w:color w:val="auto"/>
        </w:rPr>
      </w:pPr>
    </w:p>
    <w:p>
      <w:pPr>
        <w:ind w:left="93"/>
        <w:spacing w:after="0"/>
        <w:rPr>
          <w:sz w:val="20"/>
          <w:szCs w:val="20"/>
          <w:color w:val="auto"/>
        </w:rPr>
      </w:pPr>
      <w:r>
        <w:rPr>
          <w:rFonts w:ascii="Arial" w:cs="Arial" w:eastAsia="Arial" w:hAnsi="Arial"/>
          <w:sz w:val="18"/>
          <w:szCs w:val="18"/>
          <w:color w:val="auto"/>
        </w:rPr>
        <w:t xml:space="preserve">Gain on Debt Restructuring </w:t>
      </w:r>
      <w:r>
        <w:rPr>
          <w:rFonts w:ascii="Arial" w:cs="Arial" w:eastAsia="Arial" w:hAnsi="Arial"/>
          <w:sz w:val="23"/>
          <w:szCs w:val="23"/>
          <w:color w:val="auto"/>
          <w:vertAlign w:val="superscript"/>
        </w:rPr>
        <w:t>(8)</w:t>
      </w:r>
    </w:p>
    <w:p>
      <w:pPr>
        <w:spacing w:after="0" w:line="46" w:lineRule="exact"/>
        <w:rPr>
          <w:sz w:val="20"/>
          <w:szCs w:val="20"/>
          <w:color w:val="auto"/>
        </w:rPr>
      </w:pPr>
    </w:p>
    <w:p>
      <w:pPr>
        <w:ind w:left="93"/>
        <w:spacing w:after="0"/>
        <w:rPr>
          <w:sz w:val="20"/>
          <w:szCs w:val="20"/>
          <w:color w:val="auto"/>
        </w:rPr>
      </w:pPr>
      <w:r>
        <w:rPr>
          <w:rFonts w:ascii="Arial" w:cs="Arial" w:eastAsia="Arial" w:hAnsi="Arial"/>
          <w:sz w:val="18"/>
          <w:szCs w:val="18"/>
          <w:color w:val="auto"/>
        </w:rPr>
        <w:t>Income tax (benefit) / expense</w:t>
      </w:r>
    </w:p>
    <w:p>
      <w:pPr>
        <w:spacing w:after="0" w:line="79" w:lineRule="exact"/>
        <w:rPr>
          <w:sz w:val="20"/>
          <w:szCs w:val="20"/>
          <w:color w:val="auto"/>
        </w:rPr>
      </w:pPr>
    </w:p>
    <w:p>
      <w:pPr>
        <w:ind w:left="93"/>
        <w:spacing w:after="0"/>
        <w:rPr>
          <w:sz w:val="20"/>
          <w:szCs w:val="20"/>
          <w:color w:val="auto"/>
        </w:rPr>
      </w:pPr>
      <w:r>
        <w:rPr>
          <w:rFonts w:ascii="Arial" w:cs="Arial" w:eastAsia="Arial" w:hAnsi="Arial"/>
          <w:sz w:val="18"/>
          <w:szCs w:val="18"/>
          <w:color w:val="auto"/>
        </w:rPr>
        <w:t xml:space="preserve">Other (income) / expense, net </w:t>
      </w:r>
      <w:r>
        <w:rPr>
          <w:rFonts w:ascii="Arial" w:cs="Arial" w:eastAsia="Arial" w:hAnsi="Arial"/>
          <w:sz w:val="23"/>
          <w:szCs w:val="23"/>
          <w:color w:val="auto"/>
          <w:vertAlign w:val="superscript"/>
        </w:rPr>
        <w:t>(9)</w:t>
      </w:r>
    </w:p>
    <w:p>
      <w:pPr>
        <w:spacing w:after="0" w:line="33" w:lineRule="exact"/>
        <w:rPr>
          <w:sz w:val="20"/>
          <w:szCs w:val="20"/>
          <w:color w:val="auto"/>
        </w:rPr>
      </w:pPr>
    </w:p>
    <w:p>
      <w:pPr>
        <w:ind w:left="93"/>
        <w:spacing w:after="0"/>
        <w:rPr>
          <w:sz w:val="20"/>
          <w:szCs w:val="20"/>
          <w:color w:val="auto"/>
        </w:rPr>
      </w:pPr>
      <w:r>
        <w:rPr>
          <w:rFonts w:ascii="Arial" w:cs="Arial" w:eastAsia="Arial" w:hAnsi="Arial"/>
          <w:sz w:val="18"/>
          <w:szCs w:val="18"/>
          <w:color w:val="auto"/>
        </w:rPr>
        <w:t xml:space="preserve">Other (gains) / losses </w:t>
      </w:r>
      <w:r>
        <w:rPr>
          <w:rFonts w:ascii="Arial" w:cs="Arial" w:eastAsia="Arial" w:hAnsi="Arial"/>
          <w:sz w:val="23"/>
          <w:szCs w:val="23"/>
          <w:color w:val="auto"/>
          <w:vertAlign w:val="superscript"/>
        </w:rPr>
        <w:t>(10)</w:t>
      </w:r>
    </w:p>
    <w:p>
      <w:pPr>
        <w:spacing w:after="0" w:line="73" w:lineRule="exact"/>
        <w:rPr>
          <w:sz w:val="20"/>
          <w:szCs w:val="20"/>
          <w:color w:val="auto"/>
        </w:rPr>
      </w:pPr>
    </w:p>
    <w:p>
      <w:pPr>
        <w:ind w:left="93"/>
        <w:spacing w:after="0"/>
        <w:rPr>
          <w:sz w:val="20"/>
          <w:szCs w:val="20"/>
          <w:color w:val="auto"/>
        </w:rPr>
      </w:pPr>
      <w:r>
        <w:rPr>
          <w:rFonts w:ascii="Arial" w:cs="Arial" w:eastAsia="Arial" w:hAnsi="Arial"/>
          <w:sz w:val="18"/>
          <w:szCs w:val="18"/>
          <w:color w:val="auto"/>
        </w:rPr>
        <w:t>Adjusted EBITDA</w:t>
      </w:r>
    </w:p>
    <w:p>
      <w:pPr>
        <w:spacing w:after="0" w:line="144" w:lineRule="exact"/>
        <w:rPr>
          <w:sz w:val="20"/>
          <w:szCs w:val="20"/>
          <w:color w:val="auto"/>
        </w:rPr>
      </w:pPr>
    </w:p>
    <w:p>
      <w:pPr>
        <w:ind w:left="93"/>
        <w:spacing w:after="0"/>
        <w:rPr>
          <w:sz w:val="20"/>
          <w:szCs w:val="20"/>
          <w:color w:val="auto"/>
        </w:rPr>
      </w:pPr>
      <w:r>
        <w:rPr>
          <w:rFonts w:ascii="Arial" w:cs="Arial" w:eastAsia="Arial" w:hAnsi="Arial"/>
          <w:sz w:val="18"/>
          <w:szCs w:val="18"/>
          <w:color w:val="auto"/>
        </w:rPr>
        <w:t>Net Income (Loss) as a percentage of revenue</w:t>
      </w:r>
    </w:p>
    <w:p>
      <w:pPr>
        <w:spacing w:after="0" w:line="142" w:lineRule="exact"/>
        <w:rPr>
          <w:sz w:val="20"/>
          <w:szCs w:val="20"/>
          <w:color w:val="auto"/>
        </w:rPr>
      </w:pPr>
    </w:p>
    <w:p>
      <w:pPr>
        <w:ind w:left="93"/>
        <w:spacing w:after="0"/>
        <w:rPr>
          <w:sz w:val="20"/>
          <w:szCs w:val="20"/>
          <w:color w:val="auto"/>
        </w:rPr>
      </w:pPr>
      <w:r>
        <w:rPr>
          <w:rFonts w:ascii="Arial" w:cs="Arial" w:eastAsia="Arial" w:hAnsi="Arial"/>
          <w:sz w:val="18"/>
          <w:szCs w:val="18"/>
          <w:color w:val="auto"/>
        </w:rPr>
        <w:t xml:space="preserve">Adjusted EBITDA Margin </w:t>
      </w:r>
      <w:r>
        <w:rPr>
          <w:rFonts w:ascii="Arial" w:cs="Arial" w:eastAsia="Arial" w:hAnsi="Arial"/>
          <w:sz w:val="23"/>
          <w:szCs w:val="23"/>
          <w:color w:val="auto"/>
          <w:vertAlign w:val="superscript"/>
        </w:rPr>
        <w:t>(11)</w:t>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980" w:type="dxa"/>
            <w:vAlign w:val="bottom"/>
          </w:tcPr>
          <w:p>
            <w:pPr>
              <w:spacing w:after="0"/>
              <w:rPr>
                <w:sz w:val="16"/>
                <w:szCs w:val="16"/>
                <w:color w:val="auto"/>
              </w:rPr>
            </w:pPr>
          </w:p>
        </w:tc>
        <w:tc>
          <w:tcPr>
            <w:tcW w:w="1760" w:type="dxa"/>
            <w:vAlign w:val="bottom"/>
            <w:gridSpan w:val="3"/>
          </w:tcPr>
          <w:p>
            <w:pPr>
              <w:jc w:val="center"/>
              <w:ind w:right="256"/>
              <w:spacing w:after="0"/>
              <w:rPr>
                <w:sz w:val="20"/>
                <w:szCs w:val="20"/>
                <w:color w:val="auto"/>
              </w:rPr>
            </w:pPr>
            <w:r>
              <w:rPr>
                <w:rFonts w:ascii="Arial" w:cs="Arial" w:eastAsia="Arial" w:hAnsi="Arial"/>
                <w:sz w:val="14"/>
                <w:szCs w:val="14"/>
                <w:b w:val="1"/>
                <w:bCs w:val="1"/>
                <w:color w:val="auto"/>
              </w:rPr>
              <w:t>Three Months Ended</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80" w:type="dxa"/>
            <w:vAlign w:val="bottom"/>
            <w:gridSpan w:val="3"/>
          </w:tcPr>
          <w:p>
            <w:pPr>
              <w:jc w:val="center"/>
              <w:ind w:left="614"/>
              <w:spacing w:after="0"/>
              <w:rPr>
                <w:sz w:val="20"/>
                <w:szCs w:val="20"/>
                <w:color w:val="auto"/>
              </w:rPr>
            </w:pPr>
            <w:r>
              <w:rPr>
                <w:rFonts w:ascii="Arial" w:cs="Arial" w:eastAsia="Arial" w:hAnsi="Arial"/>
                <w:sz w:val="14"/>
                <w:szCs w:val="14"/>
                <w:b w:val="1"/>
                <w:bCs w:val="1"/>
                <w:color w:val="auto"/>
              </w:rPr>
              <w:t>Years Ended</w:t>
            </w:r>
          </w:p>
        </w:tc>
        <w:tc>
          <w:tcPr>
            <w:tcW w:w="1140" w:type="dxa"/>
            <w:vAlign w:val="bottom"/>
          </w:tcPr>
          <w:p>
            <w:pPr>
              <w:spacing w:after="0"/>
              <w:rPr>
                <w:sz w:val="16"/>
                <w:szCs w:val="16"/>
                <w:color w:val="auto"/>
              </w:rPr>
            </w:pPr>
          </w:p>
        </w:tc>
      </w:tr>
      <w:tr>
        <w:trPr>
          <w:trHeight w:val="205"/>
        </w:trPr>
        <w:tc>
          <w:tcPr>
            <w:tcW w:w="98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center"/>
              <w:ind w:right="236"/>
              <w:spacing w:after="0"/>
              <w:rPr>
                <w:sz w:val="20"/>
                <w:szCs w:val="20"/>
                <w:color w:val="auto"/>
              </w:rPr>
            </w:pPr>
            <w:r>
              <w:rPr>
                <w:rFonts w:ascii="Arial" w:cs="Arial" w:eastAsia="Arial" w:hAnsi="Arial"/>
                <w:sz w:val="14"/>
                <w:szCs w:val="14"/>
                <w:b w:val="1"/>
                <w:bCs w:val="1"/>
                <w:color w:val="auto"/>
              </w:rPr>
              <w:t>January 31,</w:t>
            </w:r>
          </w:p>
        </w:tc>
        <w:tc>
          <w:tcPr>
            <w:tcW w:w="6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center"/>
              <w:ind w:left="654"/>
              <w:spacing w:after="0"/>
              <w:rPr>
                <w:sz w:val="20"/>
                <w:szCs w:val="20"/>
                <w:color w:val="auto"/>
              </w:rPr>
            </w:pPr>
            <w:r>
              <w:rPr>
                <w:rFonts w:ascii="Arial" w:cs="Arial" w:eastAsia="Arial" w:hAnsi="Arial"/>
                <w:sz w:val="14"/>
                <w:szCs w:val="14"/>
                <w:b w:val="1"/>
                <w:bCs w:val="1"/>
                <w:color w:val="auto"/>
              </w:rPr>
              <w:t>January 31,</w:t>
            </w:r>
          </w:p>
        </w:tc>
        <w:tc>
          <w:tcPr>
            <w:tcW w:w="1140" w:type="dxa"/>
            <w:vAlign w:val="bottom"/>
            <w:tcBorders>
              <w:bottom w:val="single" w:sz="8" w:color="auto"/>
            </w:tcBorders>
          </w:tcPr>
          <w:p>
            <w:pPr>
              <w:spacing w:after="0"/>
              <w:rPr>
                <w:sz w:val="17"/>
                <w:szCs w:val="17"/>
                <w:color w:val="auto"/>
              </w:rPr>
            </w:pPr>
          </w:p>
        </w:tc>
      </w:tr>
      <w:tr>
        <w:trPr>
          <w:trHeight w:val="237"/>
        </w:trPr>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6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2026</w:t>
            </w:r>
          </w:p>
        </w:tc>
        <w:tc>
          <w:tcPr>
            <w:tcW w:w="1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2025</w:t>
            </w:r>
          </w:p>
        </w:tc>
      </w:tr>
      <w:tr>
        <w:trPr>
          <w:trHeight w:val="227"/>
        </w:trPr>
        <w:tc>
          <w:tcPr>
            <w:tcW w:w="980" w:type="dxa"/>
            <w:vAlign w:val="bottom"/>
          </w:tcPr>
          <w:p>
            <w:pPr>
              <w:spacing w:after="0"/>
              <w:rPr>
                <w:sz w:val="19"/>
                <w:szCs w:val="19"/>
                <w:color w:val="auto"/>
              </w:rPr>
            </w:pPr>
          </w:p>
        </w:tc>
        <w:tc>
          <w:tcPr>
            <w:tcW w:w="1760" w:type="dxa"/>
            <w:vAlign w:val="bottom"/>
            <w:gridSpan w:val="3"/>
          </w:tcPr>
          <w:p>
            <w:pPr>
              <w:jc w:val="center"/>
              <w:ind w:right="236"/>
              <w:spacing w:after="0"/>
              <w:rPr>
                <w:sz w:val="20"/>
                <w:szCs w:val="20"/>
                <w:color w:val="auto"/>
              </w:rPr>
            </w:pPr>
            <w:r>
              <w:rPr>
                <w:rFonts w:ascii="Arial" w:cs="Arial" w:eastAsia="Arial" w:hAnsi="Arial"/>
                <w:sz w:val="14"/>
                <w:szCs w:val="14"/>
                <w:b w:val="1"/>
                <w:bCs w:val="1"/>
                <w:color w:val="auto"/>
              </w:rPr>
              <w:t>(in millions)</w:t>
            </w: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80" w:type="dxa"/>
            <w:vAlign w:val="bottom"/>
            <w:gridSpan w:val="3"/>
          </w:tcPr>
          <w:p>
            <w:pPr>
              <w:jc w:val="center"/>
              <w:ind w:left="654"/>
              <w:spacing w:after="0"/>
              <w:rPr>
                <w:sz w:val="20"/>
                <w:szCs w:val="20"/>
                <w:color w:val="auto"/>
              </w:rPr>
            </w:pPr>
            <w:r>
              <w:rPr>
                <w:rFonts w:ascii="Arial" w:cs="Arial" w:eastAsia="Arial" w:hAnsi="Arial"/>
                <w:sz w:val="14"/>
                <w:szCs w:val="14"/>
                <w:b w:val="1"/>
                <w:bCs w:val="1"/>
                <w:color w:val="auto"/>
              </w:rPr>
              <w:t>(in millions)</w:t>
            </w:r>
          </w:p>
        </w:tc>
        <w:tc>
          <w:tcPr>
            <w:tcW w:w="1140" w:type="dxa"/>
            <w:vAlign w:val="bottom"/>
          </w:tcPr>
          <w:p>
            <w:pPr>
              <w:spacing w:after="0"/>
              <w:rPr>
                <w:sz w:val="19"/>
                <w:szCs w:val="19"/>
                <w:color w:val="auto"/>
              </w:rPr>
            </w:pPr>
          </w:p>
        </w:tc>
      </w:tr>
      <w:tr>
        <w:trPr>
          <w:trHeight w:val="276"/>
        </w:trPr>
        <w:tc>
          <w:tcPr>
            <w:tcW w:w="980" w:type="dxa"/>
            <w:vAlign w:val="bottom"/>
          </w:tcPr>
          <w:p>
            <w:pPr>
              <w:jc w:val="right"/>
              <w:ind w:right="776"/>
              <w:spacing w:after="0"/>
              <w:rPr>
                <w:sz w:val="20"/>
                <w:szCs w:val="20"/>
                <w:color w:val="auto"/>
              </w:rPr>
            </w:pPr>
            <w:r>
              <w:rPr>
                <w:rFonts w:ascii="Arial" w:cs="Arial" w:eastAsia="Arial" w:hAnsi="Arial"/>
                <w:sz w:val="18"/>
                <w:szCs w:val="18"/>
                <w:color w:val="auto"/>
                <w:w w:val="99"/>
              </w:rPr>
              <w:t>$</w:t>
            </w:r>
          </w:p>
        </w:tc>
        <w:tc>
          <w:tcPr>
            <w:tcW w:w="640" w:type="dxa"/>
            <w:vAlign w:val="bottom"/>
          </w:tcPr>
          <w:p>
            <w:pPr>
              <w:ind w:left="8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24"/>
                <w:szCs w:val="24"/>
                <w:color w:val="auto"/>
              </w:rPr>
            </w:pPr>
          </w:p>
        </w:tc>
        <w:tc>
          <w:tcPr>
            <w:tcW w:w="980" w:type="dxa"/>
            <w:vAlign w:val="bottom"/>
          </w:tcPr>
          <w:p>
            <w:pPr>
              <w:jc w:val="right"/>
              <w:ind w:right="776"/>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90"/>
              <w:spacing w:after="0"/>
              <w:rPr>
                <w:sz w:val="20"/>
                <w:szCs w:val="20"/>
                <w:color w:val="auto"/>
              </w:rPr>
            </w:pPr>
            <w:r>
              <w:rPr>
                <w:rFonts w:ascii="Arial" w:cs="Arial" w:eastAsia="Arial" w:hAnsi="Arial"/>
                <w:sz w:val="18"/>
                <w:szCs w:val="18"/>
                <w:color w:val="auto"/>
                <w:w w:val="93"/>
              </w:rPr>
              <w:t>(13.4)</w:t>
            </w:r>
          </w:p>
        </w:tc>
        <w:tc>
          <w:tcPr>
            <w:tcW w:w="140" w:type="dxa"/>
            <w:vAlign w:val="bottom"/>
          </w:tcPr>
          <w:p>
            <w:pPr>
              <w:spacing w:after="0"/>
              <w:rPr>
                <w:sz w:val="24"/>
                <w:szCs w:val="24"/>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4"/>
              <w:spacing w:after="0"/>
              <w:rPr>
                <w:sz w:val="20"/>
                <w:szCs w:val="20"/>
                <w:color w:val="auto"/>
              </w:rPr>
            </w:pPr>
            <w:r>
              <w:rPr>
                <w:rFonts w:ascii="Arial" w:cs="Arial" w:eastAsia="Arial" w:hAnsi="Arial"/>
                <w:sz w:val="18"/>
                <w:szCs w:val="18"/>
                <w:color w:val="auto"/>
              </w:rPr>
              <w:t>22.6</w:t>
            </w:r>
          </w:p>
        </w:tc>
        <w:tc>
          <w:tcPr>
            <w:tcW w:w="140" w:type="dxa"/>
            <w:vAlign w:val="bottom"/>
          </w:tcPr>
          <w:p>
            <w:pPr>
              <w:spacing w:after="0"/>
              <w:rPr>
                <w:sz w:val="24"/>
                <w:szCs w:val="24"/>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(69.9)</w:t>
            </w:r>
          </w:p>
        </w:tc>
      </w:tr>
      <w:tr>
        <w:trPr>
          <w:trHeight w:val="297"/>
        </w:trPr>
        <w:tc>
          <w:tcPr>
            <w:tcW w:w="980" w:type="dxa"/>
            <w:vAlign w:val="bottom"/>
          </w:tcPr>
          <w:p>
            <w:pPr>
              <w:spacing w:after="0"/>
              <w:rPr>
                <w:sz w:val="24"/>
                <w:szCs w:val="24"/>
                <w:color w:val="auto"/>
              </w:rPr>
            </w:pPr>
          </w:p>
        </w:tc>
        <w:tc>
          <w:tcPr>
            <w:tcW w:w="640" w:type="dxa"/>
            <w:vAlign w:val="bottom"/>
          </w:tcPr>
          <w:p>
            <w:pPr>
              <w:jc w:val="right"/>
              <w:ind w:right="153"/>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color w:val="auto"/>
              </w:rPr>
              <w:t>6.5</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jc w:val="right"/>
              <w:ind w:right="154"/>
              <w:spacing w:after="0"/>
              <w:rPr>
                <w:sz w:val="20"/>
                <w:szCs w:val="20"/>
                <w:color w:val="auto"/>
              </w:rPr>
            </w:pPr>
            <w:r>
              <w:rPr>
                <w:rFonts w:ascii="Arial" w:cs="Arial" w:eastAsia="Arial" w:hAnsi="Arial"/>
                <w:sz w:val="18"/>
                <w:szCs w:val="18"/>
                <w:color w:val="auto"/>
              </w:rPr>
              <w:t>20.3</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24.2</w:t>
            </w:r>
          </w:p>
        </w:tc>
      </w:tr>
      <w:tr>
        <w:trPr>
          <w:trHeight w:val="297"/>
        </w:trPr>
        <w:tc>
          <w:tcPr>
            <w:tcW w:w="980" w:type="dxa"/>
            <w:vAlign w:val="bottom"/>
          </w:tcPr>
          <w:p>
            <w:pPr>
              <w:spacing w:after="0"/>
              <w:rPr>
                <w:sz w:val="24"/>
                <w:szCs w:val="24"/>
                <w:color w:val="auto"/>
              </w:rPr>
            </w:pPr>
          </w:p>
        </w:tc>
        <w:tc>
          <w:tcPr>
            <w:tcW w:w="640" w:type="dxa"/>
            <w:vAlign w:val="bottom"/>
          </w:tcPr>
          <w:p>
            <w:pPr>
              <w:jc w:val="right"/>
              <w:ind w:right="153"/>
              <w:spacing w:after="0"/>
              <w:rPr>
                <w:sz w:val="20"/>
                <w:szCs w:val="20"/>
                <w:color w:val="auto"/>
              </w:rPr>
            </w:pPr>
            <w:r>
              <w:rPr>
                <w:rFonts w:ascii="Arial" w:cs="Arial" w:eastAsia="Arial" w:hAnsi="Arial"/>
                <w:sz w:val="18"/>
                <w:szCs w:val="18"/>
                <w:color w:val="auto"/>
              </w:rPr>
              <w:t>15.3</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color w:val="auto"/>
              </w:rPr>
              <w:t>17.0</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jc w:val="right"/>
              <w:ind w:right="154"/>
              <w:spacing w:after="0"/>
              <w:rPr>
                <w:sz w:val="20"/>
                <w:szCs w:val="20"/>
                <w:color w:val="auto"/>
              </w:rPr>
            </w:pPr>
            <w:r>
              <w:rPr>
                <w:rFonts w:ascii="Arial" w:cs="Arial" w:eastAsia="Arial" w:hAnsi="Arial"/>
                <w:sz w:val="18"/>
                <w:szCs w:val="18"/>
                <w:color w:val="auto"/>
              </w:rPr>
              <w:t>59.9</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64.6</w:t>
            </w:r>
          </w:p>
        </w:tc>
      </w:tr>
      <w:tr>
        <w:trPr>
          <w:trHeight w:val="297"/>
        </w:trPr>
        <w:tc>
          <w:tcPr>
            <w:tcW w:w="980" w:type="dxa"/>
            <w:vAlign w:val="bottom"/>
          </w:tcPr>
          <w:p>
            <w:pPr>
              <w:spacing w:after="0"/>
              <w:rPr>
                <w:sz w:val="24"/>
                <w:szCs w:val="24"/>
                <w:color w:val="auto"/>
              </w:rPr>
            </w:pPr>
          </w:p>
        </w:tc>
        <w:tc>
          <w:tcPr>
            <w:tcW w:w="640" w:type="dxa"/>
            <w:vAlign w:val="bottom"/>
          </w:tcPr>
          <w:p>
            <w:pPr>
              <w:jc w:val="right"/>
              <w:ind w:right="153"/>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jc w:val="right"/>
              <w:ind w:right="154"/>
              <w:spacing w:after="0"/>
              <w:rPr>
                <w:sz w:val="20"/>
                <w:szCs w:val="20"/>
                <w:color w:val="auto"/>
              </w:rPr>
            </w:pPr>
            <w:r>
              <w:rPr>
                <w:rFonts w:ascii="Arial" w:cs="Arial" w:eastAsia="Arial" w:hAnsi="Arial"/>
                <w:sz w:val="18"/>
                <w:szCs w:val="18"/>
                <w:color w:val="auto"/>
              </w:rPr>
              <w:t>9.9</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12.5</w:t>
            </w:r>
          </w:p>
        </w:tc>
      </w:tr>
      <w:tr>
        <w:trPr>
          <w:trHeight w:val="297"/>
        </w:trPr>
        <w:tc>
          <w:tcPr>
            <w:tcW w:w="980" w:type="dxa"/>
            <w:vAlign w:val="bottom"/>
          </w:tcPr>
          <w:p>
            <w:pPr>
              <w:spacing w:after="0"/>
              <w:rPr>
                <w:sz w:val="24"/>
                <w:szCs w:val="24"/>
                <w:color w:val="auto"/>
              </w:rPr>
            </w:pPr>
          </w:p>
        </w:tc>
        <w:tc>
          <w:tcPr>
            <w:tcW w:w="640" w:type="dxa"/>
            <w:vAlign w:val="bottom"/>
          </w:tcPr>
          <w:p>
            <w:pPr>
              <w:jc w:val="right"/>
              <w:ind w:right="153"/>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jc w:val="right"/>
              <w:ind w:right="154"/>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9.7</w:t>
            </w:r>
          </w:p>
        </w:tc>
      </w:tr>
      <w:tr>
        <w:trPr>
          <w:trHeight w:val="297"/>
        </w:trPr>
        <w:tc>
          <w:tcPr>
            <w:tcW w:w="980" w:type="dxa"/>
            <w:vAlign w:val="bottom"/>
          </w:tcPr>
          <w:p>
            <w:pPr>
              <w:spacing w:after="0"/>
              <w:rPr>
                <w:sz w:val="24"/>
                <w:szCs w:val="24"/>
                <w:color w:val="auto"/>
              </w:rPr>
            </w:pPr>
          </w:p>
        </w:tc>
        <w:tc>
          <w:tcPr>
            <w:tcW w:w="640" w:type="dxa"/>
            <w:vAlign w:val="bottom"/>
          </w:tcPr>
          <w:p>
            <w:pPr>
              <w:jc w:val="right"/>
              <w:ind w:right="153"/>
              <w:spacing w:after="0"/>
              <w:rPr>
                <w:sz w:val="20"/>
                <w:szCs w:val="20"/>
                <w:color w:val="auto"/>
              </w:rPr>
            </w:pPr>
            <w:r>
              <w:rPr>
                <w:rFonts w:ascii="Arial" w:cs="Arial" w:eastAsia="Arial" w:hAnsi="Arial"/>
                <w:sz w:val="18"/>
                <w:szCs w:val="18"/>
                <w:color w:val="auto"/>
              </w:rPr>
              <w:t>0.5</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jc w:val="right"/>
              <w:ind w:right="154"/>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6.6</w:t>
            </w:r>
          </w:p>
        </w:tc>
      </w:tr>
      <w:tr>
        <w:trPr>
          <w:trHeight w:val="297"/>
        </w:trPr>
        <w:tc>
          <w:tcPr>
            <w:tcW w:w="980" w:type="dxa"/>
            <w:vAlign w:val="bottom"/>
          </w:tcPr>
          <w:p>
            <w:pPr>
              <w:spacing w:after="0"/>
              <w:rPr>
                <w:sz w:val="24"/>
                <w:szCs w:val="24"/>
                <w:color w:val="auto"/>
              </w:rPr>
            </w:pPr>
          </w:p>
        </w:tc>
        <w:tc>
          <w:tcPr>
            <w:tcW w:w="640" w:type="dxa"/>
            <w:vAlign w:val="bottom"/>
          </w:tcPr>
          <w:p>
            <w:pPr>
              <w:jc w:val="right"/>
              <w:ind w:right="153"/>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1240" w:type="dxa"/>
            <w:vAlign w:val="bottom"/>
          </w:tcPr>
          <w:p>
            <w:pPr>
              <w:jc w:val="right"/>
              <w:ind w:right="154"/>
              <w:spacing w:after="0"/>
              <w:rPr>
                <w:sz w:val="20"/>
                <w:szCs w:val="20"/>
                <w:color w:val="auto"/>
              </w:rPr>
            </w:pPr>
            <w:r>
              <w:rPr>
                <w:rFonts w:ascii="Arial" w:cs="Arial" w:eastAsia="Arial" w:hAnsi="Arial"/>
                <w:sz w:val="18"/>
                <w:szCs w:val="18"/>
                <w:color w:val="auto"/>
              </w:rPr>
              <w:t>0.5</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0.1</w:t>
            </w:r>
          </w:p>
        </w:tc>
      </w:tr>
      <w:tr>
        <w:trPr>
          <w:trHeight w:val="297"/>
        </w:trPr>
        <w:tc>
          <w:tcPr>
            <w:tcW w:w="980" w:type="dxa"/>
            <w:vAlign w:val="bottom"/>
          </w:tcPr>
          <w:p>
            <w:pPr>
              <w:spacing w:after="0"/>
              <w:rPr>
                <w:sz w:val="24"/>
                <w:szCs w:val="24"/>
                <w:color w:val="auto"/>
              </w:rPr>
            </w:pPr>
          </w:p>
        </w:tc>
        <w:tc>
          <w:tcPr>
            <w:tcW w:w="640" w:type="dxa"/>
            <w:vAlign w:val="bottom"/>
          </w:tcPr>
          <w:p>
            <w:pPr>
              <w:jc w:val="right"/>
              <w:ind w:right="153"/>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jc w:val="right"/>
              <w:ind w:right="154"/>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0.3</w:t>
            </w:r>
          </w:p>
        </w:tc>
      </w:tr>
      <w:tr>
        <w:trPr>
          <w:trHeight w:val="297"/>
        </w:trPr>
        <w:tc>
          <w:tcPr>
            <w:tcW w:w="980" w:type="dxa"/>
            <w:vAlign w:val="bottom"/>
          </w:tcPr>
          <w:p>
            <w:pPr>
              <w:spacing w:after="0"/>
              <w:rPr>
                <w:sz w:val="24"/>
                <w:szCs w:val="24"/>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4"/>
                <w:szCs w:val="24"/>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0.2</w:t>
            </w:r>
          </w:p>
        </w:tc>
      </w:tr>
      <w:tr>
        <w:trPr>
          <w:trHeight w:val="297"/>
        </w:trPr>
        <w:tc>
          <w:tcPr>
            <w:tcW w:w="980" w:type="dxa"/>
            <w:vAlign w:val="bottom"/>
          </w:tcPr>
          <w:p>
            <w:pPr>
              <w:spacing w:after="0"/>
              <w:rPr>
                <w:sz w:val="24"/>
                <w:szCs w:val="24"/>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4"/>
                <w:szCs w:val="24"/>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1240" w:type="dxa"/>
            <w:vAlign w:val="bottom"/>
          </w:tcPr>
          <w:p>
            <w:pPr>
              <w:jc w:val="right"/>
              <w:ind w:right="114"/>
              <w:spacing w:after="0"/>
              <w:rPr>
                <w:sz w:val="20"/>
                <w:szCs w:val="20"/>
                <w:color w:val="auto"/>
              </w:rPr>
            </w:pPr>
            <w:r>
              <w:rPr>
                <w:rFonts w:ascii="Arial" w:cs="Arial" w:eastAsia="Arial" w:hAnsi="Arial"/>
                <w:sz w:val="18"/>
                <w:szCs w:val="18"/>
                <w:color w:val="auto"/>
              </w:rPr>
              <w:t>(96.3)</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97"/>
        </w:trPr>
        <w:tc>
          <w:tcPr>
            <w:tcW w:w="98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jc w:val="right"/>
              <w:ind w:right="154"/>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0.3</w:t>
            </w:r>
          </w:p>
        </w:tc>
      </w:tr>
      <w:tr>
        <w:trPr>
          <w:trHeight w:val="297"/>
        </w:trPr>
        <w:tc>
          <w:tcPr>
            <w:tcW w:w="98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jc w:val="right"/>
              <w:ind w:right="114"/>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(2.1)</w:t>
            </w:r>
          </w:p>
        </w:tc>
      </w:tr>
      <w:tr>
        <w:trPr>
          <w:trHeight w:val="297"/>
        </w:trPr>
        <w:tc>
          <w:tcPr>
            <w:tcW w:w="980" w:type="dxa"/>
            <w:vAlign w:val="bottom"/>
          </w:tcPr>
          <w:p>
            <w:pPr>
              <w:spacing w:after="0"/>
              <w:rPr>
                <w:sz w:val="24"/>
                <w:szCs w:val="24"/>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4"/>
                <w:szCs w:val="24"/>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jc w:val="right"/>
              <w:ind w:right="114"/>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0.4</w:t>
            </w:r>
          </w:p>
        </w:tc>
      </w:tr>
      <w:tr>
        <w:trPr>
          <w:trHeight w:val="36"/>
        </w:trPr>
        <w:tc>
          <w:tcPr>
            <w:tcW w:w="9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54"/>
        </w:trPr>
        <w:tc>
          <w:tcPr>
            <w:tcW w:w="980" w:type="dxa"/>
            <w:vAlign w:val="bottom"/>
          </w:tcPr>
          <w:p>
            <w:pPr>
              <w:jc w:val="right"/>
              <w:ind w:right="776"/>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53"/>
              <w:spacing w:after="0"/>
              <w:rPr>
                <w:sz w:val="20"/>
                <w:szCs w:val="20"/>
                <w:color w:val="auto"/>
              </w:rPr>
            </w:pPr>
            <w:r>
              <w:rPr>
                <w:rFonts w:ascii="Arial" w:cs="Arial" w:eastAsia="Arial" w:hAnsi="Arial"/>
                <w:sz w:val="18"/>
                <w:szCs w:val="18"/>
                <w:color w:val="auto"/>
              </w:rPr>
              <w:t>18.3</w:t>
            </w:r>
          </w:p>
        </w:tc>
        <w:tc>
          <w:tcPr>
            <w:tcW w:w="140" w:type="dxa"/>
            <w:vAlign w:val="bottom"/>
          </w:tcPr>
          <w:p>
            <w:pPr>
              <w:spacing w:after="0"/>
              <w:rPr>
                <w:sz w:val="22"/>
                <w:szCs w:val="22"/>
                <w:color w:val="auto"/>
              </w:rPr>
            </w:pPr>
          </w:p>
        </w:tc>
        <w:tc>
          <w:tcPr>
            <w:tcW w:w="980" w:type="dxa"/>
            <w:vAlign w:val="bottom"/>
          </w:tcPr>
          <w:p>
            <w:pPr>
              <w:jc w:val="right"/>
              <w:ind w:right="776"/>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30"/>
              <w:spacing w:after="0"/>
              <w:rPr>
                <w:sz w:val="20"/>
                <w:szCs w:val="20"/>
                <w:color w:val="auto"/>
              </w:rPr>
            </w:pPr>
            <w:r>
              <w:rPr>
                <w:rFonts w:ascii="Arial" w:cs="Arial" w:eastAsia="Arial" w:hAnsi="Arial"/>
                <w:sz w:val="18"/>
                <w:szCs w:val="18"/>
                <w:color w:val="auto"/>
              </w:rPr>
              <w:t>17.4</w:t>
            </w:r>
          </w:p>
        </w:tc>
        <w:tc>
          <w:tcPr>
            <w:tcW w:w="140" w:type="dxa"/>
            <w:vAlign w:val="bottom"/>
          </w:tcPr>
          <w:p>
            <w:pPr>
              <w:spacing w:after="0"/>
              <w:rPr>
                <w:sz w:val="22"/>
                <w:szCs w:val="22"/>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4"/>
              <w:spacing w:after="0"/>
              <w:rPr>
                <w:sz w:val="20"/>
                <w:szCs w:val="20"/>
                <w:color w:val="auto"/>
              </w:rPr>
            </w:pPr>
            <w:r>
              <w:rPr>
                <w:rFonts w:ascii="Arial" w:cs="Arial" w:eastAsia="Arial" w:hAnsi="Arial"/>
                <w:sz w:val="18"/>
                <w:szCs w:val="18"/>
                <w:color w:val="auto"/>
              </w:rPr>
              <w:t>24.9</w:t>
            </w:r>
          </w:p>
        </w:tc>
        <w:tc>
          <w:tcPr>
            <w:tcW w:w="140" w:type="dxa"/>
            <w:vAlign w:val="bottom"/>
          </w:tcPr>
          <w:p>
            <w:pPr>
              <w:spacing w:after="0"/>
              <w:rPr>
                <w:sz w:val="22"/>
                <w:szCs w:val="22"/>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46.9</w:t>
            </w:r>
          </w:p>
        </w:tc>
      </w:tr>
      <w:tr>
        <w:trPr>
          <w:trHeight w:val="37"/>
        </w:trPr>
        <w:tc>
          <w:tcPr>
            <w:tcW w:w="9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54"/>
        </w:trPr>
        <w:tc>
          <w:tcPr>
            <w:tcW w:w="980" w:type="dxa"/>
            <w:vAlign w:val="bottom"/>
          </w:tcPr>
          <w:p>
            <w:pPr>
              <w:spacing w:after="0"/>
              <w:rPr>
                <w:sz w:val="22"/>
                <w:szCs w:val="22"/>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(17.5)%</w:t>
            </w:r>
          </w:p>
        </w:tc>
        <w:tc>
          <w:tcPr>
            <w:tcW w:w="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6.9 %</w:t>
            </w: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(22.8)%</w:t>
            </w:r>
          </w:p>
        </w:tc>
      </w:tr>
      <w:tr>
        <w:trPr>
          <w:trHeight w:val="37"/>
        </w:trPr>
        <w:tc>
          <w:tcPr>
            <w:tcW w:w="9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54"/>
        </w:trPr>
        <w:tc>
          <w:tcPr>
            <w:tcW w:w="9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20.0 %</w:t>
            </w: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22.8 %</w:t>
            </w:r>
          </w:p>
        </w:tc>
        <w:tc>
          <w:tcPr>
            <w:tcW w:w="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7.6 %</w:t>
            </w: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15.3 %</w:t>
            </w:r>
          </w:p>
        </w:tc>
      </w:tr>
      <w:tr>
        <w:trPr>
          <w:trHeight w:val="37"/>
        </w:trPr>
        <w:tc>
          <w:tcPr>
            <w:tcW w:w="9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3813" w:space="560"/>
            <w:col w:w="6940"/>
          </w:cols>
          <w:pgMar w:left="247" w:top="1101" w:right="339" w:bottom="1440" w:gutter="0" w:footer="0" w:header="0"/>
          <w:type w:val="continuous"/>
        </w:sectPr>
      </w:pPr>
    </w:p>
    <w:p>
      <w:pPr>
        <w:spacing w:after="0" w:line="358" w:lineRule="exact"/>
        <w:rPr>
          <w:sz w:val="20"/>
          <w:szCs w:val="20"/>
          <w:color w:val="auto"/>
        </w:rPr>
      </w:pPr>
    </w:p>
    <w:p>
      <w:pPr>
        <w:ind w:left="333" w:right="120" w:hanging="333"/>
        <w:spacing w:after="0" w:line="305" w:lineRule="auto"/>
        <w:tabs>
          <w:tab w:leader="none" w:pos="326" w:val="left"/>
        </w:tabs>
        <w:numPr>
          <w:ilvl w:val="0"/>
          <w:numId w:val="11"/>
        </w:numPr>
        <w:rPr>
          <w:rFonts w:ascii="Arial" w:cs="Arial" w:eastAsia="Arial" w:hAnsi="Arial"/>
          <w:sz w:val="9"/>
          <w:szCs w:val="9"/>
          <w:i w:val="1"/>
          <w:iCs w:val="1"/>
          <w:color w:val="auto"/>
        </w:rPr>
      </w:pPr>
      <w:r>
        <w:rPr>
          <w:rFonts w:ascii="Arial" w:cs="Arial" w:eastAsia="Arial" w:hAnsi="Arial"/>
          <w:sz w:val="14"/>
          <w:szCs w:val="14"/>
          <w:color w:val="auto"/>
        </w:rPr>
        <w:t>Includes debt discount amortization of $(2.5) million in the three months ended January 31, 2026, $7.0 million in the three months ended January 31, 2025, $(3.3) million in the year ended January 31, 2026 and $27.0 million in the year ended January 31, 2025.</w:t>
      </w:r>
    </w:p>
    <w:p>
      <w:pPr>
        <w:spacing w:after="0" w:line="35" w:lineRule="exact"/>
        <w:rPr>
          <w:rFonts w:ascii="Arial" w:cs="Arial" w:eastAsia="Arial" w:hAnsi="Arial"/>
          <w:sz w:val="9"/>
          <w:szCs w:val="9"/>
          <w:i w:val="1"/>
          <w:iCs w:val="1"/>
          <w:color w:val="auto"/>
        </w:rPr>
      </w:pPr>
    </w:p>
    <w:p>
      <w:pPr>
        <w:ind w:left="313" w:hanging="313"/>
        <w:spacing w:after="0"/>
        <w:tabs>
          <w:tab w:leader="none" w:pos="313" w:val="left"/>
        </w:tabs>
        <w:numPr>
          <w:ilvl w:val="0"/>
          <w:numId w:val="11"/>
        </w:numPr>
        <w:rPr>
          <w:rFonts w:ascii="Arial" w:cs="Arial" w:eastAsia="Arial" w:hAnsi="Arial"/>
          <w:sz w:val="19"/>
          <w:szCs w:val="19"/>
          <w:i w:val="1"/>
          <w:iCs w:val="1"/>
          <w:color w:val="auto"/>
          <w:vertAlign w:val="superscript"/>
        </w:rPr>
      </w:pPr>
      <w:r>
        <w:rPr>
          <w:rFonts w:ascii="Arial" w:cs="Arial" w:eastAsia="Arial" w:hAnsi="Arial"/>
          <w:sz w:val="14"/>
          <w:szCs w:val="14"/>
          <w:color w:val="auto"/>
        </w:rPr>
        <w:t>Reflects non-rental product depreciation and capitalized software amortization.</w:t>
      </w:r>
    </w:p>
    <w:p>
      <w:pPr>
        <w:spacing w:after="0" w:line="78" w:lineRule="exact"/>
        <w:rPr>
          <w:rFonts w:ascii="Arial" w:cs="Arial" w:eastAsia="Arial" w:hAnsi="Arial"/>
          <w:sz w:val="19"/>
          <w:szCs w:val="19"/>
          <w:i w:val="1"/>
          <w:iCs w:val="1"/>
          <w:color w:val="auto"/>
          <w:vertAlign w:val="superscript"/>
        </w:rPr>
      </w:pPr>
    </w:p>
    <w:p>
      <w:pPr>
        <w:ind w:left="313" w:hanging="313"/>
        <w:spacing w:after="0"/>
        <w:tabs>
          <w:tab w:leader="none" w:pos="313" w:val="left"/>
        </w:tabs>
        <w:numPr>
          <w:ilvl w:val="0"/>
          <w:numId w:val="11"/>
        </w:numPr>
        <w:rPr>
          <w:rFonts w:ascii="Arial" w:cs="Arial" w:eastAsia="Arial" w:hAnsi="Arial"/>
          <w:sz w:val="19"/>
          <w:szCs w:val="19"/>
          <w:i w:val="1"/>
          <w:iCs w:val="1"/>
          <w:color w:val="auto"/>
          <w:vertAlign w:val="superscript"/>
        </w:rPr>
      </w:pPr>
      <w:r>
        <w:rPr>
          <w:rFonts w:ascii="Arial" w:cs="Arial" w:eastAsia="Arial" w:hAnsi="Arial"/>
          <w:sz w:val="14"/>
          <w:szCs w:val="14"/>
          <w:color w:val="auto"/>
        </w:rPr>
        <w:t>Reflects the non-cash expense for share-based compensation.</w:t>
      </w:r>
    </w:p>
    <w:p>
      <w:pPr>
        <w:spacing w:after="0" w:line="106" w:lineRule="exact"/>
        <w:rPr>
          <w:rFonts w:ascii="Arial" w:cs="Arial" w:eastAsia="Arial" w:hAnsi="Arial"/>
          <w:sz w:val="19"/>
          <w:szCs w:val="19"/>
          <w:i w:val="1"/>
          <w:iCs w:val="1"/>
          <w:color w:val="auto"/>
          <w:vertAlign w:val="superscript"/>
        </w:rPr>
      </w:pPr>
    </w:p>
    <w:p>
      <w:pPr>
        <w:ind w:left="313" w:hanging="313"/>
        <w:spacing w:after="0"/>
        <w:tabs>
          <w:tab w:leader="none" w:pos="313" w:val="left"/>
        </w:tabs>
        <w:numPr>
          <w:ilvl w:val="0"/>
          <w:numId w:val="11"/>
        </w:numPr>
        <w:rPr>
          <w:rFonts w:ascii="Arial" w:cs="Arial" w:eastAsia="Arial" w:hAnsi="Arial"/>
          <w:sz w:val="9"/>
          <w:szCs w:val="9"/>
          <w:i w:val="1"/>
          <w:iCs w:val="1"/>
          <w:color w:val="auto"/>
        </w:rPr>
      </w:pPr>
      <w:r>
        <w:rPr>
          <w:rFonts w:ascii="Arial" w:cs="Arial" w:eastAsia="Arial" w:hAnsi="Arial"/>
          <w:sz w:val="14"/>
          <w:szCs w:val="14"/>
          <w:color w:val="auto"/>
        </w:rPr>
        <w:t>Reflects the write-off of the remaining book value of liquidated rental product that had previously been held for sale.</w:t>
      </w:r>
    </w:p>
    <w:p>
      <w:pPr>
        <w:spacing w:after="0" w:line="149" w:lineRule="exact"/>
        <w:rPr>
          <w:rFonts w:ascii="Arial" w:cs="Arial" w:eastAsia="Arial" w:hAnsi="Arial"/>
          <w:sz w:val="9"/>
          <w:szCs w:val="9"/>
          <w:i w:val="1"/>
          <w:iCs w:val="1"/>
          <w:color w:val="auto"/>
        </w:rPr>
      </w:pPr>
    </w:p>
    <w:p>
      <w:pPr>
        <w:ind w:left="333" w:right="200" w:hanging="333"/>
        <w:spacing w:after="0" w:line="239" w:lineRule="auto"/>
        <w:tabs>
          <w:tab w:leader="none" w:pos="326" w:val="left"/>
        </w:tabs>
        <w:numPr>
          <w:ilvl w:val="0"/>
          <w:numId w:val="11"/>
        </w:numPr>
        <w:rPr>
          <w:rFonts w:ascii="Arial" w:cs="Arial" w:eastAsia="Arial" w:hAnsi="Arial"/>
          <w:sz w:val="19"/>
          <w:szCs w:val="19"/>
          <w:i w:val="1"/>
          <w:iCs w:val="1"/>
          <w:color w:val="auto"/>
          <w:vertAlign w:val="superscript"/>
        </w:rPr>
      </w:pPr>
      <w:r>
        <w:rPr>
          <w:rFonts w:ascii="Arial" w:cs="Arial" w:eastAsia="Arial" w:hAnsi="Arial"/>
          <w:sz w:val="14"/>
          <w:szCs w:val="14"/>
          <w:color w:val="auto"/>
        </w:rPr>
        <w:t>Non-recurring adjustments for the three months and year ended January 31, 2026 includes $0.3 million and $0.5 million of internal controls related and transaction related costs, respectively, and for the year ended January 31, 2025 includes $0.1 million of costs related to one-time professional fees.</w:t>
      </w:r>
    </w:p>
    <w:p>
      <w:pPr>
        <w:spacing w:after="0" w:line="108" w:lineRule="exact"/>
        <w:rPr>
          <w:rFonts w:ascii="Arial" w:cs="Arial" w:eastAsia="Arial" w:hAnsi="Arial"/>
          <w:sz w:val="19"/>
          <w:szCs w:val="19"/>
          <w:i w:val="1"/>
          <w:iCs w:val="1"/>
          <w:color w:val="auto"/>
          <w:vertAlign w:val="superscript"/>
        </w:rPr>
      </w:pPr>
    </w:p>
    <w:p>
      <w:pPr>
        <w:ind w:left="333" w:right="120" w:hanging="333"/>
        <w:spacing w:after="0" w:line="239" w:lineRule="auto"/>
        <w:tabs>
          <w:tab w:leader="none" w:pos="326" w:val="left"/>
        </w:tabs>
        <w:numPr>
          <w:ilvl w:val="0"/>
          <w:numId w:val="11"/>
        </w:numPr>
        <w:rPr>
          <w:rFonts w:ascii="Arial" w:cs="Arial" w:eastAsia="Arial" w:hAnsi="Arial"/>
          <w:sz w:val="19"/>
          <w:szCs w:val="19"/>
          <w:i w:val="1"/>
          <w:iCs w:val="1"/>
          <w:color w:val="auto"/>
          <w:vertAlign w:val="superscript"/>
        </w:rPr>
      </w:pPr>
      <w:r>
        <w:rPr>
          <w:rFonts w:ascii="Arial" w:cs="Arial" w:eastAsia="Arial" w:hAnsi="Arial"/>
          <w:sz w:val="14"/>
          <w:szCs w:val="14"/>
          <w:color w:val="auto"/>
        </w:rPr>
        <w:t>Non-ordinary course legal fees for the three months and year ended January 31, 2026 includes $1.2 million and $6.0 million related to securities lawsuits and non-recurring legal fees including transaction related costs, respectively, and for the year ended January 31, 2025 includes $0.3 million related to a class action lawsuit.</w:t>
      </w:r>
    </w:p>
    <w:p>
      <w:pPr>
        <w:spacing w:after="0" w:line="108" w:lineRule="exact"/>
        <w:rPr>
          <w:rFonts w:ascii="Arial" w:cs="Arial" w:eastAsia="Arial" w:hAnsi="Arial"/>
          <w:sz w:val="19"/>
          <w:szCs w:val="19"/>
          <w:i w:val="1"/>
          <w:iCs w:val="1"/>
          <w:color w:val="auto"/>
          <w:vertAlign w:val="superscript"/>
        </w:rPr>
      </w:pPr>
    </w:p>
    <w:p>
      <w:pPr>
        <w:ind w:left="313" w:hanging="313"/>
        <w:spacing w:after="0"/>
        <w:tabs>
          <w:tab w:leader="none" w:pos="313" w:val="left"/>
        </w:tabs>
        <w:numPr>
          <w:ilvl w:val="0"/>
          <w:numId w:val="11"/>
        </w:numPr>
        <w:rPr>
          <w:rFonts w:ascii="Arial" w:cs="Arial" w:eastAsia="Arial" w:hAnsi="Arial"/>
          <w:sz w:val="9"/>
          <w:szCs w:val="9"/>
          <w:i w:val="1"/>
          <w:iCs w:val="1"/>
          <w:color w:val="auto"/>
        </w:rPr>
      </w:pPr>
      <w:r>
        <w:rPr>
          <w:rFonts w:ascii="Arial" w:cs="Arial" w:eastAsia="Arial" w:hAnsi="Arial"/>
          <w:sz w:val="14"/>
          <w:szCs w:val="14"/>
          <w:color w:val="auto"/>
        </w:rPr>
        <w:t>Reflects restructuring charges primarily related to severance and related costs in connection with the January 2024 restructuring plan.</w:t>
      </w:r>
    </w:p>
    <w:p>
      <w:pPr>
        <w:spacing w:after="0" w:line="136" w:lineRule="exact"/>
        <w:rPr>
          <w:rFonts w:ascii="Arial" w:cs="Arial" w:eastAsia="Arial" w:hAnsi="Arial"/>
          <w:sz w:val="9"/>
          <w:szCs w:val="9"/>
          <w:i w:val="1"/>
          <w:iCs w:val="1"/>
          <w:color w:val="auto"/>
        </w:rPr>
      </w:pPr>
    </w:p>
    <w:p>
      <w:pPr>
        <w:ind w:left="313" w:hanging="313"/>
        <w:spacing w:after="0"/>
        <w:tabs>
          <w:tab w:leader="none" w:pos="313" w:val="left"/>
        </w:tabs>
        <w:numPr>
          <w:ilvl w:val="0"/>
          <w:numId w:val="11"/>
        </w:numPr>
        <w:rPr>
          <w:rFonts w:ascii="Arial" w:cs="Arial" w:eastAsia="Arial" w:hAnsi="Arial"/>
          <w:sz w:val="9"/>
          <w:szCs w:val="9"/>
          <w:i w:val="1"/>
          <w:iCs w:val="1"/>
          <w:color w:val="auto"/>
        </w:rPr>
      </w:pPr>
      <w:r>
        <w:rPr>
          <w:rFonts w:ascii="Arial" w:cs="Arial" w:eastAsia="Arial" w:hAnsi="Arial"/>
          <w:sz w:val="14"/>
          <w:szCs w:val="14"/>
          <w:color w:val="auto"/>
        </w:rPr>
        <w:t>Reflects the gain recognized from the troubled debt restructuring from the recapitalization transactions completed in October 2025.</w:t>
      </w:r>
    </w:p>
    <w:p>
      <w:pPr>
        <w:spacing w:after="0" w:line="121" w:lineRule="exact"/>
        <w:rPr>
          <w:rFonts w:ascii="Arial" w:cs="Arial" w:eastAsia="Arial" w:hAnsi="Arial"/>
          <w:sz w:val="9"/>
          <w:szCs w:val="9"/>
          <w:i w:val="1"/>
          <w:iCs w:val="1"/>
          <w:color w:val="auto"/>
        </w:rPr>
      </w:pPr>
    </w:p>
    <w:p>
      <w:pPr>
        <w:ind w:left="313" w:hanging="313"/>
        <w:spacing w:after="0"/>
        <w:tabs>
          <w:tab w:leader="none" w:pos="313" w:val="left"/>
        </w:tabs>
        <w:numPr>
          <w:ilvl w:val="0"/>
          <w:numId w:val="11"/>
        </w:numPr>
        <w:rPr>
          <w:rFonts w:ascii="Arial" w:cs="Arial" w:eastAsia="Arial" w:hAnsi="Arial"/>
          <w:sz w:val="19"/>
          <w:szCs w:val="19"/>
          <w:i w:val="1"/>
          <w:iCs w:val="1"/>
          <w:color w:val="auto"/>
          <w:vertAlign w:val="superscript"/>
        </w:rPr>
      </w:pPr>
      <w:r>
        <w:rPr>
          <w:rFonts w:ascii="Arial" w:cs="Arial" w:eastAsia="Arial" w:hAnsi="Arial"/>
          <w:sz w:val="14"/>
          <w:szCs w:val="14"/>
          <w:color w:val="auto"/>
        </w:rPr>
        <w:t>Includes other (income) / expense recognized in the period.</w:t>
      </w:r>
    </w:p>
    <w:p>
      <w:pPr>
        <w:spacing w:after="0" w:line="106" w:lineRule="exact"/>
        <w:rPr>
          <w:rFonts w:ascii="Arial" w:cs="Arial" w:eastAsia="Arial" w:hAnsi="Arial"/>
          <w:sz w:val="19"/>
          <w:szCs w:val="19"/>
          <w:i w:val="1"/>
          <w:iCs w:val="1"/>
          <w:color w:val="auto"/>
          <w:vertAlign w:val="superscript"/>
        </w:rPr>
      </w:pPr>
    </w:p>
    <w:p>
      <w:pPr>
        <w:ind w:left="333" w:right="300" w:hanging="333"/>
        <w:spacing w:after="0" w:line="239" w:lineRule="auto"/>
        <w:tabs>
          <w:tab w:leader="none" w:pos="324" w:val="left"/>
        </w:tabs>
        <w:numPr>
          <w:ilvl w:val="0"/>
          <w:numId w:val="11"/>
        </w:numPr>
        <w:rPr>
          <w:rFonts w:ascii="Arial" w:cs="Arial" w:eastAsia="Arial" w:hAnsi="Arial"/>
          <w:sz w:val="19"/>
          <w:szCs w:val="19"/>
          <w:i w:val="1"/>
          <w:iCs w:val="1"/>
          <w:color w:val="auto"/>
          <w:vertAlign w:val="superscript"/>
        </w:rPr>
      </w:pPr>
      <w:r>
        <w:rPr>
          <w:rFonts w:ascii="Arial" w:cs="Arial" w:eastAsia="Arial" w:hAnsi="Arial"/>
          <w:sz w:val="14"/>
          <w:szCs w:val="14"/>
          <w:color w:val="auto"/>
        </w:rPr>
        <w:t>Includes gains / losses recognized in relation to foreign exchange, operating lease terminations and the related surrender of fixed assets (see “Note 6 - Leases – Lessee Accounting” in the Notes to the Consolidated Financial Statements).</w:t>
      </w:r>
    </w:p>
    <w:p>
      <w:pPr>
        <w:spacing w:after="0" w:line="79" w:lineRule="exact"/>
        <w:rPr>
          <w:rFonts w:ascii="Arial" w:cs="Arial" w:eastAsia="Arial" w:hAnsi="Arial"/>
          <w:sz w:val="19"/>
          <w:szCs w:val="19"/>
          <w:i w:val="1"/>
          <w:iCs w:val="1"/>
          <w:color w:val="auto"/>
          <w:vertAlign w:val="superscript"/>
        </w:rPr>
      </w:pPr>
    </w:p>
    <w:p>
      <w:pPr>
        <w:ind w:left="313" w:hanging="313"/>
        <w:spacing w:after="0"/>
        <w:tabs>
          <w:tab w:leader="none" w:pos="313" w:val="left"/>
        </w:tabs>
        <w:numPr>
          <w:ilvl w:val="0"/>
          <w:numId w:val="11"/>
        </w:numPr>
        <w:rPr>
          <w:rFonts w:ascii="Arial" w:cs="Arial" w:eastAsia="Arial" w:hAnsi="Arial"/>
          <w:sz w:val="19"/>
          <w:szCs w:val="19"/>
          <w:i w:val="1"/>
          <w:iCs w:val="1"/>
          <w:color w:val="auto"/>
          <w:vertAlign w:val="superscript"/>
        </w:rPr>
      </w:pPr>
      <w:r>
        <w:rPr>
          <w:rFonts w:ascii="Arial" w:cs="Arial" w:eastAsia="Arial" w:hAnsi="Arial"/>
          <w:sz w:val="14"/>
          <w:szCs w:val="14"/>
          <w:color w:val="auto"/>
        </w:rPr>
        <w:t>Adjusted EBITDA Margin calculated as Adjusted EBITDA as a percentage of revenue.</w:t>
      </w:r>
    </w:p>
    <w:p>
      <w:pPr>
        <w:sectPr>
          <w:pgSz w:w="11900" w:h="16838" w:orient="portrait"/>
          <w:cols w:equalWidth="0" w:num="1">
            <w:col w:w="11313"/>
          </w:cols>
          <w:pgMar w:left="247" w:top="1101" w:right="339" w:bottom="1440" w:gutter="0" w:footer="0" w:header="0"/>
          <w:type w:val="continuous"/>
        </w:sectPr>
      </w:pPr>
    </w:p>
    <w:bookmarkStart w:id="16" w:name="page17"/>
    <w:bookmarkEnd w:id="16"/>
    <w:p>
      <w:pPr>
        <w:ind w:left="4600"/>
        <w:spacing w:after="0"/>
        <w:rPr>
          <w:sz w:val="20"/>
          <w:szCs w:val="20"/>
          <w:color w:val="auto"/>
        </w:rPr>
      </w:pPr>
      <w:r>
        <w:rPr>
          <w:rFonts w:ascii="Arial" w:cs="Arial" w:eastAsia="Arial" w:hAnsi="Arial"/>
          <w:sz w:val="20"/>
          <w:szCs w:val="20"/>
          <w:b w:val="1"/>
          <w:bCs w:val="1"/>
          <w:color w:val="auto"/>
        </w:rPr>
        <w:t>Rent the Runway, Inc.</w:t>
      </w:r>
    </w:p>
    <w:p>
      <w:pPr>
        <w:ind w:left="2920"/>
        <w:spacing w:after="0" w:line="231" w:lineRule="auto"/>
        <w:rPr>
          <w:sz w:val="20"/>
          <w:szCs w:val="20"/>
          <w:color w:val="auto"/>
        </w:rPr>
      </w:pPr>
      <w:r>
        <w:rPr>
          <w:rFonts w:ascii="Arial" w:cs="Arial" w:eastAsia="Arial" w:hAnsi="Arial"/>
          <w:sz w:val="20"/>
          <w:szCs w:val="20"/>
          <w:b w:val="1"/>
          <w:bCs w:val="1"/>
          <w:color w:val="auto"/>
        </w:rPr>
        <w:t>Reconciliation of GAAP to Non-GAAP Financial Measures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millions)</w:t>
      </w:r>
    </w:p>
    <w:p>
      <w:pPr>
        <w:spacing w:after="0" w:line="319" w:lineRule="exact"/>
        <w:rPr>
          <w:sz w:val="20"/>
          <w:szCs w:val="20"/>
          <w:color w:val="auto"/>
        </w:rPr>
      </w:pPr>
    </w:p>
    <w:p>
      <w:pPr>
        <w:ind w:right="220"/>
        <w:spacing w:after="0" w:line="257" w:lineRule="auto"/>
        <w:rPr>
          <w:sz w:val="20"/>
          <w:szCs w:val="20"/>
          <w:color w:val="auto"/>
        </w:rPr>
      </w:pPr>
      <w:r>
        <w:rPr>
          <w:rFonts w:ascii="Arial" w:cs="Arial" w:eastAsia="Arial" w:hAnsi="Arial"/>
          <w:sz w:val="20"/>
          <w:szCs w:val="20"/>
          <w:color w:val="auto"/>
        </w:rPr>
        <w:t>The following table presents a reconciliation of net cash (used in) provided by operating activities, the most comparable GAAP financial measure, to Free Cash Flow and Free Cash Flow Margin for the periods presented:</w:t>
      </w:r>
    </w:p>
    <w:p>
      <w:pPr>
        <w:spacing w:after="0" w:line="276" w:lineRule="exact"/>
        <w:rPr>
          <w:sz w:val="20"/>
          <w:szCs w:val="20"/>
          <w:color w:val="auto"/>
        </w:rPr>
      </w:pPr>
    </w:p>
    <w:p>
      <w:pPr>
        <w:jc w:val="right"/>
        <w:ind w:right="1020"/>
        <w:spacing w:after="0"/>
        <w:rPr>
          <w:sz w:val="20"/>
          <w:szCs w:val="20"/>
          <w:color w:val="auto"/>
        </w:rPr>
      </w:pPr>
      <w:r>
        <w:rPr>
          <w:rFonts w:ascii="Arial" w:cs="Arial" w:eastAsia="Arial" w:hAnsi="Arial"/>
          <w:sz w:val="14"/>
          <w:szCs w:val="14"/>
          <w:b w:val="1"/>
          <w:bCs w:val="1"/>
          <w:color w:val="auto"/>
        </w:rPr>
        <w:t>Years Ended</w:t>
      </w:r>
    </w:p>
    <w:p>
      <w:pPr>
        <w:spacing w:after="0" w:line="35" w:lineRule="exact"/>
        <w:rPr>
          <w:sz w:val="20"/>
          <w:szCs w:val="20"/>
          <w:color w:val="auto"/>
        </w:rPr>
      </w:pPr>
    </w:p>
    <w:p>
      <w:pPr>
        <w:jc w:val="right"/>
        <w:ind w:right="1020"/>
        <w:spacing w:after="0"/>
        <w:rPr>
          <w:sz w:val="20"/>
          <w:szCs w:val="20"/>
          <w:color w:val="auto"/>
        </w:rPr>
      </w:pPr>
      <w:r>
        <w:rPr>
          <w:rFonts w:ascii="Arial" w:cs="Arial" w:eastAsia="Arial" w:hAnsi="Arial"/>
          <w:sz w:val="14"/>
          <w:szCs w:val="14"/>
          <w:b w:val="1"/>
          <w:bCs w:val="1"/>
          <w:color w:val="auto"/>
        </w:rPr>
        <w:t>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27940</wp:posOffset>
            </wp:positionV>
            <wp:extent cx="18084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55"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8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2025</w:t>
            </w:r>
          </w:p>
        </w:tc>
      </w:tr>
      <w:tr>
        <w:trPr>
          <w:trHeight w:val="228"/>
        </w:trPr>
        <w:tc>
          <w:tcPr>
            <w:tcW w:w="8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940" w:type="dxa"/>
            <w:vAlign w:val="bottom"/>
          </w:tcPr>
          <w:p>
            <w:pPr>
              <w:spacing w:after="0"/>
              <w:rPr>
                <w:sz w:val="19"/>
                <w:szCs w:val="19"/>
                <w:color w:val="auto"/>
              </w:rPr>
            </w:pPr>
          </w:p>
        </w:tc>
      </w:tr>
      <w:tr>
        <w:trPr>
          <w:trHeight w:val="276"/>
        </w:trPr>
        <w:tc>
          <w:tcPr>
            <w:tcW w:w="8280" w:type="dxa"/>
            <w:vAlign w:val="bottom"/>
          </w:tcPr>
          <w:p>
            <w:pPr>
              <w:spacing w:after="0"/>
              <w:rPr>
                <w:sz w:val="20"/>
                <w:szCs w:val="20"/>
                <w:color w:val="auto"/>
              </w:rPr>
            </w:pPr>
            <w:r>
              <w:rPr>
                <w:rFonts w:ascii="Arial" w:cs="Arial" w:eastAsia="Arial" w:hAnsi="Arial"/>
                <w:sz w:val="18"/>
                <w:szCs w:val="18"/>
                <w:color w:val="auto"/>
              </w:rPr>
              <w:t>Net cash (used in) provided by operating activities</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54"/>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4"/>
                <w:szCs w:val="24"/>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12.9</w:t>
            </w:r>
          </w:p>
        </w:tc>
      </w:tr>
      <w:tr>
        <w:trPr>
          <w:trHeight w:val="297"/>
        </w:trPr>
        <w:tc>
          <w:tcPr>
            <w:tcW w:w="8280" w:type="dxa"/>
            <w:vAlign w:val="bottom"/>
          </w:tcPr>
          <w:p>
            <w:pPr>
              <w:ind w:left="440"/>
              <w:spacing w:after="0"/>
              <w:rPr>
                <w:sz w:val="20"/>
                <w:szCs w:val="20"/>
                <w:color w:val="auto"/>
              </w:rPr>
            </w:pPr>
            <w:r>
              <w:rPr>
                <w:rFonts w:ascii="Arial" w:cs="Arial" w:eastAsia="Arial" w:hAnsi="Arial"/>
                <w:sz w:val="18"/>
                <w:szCs w:val="18"/>
                <w:color w:val="auto"/>
              </w:rPr>
              <w:t>Purchases of rental product</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94"/>
              <w:spacing w:after="0"/>
              <w:rPr>
                <w:sz w:val="20"/>
                <w:szCs w:val="20"/>
                <w:color w:val="auto"/>
              </w:rPr>
            </w:pPr>
            <w:r>
              <w:rPr>
                <w:rFonts w:ascii="Arial" w:cs="Arial" w:eastAsia="Arial" w:hAnsi="Arial"/>
                <w:sz w:val="18"/>
                <w:szCs w:val="18"/>
                <w:color w:val="auto"/>
              </w:rPr>
              <w:t>(75.9)</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(49.2)</w:t>
            </w:r>
          </w:p>
        </w:tc>
      </w:tr>
      <w:tr>
        <w:trPr>
          <w:trHeight w:val="297"/>
        </w:trPr>
        <w:tc>
          <w:tcPr>
            <w:tcW w:w="8280" w:type="dxa"/>
            <w:vAlign w:val="bottom"/>
          </w:tcPr>
          <w:p>
            <w:pPr>
              <w:ind w:left="440"/>
              <w:spacing w:after="0"/>
              <w:rPr>
                <w:sz w:val="20"/>
                <w:szCs w:val="20"/>
                <w:color w:val="auto"/>
              </w:rPr>
            </w:pPr>
            <w:r>
              <w:rPr>
                <w:rFonts w:ascii="Arial" w:cs="Arial" w:eastAsia="Arial" w:hAnsi="Arial"/>
                <w:sz w:val="18"/>
                <w:szCs w:val="18"/>
                <w:color w:val="auto"/>
              </w:rPr>
              <w:t>Proceeds from liquidation of rental product</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154"/>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5.4</w:t>
            </w:r>
          </w:p>
        </w:tc>
      </w:tr>
      <w:tr>
        <w:trPr>
          <w:trHeight w:val="297"/>
        </w:trPr>
        <w:tc>
          <w:tcPr>
            <w:tcW w:w="8280" w:type="dxa"/>
            <w:vAlign w:val="bottom"/>
          </w:tcPr>
          <w:p>
            <w:pPr>
              <w:ind w:left="440"/>
              <w:spacing w:after="0"/>
              <w:rPr>
                <w:sz w:val="20"/>
                <w:szCs w:val="20"/>
                <w:color w:val="auto"/>
              </w:rPr>
            </w:pPr>
            <w:r>
              <w:rPr>
                <w:rFonts w:ascii="Arial" w:cs="Arial" w:eastAsia="Arial" w:hAnsi="Arial"/>
                <w:sz w:val="18"/>
                <w:szCs w:val="18"/>
                <w:color w:val="auto"/>
              </w:rPr>
              <w:t>Proceeds from sale of rental product</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154"/>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28.1</w:t>
            </w:r>
          </w:p>
        </w:tc>
      </w:tr>
      <w:tr>
        <w:trPr>
          <w:trHeight w:val="297"/>
        </w:trPr>
        <w:tc>
          <w:tcPr>
            <w:tcW w:w="8280" w:type="dxa"/>
            <w:vAlign w:val="bottom"/>
          </w:tcPr>
          <w:p>
            <w:pPr>
              <w:ind w:left="440"/>
              <w:spacing w:after="0"/>
              <w:rPr>
                <w:sz w:val="20"/>
                <w:szCs w:val="20"/>
                <w:color w:val="auto"/>
              </w:rPr>
            </w:pPr>
            <w:r>
              <w:rPr>
                <w:rFonts w:ascii="Arial" w:cs="Arial" w:eastAsia="Arial" w:hAnsi="Arial"/>
                <w:sz w:val="18"/>
                <w:szCs w:val="18"/>
                <w:color w:val="auto"/>
              </w:rPr>
              <w:t>Purchases of fixed and intangible assets</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94"/>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(4.4)</w:t>
            </w:r>
          </w:p>
        </w:tc>
      </w:tr>
      <w:tr>
        <w:trPr>
          <w:trHeight w:val="36"/>
        </w:trPr>
        <w:tc>
          <w:tcPr>
            <w:tcW w:w="82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86"/>
        </w:trPr>
        <w:tc>
          <w:tcPr>
            <w:tcW w:w="8280" w:type="dxa"/>
            <w:vAlign w:val="bottom"/>
          </w:tcPr>
          <w:p>
            <w:pPr>
              <w:spacing w:after="0"/>
              <w:rPr>
                <w:sz w:val="20"/>
                <w:szCs w:val="20"/>
                <w:color w:val="auto"/>
              </w:rPr>
            </w:pPr>
            <w:r>
              <w:rPr>
                <w:rFonts w:ascii="Arial" w:cs="Arial" w:eastAsia="Arial" w:hAnsi="Arial"/>
                <w:sz w:val="18"/>
                <w:szCs w:val="18"/>
                <w:color w:val="auto"/>
              </w:rPr>
              <w:t>Free Cash Flow</w:t>
            </w:r>
          </w:p>
        </w:tc>
        <w:tc>
          <w:tcPr>
            <w:tcW w:w="4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24"/>
                <w:szCs w:val="24"/>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(7.2)</w:t>
            </w:r>
          </w:p>
        </w:tc>
      </w:tr>
      <w:tr>
        <w:trPr>
          <w:trHeight w:val="25"/>
        </w:trPr>
        <w:tc>
          <w:tcPr>
            <w:tcW w:w="82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4"/>
        </w:trPr>
        <w:tc>
          <w:tcPr>
            <w:tcW w:w="8280" w:type="dxa"/>
            <w:vAlign w:val="bottom"/>
          </w:tcPr>
          <w:p>
            <w:pPr>
              <w:spacing w:after="0"/>
              <w:rPr>
                <w:sz w:val="20"/>
                <w:szCs w:val="20"/>
                <w:color w:val="auto"/>
              </w:rPr>
            </w:pPr>
            <w:r>
              <w:rPr>
                <w:rFonts w:ascii="Arial" w:cs="Arial" w:eastAsia="Arial" w:hAnsi="Arial"/>
                <w:sz w:val="18"/>
                <w:szCs w:val="18"/>
                <w:color w:val="auto"/>
              </w:rPr>
              <w:t>Free Cash Flow Margin</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w:t>
            </w:r>
          </w:p>
        </w:tc>
      </w:tr>
    </w:tbl>
    <w:p>
      <w:pPr>
        <w:spacing w:after="0" w:line="1" w:lineRule="exact"/>
        <w:rPr>
          <w:sz w:val="20"/>
          <w:szCs w:val="20"/>
          <w:color w:val="auto"/>
        </w:rPr>
      </w:pPr>
    </w:p>
    <w:sectPr>
      <w:pgSz w:w="11900" w:h="16838" w:orient="portrait"/>
      <w:cols w:equalWidth="0" w:num="1">
        <w:col w:w="11240"/>
      </w:cols>
      <w:pgMar w:left="320" w:top="120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lvl w:ilvl="1">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1"/>
      <w:numFmt w:val="bullet"/>
      <w:start w:val="1"/>
    </w:lvl>
  </w:abstractNum>
  <w:abstractNum w:abstractNumId="9">
    <w:nsid w:val="216231B"/>
    <w:multiLevelType w:val="hybridMultilevel"/>
    <w:lvl w:ilvl="0">
      <w:lvlJc w:val="left"/>
      <w:lvlText w:val="2"/>
      <w:numFmt w:val="bullet"/>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2026-04-14T07:07:46Z</dcterms:created>
  <dcterms:modified xsi:type="dcterms:W3CDTF">2026-04-14T07:07:46Z</dcterms:modified>
</cp:coreProperties>
</file>