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1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1"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3483610</wp:posOffset>
            </wp:positionH>
            <wp:positionV relativeFrom="page">
              <wp:posOffset>353695</wp:posOffset>
            </wp:positionV>
            <wp:extent cx="542925" cy="732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2925" cy="732155"/>
                    </a:xfrm>
                    <a:prstGeom prst="rect">
                      <a:avLst/>
                    </a:prstGeom>
                    <a:noFill/>
                  </pic:spPr>
                </pic:pic>
              </a:graphicData>
            </a:graphic>
          </wp:anchor>
        </w:drawing>
        <w:drawing>
          <wp:anchor simplePos="0" relativeHeight="251657728" behindDoc="1" locked="0" layoutInCell="0" allowOverlap="1">
            <wp:simplePos x="0" y="0"/>
            <wp:positionH relativeFrom="page">
              <wp:posOffset>1791335</wp:posOffset>
            </wp:positionH>
            <wp:positionV relativeFrom="page">
              <wp:posOffset>1328420</wp:posOffset>
            </wp:positionV>
            <wp:extent cx="3928110" cy="257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28110" cy="25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To our stockholders,</w:t>
      </w:r>
    </w:p>
    <w:p>
      <w:pPr>
        <w:spacing w:after="0" w:line="272"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2022 was an important year for Rent the Runway. We completed a multi-year financial transformation, doubling our gross margins since 2019, restructuring our debt and setting the company up to meet our profitability goals. We believe that we are operating as a fundamentally stronger business than we were just one year ago, and that the world around us continues to evolve in support of our value proposition of an unlimited closet that you don’t have to own. The market for fashion subscription and rental - which we created - has taken off, and is expected to see significant growth over the next decade. Women today think about building their wardrobe in a way that is starkly different than at the time of our founding in 2009: they are open to secondhand apparel, and they are excited to subscribe to and rent fashion.</w:t>
      </w:r>
    </w:p>
    <w:p>
      <w:pPr>
        <w:spacing w:after="0" w:line="26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What’s more, we’ve built a brand that is synonymous with the category and offer a premium matrix of designers. Our brand assortment includes hundreds of top designers from around the world and our lifetime user base is comprised of millions of young, professional, educated, high-income women - a highly covetable demographic. When I founded RTR over 14 years ago,</w:t>
      </w:r>
    </w:p>
    <w:p>
      <w:pPr>
        <w:spacing w:after="0" w:line="21" w:lineRule="exact"/>
        <w:rPr>
          <w:sz w:val="20"/>
          <w:szCs w:val="20"/>
          <w:color w:val="auto"/>
        </w:rPr>
      </w:pPr>
    </w:p>
    <w:p>
      <w:pPr>
        <w:ind w:right="120"/>
        <w:spacing w:after="0" w:line="221" w:lineRule="exact"/>
        <w:rPr>
          <w:sz w:val="20"/>
          <w:szCs w:val="20"/>
          <w:color w:val="auto"/>
        </w:rPr>
      </w:pPr>
      <w:r>
        <w:rPr>
          <w:rFonts w:ascii="Arial" w:cs="Arial" w:eastAsia="Arial" w:hAnsi="Arial"/>
          <w:sz w:val="18"/>
          <w:szCs w:val="18"/>
          <w:color w:val="auto"/>
        </w:rPr>
        <w:t>women had rarely considered the idea of renting clothing and many saw secondhand clothing to be at best, unusual, and at worst, unhygienic. Today, we have a beloved brand WKDW</w:t>
      </w:r>
      <w:r>
        <w:rPr>
          <w:rFonts w:ascii="PMingLiU" w:cs="PMingLiU" w:eastAsia="PMingLiU" w:hAnsi="PMingLiU"/>
          <w:sz w:val="18"/>
          <w:szCs w:val="18"/>
          <w:color w:val="auto"/>
        </w:rPr>
        <w:t/>
      </w:r>
      <w:r>
        <w:rPr>
          <w:rFonts w:ascii="Arial" w:cs="Arial" w:eastAsia="Arial" w:hAnsi="Arial"/>
          <w:sz w:val="18"/>
          <w:szCs w:val="18"/>
          <w:color w:val="auto"/>
        </w:rPr>
        <w:t>ZH</w:t>
      </w:r>
      <w:r>
        <w:rPr>
          <w:rFonts w:ascii="PMingLiU" w:cs="PMingLiU" w:eastAsia="PMingLiU" w:hAnsi="PMingLiU"/>
          <w:sz w:val="18"/>
          <w:szCs w:val="18"/>
          <w:color w:val="auto"/>
        </w:rPr>
        <w:t/>
      </w:r>
      <w:r>
        <w:rPr>
          <w:rFonts w:ascii="Arial" w:cs="Arial" w:eastAsia="Arial" w:hAnsi="Arial"/>
          <w:sz w:val="18"/>
          <w:szCs w:val="18"/>
          <w:color w:val="auto"/>
        </w:rPr>
        <w:t>EHOLHYH is much larger than our business and bodes well for our</w:t>
      </w:r>
    </w:p>
    <w:p>
      <w:pPr>
        <w:spacing w:after="0" w:line="25" w:lineRule="exact"/>
        <w:rPr>
          <w:sz w:val="20"/>
          <w:szCs w:val="20"/>
          <w:color w:val="auto"/>
        </w:rPr>
      </w:pPr>
    </w:p>
    <w:p>
      <w:pPr>
        <w:ind w:right="120"/>
        <w:spacing w:after="0" w:line="242" w:lineRule="auto"/>
        <w:rPr>
          <w:sz w:val="20"/>
          <w:szCs w:val="20"/>
          <w:color w:val="auto"/>
        </w:rPr>
      </w:pPr>
      <w:r>
        <w:rPr>
          <w:rFonts w:ascii="Arial" w:cs="Arial" w:eastAsia="Arial" w:hAnsi="Arial"/>
          <w:sz w:val="19"/>
          <w:szCs w:val="19"/>
          <w:color w:val="auto"/>
        </w:rPr>
        <w:t>future growth. As of the end of fiscal 2022, our unaided awareness as a clothing rental service was 22%, which means that when women in our broad target demographic are asked to name a clothing rental service, more than one-fifth of them say “Rent the Runway.”</w:t>
      </w:r>
    </w:p>
    <w:p>
      <w:pPr>
        <w:spacing w:after="0" w:line="271"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auto"/>
        </w:rPr>
        <w:t>But it isn’t enough just to know our name -- customers have to understand the value we offer, especially in today’s environment. We believe we continue to distinguish ourselves via strong strategic positioning as the premier player in fashion rental. We are the only platform to offer rental subscription, a la carte rental, and resale all in one place. We offer compelling value to our customers WKDW enables them to access the variety and aspirational brands they want in their wardrobe -- all in a way that is convenient and aligned with their busy lifestyles. As a result, our subscribers are more geographically diverse than we’ve ever seen, and they are using us for a wider range of use cases than ever before.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accomplishments in 2022</w:t>
      </w:r>
    </w:p>
    <w:p>
      <w:pPr>
        <w:spacing w:after="0" w:line="138"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auto"/>
        </w:rPr>
        <w:t>In addition to continuing to build a recognizable brand name and a compelling offering, 2022 was notable for the decisive actions we took to strengthen our financial foundation and infrastructure. The work that we completed in 2022 has enabled us to shift the majority of our corporate headcount to projects focused on improving customer experience in 2023, signaling a new era for our business. This is the first time we have invested so much behind customer experience, and we believe this will help Rent the Runway continue to grow and reach profitability. I’ve never felt more confident in our opportunity to thrive and deliver for our customers in the year ahead because of what we’ve accomplished in 2022:</w:t>
      </w:r>
    </w:p>
    <w:p>
      <w:pPr>
        <w:spacing w:after="0" w:line="32" w:lineRule="exact"/>
        <w:rPr>
          <w:sz w:val="20"/>
          <w:szCs w:val="20"/>
          <w:color w:val="auto"/>
        </w:rPr>
      </w:pPr>
    </w:p>
    <w:p>
      <w:pPr>
        <w:ind w:left="520" w:hanging="346"/>
        <w:spacing w:after="0" w:line="266" w:lineRule="auto"/>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Delivered strong financial results on the top and bottom lines: we achieved our two key priorities for the year that we laid out at the beginning of fiscal 2022, (1) achieve 45 to 50% revenue growth in fiscal year 2022 and (2) show progress on our path to profitability. In fiscal year 2022, we grew annual revenue 46% year-over-year to $296.4M, which accelerated from 29% revenue growth in fiscal year 2021. Our Q4 2022 and FY 2022 net losses narrowed significantly year-over-year, and we posted three consecutive quarters and our first full year of positive Adjusted EBITDA since IPO.</w:t>
      </w:r>
    </w:p>
    <w:p>
      <w:pPr>
        <w:spacing w:after="0" w:line="17" w:lineRule="exact"/>
        <w:rPr>
          <w:rFonts w:ascii="Arial" w:cs="Arial" w:eastAsia="Arial" w:hAnsi="Arial"/>
          <w:sz w:val="18"/>
          <w:szCs w:val="18"/>
          <w:color w:val="auto"/>
        </w:rPr>
      </w:pPr>
    </w:p>
    <w:p>
      <w:pPr>
        <w:ind w:left="520" w:right="360" w:hanging="346"/>
        <w:spacing w:after="0" w:line="234"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color w:val="auto"/>
        </w:rPr>
        <w:t>Completed a significant financial transformation of RTR, making the company stronger and demonstrating significant progress on our path to profitability:</w:t>
      </w:r>
    </w:p>
    <w:p>
      <w:pPr>
        <w:spacing w:after="0" w:line="39" w:lineRule="exact"/>
        <w:rPr>
          <w:rFonts w:ascii="Arial" w:cs="Arial" w:eastAsia="Arial" w:hAnsi="Arial"/>
          <w:sz w:val="19"/>
          <w:szCs w:val="19"/>
          <w:color w:val="auto"/>
        </w:rPr>
      </w:pPr>
    </w:p>
    <w:p>
      <w:pPr>
        <w:ind w:left="1400" w:hanging="353"/>
        <w:spacing w:after="0" w:line="241" w:lineRule="auto"/>
        <w:tabs>
          <w:tab w:leader="none" w:pos="1400" w:val="left"/>
        </w:tabs>
        <w:numPr>
          <w:ilvl w:val="1"/>
          <w:numId w:val="1"/>
        </w:numPr>
        <w:rPr>
          <w:rFonts w:ascii="Arial" w:cs="Arial" w:eastAsia="Arial" w:hAnsi="Arial"/>
          <w:sz w:val="19"/>
          <w:szCs w:val="19"/>
          <w:color w:val="auto"/>
        </w:rPr>
      </w:pPr>
      <w:r>
        <w:rPr>
          <w:rFonts w:ascii="Arial" w:cs="Arial" w:eastAsia="Arial" w:hAnsi="Arial"/>
          <w:sz w:val="19"/>
          <w:szCs w:val="19"/>
          <w:color w:val="auto"/>
        </w:rPr>
        <w:t>Doubled gross margin to 40% compared to 2019, after fulfillment and product costs, by continuing to improve efficiencies of our operation. RTR now has stronger gross margins than many traditional retailers and online peers on a comparable basis.</w:t>
      </w:r>
    </w:p>
    <w:p>
      <w:pPr>
        <w:spacing w:after="0" w:line="40" w:lineRule="exact"/>
        <w:rPr>
          <w:rFonts w:ascii="Arial" w:cs="Arial" w:eastAsia="Arial" w:hAnsi="Arial"/>
          <w:sz w:val="19"/>
          <w:szCs w:val="19"/>
          <w:color w:val="auto"/>
        </w:rPr>
      </w:pPr>
    </w:p>
    <w:p>
      <w:pPr>
        <w:ind w:left="1400" w:right="120" w:hanging="353"/>
        <w:spacing w:after="0" w:line="234" w:lineRule="auto"/>
        <w:tabs>
          <w:tab w:leader="none" w:pos="1400" w:val="left"/>
        </w:tabs>
        <w:numPr>
          <w:ilvl w:val="1"/>
          <w:numId w:val="1"/>
        </w:numPr>
        <w:rPr>
          <w:rFonts w:ascii="Arial" w:cs="Arial" w:eastAsia="Arial" w:hAnsi="Arial"/>
          <w:sz w:val="19"/>
          <w:szCs w:val="19"/>
          <w:color w:val="auto"/>
        </w:rPr>
      </w:pPr>
      <w:r>
        <w:rPr>
          <w:rFonts w:ascii="Arial" w:cs="Arial" w:eastAsia="Arial" w:hAnsi="Arial"/>
          <w:sz w:val="19"/>
          <w:szCs w:val="19"/>
          <w:color w:val="auto"/>
        </w:rPr>
        <w:t>Right-sized our fixed cost base in September 2022, cutting approximately $25M in fixed operating expenses versus our Q2 2022 run-rate.</w:t>
      </w:r>
    </w:p>
    <w:p>
      <w:pPr>
        <w:spacing w:after="0" w:line="39" w:lineRule="exact"/>
        <w:rPr>
          <w:rFonts w:ascii="Arial" w:cs="Arial" w:eastAsia="Arial" w:hAnsi="Arial"/>
          <w:sz w:val="19"/>
          <w:szCs w:val="19"/>
          <w:color w:val="auto"/>
        </w:rPr>
      </w:pPr>
    </w:p>
    <w:p>
      <w:pPr>
        <w:ind w:left="1400" w:right="680" w:hanging="353"/>
        <w:spacing w:after="0" w:line="234" w:lineRule="auto"/>
        <w:tabs>
          <w:tab w:leader="none" w:pos="1400" w:val="left"/>
        </w:tabs>
        <w:numPr>
          <w:ilvl w:val="1"/>
          <w:numId w:val="1"/>
        </w:numPr>
        <w:rPr>
          <w:rFonts w:ascii="Arial" w:cs="Arial" w:eastAsia="Arial" w:hAnsi="Arial"/>
          <w:sz w:val="19"/>
          <w:szCs w:val="19"/>
          <w:color w:val="auto"/>
        </w:rPr>
      </w:pPr>
      <w:r>
        <w:rPr>
          <w:rFonts w:ascii="Arial" w:cs="Arial" w:eastAsia="Arial" w:hAnsi="Arial"/>
          <w:sz w:val="19"/>
          <w:szCs w:val="19"/>
          <w:color w:val="auto"/>
        </w:rPr>
        <w:t>Restructured our debt in January 2023, extending its maturity and substantially reducing cash interest expense by over $20M during the next two years.</w:t>
      </w:r>
    </w:p>
    <w:p>
      <w:pPr>
        <w:spacing w:after="0" w:line="39" w:lineRule="exact"/>
        <w:rPr>
          <w:rFonts w:ascii="Arial" w:cs="Arial" w:eastAsia="Arial" w:hAnsi="Arial"/>
          <w:sz w:val="19"/>
          <w:szCs w:val="19"/>
          <w:color w:val="auto"/>
        </w:rPr>
      </w:pPr>
    </w:p>
    <w:p>
      <w:pPr>
        <w:ind w:left="1400" w:right="100" w:hanging="353"/>
        <w:spacing w:after="0" w:line="242" w:lineRule="auto"/>
        <w:tabs>
          <w:tab w:leader="none" w:pos="1400" w:val="left"/>
        </w:tabs>
        <w:numPr>
          <w:ilvl w:val="1"/>
          <w:numId w:val="1"/>
        </w:numPr>
        <w:rPr>
          <w:rFonts w:ascii="Arial" w:cs="Arial" w:eastAsia="Arial" w:hAnsi="Arial"/>
          <w:sz w:val="19"/>
          <w:szCs w:val="19"/>
          <w:color w:val="auto"/>
        </w:rPr>
      </w:pPr>
      <w:r>
        <w:rPr>
          <w:rFonts w:ascii="Arial" w:cs="Arial" w:eastAsia="Arial" w:hAnsi="Arial"/>
          <w:sz w:val="19"/>
          <w:szCs w:val="19"/>
          <w:color w:val="auto"/>
        </w:rPr>
        <w:t>Grew our innovative inventory acquisition strategies, acquiring almost 60% of our product in fiscal year 2022 either on consignment (Share by RTR) or through lower-cost Exclusive Designs, enabling us to offer better inventory at a lower upfront cost per unit.</w:t>
      </w:r>
    </w:p>
    <w:p>
      <w:pPr>
        <w:sectPr>
          <w:pgSz w:w="11880" w:h="15480" w:orient="portrait"/>
          <w:cols w:equalWidth="0" w:num="1">
            <w:col w:w="10460"/>
          </w:cols>
          <w:pgMar w:left="700" w:top="1440" w:right="720" w:bottom="336" w:gutter="0" w:footer="0" w:header="0"/>
        </w:sectPr>
      </w:pPr>
    </w:p>
    <w:bookmarkStart w:id="3" w:name="page4"/>
    <w:bookmarkEnd w:id="3"/>
    <w:p>
      <w:pPr>
        <w:ind w:left="180"/>
        <w:spacing w:after="0" w:line="256" w:lineRule="exact"/>
        <w:tabs>
          <w:tab w:leader="none" w:pos="500" w:val="left"/>
        </w:tabs>
        <w:rPr>
          <w:sz w:val="20"/>
          <w:szCs w:val="20"/>
          <w:color w:val="auto"/>
        </w:rPr>
      </w:pPr>
      <w:r>
        <w:rPr>
          <w:rFonts w:ascii="PMingLiU" w:cs="PMingLiU" w:eastAsia="PMingLiU" w:hAnsi="PMingLiU"/>
          <w:sz w:val="19"/>
          <w:szCs w:val="19"/>
          <w:color w:val="auto"/>
        </w:rPr>
        <w:t/>
      </w:r>
      <w:r>
        <w:rPr>
          <w:rFonts w:ascii="Arial" w:cs="Arial" w:eastAsia="Arial" w:hAnsi="Arial"/>
          <w:sz w:val="19"/>
          <w:szCs w:val="19"/>
          <w:color w:val="auto"/>
        </w:rPr>
        <w:tab/>
        <w:t>Drove foundational work to improve the customer experience and solidify our tech platform:</w:t>
      </w:r>
    </w:p>
    <w:p>
      <w:pPr>
        <w:spacing w:after="0" w:line="40" w:lineRule="exact"/>
        <w:rPr>
          <w:sz w:val="20"/>
          <w:szCs w:val="20"/>
          <w:color w:val="auto"/>
        </w:rPr>
      </w:pPr>
    </w:p>
    <w:p>
      <w:pPr>
        <w:ind w:left="1400" w:right="500" w:hanging="353"/>
        <w:spacing w:after="0" w:line="241" w:lineRule="auto"/>
        <w:tabs>
          <w:tab w:leader="none" w:pos="1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Unlocked more intuitive ways for customers to find the product they’re looking for via a richer search experience. For the first time, we connected our proprietary inventory data system into on-site search &amp; discovery features.</w:t>
      </w:r>
    </w:p>
    <w:p>
      <w:pPr>
        <w:spacing w:after="0" w:line="1" w:lineRule="exact"/>
        <w:rPr>
          <w:rFonts w:ascii="Arial" w:cs="Arial" w:eastAsia="Arial" w:hAnsi="Arial"/>
          <w:sz w:val="19"/>
          <w:szCs w:val="19"/>
          <w:color w:val="auto"/>
        </w:rPr>
      </w:pPr>
    </w:p>
    <w:p>
      <w:pPr>
        <w:ind w:left="1400" w:hanging="353"/>
        <w:spacing w:after="0"/>
        <w:tabs>
          <w:tab w:leader="none" w:pos="1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(QKDQFHG scale by migrating to the cloud to unlock better resiliency, performance and reliability.</w:t>
      </w:r>
    </w:p>
    <w:p>
      <w:pPr>
        <w:spacing w:after="0" w:line="66" w:lineRule="exact"/>
        <w:rPr>
          <w:rFonts w:ascii="Arial" w:cs="Arial" w:eastAsia="Arial" w:hAnsi="Arial"/>
          <w:sz w:val="19"/>
          <w:szCs w:val="19"/>
          <w:color w:val="auto"/>
        </w:rPr>
      </w:pPr>
    </w:p>
    <w:p>
      <w:pPr>
        <w:ind w:left="1400" w:right="680" w:hanging="353"/>
        <w:spacing w:after="0" w:line="225" w:lineRule="auto"/>
        <w:tabs>
          <w:tab w:leader="none" w:pos="140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Expanded at-home pick-up, aimed at enhancing customer experience and loyalty while also lowering transportation cost. The program covers 60% of our subscriber base.</w:t>
      </w:r>
    </w:p>
    <w:p>
      <w:pPr>
        <w:spacing w:after="0" w:line="279"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Our ability to make such important strides despite continued volatility in the macroenvironment gives us confidence that our offering continues to resonate with the consumer. Our path forward is focused on capturing the market we built and continuing to grow our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What’s ahead for 2023</w:t>
      </w:r>
    </w:p>
    <w:p>
      <w:pPr>
        <w:spacing w:after="0" w:line="138" w:lineRule="exact"/>
        <w:rPr>
          <w:sz w:val="20"/>
          <w:szCs w:val="20"/>
          <w:color w:val="auto"/>
        </w:rPr>
      </w:pPr>
    </w:p>
    <w:p>
      <w:pPr>
        <w:ind w:right="60"/>
        <w:spacing w:after="0" w:line="221" w:lineRule="exact"/>
        <w:rPr>
          <w:sz w:val="20"/>
          <w:szCs w:val="20"/>
          <w:color w:val="auto"/>
        </w:rPr>
      </w:pPr>
      <w:r>
        <w:rPr>
          <w:rFonts w:ascii="Arial" w:cs="Arial" w:eastAsia="Arial" w:hAnsi="Arial"/>
          <w:sz w:val="18"/>
          <w:szCs w:val="18"/>
          <w:color w:val="auto"/>
        </w:rPr>
        <w:t>We’re bullish about the opportunity ahead and believe that 2023 will be a year in which we make significant improvements to our customer experience that in turn</w:t>
      </w:r>
      <w:r>
        <w:rPr>
          <w:rFonts w:ascii="PMingLiU" w:cs="PMingLiU" w:eastAsia="PMingLiU" w:hAnsi="PMingLiU"/>
          <w:sz w:val="18"/>
          <w:szCs w:val="18"/>
          <w:color w:val="auto"/>
        </w:rPr>
        <w:t/>
      </w:r>
      <w:r>
        <w:rPr>
          <w:rFonts w:ascii="Arial" w:cs="Arial" w:eastAsia="Arial" w:hAnsi="Arial"/>
          <w:sz w:val="18"/>
          <w:szCs w:val="18"/>
          <w:color w:val="auto"/>
        </w:rPr>
        <w:t>ZLOO</w:t>
      </w:r>
      <w:r>
        <w:rPr>
          <w:rFonts w:ascii="PMingLiU" w:cs="PMingLiU" w:eastAsia="PMingLiU" w:hAnsi="PMingLiU"/>
          <w:sz w:val="18"/>
          <w:szCs w:val="18"/>
          <w:color w:val="auto"/>
        </w:rPr>
        <w:t/>
      </w:r>
      <w:r>
        <w:rPr>
          <w:rFonts w:ascii="Arial" w:cs="Arial" w:eastAsia="Arial" w:hAnsi="Arial"/>
          <w:sz w:val="18"/>
          <w:szCs w:val="18"/>
          <w:color w:val="auto"/>
        </w:rPr>
        <w:t>drive subscriber loyalty and growth and bring us closer to cash flow profitability.</w:t>
      </w:r>
    </w:p>
    <w:p>
      <w:pPr>
        <w:spacing w:after="0" w:line="26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are laser focused on adding tangible value to our customer experience quarter over quarter. We started the year by taking a significant first step: permanently changing all of our subscription programs to include an additional item in every shipment, offering 25% more value for the same price. Given the financial efficiencies we’ve achieved across the business to date,</w:t>
      </w:r>
    </w:p>
    <w:p>
      <w:pPr>
        <w:spacing w:after="0" w:line="21" w:lineRule="exact"/>
        <w:rPr>
          <w:sz w:val="20"/>
          <w:szCs w:val="20"/>
          <w:color w:val="auto"/>
        </w:rPr>
      </w:pPr>
    </w:p>
    <w:p>
      <w:pPr>
        <w:jc w:val="both"/>
        <w:ind w:right="200"/>
        <w:spacing w:after="0" w:line="225" w:lineRule="exact"/>
        <w:rPr>
          <w:sz w:val="20"/>
          <w:szCs w:val="20"/>
          <w:color w:val="auto"/>
        </w:rPr>
      </w:pPr>
      <w:r>
        <w:rPr>
          <w:rFonts w:ascii="Arial" w:cs="Arial" w:eastAsia="Arial" w:hAnsi="Arial"/>
          <w:sz w:val="17"/>
          <w:szCs w:val="17"/>
          <w:color w:val="auto"/>
        </w:rPr>
        <w:t>adding an extra item per subscription shipment is expected to have a minimal impact on our gross margins. With this launch, our base programs shifted from 4 items to 5 items per shipment. &amp;XVWRPHU</w:t>
      </w:r>
      <w:r>
        <w:rPr>
          <w:rFonts w:ascii="PMingLiU" w:cs="PMingLiU" w:eastAsia="PMingLiU" w:hAnsi="PMingLiU"/>
          <w:sz w:val="17"/>
          <w:szCs w:val="17"/>
          <w:color w:val="auto"/>
        </w:rPr>
        <w:t/>
      </w:r>
      <w:r>
        <w:rPr>
          <w:rFonts w:ascii="Arial" w:cs="Arial" w:eastAsia="Arial" w:hAnsi="Arial"/>
          <w:sz w:val="17"/>
          <w:szCs w:val="17"/>
          <w:color w:val="auto"/>
        </w:rPr>
        <w:t>IHHGEDFN</w:t>
      </w:r>
      <w:r>
        <w:rPr>
          <w:rFonts w:ascii="PMingLiU" w:cs="PMingLiU" w:eastAsia="PMingLiU" w:hAnsi="PMingLiU"/>
          <w:sz w:val="17"/>
          <w:szCs w:val="17"/>
          <w:color w:val="auto"/>
        </w:rPr>
        <w:t/>
      </w:r>
      <w:r>
        <w:rPr>
          <w:rFonts w:ascii="Arial" w:cs="Arial" w:eastAsia="Arial" w:hAnsi="Arial"/>
          <w:sz w:val="17"/>
          <w:szCs w:val="17"/>
          <w:color w:val="auto"/>
        </w:rPr>
        <w:t>ZDV</w:t>
      </w:r>
      <w:r>
        <w:rPr>
          <w:rFonts w:ascii="PMingLiU" w:cs="PMingLiU" w:eastAsia="PMingLiU" w:hAnsi="PMingLiU"/>
          <w:sz w:val="17"/>
          <w:szCs w:val="17"/>
          <w:color w:val="auto"/>
        </w:rPr>
        <w:t/>
      </w:r>
      <w:r>
        <w:rPr>
          <w:rFonts w:ascii="Arial" w:cs="Arial" w:eastAsia="Arial" w:hAnsi="Arial"/>
          <w:sz w:val="17"/>
          <w:szCs w:val="17"/>
          <w:color w:val="auto"/>
        </w:rPr>
        <w:t>SRVLWLYH</w:t>
      </w:r>
      <w:r>
        <w:rPr>
          <w:rFonts w:ascii="PMingLiU" w:cs="PMingLiU" w:eastAsia="PMingLiU" w:hAnsi="PMingLiU"/>
          <w:sz w:val="17"/>
          <w:szCs w:val="17"/>
          <w:color w:val="auto"/>
        </w:rPr>
        <w:t/>
      </w:r>
      <w:r>
        <w:rPr>
          <w:rFonts w:ascii="Arial" w:cs="Arial" w:eastAsia="Arial" w:hAnsi="Arial"/>
          <w:sz w:val="17"/>
          <w:szCs w:val="17"/>
          <w:color w:val="auto"/>
        </w:rPr>
        <w:t>DQG</w:t>
      </w:r>
      <w:r>
        <w:rPr>
          <w:rFonts w:ascii="PMingLiU" w:cs="PMingLiU" w:eastAsia="PMingLiU" w:hAnsi="PMingLiU"/>
          <w:sz w:val="17"/>
          <w:szCs w:val="17"/>
          <w:color w:val="auto"/>
        </w:rPr>
        <w:t/>
      </w:r>
      <w:r>
        <w:rPr>
          <w:rFonts w:ascii="Arial" w:cs="Arial" w:eastAsia="Arial" w:hAnsi="Arial"/>
          <w:sz w:val="17"/>
          <w:szCs w:val="17"/>
          <w:color w:val="auto"/>
        </w:rPr>
        <w:t>ZH</w:t>
      </w:r>
      <w:r>
        <w:rPr>
          <w:rFonts w:ascii="PMingLiU" w:cs="PMingLiU" w:eastAsia="PMingLiU" w:hAnsi="PMingLiU"/>
          <w:sz w:val="17"/>
          <w:szCs w:val="17"/>
          <w:color w:val="auto"/>
        </w:rPr>
        <w:t/>
      </w:r>
      <w:r>
        <w:rPr>
          <w:rFonts w:ascii="Arial" w:cs="Arial" w:eastAsia="Arial" w:hAnsi="Arial"/>
          <w:sz w:val="17"/>
          <w:szCs w:val="17"/>
          <w:color w:val="auto"/>
        </w:rPr>
        <w:t>ZHUH</w:t>
      </w:r>
      <w:r>
        <w:rPr>
          <w:rFonts w:ascii="PMingLiU" w:cs="PMingLiU" w:eastAsia="PMingLiU" w:hAnsi="PMingLiU"/>
          <w:sz w:val="17"/>
          <w:szCs w:val="17"/>
          <w:color w:val="auto"/>
        </w:rPr>
        <w:t/>
      </w:r>
      <w:r>
        <w:rPr>
          <w:rFonts w:ascii="Arial" w:cs="Arial" w:eastAsia="Arial" w:hAnsi="Arial"/>
          <w:sz w:val="17"/>
          <w:szCs w:val="17"/>
          <w:color w:val="auto"/>
        </w:rPr>
        <w:t>SOHDVHG</w:t>
      </w:r>
      <w:r>
        <w:rPr>
          <w:rFonts w:ascii="PMingLiU" w:cs="PMingLiU" w:eastAsia="PMingLiU" w:hAnsi="PMingLiU"/>
          <w:sz w:val="17"/>
          <w:szCs w:val="17"/>
          <w:color w:val="auto"/>
        </w:rPr>
        <w:t/>
      </w:r>
      <w:r>
        <w:rPr>
          <w:rFonts w:ascii="Arial" w:cs="Arial" w:eastAsia="Arial" w:hAnsi="Arial"/>
          <w:sz w:val="17"/>
          <w:szCs w:val="17"/>
          <w:color w:val="auto"/>
        </w:rPr>
        <w:t>WR</w:t>
      </w:r>
      <w:r>
        <w:rPr>
          <w:rFonts w:ascii="PMingLiU" w:cs="PMingLiU" w:eastAsia="PMingLiU" w:hAnsi="PMingLiU"/>
          <w:sz w:val="17"/>
          <w:szCs w:val="17"/>
          <w:color w:val="auto"/>
        </w:rPr>
        <w:t/>
      </w:r>
      <w:r>
        <w:rPr>
          <w:rFonts w:ascii="Arial" w:cs="Arial" w:eastAsia="Arial" w:hAnsi="Arial"/>
          <w:sz w:val="17"/>
          <w:szCs w:val="17"/>
          <w:color w:val="auto"/>
        </w:rPr>
        <w:t xml:space="preserve"> DFKLHYH</w:t>
      </w:r>
      <w:r>
        <w:rPr>
          <w:rFonts w:ascii="PMingLiU" w:cs="PMingLiU" w:eastAsia="PMingLiU" w:hAnsi="PMingLiU"/>
          <w:sz w:val="17"/>
          <w:szCs w:val="17"/>
          <w:color w:val="auto"/>
        </w:rPr>
        <w:t/>
      </w:r>
      <w:r>
        <w:rPr>
          <w:rFonts w:ascii="Arial" w:cs="Arial" w:eastAsia="Arial" w:hAnsi="Arial"/>
          <w:sz w:val="17"/>
          <w:szCs w:val="17"/>
          <w:color w:val="auto"/>
        </w:rPr>
        <w:t>D</w:t>
      </w:r>
      <w:r>
        <w:rPr>
          <w:rFonts w:ascii="PMingLiU" w:cs="PMingLiU" w:eastAsia="PMingLiU" w:hAnsi="PMingLiU"/>
          <w:sz w:val="17"/>
          <w:szCs w:val="17"/>
          <w:color w:val="auto"/>
        </w:rPr>
        <w:t/>
      </w:r>
      <w:r>
        <w:rPr>
          <w:rFonts w:ascii="Arial" w:cs="Arial" w:eastAsia="Arial" w:hAnsi="Arial"/>
          <w:sz w:val="17"/>
          <w:szCs w:val="17"/>
          <w:color w:val="auto"/>
        </w:rPr>
        <w:t>UHFRUG</w:t>
      </w:r>
      <w:r>
        <w:rPr>
          <w:rFonts w:ascii="PMingLiU" w:cs="PMingLiU" w:eastAsia="PMingLiU" w:hAnsi="PMingLiU"/>
          <w:sz w:val="17"/>
          <w:szCs w:val="17"/>
          <w:color w:val="auto"/>
        </w:rPr>
        <w:t/>
      </w:r>
      <w:r>
        <w:rPr>
          <w:rFonts w:ascii="Arial" w:cs="Arial" w:eastAsia="Arial" w:hAnsi="Arial"/>
          <w:sz w:val="17"/>
          <w:szCs w:val="17"/>
          <w:color w:val="auto"/>
        </w:rPr>
        <w:t>KLJK</w:t>
      </w:r>
      <w:r>
        <w:rPr>
          <w:rFonts w:ascii="PMingLiU" w:cs="PMingLiU" w:eastAsia="PMingLiU" w:hAnsi="PMingLiU"/>
          <w:sz w:val="17"/>
          <w:szCs w:val="17"/>
          <w:color w:val="auto"/>
        </w:rPr>
        <w:t/>
      </w:r>
      <w:r>
        <w:rPr>
          <w:rFonts w:ascii="Arial" w:cs="Arial" w:eastAsia="Arial" w:hAnsi="Arial"/>
          <w:sz w:val="17"/>
          <w:szCs w:val="17"/>
          <w:color w:val="auto"/>
        </w:rPr>
        <w:t>DFWLYH</w:t>
      </w:r>
      <w:r>
        <w:rPr>
          <w:rFonts w:ascii="PMingLiU" w:cs="PMingLiU" w:eastAsia="PMingLiU" w:hAnsi="PMingLiU"/>
          <w:sz w:val="17"/>
          <w:szCs w:val="17"/>
          <w:color w:val="auto"/>
        </w:rPr>
        <w:t/>
      </w:r>
      <w:r>
        <w:rPr>
          <w:rFonts w:ascii="Arial" w:cs="Arial" w:eastAsia="Arial" w:hAnsi="Arial"/>
          <w:sz w:val="17"/>
          <w:szCs w:val="17"/>
          <w:color w:val="auto"/>
        </w:rPr>
        <w:t>VXEVFULEHU</w:t>
      </w:r>
      <w:r>
        <w:rPr>
          <w:rFonts w:ascii="PMingLiU" w:cs="PMingLiU" w:eastAsia="PMingLiU" w:hAnsi="PMingLiU"/>
          <w:sz w:val="17"/>
          <w:szCs w:val="17"/>
          <w:color w:val="auto"/>
        </w:rPr>
        <w:t/>
      </w:r>
      <w:r>
        <w:rPr>
          <w:rFonts w:ascii="Arial" w:cs="Arial" w:eastAsia="Arial" w:hAnsi="Arial"/>
          <w:sz w:val="17"/>
          <w:szCs w:val="17"/>
          <w:color w:val="auto"/>
        </w:rPr>
        <w:t>FRXQW</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RYHU</w:t>
      </w:r>
      <w:r>
        <w:rPr>
          <w:rFonts w:ascii="PMingLiU" w:cs="PMingLiU" w:eastAsia="PMingLiU" w:hAnsi="PMingLiU"/>
          <w:sz w:val="17"/>
          <w:szCs w:val="17"/>
          <w:color w:val="auto"/>
        </w:rPr>
        <w:t/>
      </w:r>
      <w:r>
        <w:rPr>
          <w:rFonts w:ascii="Arial" w:cs="Arial" w:eastAsia="Arial" w:hAnsi="Arial"/>
          <w:sz w:val="17"/>
          <w:szCs w:val="17"/>
          <w:color w:val="auto"/>
        </w:rPr>
        <w:t>DFWLYH</w:t>
      </w:r>
      <w:r>
        <w:rPr>
          <w:rFonts w:ascii="PMingLiU" w:cs="PMingLiU" w:eastAsia="PMingLiU" w:hAnsi="PMingLiU"/>
          <w:sz w:val="17"/>
          <w:szCs w:val="17"/>
          <w:color w:val="auto"/>
        </w:rPr>
        <w:t/>
      </w:r>
      <w:r>
        <w:rPr>
          <w:rFonts w:ascii="Arial" w:cs="Arial" w:eastAsia="Arial" w:hAnsi="Arial"/>
          <w:sz w:val="17"/>
          <w:szCs w:val="17"/>
          <w:color w:val="auto"/>
        </w:rPr>
        <w:t>VXEVFULEHUV</w:t>
      </w:r>
      <w:r>
        <w:rPr>
          <w:rFonts w:ascii="PMingLiU" w:cs="PMingLiU" w:eastAsia="PMingLiU" w:hAnsi="PMingLiU"/>
          <w:sz w:val="17"/>
          <w:szCs w:val="17"/>
          <w:color w:val="auto"/>
        </w:rPr>
        <w:t/>
      </w:r>
      <w:r>
        <w:rPr>
          <w:rFonts w:ascii="Arial" w:cs="Arial" w:eastAsia="Arial" w:hAnsi="Arial"/>
          <w:sz w:val="17"/>
          <w:szCs w:val="17"/>
          <w:color w:val="auto"/>
        </w:rPr>
        <w:t>DV</w:t>
      </w:r>
      <w:r>
        <w:rPr>
          <w:rFonts w:ascii="PMingLiU" w:cs="PMingLiU" w:eastAsia="PMingLiU" w:hAnsi="PMingLiU"/>
          <w:sz w:val="17"/>
          <w:szCs w:val="17"/>
          <w:color w:val="auto"/>
        </w:rPr>
        <w:t/>
      </w:r>
      <w:r>
        <w:rPr>
          <w:rFonts w:ascii="Arial" w:cs="Arial" w:eastAsia="Arial" w:hAnsi="Arial"/>
          <w:sz w:val="17"/>
          <w:szCs w:val="17"/>
          <w:color w:val="auto"/>
        </w:rPr>
        <w:t>RI</w:t>
      </w:r>
      <w:r>
        <w:rPr>
          <w:rFonts w:ascii="PMingLiU" w:cs="PMingLiU" w:eastAsia="PMingLiU" w:hAnsi="PMingLiU"/>
          <w:sz w:val="17"/>
          <w:szCs w:val="17"/>
          <w:color w:val="auto"/>
        </w:rPr>
        <w:t/>
      </w:r>
      <w:r>
        <w:rPr>
          <w:rFonts w:ascii="Arial" w:cs="Arial" w:eastAsia="Arial" w:hAnsi="Arial"/>
          <w:sz w:val="17"/>
          <w:szCs w:val="17"/>
          <w:color w:val="auto"/>
        </w:rPr>
        <w:t>$SULO</w:t>
      </w:r>
      <w:r>
        <w:rPr>
          <w:rFonts w:ascii="PMingLiU" w:cs="PMingLiU" w:eastAsia="PMingLiU" w:hAnsi="PMingLiU"/>
          <w:sz w:val="17"/>
          <w:szCs w:val="17"/>
          <w:color w:val="auto"/>
        </w:rPr>
        <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Beyond this major launch, our strategy is squarely focused on the customer via three key pillars:</w:t>
      </w:r>
    </w:p>
    <w:p>
      <w:pPr>
        <w:spacing w:after="0" w:line="335" w:lineRule="exact"/>
        <w:rPr>
          <w:sz w:val="20"/>
          <w:szCs w:val="20"/>
          <w:color w:val="auto"/>
        </w:rPr>
      </w:pPr>
    </w:p>
    <w:p>
      <w:pPr>
        <w:ind w:left="520" w:right="260" w:hanging="346"/>
        <w:spacing w:after="0" w:line="246"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 are focused on getting our customers the inventory they want when they want it: As the premiere fashion subscription experience, a key aspect of our offering is the physical product we offer. We plan to enhance the availability of items and invest in greater depths of our buys so that more desired styles are in stock when subscribers are browsing and picking for their next shipments.</w:t>
      </w:r>
    </w:p>
    <w:p>
      <w:pPr>
        <w:spacing w:after="0" w:line="35" w:lineRule="exact"/>
        <w:rPr>
          <w:rFonts w:ascii="Arial" w:cs="Arial" w:eastAsia="Arial" w:hAnsi="Arial"/>
          <w:sz w:val="19"/>
          <w:szCs w:val="19"/>
          <w:color w:val="auto"/>
        </w:rPr>
      </w:pPr>
    </w:p>
    <w:p>
      <w:pPr>
        <w:ind w:left="520" w:right="200" w:hanging="346"/>
        <w:spacing w:after="0" w:line="248"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 are committed to offering best-in-class product discovery: We’re focused on making it easier and more fun for customers to access inventory by investing in tools, features and algorithms that allow them to take advantage of Rent the Runway’s full closet in the cloud. For example, in March, we rolled out a much-asked-for feature that uplevels usability of the site called “Rent the Look,” which showcases how to rent the full outfit that’s styled on the model, and presents similar items if any item is unavailable to rent right at that moment.</w:t>
      </w:r>
    </w:p>
    <w:p>
      <w:pPr>
        <w:spacing w:after="0" w:line="35" w:lineRule="exact"/>
        <w:rPr>
          <w:rFonts w:ascii="Arial" w:cs="Arial" w:eastAsia="Arial" w:hAnsi="Arial"/>
          <w:sz w:val="19"/>
          <w:szCs w:val="19"/>
          <w:color w:val="auto"/>
        </w:rPr>
      </w:pPr>
    </w:p>
    <w:p>
      <w:pPr>
        <w:ind w:left="520" w:right="40" w:hanging="346"/>
        <w:spacing w:after="0" w:line="234" w:lineRule="auto"/>
        <w:tabs>
          <w:tab w:leader="none" w:pos="52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 are working to maximize the efficiency and ease-of-use of our experience: This means we are focused on efforts like improving site speed, expanding at-home pickup and launching a personalized subscriber onboarding process.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Our path forward</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the founder of this business who sees Rent the Runway as my life’s work, it’s my number one goal to create a profitable company and capture what we believe is the huge global opportunity for a closet in the cloud. Thanks to the hard work we’ve done to improve our financial position, technology infrastructure, operations and inventory acquisition model over the last few years, I’ve never felt more confident in our ability to deliver -- for our customers, our brand partners and our stockholders.</w:t>
      </w:r>
    </w:p>
    <w:p>
      <w:pPr>
        <w:spacing w:after="0" w:line="254" w:lineRule="exact"/>
        <w:rPr>
          <w:sz w:val="20"/>
          <w:szCs w:val="20"/>
          <w:color w:val="auto"/>
        </w:rPr>
      </w:pPr>
    </w:p>
    <w:p>
      <w:pPr>
        <w:jc w:val="both"/>
        <w:ind w:right="260"/>
        <w:spacing w:after="0" w:line="242" w:lineRule="auto"/>
        <w:rPr>
          <w:sz w:val="20"/>
          <w:szCs w:val="20"/>
          <w:color w:val="auto"/>
        </w:rPr>
      </w:pPr>
      <w:r>
        <w:rPr>
          <w:rFonts w:ascii="Arial" w:cs="Arial" w:eastAsia="Arial" w:hAnsi="Arial"/>
          <w:sz w:val="19"/>
          <w:szCs w:val="19"/>
          <w:color w:val="auto"/>
        </w:rPr>
        <w:t>To our stockholders, employees, brand partners, customers and others in our community, we are grateful for your continued support of our vision. I believe this is only the beginning, and I look forward to bringing you along on our journey for years to come.</w:t>
      </w: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Warmly,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-99695</wp:posOffset>
            </wp:positionV>
            <wp:extent cx="2645410" cy="1047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5410" cy="1047750"/>
                    </a:xfrm>
                    <a:prstGeom prst="rect">
                      <a:avLst/>
                    </a:prstGeom>
                    <a:noFill/>
                  </pic:spPr>
                </pic:pic>
              </a:graphicData>
            </a:graphic>
          </wp:anchor>
        </w:drawing>
      </w:r>
    </w:p>
    <w:p>
      <w:pPr>
        <w:sectPr>
          <w:pgSz w:w="11880" w:h="15480" w:orient="portrait"/>
          <w:cols w:equalWidth="0" w:num="1">
            <w:col w:w="10480"/>
          </w:cols>
          <w:pgMar w:left="700" w:top="712" w:right="700" w:bottom="9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8240"/>
        <w:spacing w:after="0" w:line="234" w:lineRule="auto"/>
        <w:rPr>
          <w:sz w:val="20"/>
          <w:szCs w:val="20"/>
          <w:color w:val="auto"/>
        </w:rPr>
      </w:pPr>
      <w:r>
        <w:rPr>
          <w:rFonts w:ascii="Arial" w:cs="Arial" w:eastAsia="Arial" w:hAnsi="Arial"/>
          <w:sz w:val="19"/>
          <w:szCs w:val="19"/>
          <w:color w:val="auto"/>
        </w:rPr>
        <w:t>Jennifer Y. Hyman Co-Founder, CEO and Chair</w:t>
      </w:r>
    </w:p>
    <w:p>
      <w:pPr>
        <w:sectPr>
          <w:pgSz w:w="11880" w:h="15480" w:orient="portrait"/>
          <w:cols w:equalWidth="0" w:num="1">
            <w:col w:w="10480"/>
          </w:cols>
          <w:pgMar w:left="700" w:top="712" w:right="700" w:bottom="901"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187325</wp:posOffset>
            </wp:positionH>
            <wp:positionV relativeFrom="page">
              <wp:posOffset>681990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702310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6" w:lineRule="exact"/>
        <w:rPr>
          <w:sz w:val="20"/>
          <w:szCs w:val="20"/>
          <w:color w:val="auto"/>
        </w:rPr>
      </w:pPr>
    </w:p>
    <w:p>
      <w:pPr>
        <w:ind w:left="520" w:hanging="506"/>
        <w:spacing w:after="0"/>
        <w:tabs>
          <w:tab w:leader="none" w:pos="520" w:val="left"/>
        </w:tabs>
        <w:numPr>
          <w:ilvl w:val="0"/>
          <w:numId w:val="4"/>
        </w:numPr>
        <w:rPr>
          <w:rFonts w:ascii="MS PGothic" w:cs="MS PGothic" w:eastAsia="MS PGothic" w:hAnsi="MS PGothic"/>
          <w:sz w:val="17"/>
          <w:szCs w:val="17"/>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rFonts w:ascii="MS PGothic" w:cs="MS PGothic" w:eastAsia="MS PGothic" w:hAnsi="MS PGothic"/>
          <w:sz w:val="17"/>
          <w:szCs w:val="17"/>
          <w:color w:val="auto"/>
        </w:rPr>
      </w:pPr>
    </w:p>
    <w:p>
      <w:pPr>
        <w:ind w:left="422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For the fiscal year ended January 31, 2023</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258" w:lineRule="exact"/>
        <w:rPr>
          <w:sz w:val="20"/>
          <w:szCs w:val="20"/>
          <w:color w:val="auto"/>
        </w:rPr>
      </w:pPr>
    </w:p>
    <w:p>
      <w:pPr>
        <w:ind w:left="3920" w:right="3520" w:hanging="3906"/>
        <w:spacing w:after="0" w:line="423" w:lineRule="auto"/>
        <w:tabs>
          <w:tab w:leader="none" w:pos="508" w:val="left"/>
        </w:tabs>
        <w:numPr>
          <w:ilvl w:val="0"/>
          <w:numId w:val="5"/>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4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RENT THE RUNWAY,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400" w:type="dxa"/>
            <w:vAlign w:val="bottom"/>
          </w:tcPr>
          <w:p>
            <w:pPr>
              <w:jc w:val="center"/>
              <w:ind w:left="1109"/>
              <w:spacing w:after="0"/>
              <w:rPr>
                <w:sz w:val="20"/>
                <w:szCs w:val="20"/>
                <w:color w:val="auto"/>
              </w:rPr>
            </w:pPr>
            <w:r>
              <w:rPr>
                <w:rFonts w:ascii="Arial" w:cs="Arial" w:eastAsia="Arial" w:hAnsi="Arial"/>
                <w:sz w:val="14"/>
                <w:szCs w:val="14"/>
                <w:b w:val="1"/>
                <w:bCs w:val="1"/>
                <w:color w:val="auto"/>
              </w:rPr>
              <w:t>Delaware</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40" w:type="dxa"/>
            <w:vAlign w:val="bottom"/>
          </w:tcPr>
          <w:p>
            <w:pPr>
              <w:jc w:val="right"/>
              <w:ind w:right="2389"/>
              <w:spacing w:after="0"/>
              <w:rPr>
                <w:sz w:val="20"/>
                <w:szCs w:val="20"/>
                <w:color w:val="auto"/>
              </w:rPr>
            </w:pPr>
            <w:r>
              <w:rPr>
                <w:rFonts w:ascii="Arial" w:cs="Arial" w:eastAsia="Arial" w:hAnsi="Arial"/>
                <w:sz w:val="14"/>
                <w:szCs w:val="14"/>
                <w:b w:val="1"/>
                <w:bCs w:val="1"/>
                <w:color w:val="auto"/>
              </w:rPr>
              <w:t>80-0376379</w:t>
            </w:r>
          </w:p>
        </w:tc>
        <w:tc>
          <w:tcPr>
            <w:tcW w:w="0" w:type="dxa"/>
            <w:vAlign w:val="bottom"/>
          </w:tcPr>
          <w:p>
            <w:pPr>
              <w:spacing w:after="0"/>
              <w:rPr>
                <w:sz w:val="1"/>
                <w:szCs w:val="1"/>
                <w:color w:val="auto"/>
              </w:rPr>
            </w:pPr>
          </w:p>
        </w:tc>
      </w:tr>
      <w:tr>
        <w:trPr>
          <w:trHeight w:val="33"/>
        </w:trPr>
        <w:tc>
          <w:tcPr>
            <w:tcW w:w="4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400" w:type="dxa"/>
            <w:vAlign w:val="bottom"/>
          </w:tcPr>
          <w:p>
            <w:pPr>
              <w:jc w:val="center"/>
              <w:ind w:left="1109"/>
              <w:spacing w:after="0"/>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40" w:type="dxa"/>
            <w:vAlign w:val="bottom"/>
          </w:tcPr>
          <w:p>
            <w:pPr>
              <w:jc w:val="center"/>
              <w:ind w:right="2129"/>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91"/>
        </w:trPr>
        <w:tc>
          <w:tcPr>
            <w:tcW w:w="4400" w:type="dxa"/>
            <w:vAlign w:val="bottom"/>
          </w:tcPr>
          <w:p>
            <w:pPr>
              <w:jc w:val="center"/>
              <w:ind w:left="1109"/>
              <w:spacing w:after="0"/>
              <w:rPr>
                <w:sz w:val="20"/>
                <w:szCs w:val="20"/>
                <w:color w:val="auto"/>
              </w:rPr>
            </w:pPr>
            <w:r>
              <w:rPr>
                <w:rFonts w:ascii="Arial" w:cs="Arial" w:eastAsia="Arial" w:hAnsi="Arial"/>
                <w:sz w:val="14"/>
                <w:szCs w:val="14"/>
                <w:color w:val="auto"/>
                <w:w w:val="99"/>
              </w:rPr>
              <w:t>incorporation or organization)</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40" w:type="dxa"/>
            <w:vAlign w:val="bottom"/>
          </w:tcPr>
          <w:p>
            <w:pPr>
              <w:jc w:val="center"/>
              <w:ind w:right="2149"/>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38"/>
        </w:trPr>
        <w:tc>
          <w:tcPr>
            <w:tcW w:w="4400" w:type="dxa"/>
            <w:vAlign w:val="bottom"/>
          </w:tcPr>
          <w:p>
            <w:pPr>
              <w:jc w:val="center"/>
              <w:ind w:left="1109"/>
              <w:spacing w:after="0"/>
              <w:rPr>
                <w:sz w:val="20"/>
                <w:szCs w:val="20"/>
                <w:color w:val="auto"/>
              </w:rPr>
            </w:pPr>
            <w:r>
              <w:rPr>
                <w:rFonts w:ascii="Arial" w:cs="Arial" w:eastAsia="Arial" w:hAnsi="Arial"/>
                <w:sz w:val="14"/>
                <w:szCs w:val="14"/>
                <w:b w:val="1"/>
                <w:bCs w:val="1"/>
                <w:color w:val="auto"/>
                <w:w w:val="99"/>
              </w:rPr>
              <w:t>10 Jay Street</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40" w:type="dxa"/>
            <w:vAlign w:val="bottom"/>
            <w:vMerge w:val="restart"/>
          </w:tcPr>
          <w:p>
            <w:pPr>
              <w:jc w:val="right"/>
              <w:ind w:right="2569"/>
              <w:spacing w:after="0"/>
              <w:rPr>
                <w:sz w:val="20"/>
                <w:szCs w:val="20"/>
                <w:color w:val="auto"/>
              </w:rPr>
            </w:pPr>
            <w:r>
              <w:rPr>
                <w:rFonts w:ascii="Arial" w:cs="Arial" w:eastAsia="Arial" w:hAnsi="Arial"/>
                <w:sz w:val="14"/>
                <w:szCs w:val="14"/>
                <w:b w:val="1"/>
                <w:bCs w:val="1"/>
                <w:color w:val="auto"/>
              </w:rPr>
              <w:t>11201</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ind w:left="1109"/>
              <w:spacing w:after="0"/>
              <w:rPr>
                <w:sz w:val="20"/>
                <w:szCs w:val="20"/>
                <w:color w:val="auto"/>
              </w:rPr>
            </w:pPr>
            <w:r>
              <w:rPr>
                <w:rFonts w:ascii="Arial" w:cs="Arial" w:eastAsia="Arial" w:hAnsi="Arial"/>
                <w:sz w:val="14"/>
                <w:szCs w:val="14"/>
                <w:b w:val="1"/>
                <w:bCs w:val="1"/>
                <w:color w:val="auto"/>
                <w:w w:val="99"/>
              </w:rPr>
              <w:t>Brooklyn, New York 11201</w:t>
            </w: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440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400" w:type="dxa"/>
            <w:vAlign w:val="bottom"/>
          </w:tcPr>
          <w:p>
            <w:pPr>
              <w:jc w:val="center"/>
              <w:ind w:left="1129"/>
              <w:spacing w:after="0"/>
              <w:rPr>
                <w:sz w:val="20"/>
                <w:szCs w:val="20"/>
                <w:color w:val="auto"/>
              </w:rPr>
            </w:pPr>
            <w:r>
              <w:rPr>
                <w:rFonts w:ascii="Arial" w:cs="Arial" w:eastAsia="Arial" w:hAnsi="Arial"/>
                <w:sz w:val="14"/>
                <w:szCs w:val="14"/>
                <w:color w:val="auto"/>
              </w:rPr>
              <w:t>(Address of Principal Executive Offices)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40" w:type="dxa"/>
            <w:vAlign w:val="bottom"/>
          </w:tcPr>
          <w:p>
            <w:pPr>
              <w:jc w:val="center"/>
              <w:ind w:right="2149"/>
              <w:spacing w:after="0"/>
              <w:rPr>
                <w:sz w:val="20"/>
                <w:szCs w:val="20"/>
                <w:color w:val="auto"/>
              </w:rPr>
            </w:pPr>
            <w:r>
              <w:rPr>
                <w:rFonts w:ascii="Arial" w:cs="Arial" w:eastAsia="Arial" w:hAnsi="Arial"/>
                <w:sz w:val="14"/>
                <w:szCs w:val="14"/>
                <w:color w:val="auto"/>
                <w:w w:val="99"/>
              </w:rPr>
              <w:t>(Zip Code)</w:t>
            </w:r>
          </w:p>
        </w:tc>
        <w:tc>
          <w:tcPr>
            <w:tcW w:w="0" w:type="dxa"/>
            <w:vAlign w:val="bottom"/>
          </w:tcPr>
          <w:p>
            <w:pPr>
              <w:spacing w:after="0"/>
              <w:rPr>
                <w:sz w:val="1"/>
                <w:szCs w:val="1"/>
                <w:color w:val="auto"/>
              </w:rPr>
            </w:pPr>
          </w:p>
        </w:tc>
      </w:tr>
      <w:tr>
        <w:trPr>
          <w:trHeight w:val="408"/>
        </w:trPr>
        <w:tc>
          <w:tcPr>
            <w:tcW w:w="7860" w:type="dxa"/>
            <w:vAlign w:val="bottom"/>
            <w:gridSpan w:val="5"/>
          </w:tcPr>
          <w:p>
            <w:pPr>
              <w:jc w:val="center"/>
              <w:ind w:left="332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524-6860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0" w:type="dxa"/>
            <w:vAlign w:val="bottom"/>
          </w:tcPr>
          <w:p>
            <w:pPr>
              <w:spacing w:after="0"/>
              <w:rPr>
                <w:sz w:val="16"/>
                <w:szCs w:val="16"/>
                <w:color w:val="auto"/>
              </w:rPr>
            </w:pPr>
          </w:p>
        </w:tc>
        <w:tc>
          <w:tcPr>
            <w:tcW w:w="25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____________________________</w:t>
            </w:r>
          </w:p>
        </w:tc>
        <w:tc>
          <w:tcPr>
            <w:tcW w:w="9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4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spacing w:after="0"/>
              <w:rPr>
                <w:sz w:val="14"/>
                <w:szCs w:val="14"/>
                <w:color w:val="auto"/>
              </w:rPr>
            </w:pPr>
          </w:p>
        </w:tc>
        <w:tc>
          <w:tcPr>
            <w:tcW w:w="4400" w:type="dxa"/>
            <w:vAlign w:val="bottom"/>
            <w:tcBorders>
              <w:bottom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Borders>
              <w:left w:val="single" w:sz="8" w:color="auto"/>
              <w:bottom w:val="single" w:sz="8" w:color="auto"/>
              <w:right w:val="single" w:sz="8" w:color="auto"/>
            </w:tcBorders>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rPr>
              <w:t>Trading Symbol(s)</w:t>
            </w:r>
          </w:p>
        </w:tc>
        <w:tc>
          <w:tcPr>
            <w:tcW w:w="44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tcBorders>
              <w:left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14"/>
                <w:szCs w:val="14"/>
                <w:color w:val="auto"/>
              </w:rPr>
              <w:t>RENT</w:t>
            </w:r>
          </w:p>
        </w:tc>
        <w:tc>
          <w:tcPr>
            <w:tcW w:w="960" w:type="dxa"/>
            <w:vAlign w:val="bottom"/>
            <w:tcBorders>
              <w:bottom w:val="single" w:sz="8" w:color="auto"/>
            </w:tcBorders>
          </w:tcPr>
          <w:p>
            <w:pPr>
              <w:spacing w:after="0"/>
              <w:rPr>
                <w:sz w:val="14"/>
                <w:szCs w:val="14"/>
                <w:color w:val="auto"/>
              </w:rPr>
            </w:pPr>
          </w:p>
        </w:tc>
        <w:tc>
          <w:tcPr>
            <w:tcW w:w="3440" w:type="dxa"/>
            <w:vAlign w:val="bottom"/>
            <w:tcBorders>
              <w:bottom w:val="single" w:sz="8" w:color="auto"/>
              <w:right w:val="single" w:sz="8" w:color="auto"/>
            </w:tcBorders>
          </w:tcPr>
          <w:p>
            <w:pPr>
              <w:jc w:val="center"/>
              <w:ind w:right="929"/>
              <w:spacing w:after="0"/>
              <w:rPr>
                <w:sz w:val="20"/>
                <w:szCs w:val="20"/>
                <w:color w:val="auto"/>
              </w:rPr>
            </w:pPr>
            <w:r>
              <w:rPr>
                <w:rFonts w:ascii="Arial" w:cs="Arial" w:eastAsia="Arial" w:hAnsi="Arial"/>
                <w:sz w:val="14"/>
                <w:szCs w:val="14"/>
                <w:color w:val="auto"/>
              </w:rPr>
              <w:t>The Nasdaq Stock Market LLC</w:t>
            </w:r>
          </w:p>
        </w:tc>
        <w:tc>
          <w:tcPr>
            <w:tcW w:w="0" w:type="dxa"/>
            <w:vAlign w:val="bottom"/>
          </w:tcPr>
          <w:p>
            <w:pPr>
              <w:spacing w:after="0"/>
              <w:rPr>
                <w:sz w:val="1"/>
                <w:szCs w:val="1"/>
                <w:color w:val="auto"/>
              </w:rPr>
            </w:pPr>
          </w:p>
        </w:tc>
      </w:tr>
      <w:tr>
        <w:trPr>
          <w:trHeight w:val="374"/>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44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61"/>
        </w:trPr>
        <w:tc>
          <w:tcPr>
            <w:tcW w:w="786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44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556895</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177" w:right="299" w:bottom="1440" w:gutter="0" w:footer="0" w:header="0"/>
        </w:sectPr>
      </w:pPr>
    </w:p>
    <w:bookmarkStart w:id="5" w:name="page6"/>
    <w:bookmarkEnd w:id="5"/>
    <w:p>
      <w:pPr>
        <w:ind w:right="160"/>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0"/>
          <w:szCs w:val="20"/>
          <w:color w:val="auto"/>
        </w:rPr>
      </w:pPr>
    </w:p>
    <w:p>
      <w:pPr>
        <w:ind w:right="6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880" w:h="15480" w:orient="portrait"/>
          <w:cols w:equalWidth="0" w:num="1">
            <w:col w:w="11260"/>
          </w:cols>
          <w:pgMar w:left="300" w:top="761" w:right="31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880" w:h="15480" w:orient="portrait"/>
          <w:cols w:equalWidth="0" w:num="2">
            <w:col w:w="7080" w:space="720"/>
            <w:col w:w="3460"/>
          </w:cols>
          <w:pgMar w:left="300" w:top="761" w:right="319" w:bottom="1440" w:gutter="0" w:footer="0" w:header="0"/>
          <w:type w:val="continuous"/>
        </w:sectPr>
      </w:pPr>
    </w:p>
    <w:p>
      <w:pPr>
        <w:ind w:left="3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7" w:lineRule="exact"/>
        <w:rPr>
          <w:sz w:val="20"/>
          <w:szCs w:val="20"/>
          <w:color w:val="auto"/>
        </w:rPr>
      </w:pPr>
    </w:p>
    <w:p>
      <w:pPr>
        <w:sectPr>
          <w:pgSz w:w="11880" w:h="15480" w:orient="portrait"/>
          <w:cols w:equalWidth="0" w:num="2">
            <w:col w:w="10160" w:space="720"/>
            <w:col w:w="380"/>
          </w:cols>
          <w:pgMar w:left="300" w:top="761" w:right="319" w:bottom="1440" w:gutter="0" w:footer="0" w:header="0"/>
          <w:type w:val="continuous"/>
        </w:sect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5" w:lineRule="exact"/>
        <w:rPr>
          <w:sz w:val="20"/>
          <w:szCs w:val="20"/>
          <w:color w:val="auto"/>
        </w:rPr>
      </w:pPr>
    </w:p>
    <w:p>
      <w:pPr>
        <w:sectPr>
          <w:pgSz w:w="11880" w:h="15480" w:orient="portrait"/>
          <w:cols w:equalWidth="0" w:num="2">
            <w:col w:w="7080" w:space="720"/>
            <w:col w:w="3460"/>
          </w:cols>
          <w:pgMar w:left="300" w:top="761" w:right="319" w:bottom="1440" w:gutter="0" w:footer="0" w:header="0"/>
          <w:type w:val="continuous"/>
        </w:sectPr>
      </w:pPr>
    </w:p>
    <w:p>
      <w:pPr>
        <w:ind w:left="3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7" w:lineRule="exact"/>
        <w:rPr>
          <w:sz w:val="20"/>
          <w:szCs w:val="20"/>
          <w:color w:val="auto"/>
        </w:rPr>
      </w:pPr>
    </w:p>
    <w:p>
      <w:pPr>
        <w:sectPr>
          <w:pgSz w:w="11880" w:h="15480" w:orient="portrait"/>
          <w:cols w:equalWidth="0" w:num="2">
            <w:col w:w="10160" w:space="720"/>
            <w:col w:w="380"/>
          </w:cols>
          <w:pgMar w:left="300" w:top="761" w:right="319" w:bottom="1440" w:gutter="0" w:footer="0" w:header="0"/>
          <w:type w:val="continuous"/>
        </w:sectPr>
      </w:pPr>
    </w:p>
    <w:p>
      <w:pPr>
        <w:ind w:left="7800"/>
        <w:spacing w:after="0"/>
        <w:rPr>
          <w:sz w:val="20"/>
          <w:szCs w:val="20"/>
          <w:color w:val="auto"/>
        </w:rPr>
      </w:pPr>
      <w:r>
        <w:rPr>
          <w:rFonts w:ascii="Arial" w:cs="Arial" w:eastAsia="Arial" w:hAnsi="Arial"/>
          <w:sz w:val="14"/>
          <w:szCs w:val="14"/>
          <w:color w:val="auto"/>
        </w:rPr>
        <w:t>Emerging growth company</w:t>
      </w:r>
    </w:p>
    <w:p>
      <w:pPr>
        <w:spacing w:after="0" w:line="4" w:lineRule="exact"/>
        <w:rPr>
          <w:sz w:val="20"/>
          <w:szCs w:val="20"/>
          <w:color w:val="auto"/>
        </w:rPr>
      </w:pPr>
    </w:p>
    <w:p>
      <w:pPr>
        <w:ind w:left="10880"/>
        <w:spacing w:after="0" w:line="161" w:lineRule="exact"/>
        <w:rPr>
          <w:sz w:val="20"/>
          <w:szCs w:val="20"/>
          <w:color w:val="auto"/>
        </w:rPr>
      </w:pPr>
      <w:r>
        <w:rPr>
          <w:rFonts w:ascii="MS PGothic" w:cs="MS PGothic" w:eastAsia="MS PGothic" w:hAnsi="MS PGothic"/>
          <w:sz w:val="16"/>
          <w:szCs w:val="16"/>
          <w:color w:val="auto"/>
        </w:rPr>
        <w:t>☒</w:t>
      </w:r>
    </w:p>
    <w:p>
      <w:pPr>
        <w:sectPr>
          <w:pgSz w:w="11880" w:h="15480" w:orient="portrait"/>
          <w:cols w:equalWidth="0" w:num="1">
            <w:col w:w="11260"/>
          </w:cols>
          <w:pgMar w:left="300" w:top="761" w:right="319" w:bottom="1440" w:gutter="0" w:footer="0" w:header="0"/>
          <w:type w:val="continuous"/>
        </w:sectPr>
      </w:pPr>
    </w:p>
    <w:p>
      <w:pPr>
        <w:spacing w:after="0" w:line="269" w:lineRule="exact"/>
        <w:rPr>
          <w:sz w:val="20"/>
          <w:szCs w:val="20"/>
          <w:color w:val="auto"/>
        </w:rPr>
      </w:pPr>
    </w:p>
    <w:p>
      <w:pPr>
        <w:ind w:right="52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9" w:lineRule="exact"/>
        <w:rPr>
          <w:sz w:val="20"/>
          <w:szCs w:val="20"/>
          <w:color w:val="auto"/>
        </w:rPr>
      </w:pPr>
    </w:p>
    <w:p>
      <w:pPr>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6" w:lineRule="exact"/>
        <w:rPr>
          <w:sz w:val="20"/>
          <w:szCs w:val="20"/>
          <w:color w:val="auto"/>
        </w:rPr>
      </w:pPr>
    </w:p>
    <w:p>
      <w:pPr>
        <w:spacing w:after="0" w:line="176" w:lineRule="exact"/>
        <w:tabs>
          <w:tab w:leader="none" w:pos="6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19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as of July 31, 2022 (the last business day of the registrant’s most recently completed second fiscal quarter), was approximately $204.3 million.</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outstanding 63,390,727 shares of Class A common stock and 3,078,421 shares of Class B common stock as of April 7, 2023.</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DOCUMENTS INCORPORATED BY REFERENCE</w:t>
      </w:r>
    </w:p>
    <w:p>
      <w:pPr>
        <w:spacing w:after="0" w:line="200"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no later than 120 days after the end of the registrant’s fiscal year ended January 31, 2023, are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524510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5080</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880" w:h="15480" w:orient="portrait"/>
          <w:cols w:equalWidth="0" w:num="1">
            <w:col w:w="11260"/>
          </w:cols>
          <w:pgMar w:left="300" w:top="761"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780" w:type="dxa"/>
            <w:vAlign w:val="bottom"/>
          </w:tcPr>
          <w:p>
            <w:pPr>
              <w:spacing w:after="0"/>
              <w:rPr>
                <w:sz w:val="16"/>
                <w:szCs w:val="16"/>
                <w:color w:val="auto"/>
              </w:rPr>
            </w:pPr>
          </w:p>
        </w:tc>
        <w:tc>
          <w:tcPr>
            <w:tcW w:w="9680" w:type="dxa"/>
            <w:vAlign w:val="bottom"/>
          </w:tcPr>
          <w:p>
            <w:pPr>
              <w:ind w:left="426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Part I</w:t>
            </w:r>
          </w:p>
        </w:tc>
        <w:tc>
          <w:tcPr>
            <w:tcW w:w="968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780" w:type="dxa"/>
            <w:vAlign w:val="bottom"/>
            <w:vMerge w:val="continue"/>
          </w:tcPr>
          <w:p>
            <w:pPr>
              <w:spacing w:after="0"/>
              <w:rPr>
                <w:sz w:val="13"/>
                <w:szCs w:val="13"/>
                <w:color w:val="auto"/>
              </w:rPr>
            </w:pPr>
          </w:p>
        </w:tc>
        <w:tc>
          <w:tcPr>
            <w:tcW w:w="9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1.</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Business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1A.</w:t>
            </w:r>
          </w:p>
        </w:tc>
        <w:tc>
          <w:tcPr>
            <w:tcW w:w="9680" w:type="dxa"/>
            <w:vAlign w:val="bottom"/>
          </w:tcPr>
          <w:p>
            <w:pPr>
              <w:ind w:left="240"/>
              <w:spacing w:after="0"/>
              <w:rPr>
                <w:sz w:val="20"/>
                <w:szCs w:val="20"/>
                <w:color w:val="auto"/>
              </w:rPr>
            </w:pPr>
            <w:r>
              <w:rPr>
                <w:rFonts w:ascii="Arial" w:cs="Arial" w:eastAsia="Arial" w:hAnsi="Arial"/>
                <w:sz w:val="14"/>
                <w:szCs w:val="14"/>
                <w:color w:val="auto"/>
              </w:rPr>
              <w:t>Risk Factors</w:t>
            </w: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1B.</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Unresolved Staff Comments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2.</w:t>
            </w:r>
          </w:p>
        </w:tc>
        <w:tc>
          <w:tcPr>
            <w:tcW w:w="9680" w:type="dxa"/>
            <w:vAlign w:val="bottom"/>
          </w:tcPr>
          <w:p>
            <w:pPr>
              <w:ind w:left="240"/>
              <w:spacing w:after="0"/>
              <w:rPr>
                <w:sz w:val="20"/>
                <w:szCs w:val="20"/>
                <w:color w:val="auto"/>
              </w:rPr>
            </w:pPr>
            <w:r>
              <w:rPr>
                <w:rFonts w:ascii="Arial" w:cs="Arial" w:eastAsia="Arial" w:hAnsi="Arial"/>
                <w:sz w:val="14"/>
                <w:szCs w:val="14"/>
                <w:color w:val="auto"/>
              </w:rPr>
              <w:t>Properties</w:t>
            </w: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3.</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Legal Proceedings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4.</w:t>
            </w:r>
          </w:p>
        </w:tc>
        <w:tc>
          <w:tcPr>
            <w:tcW w:w="9680" w:type="dxa"/>
            <w:vAlign w:val="bottom"/>
          </w:tcPr>
          <w:p>
            <w:pPr>
              <w:ind w:left="240"/>
              <w:spacing w:after="0"/>
              <w:rPr>
                <w:sz w:val="20"/>
                <w:szCs w:val="20"/>
                <w:color w:val="auto"/>
              </w:rPr>
            </w:pPr>
            <w:r>
              <w:rPr>
                <w:rFonts w:ascii="Arial" w:cs="Arial" w:eastAsia="Arial" w:hAnsi="Arial"/>
                <w:sz w:val="14"/>
                <w:szCs w:val="14"/>
                <w:color w:val="auto"/>
              </w:rPr>
              <w:t>Mine Safety Disclosures</w:t>
            </w:r>
          </w:p>
        </w:tc>
        <w:tc>
          <w:tcPr>
            <w:tcW w:w="82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2"/>
        </w:trPr>
        <w:tc>
          <w:tcPr>
            <w:tcW w:w="780" w:type="dxa"/>
            <w:vAlign w:val="bottom"/>
            <w:shd w:val="clear" w:color="auto" w:fill="DEDEDE"/>
          </w:tcPr>
          <w:p>
            <w:pPr>
              <w:spacing w:after="0"/>
              <w:rPr>
                <w:sz w:val="17"/>
                <w:szCs w:val="17"/>
                <w:color w:val="auto"/>
              </w:rPr>
            </w:pPr>
          </w:p>
        </w:tc>
        <w:tc>
          <w:tcPr>
            <w:tcW w:w="9680" w:type="dxa"/>
            <w:vAlign w:val="bottom"/>
            <w:shd w:val="clear" w:color="auto" w:fill="DEDEDE"/>
          </w:tcPr>
          <w:p>
            <w:pPr>
              <w:spacing w:after="0"/>
              <w:rPr>
                <w:sz w:val="17"/>
                <w:szCs w:val="17"/>
                <w:color w:val="auto"/>
              </w:rPr>
            </w:pPr>
          </w:p>
        </w:tc>
        <w:tc>
          <w:tcPr>
            <w:tcW w:w="8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b w:val="1"/>
                <w:bCs w:val="1"/>
                <w:color w:val="auto"/>
              </w:rPr>
              <w:t>Part II</w:t>
            </w:r>
          </w:p>
        </w:tc>
        <w:tc>
          <w:tcPr>
            <w:tcW w:w="9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5.</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Market for Registrant's Common Equity, Related Stockholder Matters, and Issuer Purchases of Equity Securities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6.</w:t>
            </w:r>
          </w:p>
        </w:tc>
        <w:tc>
          <w:tcPr>
            <w:tcW w:w="9680" w:type="dxa"/>
            <w:vAlign w:val="bottom"/>
          </w:tcPr>
          <w:p>
            <w:pPr>
              <w:ind w:left="240"/>
              <w:spacing w:after="0"/>
              <w:rPr>
                <w:sz w:val="20"/>
                <w:szCs w:val="20"/>
                <w:color w:val="auto"/>
              </w:rPr>
            </w:pPr>
            <w:r>
              <w:rPr>
                <w:rFonts w:ascii="Arial" w:cs="Arial" w:eastAsia="Arial" w:hAnsi="Arial"/>
                <w:sz w:val="14"/>
                <w:szCs w:val="14"/>
                <w:color w:val="auto"/>
              </w:rPr>
              <w:t>[Reserved]</w:t>
            </w:r>
          </w:p>
        </w:tc>
        <w:tc>
          <w:tcPr>
            <w:tcW w:w="8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7.</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Management's Discussion and Analysis of Financial Condition and Results of Operations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7A.</w:t>
            </w:r>
          </w:p>
        </w:tc>
        <w:tc>
          <w:tcPr>
            <w:tcW w:w="9680" w:type="dxa"/>
            <w:vAlign w:val="bottom"/>
          </w:tcPr>
          <w:p>
            <w:pPr>
              <w:ind w:left="240"/>
              <w:spacing w:after="0"/>
              <w:rPr>
                <w:sz w:val="20"/>
                <w:szCs w:val="20"/>
                <w:color w:val="auto"/>
              </w:rPr>
            </w:pPr>
            <w:r>
              <w:rPr>
                <w:rFonts w:ascii="Arial" w:cs="Arial" w:eastAsia="Arial" w:hAnsi="Arial"/>
                <w:sz w:val="14"/>
                <w:szCs w:val="14"/>
                <w:color w:val="auto"/>
              </w:rPr>
              <w:t>Quantitative and Qualitative Disclosures About Market Risk</w:t>
            </w:r>
          </w:p>
        </w:tc>
        <w:tc>
          <w:tcPr>
            <w:tcW w:w="8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8.</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Financial Statements and Supplementary Data</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9.</w:t>
            </w:r>
          </w:p>
        </w:tc>
        <w:tc>
          <w:tcPr>
            <w:tcW w:w="9680" w:type="dxa"/>
            <w:vAlign w:val="bottom"/>
          </w:tcPr>
          <w:p>
            <w:pPr>
              <w:ind w:left="240"/>
              <w:spacing w:after="0"/>
              <w:rPr>
                <w:sz w:val="20"/>
                <w:szCs w:val="20"/>
                <w:color w:val="auto"/>
              </w:rPr>
            </w:pPr>
            <w:r>
              <w:rPr>
                <w:rFonts w:ascii="Arial" w:cs="Arial" w:eastAsia="Arial" w:hAnsi="Arial"/>
                <w:sz w:val="14"/>
                <w:szCs w:val="14"/>
                <w:color w:val="auto"/>
              </w:rPr>
              <w:t>Changes in and Disagreements With Accountants on Accounting and Financial Disclosure</w:t>
            </w: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9A.</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Controls and Procedures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9B.</w:t>
            </w:r>
          </w:p>
        </w:tc>
        <w:tc>
          <w:tcPr>
            <w:tcW w:w="9680" w:type="dxa"/>
            <w:vAlign w:val="bottom"/>
          </w:tcPr>
          <w:p>
            <w:pPr>
              <w:ind w:left="240"/>
              <w:spacing w:after="0"/>
              <w:rPr>
                <w:sz w:val="20"/>
                <w:szCs w:val="20"/>
                <w:color w:val="auto"/>
              </w:rPr>
            </w:pPr>
            <w:r>
              <w:rPr>
                <w:rFonts w:ascii="Arial" w:cs="Arial" w:eastAsia="Arial" w:hAnsi="Arial"/>
                <w:sz w:val="14"/>
                <w:szCs w:val="14"/>
                <w:color w:val="auto"/>
              </w:rPr>
              <w:t>Other Information</w:t>
            </w:r>
          </w:p>
        </w:tc>
        <w:tc>
          <w:tcPr>
            <w:tcW w:w="82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9C.</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Disclosure Regarding Foreign Jurisdictions that Prevent Inspections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2"/>
        </w:trPr>
        <w:tc>
          <w:tcPr>
            <w:tcW w:w="78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b w:val="1"/>
                <w:bCs w:val="1"/>
                <w:color w:val="auto"/>
              </w:rPr>
              <w:t>Part III</w:t>
            </w:r>
          </w:p>
        </w:tc>
        <w:tc>
          <w:tcPr>
            <w:tcW w:w="9680" w:type="dxa"/>
            <w:vAlign w:val="bottom"/>
            <w:shd w:val="clear" w:color="auto" w:fill="DEDEDE"/>
          </w:tcPr>
          <w:p>
            <w:pPr>
              <w:spacing w:after="0"/>
              <w:rPr>
                <w:sz w:val="15"/>
                <w:szCs w:val="15"/>
                <w:color w:val="auto"/>
              </w:rPr>
            </w:pPr>
          </w:p>
        </w:tc>
        <w:tc>
          <w:tcPr>
            <w:tcW w:w="82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10.</w:t>
            </w:r>
          </w:p>
        </w:tc>
        <w:tc>
          <w:tcPr>
            <w:tcW w:w="9680" w:type="dxa"/>
            <w:vAlign w:val="bottom"/>
          </w:tcPr>
          <w:p>
            <w:pPr>
              <w:ind w:left="240"/>
              <w:spacing w:after="0"/>
              <w:rPr>
                <w:sz w:val="20"/>
                <w:szCs w:val="20"/>
                <w:color w:val="auto"/>
              </w:rPr>
            </w:pPr>
            <w:r>
              <w:rPr>
                <w:rFonts w:ascii="Arial" w:cs="Arial" w:eastAsia="Arial" w:hAnsi="Arial"/>
                <w:sz w:val="14"/>
                <w:szCs w:val="14"/>
                <w:color w:val="auto"/>
              </w:rPr>
              <w:t>Directors, Executive Officers, and Corporate Governance</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11.</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Executive Compensation</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12.</w:t>
            </w:r>
          </w:p>
        </w:tc>
        <w:tc>
          <w:tcPr>
            <w:tcW w:w="9680" w:type="dxa"/>
            <w:vAlign w:val="bottom"/>
          </w:tcPr>
          <w:p>
            <w:pPr>
              <w:ind w:left="240"/>
              <w:spacing w:after="0"/>
              <w:rPr>
                <w:sz w:val="20"/>
                <w:szCs w:val="20"/>
                <w:color w:val="auto"/>
              </w:rPr>
            </w:pPr>
            <w:r>
              <w:rPr>
                <w:rFonts w:ascii="Arial" w:cs="Arial" w:eastAsia="Arial" w:hAnsi="Arial"/>
                <w:sz w:val="14"/>
                <w:szCs w:val="14"/>
                <w:color w:val="auto"/>
              </w:rPr>
              <w:t>Security Ownership of Certain Beneficial Owners and Management and Related Stockholder Matters</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13.</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Certain Relationships and Related Transactions and Director Independence</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14.</w:t>
            </w:r>
          </w:p>
        </w:tc>
        <w:tc>
          <w:tcPr>
            <w:tcW w:w="9680" w:type="dxa"/>
            <w:vAlign w:val="bottom"/>
          </w:tcPr>
          <w:p>
            <w:pPr>
              <w:ind w:left="240"/>
              <w:spacing w:after="0"/>
              <w:rPr>
                <w:sz w:val="20"/>
                <w:szCs w:val="20"/>
                <w:color w:val="auto"/>
              </w:rPr>
            </w:pPr>
            <w:r>
              <w:rPr>
                <w:rFonts w:ascii="Arial" w:cs="Arial" w:eastAsia="Arial" w:hAnsi="Arial"/>
                <w:sz w:val="14"/>
                <w:szCs w:val="14"/>
                <w:color w:val="auto"/>
              </w:rPr>
              <w:t>Principal Accounting Fees and Services</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2"/>
        </w:trPr>
        <w:tc>
          <w:tcPr>
            <w:tcW w:w="780" w:type="dxa"/>
            <w:vAlign w:val="bottom"/>
            <w:shd w:val="clear" w:color="auto" w:fill="DEDEDE"/>
          </w:tcPr>
          <w:p>
            <w:pPr>
              <w:spacing w:after="0"/>
              <w:rPr>
                <w:sz w:val="17"/>
                <w:szCs w:val="17"/>
                <w:color w:val="auto"/>
              </w:rPr>
            </w:pPr>
          </w:p>
        </w:tc>
        <w:tc>
          <w:tcPr>
            <w:tcW w:w="9680" w:type="dxa"/>
            <w:vAlign w:val="bottom"/>
            <w:shd w:val="clear" w:color="auto" w:fill="DEDEDE"/>
          </w:tcPr>
          <w:p>
            <w:pPr>
              <w:spacing w:after="0"/>
              <w:rPr>
                <w:sz w:val="17"/>
                <w:szCs w:val="17"/>
                <w:color w:val="auto"/>
              </w:rPr>
            </w:pPr>
          </w:p>
        </w:tc>
        <w:tc>
          <w:tcPr>
            <w:tcW w:w="8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b w:val="1"/>
                <w:bCs w:val="1"/>
                <w:color w:val="auto"/>
              </w:rPr>
              <w:t>Part IV</w:t>
            </w:r>
          </w:p>
        </w:tc>
        <w:tc>
          <w:tcPr>
            <w:tcW w:w="9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20"/>
                <w:szCs w:val="20"/>
                <w:color w:val="auto"/>
              </w:rPr>
            </w:pPr>
            <w:r>
              <w:rPr>
                <w:rFonts w:ascii="Arial" w:cs="Arial" w:eastAsia="Arial" w:hAnsi="Arial"/>
                <w:sz w:val="14"/>
                <w:szCs w:val="14"/>
                <w:color w:val="auto"/>
              </w:rPr>
              <w:t>Item 15.</w:t>
            </w: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Exhibits and Financial Statement Schedules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20"/>
                <w:szCs w:val="20"/>
                <w:color w:val="auto"/>
              </w:rPr>
            </w:pPr>
            <w:r>
              <w:rPr>
                <w:rFonts w:ascii="Arial" w:cs="Arial" w:eastAsia="Arial" w:hAnsi="Arial"/>
                <w:sz w:val="14"/>
                <w:szCs w:val="14"/>
                <w:color w:val="auto"/>
              </w:rPr>
              <w:t>Item 16.</w:t>
            </w:r>
          </w:p>
        </w:tc>
        <w:tc>
          <w:tcPr>
            <w:tcW w:w="9680" w:type="dxa"/>
            <w:vAlign w:val="bottom"/>
          </w:tcPr>
          <w:p>
            <w:pPr>
              <w:ind w:left="240"/>
              <w:spacing w:after="0"/>
              <w:rPr>
                <w:sz w:val="20"/>
                <w:szCs w:val="20"/>
                <w:color w:val="auto"/>
              </w:rPr>
            </w:pPr>
            <w:r>
              <w:rPr>
                <w:rFonts w:ascii="Arial" w:cs="Arial" w:eastAsia="Arial" w:hAnsi="Arial"/>
                <w:sz w:val="14"/>
                <w:szCs w:val="14"/>
                <w:color w:val="auto"/>
              </w:rPr>
              <w:t>Form 10-K Summary</w:t>
            </w:r>
          </w:p>
        </w:tc>
        <w:tc>
          <w:tcPr>
            <w:tcW w:w="8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0"/>
        </w:trPr>
        <w:tc>
          <w:tcPr>
            <w:tcW w:w="780" w:type="dxa"/>
            <w:vAlign w:val="bottom"/>
            <w:shd w:val="clear" w:color="auto" w:fill="DEDEDE"/>
          </w:tcPr>
          <w:p>
            <w:pPr>
              <w:spacing w:after="0"/>
              <w:rPr>
                <w:sz w:val="15"/>
                <w:szCs w:val="15"/>
                <w:color w:val="auto"/>
              </w:rPr>
            </w:pPr>
          </w:p>
        </w:tc>
        <w:tc>
          <w:tcPr>
            <w:tcW w:w="9680" w:type="dxa"/>
            <w:vAlign w:val="bottom"/>
            <w:shd w:val="clear" w:color="auto" w:fill="DEDEDE"/>
          </w:tcPr>
          <w:p>
            <w:pPr>
              <w:ind w:left="240"/>
              <w:spacing w:after="0"/>
              <w:rPr>
                <w:sz w:val="20"/>
                <w:szCs w:val="20"/>
                <w:color w:val="auto"/>
              </w:rPr>
            </w:pPr>
            <w:r>
              <w:rPr>
                <w:rFonts w:ascii="Arial" w:cs="Arial" w:eastAsia="Arial" w:hAnsi="Arial"/>
                <w:sz w:val="14"/>
                <w:szCs w:val="14"/>
                <w:color w:val="auto"/>
              </w:rPr>
              <w:t>Signatures</w:t>
            </w:r>
          </w:p>
        </w:tc>
        <w:tc>
          <w:tcPr>
            <w:tcW w:w="820" w:type="dxa"/>
            <w:vAlign w:val="bottom"/>
            <w:shd w:val="clear" w:color="auto" w:fill="DEDEDE"/>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Annual Report on Form 10-K, or Annual Report, to refer to Rent the Runway, Inc. and, where appropriate, our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423545</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6" w:right="2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jc w:val="both"/>
        <w:ind w:right="28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 Item 1A. “Risk Factors” in this Annual Report on Form 10-K.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00" w:right="520" w:hanging="251"/>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grown rapidly in recent years and have limited experience at our current scale of operations. If we are unable to manage our growth effectively, our brand, company culture, and financial performance may suffer.</w:t>
      </w:r>
    </w:p>
    <w:p>
      <w:pPr>
        <w:spacing w:after="0" w:line="14" w:lineRule="exact"/>
        <w:rPr>
          <w:rFonts w:ascii="Arial" w:cs="Arial" w:eastAsia="Arial" w:hAnsi="Arial"/>
          <w:sz w:val="14"/>
          <w:szCs w:val="14"/>
          <w:color w:val="auto"/>
        </w:rPr>
      </w:pPr>
    </w:p>
    <w:p>
      <w:pPr>
        <w:ind w:left="500" w:hanging="251"/>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00" w:right="60" w:hanging="251"/>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w:t>
      </w:r>
    </w:p>
    <w:p>
      <w:pPr>
        <w:spacing w:after="0" w:line="3" w:lineRule="exact"/>
        <w:rPr>
          <w:rFonts w:ascii="Arial" w:cs="Arial" w:eastAsia="Arial" w:hAnsi="Arial"/>
          <w:sz w:val="14"/>
          <w:szCs w:val="14"/>
          <w:color w:val="auto"/>
        </w:rPr>
      </w:pPr>
    </w:p>
    <w:p>
      <w:pPr>
        <w:ind w:left="500" w:right="120" w:hanging="250"/>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00" w:hanging="25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00" w:hanging="25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If we are unable to accurately forecast customer demand,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00" w:hanging="25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72" w:lineRule="exact"/>
        <w:rPr>
          <w:rFonts w:ascii="Arial" w:cs="Arial" w:eastAsia="Arial" w:hAnsi="Arial"/>
          <w:sz w:val="14"/>
          <w:szCs w:val="14"/>
          <w:color w:val="auto"/>
        </w:rPr>
      </w:pPr>
    </w:p>
    <w:p>
      <w:pPr>
        <w:ind w:left="500" w:right="300" w:hanging="250"/>
        <w:spacing w:after="0" w:line="265"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16" w:lineRule="exact"/>
        <w:rPr>
          <w:rFonts w:ascii="Arial" w:cs="Arial" w:eastAsia="Arial" w:hAnsi="Arial"/>
          <w:sz w:val="14"/>
          <w:szCs w:val="14"/>
          <w:color w:val="auto"/>
        </w:rPr>
      </w:pPr>
    </w:p>
    <w:p>
      <w:pPr>
        <w:ind w:left="500" w:right="80" w:hanging="251"/>
        <w:spacing w:after="0" w:line="239" w:lineRule="auto"/>
        <w:tabs>
          <w:tab w:leader="none" w:pos="496" w:val="left"/>
        </w:tabs>
        <w:numPr>
          <w:ilvl w:val="0"/>
          <w:numId w:val="6"/>
        </w:numPr>
        <w:rPr>
          <w:rFonts w:ascii="Arial" w:cs="Arial" w:eastAsia="Arial" w:hAnsi="Arial"/>
          <w:sz w:val="17"/>
          <w:szCs w:val="17"/>
          <w:color w:val="auto"/>
        </w:rPr>
      </w:pPr>
      <w:r>
        <w:rPr>
          <w:rFonts w:ascii="Arial" w:cs="Arial" w:eastAsia="Arial" w:hAnsi="Arial"/>
          <w:sz w:val="14"/>
          <w:szCs w:val="14"/>
          <w:color w:val="auto"/>
        </w:rPr>
        <w:t>The COVID-19 pandemic has had, and may in the future continue to have, a material adverse impact on our business. Other future pandemics or public health crises may have a similar adverse impact on our business.</w:t>
      </w:r>
    </w:p>
    <w:p>
      <w:pPr>
        <w:spacing w:after="0" w:line="37" w:lineRule="exact"/>
        <w:rPr>
          <w:rFonts w:ascii="Arial" w:cs="Arial" w:eastAsia="Arial" w:hAnsi="Arial"/>
          <w:sz w:val="17"/>
          <w:szCs w:val="17"/>
          <w:color w:val="auto"/>
        </w:rPr>
      </w:pPr>
    </w:p>
    <w:p>
      <w:pPr>
        <w:ind w:left="500" w:right="40" w:hanging="251"/>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00" w:hanging="250"/>
        <w:spacing w:after="0" w:line="265"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p>
    <w:p>
      <w:pPr>
        <w:spacing w:after="0" w:line="31" w:lineRule="exact"/>
        <w:rPr>
          <w:rFonts w:ascii="Arial" w:cs="Arial" w:eastAsia="Arial" w:hAnsi="Arial"/>
          <w:sz w:val="14"/>
          <w:szCs w:val="14"/>
          <w:color w:val="auto"/>
        </w:rPr>
      </w:pPr>
    </w:p>
    <w:p>
      <w:pPr>
        <w:ind w:left="500" w:hanging="25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00" w:right="360" w:hanging="250"/>
        <w:spacing w:after="0" w:line="271"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6" w:lineRule="exact"/>
        <w:rPr>
          <w:rFonts w:ascii="Arial" w:cs="Arial" w:eastAsia="Arial" w:hAnsi="Arial"/>
          <w:sz w:val="14"/>
          <w:szCs w:val="14"/>
          <w:color w:val="auto"/>
        </w:rPr>
      </w:pPr>
    </w:p>
    <w:p>
      <w:pPr>
        <w:ind w:left="500" w:right="160" w:hanging="250"/>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Failure to adequately maintain and protect our intellectual property and proprietary rights could harm our brand, devalue our proprietary content, and adversely affect our ability to compete effectively.</w:t>
      </w:r>
    </w:p>
    <w:p>
      <w:pPr>
        <w:spacing w:after="0" w:line="14" w:lineRule="exact"/>
        <w:rPr>
          <w:rFonts w:ascii="Arial" w:cs="Arial" w:eastAsia="Arial" w:hAnsi="Arial"/>
          <w:sz w:val="14"/>
          <w:szCs w:val="14"/>
          <w:color w:val="auto"/>
        </w:rPr>
      </w:pPr>
    </w:p>
    <w:p>
      <w:pPr>
        <w:ind w:left="500" w:right="80" w:hanging="250"/>
        <w:spacing w:after="0" w:line="271"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and costs imposed by these laws, or our actual or perceived failure to comply with them, could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00" w:hanging="250"/>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face risks associated with brand partners from whom our products are sourced or co-manufactured.</w:t>
      </w:r>
    </w:p>
    <w:p>
      <w:pPr>
        <w:spacing w:after="0" w:line="61" w:lineRule="exact"/>
        <w:rPr>
          <w:rFonts w:ascii="Arial" w:cs="Arial" w:eastAsia="Arial" w:hAnsi="Arial"/>
          <w:sz w:val="14"/>
          <w:szCs w:val="14"/>
          <w:color w:val="auto"/>
        </w:rPr>
      </w:pPr>
    </w:p>
    <w:p>
      <w:pPr>
        <w:ind w:left="500" w:right="100" w:hanging="250"/>
        <w:spacing w:after="0" w:line="290"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rely on third parties for elements of the payment processing infrastructure underlying our business. If these third-party elements become unavailable or unavailable on favorable terms,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424180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0"/>
          </w:cols>
          <w:pgMar w:left="300" w:top="1018"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w:t>
      </w:r>
    </w:p>
    <w:p>
      <w:pPr>
        <w:sectPr>
          <w:pgSz w:w="11880" w:h="15480" w:orient="portrait"/>
          <w:cols w:equalWidth="0" w:num="1">
            <w:col w:w="11200"/>
          </w:cols>
          <w:pgMar w:left="300" w:top="1018" w:right="379" w:bottom="0" w:gutter="0" w:footer="0" w:header="0"/>
          <w:type w:val="continuous"/>
        </w:sectPr>
      </w:pPr>
    </w:p>
    <w:bookmarkStart w:id="9" w:name="page10"/>
    <w:bookmarkEnd w:id="9"/>
    <w:p>
      <w:pPr>
        <w:ind w:left="500" w:right="160" w:hanging="251"/>
        <w:spacing w:after="0" w:line="271"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p>
    <w:p>
      <w:pPr>
        <w:spacing w:after="0" w:line="27" w:lineRule="exact"/>
        <w:rPr>
          <w:rFonts w:ascii="Arial" w:cs="Arial" w:eastAsia="Arial" w:hAnsi="Arial"/>
          <w:sz w:val="14"/>
          <w:szCs w:val="14"/>
          <w:color w:val="auto"/>
        </w:rPr>
      </w:pPr>
    </w:p>
    <w:p>
      <w:pPr>
        <w:ind w:left="500" w:right="320" w:hanging="250"/>
        <w:spacing w:after="0" w:line="290"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spacing w:after="0" w:line="3" w:lineRule="exact"/>
        <w:rPr>
          <w:rFonts w:ascii="Arial" w:cs="Arial" w:eastAsia="Arial" w:hAnsi="Arial"/>
          <w:sz w:val="14"/>
          <w:szCs w:val="14"/>
          <w:color w:val="auto"/>
        </w:rPr>
      </w:pPr>
    </w:p>
    <w:p>
      <w:pPr>
        <w:ind w:left="500" w:right="60" w:hanging="250"/>
        <w:spacing w:after="0" w:line="290"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financing or refinancing may not be available on acceptable terms or at all.</w:t>
      </w:r>
    </w:p>
    <w:p>
      <w:pPr>
        <w:spacing w:after="0" w:line="3" w:lineRule="exact"/>
        <w:rPr>
          <w:rFonts w:ascii="Arial" w:cs="Arial" w:eastAsia="Arial" w:hAnsi="Arial"/>
          <w:sz w:val="14"/>
          <w:szCs w:val="14"/>
          <w:color w:val="auto"/>
        </w:rPr>
      </w:pPr>
    </w:p>
    <w:p>
      <w:pPr>
        <w:jc w:val="both"/>
        <w:ind w:left="500" w:hanging="250"/>
        <w:spacing w:after="0" w:line="271"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7" w:lineRule="exact"/>
        <w:rPr>
          <w:rFonts w:ascii="Arial" w:cs="Arial" w:eastAsia="Arial" w:hAnsi="Arial"/>
          <w:sz w:val="14"/>
          <w:szCs w:val="14"/>
          <w:color w:val="auto"/>
        </w:rPr>
      </w:pPr>
    </w:p>
    <w:p>
      <w:pPr>
        <w:ind w:left="500" w:hanging="25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615950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1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880" w:h="15480" w:orient="portrait"/>
          <w:cols w:equalWidth="0" w:num="1">
            <w:col w:w="11260"/>
          </w:cols>
          <w:pgMar w:left="300" w:top="814" w:right="319"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Annual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Annual Report include, but are not limited to statements regarding our future results of operations and financial position, industry and business trends, share-based compensation, business strategy and</w:t>
      </w:r>
    </w:p>
    <w:p>
      <w:pPr>
        <w:spacing w:after="0" w:line="3" w:lineRule="exact"/>
        <w:rPr>
          <w:sz w:val="20"/>
          <w:szCs w:val="20"/>
          <w:color w:val="auto"/>
        </w:rPr>
      </w:pPr>
    </w:p>
    <w:p>
      <w:pPr>
        <w:ind w:right="440"/>
        <w:spacing w:after="0" w:line="238" w:lineRule="auto"/>
        <w:rPr>
          <w:sz w:val="20"/>
          <w:szCs w:val="20"/>
          <w:color w:val="auto"/>
        </w:rPr>
      </w:pPr>
      <w:r>
        <w:rPr>
          <w:rFonts w:ascii="Arial" w:cs="Arial" w:eastAsia="Arial" w:hAnsi="Arial"/>
          <w:sz w:val="14"/>
          <w:szCs w:val="14"/>
          <w:color w:val="auto"/>
        </w:rPr>
        <w:t>initiatives, sustainability initiatives, business plans, impact from our September 2022 restructuring plan and other cost savings initiatives, product acquisition expectations, our proposed option exchange, impacts from our five-item base subscription offering, market growth and our objectives for future operations.</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for the year ended January 31, 2023. 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4"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You should read this Annual Report on Form 10-K and the documents that we reference in this Annual Report and have filed as exhibits to this Annual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in this Annual Report, whether as a result of any new information, future events or otherwise.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w:t>
      </w:r>
    </w:p>
    <w:p>
      <w:pPr>
        <w:spacing w:after="0" w:line="200" w:lineRule="exact"/>
        <w:rPr>
          <w:sz w:val="20"/>
          <w:szCs w:val="20"/>
          <w:color w:val="auto"/>
        </w:rPr>
      </w:pPr>
    </w:p>
    <w:p>
      <w:pPr>
        <w:jc w:val="both"/>
        <w:ind w:right="120"/>
        <w:spacing w:after="0" w:line="271" w:lineRule="auto"/>
        <w:rPr>
          <w:sz w:val="20"/>
          <w:szCs w:val="20"/>
          <w:color w:val="auto"/>
        </w:rPr>
      </w:pPr>
      <w:r>
        <w:rPr>
          <w:rFonts w:ascii="Arial" w:cs="Arial" w:eastAsia="Arial" w:hAnsi="Arial"/>
          <w:sz w:val="14"/>
          <w:szCs w:val="14"/>
          <w:color w:val="auto"/>
        </w:rPr>
        <w:t>In this Annual Report on Form 10-K, references to “fiscal year 2023” refer to the fiscal year ending January 31, 2024, references to “fiscal year 2022” refer to the fiscal year ending January 31, 2023, references to “fiscal year 2021” refer to the fiscal year ended January 31, 2022, references to “fiscal year 2020” refer to the fiscal year ended January 31, 2021 and references to “fiscal year 2019” refer to the fiscal year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553720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6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880" w:h="15480" w:orient="portrait"/>
          <w:cols w:equalWidth="0" w:num="1">
            <w:col w:w="11260"/>
          </w:cols>
          <w:pgMar w:left="300" w:top="761" w:right="319" w:bottom="0" w:gutter="0" w:footer="0" w:header="0"/>
          <w:type w:val="continuous"/>
        </w:sectPr>
      </w:pPr>
    </w:p>
    <w:bookmarkStart w:id="11" w:name="page12"/>
    <w:bookmarkEnd w:id="11"/>
    <w:p>
      <w:pPr>
        <w:jc w:val="center"/>
        <w:ind w:right="-24"/>
        <w:spacing w:after="0"/>
        <w:rPr>
          <w:sz w:val="20"/>
          <w:szCs w:val="20"/>
          <w:color w:val="auto"/>
        </w:rPr>
      </w:pPr>
      <w:r>
        <w:rPr>
          <w:rFonts w:ascii="Arial" w:cs="Arial" w:eastAsia="Arial" w:hAnsi="Arial"/>
          <w:sz w:val="14"/>
          <w:szCs w:val="14"/>
          <w:b w:val="1"/>
          <w:bCs w:val="1"/>
          <w:color w:val="auto"/>
        </w:rPr>
        <w:t>Part I</w:t>
      </w:r>
    </w:p>
    <w:p>
      <w:pPr>
        <w:spacing w:after="0" w:line="26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Item 1. Business</w:t>
      </w:r>
    </w:p>
    <w:p>
      <w:pPr>
        <w:spacing w:after="0" w:line="94" w:lineRule="exact"/>
        <w:rPr>
          <w:sz w:val="20"/>
          <w:szCs w:val="20"/>
          <w:color w:val="auto"/>
        </w:rPr>
      </w:pPr>
    </w:p>
    <w:p>
      <w:pPr>
        <w:jc w:val="center"/>
        <w:ind w:right="-24"/>
        <w:spacing w:after="0"/>
        <w:rPr>
          <w:sz w:val="20"/>
          <w:szCs w:val="20"/>
          <w:color w:val="auto"/>
        </w:rPr>
      </w:pPr>
      <w:r>
        <w:rPr>
          <w:rFonts w:ascii="Arial" w:cs="Arial" w:eastAsia="Arial" w:hAnsi="Arial"/>
          <w:sz w:val="14"/>
          <w:szCs w:val="14"/>
          <w:b w:val="1"/>
          <w:bCs w:val="1"/>
          <w:color w:val="auto"/>
        </w:rPr>
        <w:t>Overview</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4"/>
          <w:szCs w:val="14"/>
          <w:color w:val="auto"/>
        </w:rPr>
        <w:t>Our mission is to power women to feel their best every day.</w:t>
      </w:r>
    </w:p>
    <w:p>
      <w:pPr>
        <w:spacing w:after="0" w:line="200" w:lineRule="exact"/>
        <w:rPr>
          <w:sz w:val="20"/>
          <w:szCs w:val="20"/>
          <w:color w:val="auto"/>
        </w:rPr>
      </w:pPr>
    </w:p>
    <w:p>
      <w:pPr>
        <w:ind w:left="5"/>
        <w:spacing w:after="0" w:line="259" w:lineRule="auto"/>
        <w:rPr>
          <w:sz w:val="20"/>
          <w:szCs w:val="20"/>
          <w:color w:val="auto"/>
        </w:rPr>
      </w:pPr>
      <w:r>
        <w:rPr>
          <w:rFonts w:ascii="Arial" w:cs="Arial" w:eastAsia="Arial" w:hAnsi="Arial"/>
          <w:sz w:val="14"/>
          <w:szCs w:val="14"/>
          <w:color w:val="auto"/>
        </w:rPr>
        <w:t>Since our founding in November 2009, we have built the world’s first and largest shared designer closet with tens of thousands of styles by hundreds of brand partners. We give customers access to our “unlimited closet” through our subscription offering (“Subscription”) or the ability to rent a-la-carte through our reserve offering (“Reserve”). We also give our subscribers and customers the ability to buy our products through our Resale offering. Our Closet in the Cloud offers a wide assortment of items for every occasion, from evening wear and accessories to ready-to-wear, workwear, denim, casual, maternity, outerwear, blouses, knitwear, loungewear, jewelry, handbags, activewear and ski wear. We have served approximately 3 million lifetime customers across all of our offerings and we had 171,998 total subscribers (active and paused) as of January 31, 2023. We had 126,712 active subscribers as of January 31, 2023 and 141,205 active subscribers as of April 8, 2023. In fiscal year 2022, 86% of our total revenue was generated by subscribers, compared to 84% in fiscal year 2021.</w:t>
      </w:r>
    </w:p>
    <w:p>
      <w:pPr>
        <w:spacing w:after="0" w:line="163" w:lineRule="exact"/>
        <w:rPr>
          <w:sz w:val="20"/>
          <w:szCs w:val="20"/>
          <w:color w:val="auto"/>
        </w:rPr>
      </w:pPr>
    </w:p>
    <w:p>
      <w:pPr>
        <w:ind w:left="5" w:right="100"/>
        <w:spacing w:after="0" w:line="265" w:lineRule="auto"/>
        <w:rPr>
          <w:sz w:val="20"/>
          <w:szCs w:val="20"/>
          <w:color w:val="auto"/>
        </w:rPr>
      </w:pPr>
      <w:r>
        <w:rPr>
          <w:rFonts w:ascii="Arial" w:cs="Arial" w:eastAsia="Arial" w:hAnsi="Arial"/>
          <w:sz w:val="14"/>
          <w:szCs w:val="14"/>
          <w:color w:val="auto"/>
        </w:rPr>
        <w:t>We have created a two-sided discovery engine: customers find new brands they love and brand partners find new customers they need. For customers, we unlock freedom of self-expression through access to our “Unlimited Closet” that has a constantly rotating supply of styles for all occasions, seasons, moods and price points. This leads to deep engagement with our platform as customers discover new brands they love. Brand partners are able to tap into our large, engaged community to discover new customers and get unparalleled data insights. All of this helps them grow their businesses and encourages them to partner more closely with us over time.</w:t>
      </w:r>
    </w:p>
    <w:p>
      <w:pPr>
        <w:spacing w:after="0" w:line="159" w:lineRule="exact"/>
        <w:rPr>
          <w:sz w:val="20"/>
          <w:szCs w:val="20"/>
          <w:color w:val="auto"/>
        </w:rPr>
      </w:pPr>
    </w:p>
    <w:p>
      <w:pPr>
        <w:jc w:val="both"/>
        <w:ind w:left="5" w:right="280"/>
        <w:spacing w:after="0" w:line="274" w:lineRule="auto"/>
        <w:rPr>
          <w:sz w:val="20"/>
          <w:szCs w:val="20"/>
          <w:color w:val="auto"/>
        </w:rPr>
      </w:pPr>
      <w:r>
        <w:rPr>
          <w:rFonts w:ascii="Arial" w:cs="Arial" w:eastAsia="Arial" w:hAnsi="Arial"/>
          <w:sz w:val="14"/>
          <w:szCs w:val="14"/>
          <w:color w:val="auto"/>
        </w:rPr>
        <w:t>When our customers use Rent the Runway, they experience the magic of accessing an “Unlimited Closet” while saving money and time and reducing clothing waste. We deliver significant financial value to customers, with our average subscriber wearing clothes worth more than 20 times what she pays for a monthly RTR Subscription on an annualized basis (more than $40,000 in designer retail value in fiscal year 2022</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96" w:lineRule="exact"/>
        <w:rPr>
          <w:sz w:val="20"/>
          <w:szCs w:val="20"/>
          <w:color w:val="auto"/>
        </w:rPr>
      </w:pPr>
    </w:p>
    <w:p>
      <w:pPr>
        <w:ind w:left="5" w:right="20"/>
        <w:spacing w:after="0" w:line="260" w:lineRule="auto"/>
        <w:rPr>
          <w:sz w:val="20"/>
          <w:szCs w:val="20"/>
          <w:color w:val="auto"/>
        </w:rPr>
      </w:pPr>
      <w:r>
        <w:rPr>
          <w:rFonts w:ascii="Arial" w:cs="Arial" w:eastAsia="Arial" w:hAnsi="Arial"/>
          <w:sz w:val="14"/>
          <w:szCs w:val="14"/>
          <w:color w:val="auto"/>
        </w:rPr>
        <w:t>Our tremendous selection is enabled by our designer brand partnerships. We source our products directly from our brand partners that include many of the most renowned and relevant names in the fashion industry. The transformative nature of our customer value proposition means our customers are typically younger and different from other audiences our brands are exposed to. According to our June 2021 Rent the Runway Brand Survey, approximately 91% of our brand partners work with us because we introduce them to new, desirable customers and deepen awareness of their brands. Over the last 13 years, we have fostered strong relationships with our brand partners and have experienced extremely limited voluntary attrition. Our Closet in the Cloud connects our deeply engaged customers and our differentiated brand partners on a powerful platform built around our brand, data, logistics and technology advantages.</w:t>
      </w:r>
    </w:p>
    <w:p>
      <w:pPr>
        <w:spacing w:after="0" w:line="163" w:lineRule="exact"/>
        <w:rPr>
          <w:sz w:val="20"/>
          <w:szCs w:val="20"/>
          <w:color w:val="auto"/>
        </w:rPr>
      </w:pPr>
    </w:p>
    <w:p>
      <w:pPr>
        <w:ind w:left="505" w:right="220" w:hanging="251"/>
        <w:spacing w:after="0" w:line="262" w:lineRule="auto"/>
        <w:tabs>
          <w:tab w:leader="none" w:pos="502" w:val="left"/>
        </w:tabs>
        <w:numPr>
          <w:ilvl w:val="0"/>
          <w:numId w:val="8"/>
        </w:numPr>
        <w:rPr>
          <w:rFonts w:ascii="Arial" w:cs="Arial" w:eastAsia="Arial" w:hAnsi="Arial"/>
          <w:sz w:val="14"/>
          <w:szCs w:val="14"/>
          <w:color w:val="auto"/>
        </w:rPr>
      </w:pPr>
      <w:r>
        <w:rPr>
          <w:rFonts w:ascii="Arial" w:cs="Arial" w:eastAsia="Arial" w:hAnsi="Arial"/>
          <w:sz w:val="14"/>
          <w:szCs w:val="14"/>
          <w:color w:val="auto"/>
        </w:rPr>
        <w:t>Brand Partner Advantage. Our assortment contains thousands of new, current season styles that luxury competitors simultaneously carry - all available for Subscription, Reserve, and/or Resale at much lower prices. We believe our engaged and loyal customer base paired with the data that we offer to our brand partners makes us an essential destination for many of the world’s most important brands. In addition, as of June 2021, 67% of our brand partners believe that RTR is an important part of their business’s sustainability strategy. As we have grown, our commercial relationships with our brand partners have evolved towards more capital efficient forms of rental product acquisition.</w:t>
      </w:r>
    </w:p>
    <w:p>
      <w:pPr>
        <w:spacing w:after="0" w:line="12" w:lineRule="exact"/>
        <w:rPr>
          <w:rFonts w:ascii="Arial" w:cs="Arial" w:eastAsia="Arial" w:hAnsi="Arial"/>
          <w:sz w:val="14"/>
          <w:szCs w:val="14"/>
          <w:color w:val="auto"/>
        </w:rPr>
      </w:pPr>
    </w:p>
    <w:p>
      <w:pPr>
        <w:ind w:left="505" w:right="60" w:hanging="250"/>
        <w:spacing w:after="0" w:line="271" w:lineRule="auto"/>
        <w:tabs>
          <w:tab w:leader="none" w:pos="502" w:val="left"/>
        </w:tabs>
        <w:numPr>
          <w:ilvl w:val="0"/>
          <w:numId w:val="8"/>
        </w:numPr>
        <w:rPr>
          <w:rFonts w:ascii="Arial" w:cs="Arial" w:eastAsia="Arial" w:hAnsi="Arial"/>
          <w:sz w:val="14"/>
          <w:szCs w:val="14"/>
          <w:color w:val="auto"/>
        </w:rPr>
      </w:pPr>
      <w:r>
        <w:rPr>
          <w:rFonts w:ascii="Arial" w:cs="Arial" w:eastAsia="Arial" w:hAnsi="Arial"/>
          <w:sz w:val="14"/>
          <w:szCs w:val="14"/>
          <w:color w:val="auto"/>
        </w:rPr>
        <w:t>Data Advantage. We capture a vast amount of unique, actionable data on our customers and products. We leverage this data to create benefits for our customers (deep personalization of styles and fit), brand partners (understanding of customer demand patterns and garment lifecycle) and our business (higher subscriber lifetime value and better product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134747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6" w:lineRule="exact"/>
        <w:rPr>
          <w:sz w:val="20"/>
          <w:szCs w:val="20"/>
          <w:color w:val="auto"/>
        </w:rPr>
      </w:pPr>
    </w:p>
    <w:p>
      <w:pPr>
        <w:jc w:val="both"/>
        <w:ind w:left="5" w:right="160" w:hanging="5"/>
        <w:spacing w:after="0" w:line="303" w:lineRule="auto"/>
        <w:tabs>
          <w:tab w:leader="none" w:pos="77" w:val="left"/>
        </w:tabs>
        <w:numPr>
          <w:ilvl w:val="0"/>
          <w:numId w:val="9"/>
        </w:numPr>
        <w:rPr>
          <w:rFonts w:ascii="Arial" w:cs="Arial" w:eastAsia="Arial" w:hAnsi="Arial"/>
          <w:sz w:val="7"/>
          <w:szCs w:val="7"/>
          <w:color w:val="auto"/>
        </w:rPr>
      </w:pPr>
      <w:r>
        <w:rPr>
          <w:rFonts w:ascii="Arial" w:cs="Arial" w:eastAsia="Arial" w:hAnsi="Arial"/>
          <w:sz w:val="11"/>
          <w:szCs w:val="11"/>
          <w:color w:val="auto"/>
        </w:rPr>
        <w:t>We calculate designer retail values using original retail and/or comparable value prices. An original retail price is the price at which the manufacturer suggested that retailers in the marketplace, including department stores and specialty retailers, sell the item in new condition. A comparable value price is used for our Exclusive Designs and is based on an evaluation of prices for new comparable merchandise sold elsewhere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421640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5"/>
          </w:cols>
          <w:pgMar w:left="295" w:top="76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4</w:t>
      </w:r>
    </w:p>
    <w:p>
      <w:pPr>
        <w:sectPr>
          <w:pgSz w:w="11880" w:h="15480" w:orient="portrait"/>
          <w:cols w:equalWidth="0" w:num="1">
            <w:col w:w="11265"/>
          </w:cols>
          <w:pgMar w:left="295" w:top="761" w:right="319" w:bottom="0" w:gutter="0" w:footer="0" w:header="0"/>
          <w:type w:val="continuous"/>
        </w:sectPr>
      </w:pPr>
    </w:p>
    <w:bookmarkStart w:id="12" w:name="page13"/>
    <w:bookmarkEnd w:id="12"/>
    <w:p>
      <w:pPr>
        <w:ind w:left="500" w:right="80" w:hanging="251"/>
        <w:spacing w:after="0" w:line="271" w:lineRule="auto"/>
        <w:tabs>
          <w:tab w:leader="none" w:pos="4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Technology and Logistics Advantage. We have developed a proprietary operating system that pairs proprietary software with differentiated infrastructure and hardware. Our expertise in vertically integrated just-in-time reverse logistics and garment science allows us to achieve multi-year monetization on our garments. We have also built a custom front-end platform that supports all of our consumer-facing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How It Works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offer customers three ways to access our closet: monthly subscription or “Subscription”, a-la-carte rentals or “Reserve” and purchasing through our Resale offering.</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Subscription</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i w:val="1"/>
          <w:iCs w:val="1"/>
          <w:color w:val="auto"/>
        </w:rPr>
        <w:t xml:space="preserve">Pick a Plan. </w:t>
      </w:r>
      <w:r>
        <w:rPr>
          <w:rFonts w:ascii="Arial" w:cs="Arial" w:eastAsia="Arial" w:hAnsi="Arial"/>
          <w:sz w:val="14"/>
          <w:szCs w:val="14"/>
          <w:color w:val="auto"/>
        </w:rPr>
        <w:t>When customers subscribe, they select from a menu of entry plans. Beginning in March 2023, we added an extra item to each shipment per plan at no extra cost to our</w:t>
      </w:r>
      <w:r>
        <w:rPr>
          <w:rFonts w:ascii="Arial" w:cs="Arial" w:eastAsia="Arial" w:hAnsi="Arial"/>
          <w:sz w:val="14"/>
          <w:szCs w:val="14"/>
          <w:i w:val="1"/>
          <w:iCs w:val="1"/>
          <w:color w:val="auto"/>
        </w:rPr>
        <w:t xml:space="preserve"> </w:t>
      </w:r>
      <w:r>
        <w:rPr>
          <w:rFonts w:ascii="Arial" w:cs="Arial" w:eastAsia="Arial" w:hAnsi="Arial"/>
          <w:sz w:val="14"/>
          <w:szCs w:val="14"/>
          <w:color w:val="auto"/>
        </w:rPr>
        <w:t>subscribers. Each plan now starts with five items, or “spots,” per shipment, and varies based on how often the subscriber wishes to receive new shipments, each a “swap.” Today, our subscribers onboard into plans that offer one, two, three or four shipments per month for $94, $144, $193 or $235 per month, respectively.</w:t>
      </w:r>
    </w:p>
    <w:p>
      <w:pPr>
        <w:spacing w:after="0" w:line="155"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i w:val="1"/>
          <w:iCs w:val="1"/>
          <w:color w:val="auto"/>
        </w:rPr>
        <w:t xml:space="preserve">Customize. </w:t>
      </w:r>
      <w:r>
        <w:rPr>
          <w:rFonts w:ascii="Arial" w:cs="Arial" w:eastAsia="Arial" w:hAnsi="Arial"/>
          <w:sz w:val="14"/>
          <w:szCs w:val="14"/>
          <w:color w:val="auto"/>
        </w:rPr>
        <w:t>Subscribers can customize their plans to adapt to their changing lifestyles, needs and budgets by adding or removing spots for $27 or $31 per item per month and</w:t>
      </w:r>
      <w:r>
        <w:rPr>
          <w:rFonts w:ascii="Arial" w:cs="Arial" w:eastAsia="Arial" w:hAnsi="Arial"/>
          <w:sz w:val="14"/>
          <w:szCs w:val="14"/>
          <w:i w:val="1"/>
          <w:iCs w:val="1"/>
          <w:color w:val="auto"/>
        </w:rPr>
        <w:t xml:space="preserve"> </w:t>
      </w:r>
      <w:r>
        <w:rPr>
          <w:rFonts w:ascii="Arial" w:cs="Arial" w:eastAsia="Arial" w:hAnsi="Arial"/>
          <w:sz w:val="14"/>
          <w:szCs w:val="14"/>
          <w:color w:val="auto"/>
        </w:rPr>
        <w:t>shipments for $39 - $50 per shipment per month, as they see fit.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Choose Items. </w:t>
      </w:r>
      <w:r>
        <w:rPr>
          <w:rFonts w:ascii="Arial" w:cs="Arial" w:eastAsia="Arial" w:hAnsi="Arial"/>
          <w:sz w:val="14"/>
          <w:szCs w:val="14"/>
          <w:color w:val="auto"/>
        </w:rPr>
        <w:t>After picking a plan, subscribers browse our broad assortment of items to build their first shipment.</w:t>
      </w:r>
    </w:p>
    <w:p>
      <w:pPr>
        <w:spacing w:after="0" w:line="200" w:lineRule="exact"/>
        <w:rPr>
          <w:sz w:val="20"/>
          <w:szCs w:val="20"/>
          <w:color w:val="auto"/>
        </w:rPr>
      </w:pPr>
    </w:p>
    <w:p>
      <w:pPr>
        <w:ind w:right="380"/>
        <w:spacing w:after="0" w:line="290" w:lineRule="auto"/>
        <w:rPr>
          <w:sz w:val="20"/>
          <w:szCs w:val="20"/>
          <w:color w:val="auto"/>
        </w:rPr>
      </w:pPr>
      <w:r>
        <w:rPr>
          <w:rFonts w:ascii="Arial" w:cs="Arial" w:eastAsia="Arial" w:hAnsi="Arial"/>
          <w:sz w:val="14"/>
          <w:szCs w:val="14"/>
          <w:i w:val="1"/>
          <w:iCs w:val="1"/>
          <w:color w:val="auto"/>
        </w:rPr>
        <w:t>Wear, Repeat</w:t>
      </w:r>
      <w:r>
        <w:rPr>
          <w:rFonts w:ascii="Arial" w:cs="Arial" w:eastAsia="Arial" w:hAnsi="Arial"/>
          <w:sz w:val="14"/>
          <w:szCs w:val="14"/>
          <w:color w:val="auto"/>
        </w:rPr>
        <w:t>. When subscribers place an order, we aim to deliver their order within two to three business days of shipping from our fulfillment centers in our reusable garment</w:t>
      </w:r>
      <w:r>
        <w:rPr>
          <w:rFonts w:ascii="Arial" w:cs="Arial" w:eastAsia="Arial" w:hAnsi="Arial"/>
          <w:sz w:val="14"/>
          <w:szCs w:val="14"/>
          <w:i w:val="1"/>
          <w:iCs w:val="1"/>
          <w:color w:val="auto"/>
        </w:rPr>
        <w:t xml:space="preserve"> </w:t>
      </w:r>
      <w:r>
        <w:rPr>
          <w:rFonts w:ascii="Arial" w:cs="Arial" w:eastAsia="Arial" w:hAnsi="Arial"/>
          <w:sz w:val="14"/>
          <w:szCs w:val="14"/>
          <w:color w:val="auto"/>
        </w:rPr>
        <w:t>bags, cleaned and ready to wear.</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Subscribers keep items for as long as they would like and may choose to return some or all of their items with each new shipment. When subscribers select the items they want to return on our app, we allow them to immediately start building their next shipment, maximizing their time with items at home. Our subscribers typically visit our app multiple times per week.</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Subscribers are asked to give us real-time feedback on the size, fit and quality of the items they rent. The structured data we collect through our “happiness survey” allows us to both improve her experience as well as optimize our garment care and, therefore, our return on investment of the items returned. Once subscribers confirm their new shipment, they can return their items in RTR’s reusable garment bag to the nearest preferred shipping partner location using a prepaid return label. In addition, a majority of our subscribers have the option to return their items via our at-home pickup offering that we introduced in 2021. As of January 31, 2023, our at-home pickup offering served 34 markets and covered 60% of our subscriber base.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Reserve</w:t>
      </w:r>
    </w:p>
    <w:p>
      <w:pPr>
        <w:spacing w:after="0" w:line="19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When customers want to rent items a-la-carte for an upcoming event, they book styles for four or eight days through our Reserve offering. After selecting pieces, they typically select a delivery date one to two days before their event. We provide a free backup size of the customer’s choosing and the option to rent a backup style at a discount. At the end of the four- or eight-day rental period, customers simply return their items in the reusable garment bag using the prepaid shipping label included with their rental. Just like our Subscription offering, we clean and care for items when they are returned.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555625</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04"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880" w:h="15480" w:orient="portrait"/>
          <w:cols w:equalWidth="0" w:num="1">
            <w:col w:w="11280"/>
          </w:cols>
          <w:pgMar w:left="300" w:top="804" w:right="299" w:bottom="0" w:gutter="0" w:footer="0" w:header="0"/>
          <w:type w:val="continuous"/>
        </w:sectPr>
      </w:pPr>
    </w:p>
    <w:bookmarkStart w:id="13" w:name="page14"/>
    <w:bookmarkEnd w:id="13"/>
    <w:p>
      <w:pPr>
        <w:ind w:left="5"/>
        <w:spacing w:after="0"/>
        <w:rPr>
          <w:sz w:val="20"/>
          <w:szCs w:val="20"/>
          <w:color w:val="auto"/>
        </w:rPr>
      </w:pPr>
      <w:r>
        <w:rPr>
          <w:rFonts w:ascii="Arial" w:cs="Arial" w:eastAsia="Arial" w:hAnsi="Arial"/>
          <w:sz w:val="14"/>
          <w:szCs w:val="14"/>
          <w:b w:val="1"/>
          <w:bCs w:val="1"/>
          <w:i w:val="1"/>
          <w:iCs w:val="1"/>
          <w:color w:val="auto"/>
        </w:rPr>
        <w:t>Resale</w:t>
      </w:r>
    </w:p>
    <w:p>
      <w:pPr>
        <w:spacing w:after="0" w:line="198" w:lineRule="exact"/>
        <w:rPr>
          <w:sz w:val="20"/>
          <w:szCs w:val="20"/>
          <w:color w:val="auto"/>
        </w:rPr>
      </w:pPr>
    </w:p>
    <w:p>
      <w:pPr>
        <w:jc w:val="both"/>
        <w:ind w:left="5" w:right="40"/>
        <w:spacing w:after="0" w:line="265" w:lineRule="auto"/>
        <w:rPr>
          <w:sz w:val="20"/>
          <w:szCs w:val="20"/>
          <w:color w:val="auto"/>
        </w:rPr>
      </w:pPr>
      <w:r>
        <w:rPr>
          <w:rFonts w:ascii="Arial" w:cs="Arial" w:eastAsia="Arial" w:hAnsi="Arial"/>
          <w:sz w:val="14"/>
          <w:szCs w:val="14"/>
          <w:color w:val="auto"/>
        </w:rPr>
        <w:t>In addition to renting, customers also shop pre-loved styles from our closet at a discount to retail price, up to 90% off of designer retail value (which we calculate using original retail and/or comparable value prices). A Subscription is not required for purchase. Our subscribers also have the option to purchase items they already have at home, opening a spot in their next shipment. Prices for our resale items are typically dynamically calculated by our pricing algorithm, which takes in data on rental history, customer trends, and optimizes for lifetime return on investment on each product.</w:t>
      </w:r>
    </w:p>
    <w:p>
      <w:pPr>
        <w:spacing w:after="0" w:line="159" w:lineRule="exact"/>
        <w:rPr>
          <w:sz w:val="20"/>
          <w:szCs w:val="20"/>
          <w:color w:val="auto"/>
        </w:rPr>
      </w:pPr>
    </w:p>
    <w:p>
      <w:pPr>
        <w:jc w:val="center"/>
        <w:ind w:right="-4"/>
        <w:spacing w:after="0"/>
        <w:rPr>
          <w:sz w:val="20"/>
          <w:szCs w:val="20"/>
          <w:color w:val="auto"/>
        </w:rPr>
      </w:pPr>
      <w:r>
        <w:rPr>
          <w:rFonts w:ascii="Arial" w:cs="Arial" w:eastAsia="Arial" w:hAnsi="Arial"/>
          <w:sz w:val="14"/>
          <w:szCs w:val="14"/>
          <w:b w:val="1"/>
          <w:bCs w:val="1"/>
          <w:color w:val="auto"/>
        </w:rPr>
        <w:t>Our Customer Value Proposition</w:t>
      </w:r>
    </w:p>
    <w:p>
      <w:pPr>
        <w:spacing w:after="0" w:line="200" w:lineRule="exact"/>
        <w:rPr>
          <w:sz w:val="20"/>
          <w:szCs w:val="20"/>
          <w:color w:val="auto"/>
        </w:rPr>
      </w:pPr>
    </w:p>
    <w:p>
      <w:pPr>
        <w:ind w:left="5"/>
        <w:spacing w:after="0"/>
        <w:rPr>
          <w:sz w:val="20"/>
          <w:szCs w:val="20"/>
          <w:color w:val="auto"/>
        </w:rPr>
      </w:pPr>
      <w:r>
        <w:rPr>
          <w:rFonts w:ascii="Arial" w:cs="Arial" w:eastAsia="Arial" w:hAnsi="Arial"/>
          <w:sz w:val="14"/>
          <w:szCs w:val="14"/>
          <w:color w:val="auto"/>
        </w:rPr>
        <w:t>Through our platform, we have helped approximately 3 million lifetime customers discover the transformative power of utilizing our Closet in the Cloud across all of our offerings.</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4"/>
          <w:szCs w:val="14"/>
          <w:color w:val="auto"/>
        </w:rPr>
        <w:t>Our customer base is diverse and spans age, household income distribution and U.S. geography.</w:t>
      </w:r>
    </w:p>
    <w:p>
      <w:pPr>
        <w:spacing w:after="0" w:line="186" w:lineRule="exact"/>
        <w:rPr>
          <w:sz w:val="20"/>
          <w:szCs w:val="20"/>
          <w:color w:val="auto"/>
        </w:rPr>
      </w:pPr>
    </w:p>
    <w:p>
      <w:pPr>
        <w:ind w:left="5" w:right="120"/>
        <w:spacing w:after="0" w:line="265" w:lineRule="auto"/>
        <w:rPr>
          <w:sz w:val="20"/>
          <w:szCs w:val="20"/>
          <w:color w:val="auto"/>
        </w:rPr>
      </w:pPr>
      <w:r>
        <w:rPr>
          <w:rFonts w:ascii="Arial" w:cs="Arial" w:eastAsia="Arial" w:hAnsi="Arial"/>
          <w:sz w:val="14"/>
          <w:szCs w:val="14"/>
          <w:color w:val="auto"/>
        </w:rPr>
        <w:t>Subscribers are customers who access our Closet in the Cloud via our monthly Subscription offering. The portion of our customers who are subscribers accounted for 86% of our revenue in fiscal year 2022. As of January 31, 2023, we had 126,712 Active Subscribers on Rent the Runway and 171,998 total subscribers including paused subscribers, and during fiscal year 2022, we had 128,586 Average Active Subscribers. Many of our subscribers started as customers in Reserve and Resale and we continue to see activation from Reserve and Resale customers into subscribers for many years.</w:t>
      </w:r>
    </w:p>
    <w:p>
      <w:pPr>
        <w:spacing w:after="0" w:line="201" w:lineRule="exact"/>
        <w:rPr>
          <w:sz w:val="20"/>
          <w:szCs w:val="20"/>
          <w:color w:val="auto"/>
        </w:rPr>
      </w:pPr>
    </w:p>
    <w:p>
      <w:pPr>
        <w:ind w:left="505" w:right="40" w:hanging="251"/>
        <w:spacing w:after="0" w:line="284" w:lineRule="auto"/>
        <w:tabs>
          <w:tab w:leader="none" w:pos="502"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Variety and Discovery. </w:t>
      </w:r>
      <w:r>
        <w:rPr>
          <w:rFonts w:ascii="Arial" w:cs="Arial" w:eastAsia="Arial" w:hAnsi="Arial"/>
          <w:sz w:val="14"/>
          <w:szCs w:val="14"/>
          <w:color w:val="auto"/>
        </w:rPr>
        <w:t>With tens of thousands of styles across hundreds of brands in our Closet in the Cloud, Rent the Runway gives customers the ability to always wear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something new to them and inspires customers to expand their fashion tastes without risk of buyer’s remorse.</w:t>
      </w:r>
    </w:p>
    <w:p>
      <w:pPr>
        <w:ind w:left="505" w:right="160" w:hanging="251"/>
        <w:spacing w:after="0" w:line="271" w:lineRule="auto"/>
        <w:tabs>
          <w:tab w:leader="none" w:pos="502"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Value. </w:t>
      </w:r>
      <w:r>
        <w:rPr>
          <w:rFonts w:ascii="Arial" w:cs="Arial" w:eastAsia="Arial" w:hAnsi="Arial"/>
          <w:sz w:val="14"/>
          <w:szCs w:val="14"/>
          <w:color w:val="auto"/>
        </w:rPr>
        <w:t>Rent the Runway makes thousands of designer styles accessible through our Subscription offering for a flat monthly price or through our Reserve offering on a per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item basis. We deliver significant financial value to customers, with our average subscriber wearing clothes worth more than 20 times what she pays for a monthly RTR Subscription on an annualized basis.</w:t>
      </w:r>
    </w:p>
    <w:p>
      <w:pPr>
        <w:spacing w:after="0" w:line="6" w:lineRule="exact"/>
        <w:rPr>
          <w:rFonts w:ascii="Arial" w:cs="Arial" w:eastAsia="Arial" w:hAnsi="Arial"/>
          <w:sz w:val="14"/>
          <w:szCs w:val="14"/>
          <w:color w:val="auto"/>
        </w:rPr>
      </w:pPr>
    </w:p>
    <w:p>
      <w:pPr>
        <w:ind w:left="505" w:right="280" w:hanging="250"/>
        <w:spacing w:after="0" w:line="284" w:lineRule="auto"/>
        <w:tabs>
          <w:tab w:leader="none" w:pos="502"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Self-Confidence. </w:t>
      </w:r>
      <w:r>
        <w:rPr>
          <w:rFonts w:ascii="Arial" w:cs="Arial" w:eastAsia="Arial" w:hAnsi="Arial"/>
          <w:sz w:val="14"/>
          <w:szCs w:val="14"/>
          <w:color w:val="auto"/>
        </w:rPr>
        <w:t>According to our March 2023 Subscriber Survey, 83% of our subscribers say RTR makes them the most confident version of themselves at work or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social settings. Because there is no commitment to keep an item rented from RTR, we fuel greater self-expression for our customers.</w:t>
      </w:r>
    </w:p>
    <w:p>
      <w:pPr>
        <w:jc w:val="both"/>
        <w:ind w:left="505" w:hanging="250"/>
        <w:spacing w:after="0" w:line="271" w:lineRule="auto"/>
        <w:tabs>
          <w:tab w:leader="none" w:pos="502"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Personalization and Convenienc</w:t>
      </w:r>
      <w:r>
        <w:rPr>
          <w:rFonts w:ascii="Arial" w:cs="Arial" w:eastAsia="Arial" w:hAnsi="Arial"/>
          <w:sz w:val="14"/>
          <w:szCs w:val="14"/>
          <w:b w:val="1"/>
          <w:bCs w:val="1"/>
          <w:color w:val="auto"/>
        </w:rPr>
        <w:t>e</w:t>
      </w:r>
      <w:r>
        <w:rPr>
          <w:rFonts w:ascii="Arial" w:cs="Arial" w:eastAsia="Arial" w:hAnsi="Arial"/>
          <w:sz w:val="14"/>
          <w:szCs w:val="14"/>
          <w:color w:val="auto"/>
        </w:rPr>
        <w:t>. We use our rich customer data to create a personalized storefront for customers based on their style preferences, browsing history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past rentals. Our understanding of our customer improves with each interaction, and we use our personalization algorithm to provide personalized size recommendations to each customer at the item level. By showing customers designs they will love and items that are likely to fit, we continue to drive strong loyalty and monetization.</w:t>
      </w:r>
    </w:p>
    <w:p>
      <w:pPr>
        <w:spacing w:after="0" w:line="6" w:lineRule="exact"/>
        <w:rPr>
          <w:rFonts w:ascii="Arial" w:cs="Arial" w:eastAsia="Arial" w:hAnsi="Arial"/>
          <w:sz w:val="14"/>
          <w:szCs w:val="14"/>
          <w:color w:val="auto"/>
        </w:rPr>
      </w:pPr>
    </w:p>
    <w:p>
      <w:pPr>
        <w:ind w:left="505" w:right="120" w:hanging="250"/>
        <w:spacing w:after="0" w:line="259" w:lineRule="auto"/>
        <w:tabs>
          <w:tab w:leader="none" w:pos="502"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Customer Experience and Community. </w:t>
      </w:r>
      <w:r>
        <w:rPr>
          <w:rFonts w:ascii="Arial" w:cs="Arial" w:eastAsia="Arial" w:hAnsi="Arial"/>
          <w:sz w:val="14"/>
          <w:szCs w:val="14"/>
          <w:color w:val="auto"/>
        </w:rPr>
        <w:t>Our customers are deeply engaged, as evidenced by the 33.1 million customer reviews submitted through January 2023.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customers use the millions of reviews posted by our community to make smarter choices and feel good about their selections. As our community has grown, Rent the Runway has also benefited from powerful virality and word-of-mouth marketing. 80% of subscribers have shared RTR with at least five people; 43% have shared with over 10 people and 75% of our customers posted themselves wearing Rent the Runway on social media, as indicated by our March 2023 Subscriber Survey.</w:t>
      </w:r>
    </w:p>
    <w:p>
      <w:pPr>
        <w:spacing w:after="0" w:line="26" w:lineRule="exact"/>
        <w:rPr>
          <w:rFonts w:ascii="Arial" w:cs="Arial" w:eastAsia="Arial" w:hAnsi="Arial"/>
          <w:sz w:val="14"/>
          <w:szCs w:val="14"/>
          <w:color w:val="auto"/>
        </w:rPr>
      </w:pPr>
    </w:p>
    <w:p>
      <w:pPr>
        <w:ind w:left="505" w:right="60" w:hanging="251"/>
        <w:spacing w:after="0" w:line="230" w:lineRule="auto"/>
        <w:tabs>
          <w:tab w:leader="none" w:pos="495" w:val="left"/>
        </w:tabs>
        <w:numPr>
          <w:ilvl w:val="0"/>
          <w:numId w:val="11"/>
        </w:numPr>
        <w:rPr>
          <w:rFonts w:ascii="Arial" w:cs="Arial" w:eastAsia="Arial" w:hAnsi="Arial"/>
          <w:sz w:val="18"/>
          <w:szCs w:val="18"/>
          <w:b w:val="1"/>
          <w:bCs w:val="1"/>
          <w:color w:val="auto"/>
          <w:vertAlign w:val="subscript"/>
        </w:rPr>
      </w:pPr>
      <w:r>
        <w:rPr>
          <w:rFonts w:ascii="Arial" w:cs="Arial" w:eastAsia="Arial" w:hAnsi="Arial"/>
          <w:sz w:val="14"/>
          <w:szCs w:val="14"/>
          <w:b w:val="1"/>
          <w:bCs w:val="1"/>
          <w:i w:val="1"/>
          <w:iCs w:val="1"/>
          <w:color w:val="auto"/>
        </w:rPr>
        <w:t xml:space="preserve">Sustainability. </w:t>
      </w:r>
      <w:r>
        <w:rPr>
          <w:rFonts w:ascii="Arial" w:cs="Arial" w:eastAsia="Arial" w:hAnsi="Arial"/>
          <w:sz w:val="14"/>
          <w:szCs w:val="14"/>
          <w:color w:val="auto"/>
        </w:rPr>
        <w:t>Renting on the RTR platform results in net environmental savings across water, energy and carbon emissions when compared to purchasing new garments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even when accounting for two-way shipping, cleaning and other operations.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See “Our ESG (Environmental, Social, and Governance) Impact Strategy” below for additional detail. Our business model aims for customers to substitute purchases with rentals and we have been successful in doing so, as 87% of our subscribers have bought less fast fashion since using RTR</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and 82% buy fewer clothes than they used to prior to joining RTR</w:t>
      </w:r>
      <w:r>
        <w:rPr>
          <w:rFonts w:ascii="Arial" w:cs="Arial" w:eastAsia="Arial" w:hAnsi="Arial"/>
          <w:sz w:val="18"/>
          <w:szCs w:val="18"/>
          <w:color w:val="auto"/>
          <w:vertAlign w:val="superscript"/>
        </w:rPr>
        <w:t>4</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207645</wp:posOffset>
            </wp:positionV>
            <wp:extent cx="134747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75" w:lineRule="exact"/>
        <w:rPr>
          <w:sz w:val="20"/>
          <w:szCs w:val="20"/>
          <w:color w:val="auto"/>
        </w:rPr>
      </w:pPr>
    </w:p>
    <w:p>
      <w:pPr>
        <w:ind w:left="65" w:hanging="65"/>
        <w:spacing w:after="0"/>
        <w:tabs>
          <w:tab w:leader="none" w:pos="65" w:val="left"/>
        </w:tabs>
        <w:numPr>
          <w:ilvl w:val="0"/>
          <w:numId w:val="12"/>
        </w:numPr>
        <w:rPr>
          <w:rFonts w:ascii="Arial" w:cs="Arial" w:eastAsia="Arial" w:hAnsi="Arial"/>
          <w:sz w:val="7"/>
          <w:szCs w:val="7"/>
          <w:color w:val="auto"/>
        </w:rPr>
      </w:pPr>
      <w:r>
        <w:rPr>
          <w:rFonts w:ascii="Arial" w:cs="Arial" w:eastAsia="Arial" w:hAnsi="Arial"/>
          <w:sz w:val="11"/>
          <w:szCs w:val="11"/>
          <w:color w:val="auto"/>
        </w:rPr>
        <w:t>According to the Life Cycle Assessment Study (the “LCA Study”) we commissioned in 2021 with Green Story and SgT, third-party consultants specializing in apparel life cycle assessments.</w:t>
      </w:r>
    </w:p>
    <w:p>
      <w:pPr>
        <w:spacing w:after="0" w:line="40" w:lineRule="exact"/>
        <w:rPr>
          <w:rFonts w:ascii="Arial" w:cs="Arial" w:eastAsia="Arial" w:hAnsi="Arial"/>
          <w:sz w:val="7"/>
          <w:szCs w:val="7"/>
          <w:color w:val="auto"/>
        </w:rPr>
      </w:pPr>
    </w:p>
    <w:p>
      <w:pPr>
        <w:ind w:left="85" w:hanging="85"/>
        <w:spacing w:after="0"/>
        <w:tabs>
          <w:tab w:leader="none" w:pos="85" w:val="left"/>
        </w:tabs>
        <w:numPr>
          <w:ilvl w:val="0"/>
          <w:numId w:val="12"/>
        </w:numPr>
        <w:rPr>
          <w:rFonts w:ascii="Arial" w:cs="Arial" w:eastAsia="Arial" w:hAnsi="Arial"/>
          <w:sz w:val="15"/>
          <w:szCs w:val="15"/>
          <w:color w:val="auto"/>
          <w:vertAlign w:val="superscript"/>
        </w:rPr>
      </w:pPr>
      <w:r>
        <w:rPr>
          <w:rFonts w:ascii="Arial" w:cs="Arial" w:eastAsia="Arial" w:hAnsi="Arial"/>
          <w:sz w:val="11"/>
          <w:szCs w:val="11"/>
          <w:color w:val="auto"/>
        </w:rPr>
        <w:t>Per our March 2023 Subscriber Survey.</w:t>
      </w:r>
    </w:p>
    <w:p>
      <w:pPr>
        <w:spacing w:after="0" w:line="53" w:lineRule="exact"/>
        <w:rPr>
          <w:rFonts w:ascii="Arial" w:cs="Arial" w:eastAsia="Arial" w:hAnsi="Arial"/>
          <w:sz w:val="15"/>
          <w:szCs w:val="15"/>
          <w:color w:val="auto"/>
          <w:vertAlign w:val="superscript"/>
        </w:rPr>
      </w:pPr>
    </w:p>
    <w:p>
      <w:pPr>
        <w:ind w:left="85" w:hanging="85"/>
        <w:spacing w:after="0"/>
        <w:tabs>
          <w:tab w:leader="none" w:pos="85" w:val="left"/>
        </w:tabs>
        <w:numPr>
          <w:ilvl w:val="0"/>
          <w:numId w:val="12"/>
        </w:numPr>
        <w:rPr>
          <w:rFonts w:ascii="Arial" w:cs="Arial" w:eastAsia="Arial" w:hAnsi="Arial"/>
          <w:sz w:val="7"/>
          <w:szCs w:val="7"/>
          <w:color w:val="auto"/>
        </w:rPr>
      </w:pPr>
      <w:r>
        <w:rPr>
          <w:rFonts w:ascii="Arial" w:cs="Arial" w:eastAsia="Arial" w:hAnsi="Arial"/>
          <w:sz w:val="11"/>
          <w:szCs w:val="11"/>
          <w:color w:val="auto"/>
        </w:rPr>
        <w:t>Per our November 2022 Subscriber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5"/>
          </w:cols>
          <w:pgMar w:left="295" w:top="76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6</w:t>
      </w:r>
    </w:p>
    <w:p>
      <w:pPr>
        <w:sectPr>
          <w:pgSz w:w="11880" w:h="15480" w:orient="portrait"/>
          <w:cols w:equalWidth="0" w:num="1">
            <w:col w:w="11265"/>
          </w:cols>
          <w:pgMar w:left="295" w:top="763" w:right="319" w:bottom="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4"/>
          <w:szCs w:val="14"/>
          <w:b w:val="1"/>
          <w:bCs w:val="1"/>
          <w:color w:val="auto"/>
        </w:rPr>
        <w:t>Our Unique Brand Partner Approach</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acquire our products through three channels: Wholesale, Share by RTR and Exclusive Designs. The portion of our products sourced through Share by RTR and Exclusive Designs - our more capital-efficient sources - has grown from approximately 26% in fiscal year 2019 to approximately 58% in fiscal year 2022. We procure virtually 100% of our products directly from or in collaboration with brand partners and our business model has been built on shared success with brands. As they deepen their relationship with us, they get access to more data and more customers. Our partnerships with brands have created a significant product and cost advantage. Because we source directly from brands, we can control our assortment and acquire styles in the volumes and sizes we want, we have access to current season items and all of our items are guaranteed authentic without the cost or infrastructure of traditional authentication platforms. See Part II, Item 7, “Management’s Discussion and Analysis of Financial Condition and Results of Operations—Our Product Acquisition Strategy.”</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Wholesale</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Wholesale includes products we acquire directly from our brand partners, typically at a discount to wholesale price based on our scale. We have observed that the original retail prices set by the brands are often at a 2.5x mark-up to the wholesale price. As we continue to expand our selection and grow the share of our assortment acquired from a designer, we benefit from greater discounts on product acquisition. Wholesale represented 42% of our product acquisition in fiscal year 2022.</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by RTR</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Through Share by RTR, we acquire items directly from brand partners on consignment, at zero to low upfront cost and revenue share with our brands each time an item is rented. Brands also pay us a logistics expense for each rental. If a piece is in greater demand, it will drive higher revenue, which could result in brands earning more on the item than if it had been sold through Wholesale, generally subject to a maximum cap. Share by RTR aligns incentives between brands and RTR and alleviates product risk as it is largely a pay-for-performance model.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 Share by RTR represented 27% of our product acquisition in fiscal year 2022. Increases (or decreases) in the proportion of total items acquired via Share by RTR as well as the usage of Share by RTR items will increase (or decrease) variable expenses recorded in the rental product depreciation and revenue share line item on our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Exclusive Designs</w:t>
      </w:r>
    </w:p>
    <w:p>
      <w:pPr>
        <w:spacing w:after="0" w:line="92"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leverage our data to create highly desirable Exclusive Designs in collaboration with select brand partners, celebrities and influencers that we manufacture through third-party partners to be more durable and at approximately 50% lower cost than Wholesale. We provide a data blueprint to brands and, based on this data, they design new collections for us that carry their brand name.</w:t>
      </w:r>
    </w:p>
    <w:p>
      <w:pPr>
        <w:spacing w:after="0" w:line="1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 fiscal year 2022, we expanded our third-party production capabilities for our Exclusive Designs, which enables us to obtain black tie and evening wear at lower cost, typically two of the most expensive categories we procure, where the relative savings versus Wholesale cost are significant. We believe that this acquisition channel is an important lever as we reduce our purchases of rental product as a percentage of revenue over time.</w:t>
      </w:r>
    </w:p>
    <w:p>
      <w:pPr>
        <w:spacing w:after="0" w:line="15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Exclusive Designs collections enable our brand partners to innovate their businesses and enter into new product lines at reduced cost to them. All of the styles are exclusive to rent on RTR for a period of time, after which brands may monetize these exclusive designs through other channels, typically subject to a royalty fee payment to Rent the Runway, which we have not begun to earn to date. Increases (or decreases) in the proportion of total items acquired via Exclusive Designs as well as the usage of Exclusive Designs items may increase (or decrease) variable expenses recorded in the rental product depreciation and revenue share line item on our consolidated statement of operations. We also have a small number of products bearing our trademarks, which are non-exclusive designs produced by third party partners at a significantly lower average cost than Wholesale to strategically fill assortment gaps, or our owned brands. Exclusive Designs accounted for 31% of our product acquisition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558800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76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ectPr>
          <w:pgSz w:w="11880" w:h="15480" w:orient="portrait"/>
          <w:cols w:equalWidth="0" w:num="1">
            <w:col w:w="11240"/>
          </w:cols>
          <w:pgMar w:left="300" w:top="761" w:right="339" w:bottom="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Our Marketing Strategy</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brand and deeply engaged consumer base have allowed us to acquire customers efficiently. Since our founding, we have spent less than 10% of total revenue on marketing, and our growth has been mostly organic. Over 80% of our customers over the last 13 years have been acquired organically. As we have scaled, we have seen the value of the Rent the Runway brand grow and increasingly become a significant point of differentiation with consumers and brand partners. We continue to have an opportunity to increase brand awareness and as of January 2023, our unaided brand awareness was 22% among U.S. women ages 18 - 45 with a household income of $50,000 or more, which is an increase of 2% year-over-year compared to fiscal year 2021.</w:t>
      </w:r>
    </w:p>
    <w:p>
      <w:pPr>
        <w:spacing w:after="0" w:line="161"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Many of our customers share a love of the Rent the Runway experience and value proposition, which starts conversations both online and offline and leads to word of mouth adoption. Our clothing often becomes a visual billboard and advertisement for our platform. Many women share their Rent the Runway experience on social media and in their personal lives, which helps drive our organic growth and brand awareness. When our customers are wearing RTR and someone compliments them or asks about what they are wearing, 97% of our subscribers share that it’s Rent the Runway as opposed to the designer brand name. According to our March 2023 Subscriber Survey, nearly half of our subscribers have posted themselves wearing RTR on their social media over five times. Renting from us is an inherently social behavior: 76% of our subscribers rent along with a friend or colleague.</w:t>
      </w:r>
    </w:p>
    <w:p>
      <w:pPr>
        <w:spacing w:after="0" w:line="16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majority of our new customers have historically come to Rent the Runway organically, a trend that continued in fiscal year 2022. We plan to continue to drive organic growth by focusing on social-first, mid-funnel strategies. Our current marketing initiatives are focused on re-engaging lapsed customers, retaining existing customers and growing our base of new customers. Additionally, we are focused on investing in the customer experience, including optimization of our funnel and the Subscription experience, as a way to re-engage and retain subscribers. We also view paid marketing as an important way to supplement our growth. In fiscal year 2022, we increased paid marketing spend and we saw an increase in the proportion of new customers attributed to paid channels. Our paid efforts have included both middle-of-the-funnel prospecting and bottom-of-the-funnel direct response campaigns which also benefit from our top-of-the-funnel brand marketing efforts that drive awareness. To date, our primary channels for paid marketing have been focused on social media marketing, influencers and our brand ambassadors, programmatic directed spend and affiliate marketing.</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Data Advantage</w:t>
      </w:r>
    </w:p>
    <w:p>
      <w:pPr>
        <w:spacing w:after="0" w:line="200"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One of our significant differentiators is the vast amount of quality, actionable data that we are able to collect on our customers and our products. We leverage this data to create benefits for our customers, our brand partners and our business.</w:t>
      </w:r>
    </w:p>
    <w:p>
      <w:pPr>
        <w:spacing w:after="0" w:line="141"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capture thousands of unique data points per subscriber per year and over 20 unique data points per item each time it is rented across four channels including website data, post-wear data, operations data and customer data. We also identify and tag approximately 70 detailed attributes per style. By mapping our interactions with our products’ inherent attributes, we create a strong feedback loop which allows us to optimize the supply of products in ways we believe that would be difficult for traditional retailers to achieve or replicate. This is one of our biggest competitive advantages.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differentiated business model enables us to collect substantially more data than others in our space and we use this data to continuously improve the customer experience. Customers learn that providing data enhances their experience on the platform over time, which enables us to collect even more data from them. This flywheel helps propel the exponential growth of our post-wear, customer and operations data. We use our data to create what we believe are the most relevant assortments and personalized experiences for our customers, which in turn helps to drive loyalty. As we learn more about a customer, our personalized features give us greater ability to direct her towards the items that optimize both customer lifetime value and rental product return on investment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610870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95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w:t>
      </w:r>
    </w:p>
    <w:p>
      <w:pPr>
        <w:sectPr>
          <w:pgSz w:w="11880" w:h="15480" w:orient="portrait"/>
          <w:cols w:equalWidth="0" w:num="1">
            <w:col w:w="11240"/>
          </w:cols>
          <w:pgMar w:left="300" w:top="952" w:right="339" w:bottom="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auto"/>
        </w:rPr>
        <w:t>Our data advantage benefits brand partners in numerous ways:</w:t>
      </w:r>
    </w:p>
    <w:p>
      <w:pPr>
        <w:spacing w:after="0" w:line="200" w:lineRule="exact"/>
        <w:rPr>
          <w:sz w:val="20"/>
          <w:szCs w:val="20"/>
          <w:color w:val="auto"/>
        </w:rPr>
      </w:pPr>
    </w:p>
    <w:p>
      <w:pPr>
        <w:ind w:left="500" w:right="80" w:hanging="251"/>
        <w:spacing w:after="0" w:line="263" w:lineRule="auto"/>
        <w:tabs>
          <w:tab w:leader="none" w:pos="49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the Garment Life Cycle: </w:t>
      </w:r>
      <w:r>
        <w:rPr>
          <w:rFonts w:ascii="Arial" w:cs="Arial" w:eastAsia="Arial" w:hAnsi="Arial"/>
          <w:sz w:val="14"/>
          <w:szCs w:val="14"/>
          <w:color w:val="auto"/>
        </w:rPr>
        <w:t>We help partners grow their business through the data we provide. Product longevity data often help our brands increase the life</w:t>
      </w:r>
      <w:r>
        <w:rPr>
          <w:rFonts w:ascii="Arial" w:cs="Arial" w:eastAsia="Arial" w:hAnsi="Arial"/>
          <w:sz w:val="14"/>
          <w:szCs w:val="14"/>
          <w:b w:val="1"/>
          <w:bCs w:val="1"/>
          <w:color w:val="auto"/>
        </w:rPr>
        <w:t xml:space="preserve"> </w:t>
      </w:r>
      <w:r>
        <w:rPr>
          <w:rFonts w:ascii="Arial" w:cs="Arial" w:eastAsia="Arial" w:hAnsi="Arial"/>
          <w:sz w:val="14"/>
          <w:szCs w:val="14"/>
          <w:color w:val="auto"/>
        </w:rPr>
        <w:t>of their garments, which can support their sustainability goals.</w:t>
      </w:r>
    </w:p>
    <w:p>
      <w:pPr>
        <w:ind w:left="500" w:right="820" w:hanging="251"/>
        <w:spacing w:after="0" w:line="269" w:lineRule="auto"/>
        <w:tabs>
          <w:tab w:leader="none" w:pos="496"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 xml:space="preserve">Understanding Customer Demand: </w:t>
      </w:r>
      <w:r>
        <w:rPr>
          <w:rFonts w:ascii="Arial" w:cs="Arial" w:eastAsia="Arial" w:hAnsi="Arial"/>
          <w:sz w:val="14"/>
          <w:szCs w:val="14"/>
          <w:color w:val="auto"/>
        </w:rPr>
        <w:t>As our customers wear (or don’t wear) and review items, we can assess demand due to our robust attribution of products</w:t>
      </w:r>
      <w:r>
        <w:rPr>
          <w:rFonts w:ascii="Arial" w:cs="Arial" w:eastAsia="Arial" w:hAnsi="Arial"/>
          <w:sz w:val="14"/>
          <w:szCs w:val="14"/>
          <w:b w:val="1"/>
          <w:bCs w:val="1"/>
          <w:color w:val="auto"/>
        </w:rPr>
        <w:t xml:space="preserve"> </w:t>
      </w:r>
      <w:r>
        <w:rPr>
          <w:rFonts w:ascii="Arial" w:cs="Arial" w:eastAsia="Arial" w:hAnsi="Arial"/>
          <w:sz w:val="14"/>
          <w:szCs w:val="14"/>
          <w:color w:val="auto"/>
        </w:rPr>
        <w:t>(approximately 70 attributes) paired with customer interaction data. This data highlights growth opportunities for brands as well as areas for improvement.</w:t>
      </w:r>
    </w:p>
    <w:p>
      <w:pPr>
        <w:spacing w:after="0" w:line="156" w:lineRule="exact"/>
        <w:rPr>
          <w:sz w:val="20"/>
          <w:szCs w:val="20"/>
          <w:color w:val="auto"/>
        </w:rPr>
      </w:pPr>
    </w:p>
    <w:p>
      <w:pPr>
        <w:ind w:right="660"/>
        <w:spacing w:after="0" w:line="290" w:lineRule="auto"/>
        <w:rPr>
          <w:sz w:val="20"/>
          <w:szCs w:val="20"/>
          <w:color w:val="auto"/>
        </w:rPr>
      </w:pPr>
      <w:r>
        <w:rPr>
          <w:rFonts w:ascii="Arial" w:cs="Arial" w:eastAsia="Arial" w:hAnsi="Arial"/>
          <w:sz w:val="14"/>
          <w:szCs w:val="14"/>
          <w:color w:val="auto"/>
        </w:rPr>
        <w:t>Our data also allows us to continually optimize the return on investment on products and customer lifetime value, which are dependent on the following inputs, all of which continuously improve as our business scales.</w:t>
      </w:r>
    </w:p>
    <w:p>
      <w:pPr>
        <w:spacing w:after="0" w:line="184" w:lineRule="exact"/>
        <w:rPr>
          <w:sz w:val="20"/>
          <w:szCs w:val="20"/>
          <w:color w:val="auto"/>
        </w:rPr>
      </w:pPr>
    </w:p>
    <w:p>
      <w:pPr>
        <w:ind w:left="500" w:right="60" w:hanging="251"/>
        <w:spacing w:after="0" w:line="284" w:lineRule="auto"/>
        <w:tabs>
          <w:tab w:leader="none" w:pos="49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Scientific Product Acquisition: </w:t>
      </w:r>
      <w:r>
        <w:rPr>
          <w:rFonts w:ascii="Arial" w:cs="Arial" w:eastAsia="Arial" w:hAnsi="Arial"/>
          <w:sz w:val="14"/>
          <w:szCs w:val="14"/>
          <w:color w:val="auto"/>
        </w:rPr>
        <w:t>Our data provides a comprehensive picture of our products by bringing together customer feedback, operations data and inherent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attributes. Our analytics teams utilize this data to optimize the styles we need and the quantity per style.</w:t>
      </w:r>
    </w:p>
    <w:p>
      <w:pPr>
        <w:ind w:left="500" w:right="220" w:hanging="251"/>
        <w:spacing w:after="0" w:line="271" w:lineRule="auto"/>
        <w:tabs>
          <w:tab w:leader="none" w:pos="49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Price Optimization: </w:t>
      </w:r>
      <w:r>
        <w:rPr>
          <w:rFonts w:ascii="Arial" w:cs="Arial" w:eastAsia="Arial" w:hAnsi="Arial"/>
          <w:sz w:val="14"/>
          <w:szCs w:val="14"/>
          <w:color w:val="auto"/>
        </w:rPr>
        <w:t>Our dynamic pricing algorithm optimizes how our products are consumed across Subscription, Reserve rentals and Resale by taking into account</w:t>
      </w:r>
      <w:r>
        <w:rPr>
          <w:rFonts w:ascii="Arial" w:cs="Arial" w:eastAsia="Arial" w:hAnsi="Arial"/>
          <w:sz w:val="14"/>
          <w:szCs w:val="14"/>
          <w:b w:val="1"/>
          <w:bCs w:val="1"/>
          <w:color w:val="auto"/>
        </w:rPr>
        <w:t xml:space="preserve"> </w:t>
      </w:r>
      <w:r>
        <w:rPr>
          <w:rFonts w:ascii="Arial" w:cs="Arial" w:eastAsia="Arial" w:hAnsi="Arial"/>
          <w:sz w:val="14"/>
          <w:szCs w:val="14"/>
          <w:color w:val="auto"/>
        </w:rPr>
        <w:t>demand signals and the expected useful life and turns of each item. We have the flexibility to optimize prices for revenue, gross margin and product return on investment based on the business needs.</w:t>
      </w:r>
    </w:p>
    <w:p>
      <w:pPr>
        <w:spacing w:after="0" w:line="6" w:lineRule="exact"/>
        <w:rPr>
          <w:rFonts w:ascii="Arial" w:cs="Arial" w:eastAsia="Arial" w:hAnsi="Arial"/>
          <w:sz w:val="14"/>
          <w:szCs w:val="14"/>
          <w:color w:val="auto"/>
        </w:rPr>
      </w:pPr>
    </w:p>
    <w:p>
      <w:pPr>
        <w:ind w:left="500" w:right="480" w:hanging="251"/>
        <w:spacing w:after="0" w:line="284" w:lineRule="auto"/>
        <w:tabs>
          <w:tab w:leader="none" w:pos="49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Lower Cost Product: </w:t>
      </w:r>
      <w:r>
        <w:rPr>
          <w:rFonts w:ascii="Arial" w:cs="Arial" w:eastAsia="Arial" w:hAnsi="Arial"/>
          <w:sz w:val="14"/>
          <w:szCs w:val="14"/>
          <w:color w:val="auto"/>
        </w:rPr>
        <w:t>We leverage our data to create highly desirable Exclusive Designs in collaboration with our brand partners, influencers and celebrities that we</w:t>
      </w:r>
      <w:r>
        <w:rPr>
          <w:rFonts w:ascii="Arial" w:cs="Arial" w:eastAsia="Arial" w:hAnsi="Arial"/>
          <w:sz w:val="14"/>
          <w:szCs w:val="14"/>
          <w:b w:val="1"/>
          <w:bCs w:val="1"/>
          <w:color w:val="auto"/>
        </w:rPr>
        <w:t xml:space="preserve"> </w:t>
      </w:r>
      <w:r>
        <w:rPr>
          <w:rFonts w:ascii="Arial" w:cs="Arial" w:eastAsia="Arial" w:hAnsi="Arial"/>
          <w:sz w:val="14"/>
          <w:szCs w:val="14"/>
          <w:color w:val="auto"/>
        </w:rPr>
        <w:t>manufacture to be more durable at significantly lower cost.</w:t>
      </w:r>
    </w:p>
    <w:p>
      <w:pPr>
        <w:ind w:left="500" w:right="280" w:hanging="251"/>
        <w:spacing w:after="0" w:line="290" w:lineRule="auto"/>
        <w:tabs>
          <w:tab w:leader="none" w:pos="496"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Longer Product Life: </w:t>
      </w:r>
      <w:r>
        <w:rPr>
          <w:rFonts w:ascii="Arial" w:cs="Arial" w:eastAsia="Arial" w:hAnsi="Arial"/>
          <w:sz w:val="14"/>
          <w:szCs w:val="14"/>
          <w:color w:val="auto"/>
        </w:rPr>
        <w:t>Our feedback to brands helps us customize for higher longevity of our products - we understand how to clean and care for garments to maximize</w:t>
      </w:r>
      <w:r>
        <w:rPr>
          <w:rFonts w:ascii="Arial" w:cs="Arial" w:eastAsia="Arial" w:hAnsi="Arial"/>
          <w:sz w:val="14"/>
          <w:szCs w:val="14"/>
          <w:b w:val="1"/>
          <w:bCs w:val="1"/>
          <w:color w:val="auto"/>
        </w:rPr>
        <w:t xml:space="preserve"> </w:t>
      </w:r>
      <w:r>
        <w:rPr>
          <w:rFonts w:ascii="Arial" w:cs="Arial" w:eastAsia="Arial" w:hAnsi="Arial"/>
          <w:sz w:val="14"/>
          <w:szCs w:val="14"/>
          <w:color w:val="auto"/>
        </w:rPr>
        <w:t>multi-year monetization and incremental turns per unit.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Data Science Capabilities and Algorithms</w:t>
      </w:r>
    </w:p>
    <w:p>
      <w:pPr>
        <w:spacing w:after="0" w:line="92"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Data is the fabric of Rent the Runway and powers our technology, logistics and data science efforts across all parts of our business, from recommender systems to pricing algorithms and forecasting. We have created 40+ data science algorithms that help us continuously achieve better outcomes for the business including in two of our biggest levers: customer lifetime value and product monetization.</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Some of our most impactful proprietary algorithms include:</w:t>
      </w:r>
    </w:p>
    <w:p>
      <w:pPr>
        <w:spacing w:after="0" w:line="200" w:lineRule="exact"/>
        <w:rPr>
          <w:sz w:val="20"/>
          <w:szCs w:val="20"/>
          <w:color w:val="auto"/>
        </w:rPr>
      </w:pPr>
    </w:p>
    <w:p>
      <w:pPr>
        <w:ind w:left="500" w:hanging="251"/>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Deep 1:1 Personalization: </w:t>
      </w:r>
      <w:r>
        <w:rPr>
          <w:rFonts w:ascii="Arial" w:cs="Arial" w:eastAsia="Arial" w:hAnsi="Arial"/>
          <w:sz w:val="14"/>
          <w:szCs w:val="14"/>
          <w:color w:val="auto"/>
        </w:rPr>
        <w:t>For each customer and item, we compute several scores that measure the affinity of item and customer through factorization machines and</w:t>
      </w:r>
    </w:p>
    <w:p>
      <w:pPr>
        <w:spacing w:after="0" w:line="22" w:lineRule="exact"/>
        <w:rPr>
          <w:rFonts w:ascii="Arial" w:cs="Arial" w:eastAsia="Arial" w:hAnsi="Arial"/>
          <w:sz w:val="14"/>
          <w:szCs w:val="14"/>
          <w:color w:val="auto"/>
        </w:rPr>
      </w:pPr>
    </w:p>
    <w:p>
      <w:pPr>
        <w:ind w:left="500" w:right="40"/>
        <w:spacing w:after="0" w:line="252" w:lineRule="auto"/>
        <w:rPr>
          <w:rFonts w:ascii="Arial" w:cs="Arial" w:eastAsia="Arial" w:hAnsi="Arial"/>
          <w:sz w:val="14"/>
          <w:szCs w:val="14"/>
          <w:color w:val="auto"/>
        </w:rPr>
      </w:pPr>
      <w:r>
        <w:rPr>
          <w:rFonts w:ascii="Arial" w:cs="Arial" w:eastAsia="Arial" w:hAnsi="Arial"/>
          <w:sz w:val="14"/>
          <w:szCs w:val="14"/>
          <w:color w:val="auto"/>
        </w:rPr>
        <w:t>deep learning. We leverage these personalization scores across the business to: rank products on our subscriber personalized storefront and in search results, recommend a specific size within a style on product pages, compute general product relevance at the subscriber level and inform product acquisition, inform sizing of new apparel designs with our brand partners and more.</w:t>
      </w:r>
    </w:p>
    <w:p>
      <w:pPr>
        <w:spacing w:after="0" w:line="2" w:lineRule="exact"/>
        <w:rPr>
          <w:rFonts w:ascii="Arial" w:cs="Arial" w:eastAsia="Arial" w:hAnsi="Arial"/>
          <w:sz w:val="14"/>
          <w:szCs w:val="14"/>
          <w:color w:val="auto"/>
        </w:rPr>
      </w:pPr>
    </w:p>
    <w:p>
      <w:pPr>
        <w:ind w:left="500" w:right="80" w:hanging="250"/>
        <w:spacing w:after="0" w:line="252"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Retention Predictive Model: </w:t>
      </w:r>
      <w:r>
        <w:rPr>
          <w:rFonts w:ascii="Arial" w:cs="Arial" w:eastAsia="Arial" w:hAnsi="Arial"/>
          <w:sz w:val="14"/>
          <w:szCs w:val="14"/>
          <w:color w:val="auto"/>
        </w:rPr>
        <w:t>We leverage a retention predictive model to understand the relative importance of various drivers of loyalty and long-term value, at the single</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level to understand which interventions have the highest probability of improving customer retention. We regularly leverage this data to experiment with different approaches to retain customers based on this model in a targeted and personalized way.</w:t>
      </w:r>
    </w:p>
    <w:p>
      <w:pPr>
        <w:spacing w:after="0" w:line="2" w:lineRule="exact"/>
        <w:rPr>
          <w:rFonts w:ascii="Arial" w:cs="Arial" w:eastAsia="Arial" w:hAnsi="Arial"/>
          <w:sz w:val="14"/>
          <w:szCs w:val="14"/>
          <w:color w:val="auto"/>
        </w:rPr>
      </w:pPr>
    </w:p>
    <w:p>
      <w:pPr>
        <w:ind w:left="500" w:right="100" w:hanging="250"/>
        <w:spacing w:after="0" w:line="261" w:lineRule="auto"/>
        <w:tabs>
          <w:tab w:leader="none" w:pos="496"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Computer Vision for Products: </w:t>
      </w:r>
      <w:r>
        <w:rPr>
          <w:rFonts w:ascii="Arial" w:cs="Arial" w:eastAsia="Arial" w:hAnsi="Arial"/>
          <w:sz w:val="14"/>
          <w:szCs w:val="14"/>
          <w:color w:val="auto"/>
        </w:rPr>
        <w:t>For each style in our assortment, we generate an embedding with over 2,000 visual style dimensions using deep learning that capture</w:t>
      </w:r>
      <w:r>
        <w:rPr>
          <w:rFonts w:ascii="Arial" w:cs="Arial" w:eastAsia="Arial" w:hAnsi="Arial"/>
          <w:sz w:val="14"/>
          <w:szCs w:val="14"/>
          <w:b w:val="1"/>
          <w:bCs w:val="1"/>
          <w:color w:val="auto"/>
        </w:rPr>
        <w:t xml:space="preserve"> </w:t>
      </w:r>
      <w:r>
        <w:rPr>
          <w:rFonts w:ascii="Arial" w:cs="Arial" w:eastAsia="Arial" w:hAnsi="Arial"/>
          <w:sz w:val="14"/>
          <w:szCs w:val="14"/>
          <w:color w:val="auto"/>
        </w:rPr>
        <w:t>color, pattern shape, sleeve length, etc. We leverage this data as a feature in our recommender systems, to cluster styles to inform product acquisition and provide product attributes in our product catalog amongst other uses.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Technology and Logistics Advantage</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We have built a cohesive platform that pairs proprietary and third-party software with differentiated infrastructure and hardware all tailored to the sharing economy of physical goods.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Our proprietary software and key integrations with third-parties leverage our vast and unique dataset to optimize key outcomes for RTR.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451485</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6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880" w:h="15480" w:orient="portrait"/>
          <w:cols w:equalWidth="0" w:num="1">
            <w:col w:w="11260"/>
          </w:cols>
          <w:pgMar w:left="300" w:top="761" w:right="31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Proprietary and Third-Party Software and Systems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have purpose-built technology to support three key areas of our business:</w:t>
      </w:r>
    </w:p>
    <w:p>
      <w:pPr>
        <w:spacing w:after="0" w:line="200" w:lineRule="exact"/>
        <w:rPr>
          <w:sz w:val="20"/>
          <w:szCs w:val="20"/>
          <w:color w:val="auto"/>
        </w:rPr>
      </w:pPr>
    </w:p>
    <w:p>
      <w:pPr>
        <w:ind w:left="500" w:hanging="251"/>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Customer Facing e-Commerce (including 2-Way e-Commerce)</w:t>
      </w:r>
    </w:p>
    <w:p>
      <w:pPr>
        <w:spacing w:after="0" w:line="22" w:lineRule="exact"/>
        <w:rPr>
          <w:rFonts w:ascii="Arial" w:cs="Arial" w:eastAsia="Arial" w:hAnsi="Arial"/>
          <w:sz w:val="14"/>
          <w:szCs w:val="14"/>
          <w:color w:val="auto"/>
        </w:rPr>
      </w:pPr>
    </w:p>
    <w:p>
      <w:pPr>
        <w:ind w:left="500" w:hanging="251"/>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Rental Reverse Logistics</w:t>
      </w:r>
    </w:p>
    <w:p>
      <w:pPr>
        <w:spacing w:after="0" w:line="8" w:lineRule="exact"/>
        <w:rPr>
          <w:rFonts w:ascii="Arial" w:cs="Arial" w:eastAsia="Arial" w:hAnsi="Arial"/>
          <w:sz w:val="14"/>
          <w:szCs w:val="14"/>
          <w:color w:val="auto"/>
        </w:rPr>
      </w:pPr>
    </w:p>
    <w:p>
      <w:pPr>
        <w:ind w:left="500" w:hanging="251"/>
        <w:spacing w:after="0"/>
        <w:tabs>
          <w:tab w:leader="none" w:pos="5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Merchandising &amp; Products Control</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Customer Facing e-Commerce (including 2-Way e-commerce)</w:t>
      </w:r>
    </w:p>
    <w:p>
      <w:pPr>
        <w:spacing w:after="0" w:line="92"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We have a 2-way relationship with our customers — in that nearly every item is returned and the customer provides feedback. We have built a custom frontend platform that supports Subscription, Reserve and Resale in one cohesive experience for the customer, which allows us to optimize our product offering for the customer based on her needs.</w:t>
      </w:r>
    </w:p>
    <w:p>
      <w:pPr>
        <w:spacing w:after="0" w:line="35"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In fiscal year 2022, we made improvements across our technology stack, including completing our migration to the cloud, to enable greater scale, enhanced resiliency and faster site speed. We are focused on continuing to improve the performance of our website and mobile application, including increasing site speed and reliability to improve the customer experience and keep pace with industry standards.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Rental Reverse Logistics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designed our patented technology to support the processes in our fulfillment centers and ensure that we can process orders efficiently and extend the useful life of our products.</w:t>
      </w:r>
    </w:p>
    <w:p>
      <w:pPr>
        <w:spacing w:after="0" w:line="200" w:lineRule="exact"/>
        <w:rPr>
          <w:sz w:val="20"/>
          <w:szCs w:val="20"/>
          <w:color w:val="auto"/>
        </w:rPr>
      </w:pPr>
    </w:p>
    <w:p>
      <w:pPr>
        <w:ind w:left="500" w:hanging="251"/>
        <w:spacing w:after="0"/>
        <w:tabs>
          <w:tab w:leader="none" w:pos="50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Garment Science:</w:t>
      </w:r>
    </w:p>
    <w:p>
      <w:pPr>
        <w:spacing w:after="0" w:line="22" w:lineRule="exact"/>
        <w:rPr>
          <w:rFonts w:ascii="Arial" w:cs="Arial" w:eastAsia="Arial" w:hAnsi="Arial"/>
          <w:sz w:val="14"/>
          <w:szCs w:val="14"/>
          <w:b w:val="1"/>
          <w:bCs w:val="1"/>
          <w:color w:val="auto"/>
        </w:rPr>
      </w:pPr>
    </w:p>
    <w:p>
      <w:pPr>
        <w:ind w:left="1020" w:hanging="26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Cleaning Intelligence: We have over a decade of data and expertise in optimizing the life of a garment by leveraging different cleaning and care methods.</w:t>
      </w:r>
    </w:p>
    <w:p>
      <w:pPr>
        <w:spacing w:after="0" w:line="8" w:lineRule="exact"/>
        <w:rPr>
          <w:rFonts w:ascii="Arial" w:cs="Arial" w:eastAsia="Arial" w:hAnsi="Arial"/>
          <w:sz w:val="14"/>
          <w:szCs w:val="14"/>
          <w:color w:val="auto"/>
        </w:rPr>
      </w:pPr>
    </w:p>
    <w:p>
      <w:pPr>
        <w:ind w:left="1020" w:hanging="26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Cleaning Automation: Automation supports dynamic sorting of items into as many as 23 different cleaning programs.</w:t>
      </w:r>
    </w:p>
    <w:p>
      <w:pPr>
        <w:spacing w:after="0" w:line="8" w:lineRule="exact"/>
        <w:rPr>
          <w:rFonts w:ascii="Arial" w:cs="Arial" w:eastAsia="Arial" w:hAnsi="Arial"/>
          <w:sz w:val="14"/>
          <w:szCs w:val="14"/>
          <w:color w:val="auto"/>
        </w:rPr>
      </w:pPr>
    </w:p>
    <w:p>
      <w:pPr>
        <w:ind w:left="1020" w:hanging="26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Garment Care and Restoration: All units undergo one or more quality audits before being available to rent for the next customer.</w:t>
      </w:r>
    </w:p>
    <w:p>
      <w:pPr>
        <w:spacing w:after="0" w:line="37" w:lineRule="exact"/>
        <w:rPr>
          <w:rFonts w:ascii="Arial" w:cs="Arial" w:eastAsia="Arial" w:hAnsi="Arial"/>
          <w:sz w:val="14"/>
          <w:szCs w:val="14"/>
          <w:color w:val="auto"/>
        </w:rPr>
      </w:pPr>
    </w:p>
    <w:p>
      <w:pPr>
        <w:ind w:left="500" w:right="140" w:hanging="251"/>
        <w:spacing w:after="0" w:line="271" w:lineRule="auto"/>
        <w:tabs>
          <w:tab w:leader="none" w:pos="49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Intelligent Fulfillment Network</w:t>
      </w:r>
      <w:r>
        <w:rPr>
          <w:rFonts w:ascii="Arial" w:cs="Arial" w:eastAsia="Arial" w:hAnsi="Arial"/>
          <w:sz w:val="14"/>
          <w:szCs w:val="14"/>
          <w:color w:val="auto"/>
        </w:rPr>
        <w:t>: Our unified booking engine, the “brain” of our distribution capabilities, dynamically manages decisions such as which fulfillment center to</w:t>
      </w:r>
      <w:r>
        <w:rPr>
          <w:rFonts w:ascii="Arial" w:cs="Arial" w:eastAsia="Arial" w:hAnsi="Arial"/>
          <w:sz w:val="14"/>
          <w:szCs w:val="14"/>
          <w:b w:val="1"/>
          <w:bCs w:val="1"/>
          <w:color w:val="auto"/>
        </w:rPr>
        <w:t xml:space="preserve"> </w:t>
      </w:r>
      <w:r>
        <w:rPr>
          <w:rFonts w:ascii="Arial" w:cs="Arial" w:eastAsia="Arial" w:hAnsi="Arial"/>
          <w:sz w:val="14"/>
          <w:szCs w:val="14"/>
          <w:color w:val="auto"/>
        </w:rPr>
        <w:t>ship a unit from or which transportation type to select to reduce cost. We are therefore able to maintain uptime throughout the year, such as during snowstorms or power outages by moving demand to another facility.</w:t>
      </w:r>
    </w:p>
    <w:p>
      <w:pPr>
        <w:spacing w:after="0" w:line="6" w:lineRule="exact"/>
        <w:rPr>
          <w:rFonts w:ascii="Arial" w:cs="Arial" w:eastAsia="Arial" w:hAnsi="Arial"/>
          <w:sz w:val="14"/>
          <w:szCs w:val="14"/>
          <w:color w:val="auto"/>
        </w:rPr>
      </w:pPr>
    </w:p>
    <w:p>
      <w:pPr>
        <w:ind w:left="500" w:right="220" w:hanging="250"/>
        <w:spacing w:after="0" w:line="271" w:lineRule="auto"/>
        <w:tabs>
          <w:tab w:leader="none" w:pos="49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Optimized Storage: </w:t>
      </w:r>
      <w:r>
        <w:rPr>
          <w:rFonts w:ascii="Arial" w:cs="Arial" w:eastAsia="Arial" w:hAnsi="Arial"/>
          <w:sz w:val="14"/>
          <w:szCs w:val="14"/>
          <w:color w:val="auto"/>
        </w:rPr>
        <w:t>Garments and accessories are stored in multi-story pick modules that utilize both on-hanger and flat pack storage solutions. All items are stored</w:t>
      </w:r>
      <w:r>
        <w:rPr>
          <w:rFonts w:ascii="Arial" w:cs="Arial" w:eastAsia="Arial" w:hAnsi="Arial"/>
          <w:sz w:val="14"/>
          <w:szCs w:val="14"/>
          <w:b w:val="1"/>
          <w:bCs w:val="1"/>
          <w:color w:val="auto"/>
        </w:rPr>
        <w:t xml:space="preserve"> </w:t>
      </w:r>
      <w:r>
        <w:rPr>
          <w:rFonts w:ascii="Arial" w:cs="Arial" w:eastAsia="Arial" w:hAnsi="Arial"/>
          <w:sz w:val="14"/>
          <w:szCs w:val="14"/>
          <w:color w:val="auto"/>
        </w:rPr>
        <w:t>randomly, maximizing the utilization of cubic storage space. Random storage allows for efficient putaway of garments and dynamically created pick paths that save labor cost.</w:t>
      </w:r>
    </w:p>
    <w:p>
      <w:pPr>
        <w:spacing w:after="0" w:line="6" w:lineRule="exact"/>
        <w:rPr>
          <w:rFonts w:ascii="Arial" w:cs="Arial" w:eastAsia="Arial" w:hAnsi="Arial"/>
          <w:sz w:val="14"/>
          <w:szCs w:val="14"/>
          <w:color w:val="auto"/>
        </w:rPr>
      </w:pPr>
    </w:p>
    <w:p>
      <w:pPr>
        <w:ind w:left="500" w:hanging="250"/>
        <w:spacing w:after="0" w:line="271" w:lineRule="auto"/>
        <w:tabs>
          <w:tab w:leader="none" w:pos="49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RFID: </w:t>
      </w:r>
      <w:r>
        <w:rPr>
          <w:rFonts w:ascii="Arial" w:cs="Arial" w:eastAsia="Arial" w:hAnsi="Arial"/>
          <w:sz w:val="14"/>
          <w:szCs w:val="14"/>
          <w:color w:val="auto"/>
        </w:rPr>
        <w:t>We tag each unit and all reusable garment bags with RFID tags, which increases throughput, reduces cost, improves rental product control and enables new forms of</w:t>
      </w:r>
      <w:r>
        <w:rPr>
          <w:rFonts w:ascii="Arial" w:cs="Arial" w:eastAsia="Arial" w:hAnsi="Arial"/>
          <w:sz w:val="14"/>
          <w:szCs w:val="14"/>
          <w:b w:val="1"/>
          <w:bCs w:val="1"/>
          <w:color w:val="auto"/>
        </w:rPr>
        <w:t xml:space="preserve"> </w:t>
      </w:r>
      <w:r>
        <w:rPr>
          <w:rFonts w:ascii="Arial" w:cs="Arial" w:eastAsia="Arial" w:hAnsi="Arial"/>
          <w:sz w:val="14"/>
          <w:szCs w:val="14"/>
          <w:color w:val="auto"/>
        </w:rPr>
        <w:t>automation. Since launching RFID tags in 2021, hundreds of thousands of scans each day are created by these tags in a fraction of a second, replacing manual barcode scans that took much longer.</w:t>
      </w:r>
    </w:p>
    <w:p>
      <w:pPr>
        <w:spacing w:after="0" w:line="6" w:lineRule="exact"/>
        <w:rPr>
          <w:rFonts w:ascii="Arial" w:cs="Arial" w:eastAsia="Arial" w:hAnsi="Arial"/>
          <w:sz w:val="14"/>
          <w:szCs w:val="14"/>
          <w:color w:val="auto"/>
        </w:rPr>
      </w:pPr>
    </w:p>
    <w:p>
      <w:pPr>
        <w:ind w:left="500" w:right="200" w:hanging="250"/>
        <w:spacing w:after="0" w:line="284" w:lineRule="auto"/>
        <w:tabs>
          <w:tab w:leader="none" w:pos="49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Fulfillment Efficiency: </w:t>
      </w:r>
      <w:r>
        <w:rPr>
          <w:rFonts w:ascii="Arial" w:cs="Arial" w:eastAsia="Arial" w:hAnsi="Arial"/>
          <w:sz w:val="14"/>
          <w:szCs w:val="14"/>
          <w:color w:val="auto"/>
        </w:rPr>
        <w:t>We have automated various parts of the fulfillment process including picking, order consolidation and packing. Our fulfillment engine dynamically</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prioritizes customer orders based on promised delivery date, transportation departure schedules and available capacity.</w:t>
      </w:r>
    </w:p>
    <w:p>
      <w:pPr>
        <w:ind w:left="500" w:right="40" w:hanging="250"/>
        <w:spacing w:after="0" w:line="290" w:lineRule="auto"/>
        <w:tabs>
          <w:tab w:leader="none" w:pos="496" w:val="left"/>
        </w:tabs>
        <w:numPr>
          <w:ilvl w:val="0"/>
          <w:numId w:val="17"/>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Innovation: </w:t>
      </w:r>
      <w:r>
        <w:rPr>
          <w:rFonts w:ascii="Arial" w:cs="Arial" w:eastAsia="Arial" w:hAnsi="Arial"/>
          <w:sz w:val="14"/>
          <w:szCs w:val="14"/>
          <w:color w:val="auto"/>
        </w:rPr>
        <w:t>Convenient places to return rentals are an important part of our customer experience. We have invested in an inbound network that allows our</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to return their items via national returns logistics providers and our at-home pickup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545465</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95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880" w:h="15480" w:orient="portrait"/>
          <w:cols w:equalWidth="0" w:num="1">
            <w:col w:w="11240"/>
          </w:cols>
          <w:pgMar w:left="300" w:top="954" w:right="3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Merchandising and Product Control</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proprietary product catalog system is the backbone of our rental product management. A flexible taxonomy supports myriad types of products which goes well beyond women’s fashion, and allows us to ingest and manage items at the SKU level, functionality that does not typically exist in off-the-shelf inventory management systems. This system uses a combination of manual and dynamic image-algorithm-driven attribution to assign product attributes per style, making the ingestion of new styles into the Rent the Runway catalog fast and easy without sacrificing valuable data collection. The catalog serves as the starting point for products at RTR, and drives many areas of the Rent the Runway website and operation including quality control, search, navigation, and filtering. In fiscal year 2022, we completed key foundational work to connect this system into our on-site search and discovery experiences and we are focused on continuing to leverage this system to further improve the customer experience.</w:t>
      </w:r>
    </w:p>
    <w:p>
      <w:pPr>
        <w:spacing w:after="0" w:line="163"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While we have built the majority of our circular platform, we strategically leverage third-party software for commodity functionality where our problems are not unique. These include pieces of the customer experience, customer service tools and enterprise resource planning capabilities.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Logistics Infrastructure</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Within our warehouses, we have integrated best-in-class garment care equipment, internally and externally developed software and proprietary cleaning programs to deliver high-end garment processing at massive scale. We have also built large-scale, innovative automation and other processes for garment storage, picking, shipping, receiving and restoration of garments to excellent condition. These processes result in labor and other cost savings, while increasing our total shipment capacity and increasing the total lifetime of products, our biggest asset.</w:t>
      </w:r>
    </w:p>
    <w:p>
      <w:pPr>
        <w:spacing w:after="0" w:line="159" w:lineRule="exact"/>
        <w:rPr>
          <w:sz w:val="20"/>
          <w:szCs w:val="20"/>
          <w:color w:val="auto"/>
        </w:rPr>
      </w:pPr>
    </w:p>
    <w:p>
      <w:pPr>
        <w:jc w:val="both"/>
        <w:ind w:left="500" w:right="180" w:hanging="251"/>
        <w:spacing w:after="0" w:line="260"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Strategic Distribution: </w:t>
      </w:r>
      <w:r>
        <w:rPr>
          <w:rFonts w:ascii="Arial" w:cs="Arial" w:eastAsia="Arial" w:hAnsi="Arial"/>
          <w:sz w:val="14"/>
          <w:szCs w:val="14"/>
          <w:color w:val="auto"/>
        </w:rPr>
        <w:t>We have two fulfillment centers, in Arlington, Texas and Secaucus, New Jersey totaling 540,000 square feet. We have the capacity to store more</w:t>
      </w:r>
      <w:r>
        <w:rPr>
          <w:rFonts w:ascii="Arial" w:cs="Arial" w:eastAsia="Arial" w:hAnsi="Arial"/>
          <w:sz w:val="14"/>
          <w:szCs w:val="14"/>
          <w:b w:val="1"/>
          <w:bCs w:val="1"/>
          <w:color w:val="auto"/>
        </w:rPr>
        <w:t xml:space="preserve"> </w:t>
      </w:r>
      <w:r>
        <w:rPr>
          <w:rFonts w:ascii="Arial" w:cs="Arial" w:eastAsia="Arial" w:hAnsi="Arial"/>
          <w:sz w:val="14"/>
          <w:szCs w:val="14"/>
          <w:color w:val="auto"/>
        </w:rPr>
        <w:t>than two million garments and accessories on multiple floors across our fulfillment centers. We aim to deliver industry leading fulfillment promises with a goal of delivering orders within two to three business days.</w:t>
      </w:r>
    </w:p>
    <w:p>
      <w:pPr>
        <w:ind w:left="500" w:right="540" w:hanging="251"/>
        <w:spacing w:after="0" w:line="253"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Garment Care Hardware: </w:t>
      </w:r>
      <w:r>
        <w:rPr>
          <w:rFonts w:ascii="Arial" w:cs="Arial" w:eastAsia="Arial" w:hAnsi="Arial"/>
          <w:sz w:val="14"/>
          <w:szCs w:val="14"/>
          <w:color w:val="auto"/>
        </w:rPr>
        <w:t>Our facilities are equipped with a curated set of over 450 pieces of digitally integrated garment care hardware including wet cleaning, dry</w:t>
      </w:r>
      <w:r>
        <w:rPr>
          <w:rFonts w:ascii="Arial" w:cs="Arial" w:eastAsia="Arial" w:hAnsi="Arial"/>
          <w:sz w:val="14"/>
          <w:szCs w:val="14"/>
          <w:b w:val="1"/>
          <w:bCs w:val="1"/>
          <w:color w:val="auto"/>
        </w:rPr>
        <w:t xml:space="preserve"> </w:t>
      </w:r>
      <w:r>
        <w:rPr>
          <w:rFonts w:ascii="Arial" w:cs="Arial" w:eastAsia="Arial" w:hAnsi="Arial"/>
          <w:sz w:val="14"/>
          <w:szCs w:val="14"/>
          <w:color w:val="auto"/>
        </w:rPr>
        <w:t>cleaning and spray cleaning machines; dryers, steam tunnels, pressers, spotting boards, auto-baggers and commercial sewing machines.</w:t>
      </w:r>
    </w:p>
    <w:p>
      <w:pPr>
        <w:ind w:left="500" w:hanging="250"/>
        <w:spacing w:after="0" w:line="252"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Processing: </w:t>
      </w:r>
      <w:r>
        <w:rPr>
          <w:rFonts w:ascii="Arial" w:cs="Arial" w:eastAsia="Arial" w:hAnsi="Arial"/>
          <w:sz w:val="14"/>
          <w:szCs w:val="14"/>
          <w:color w:val="auto"/>
        </w:rPr>
        <w:t>Garments flow through the facility on both rail and belt-driven conveyance guided by RFID tags linked to a massive array of cleaning instructions set by our</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operating system. A variety of item types are sorted based on cleaning, storage and repair methods. After discrete processing, they fall back into continuous flow and random storage, which drives labor efficiency and maximizes use of physical space.</w:t>
      </w:r>
    </w:p>
    <w:p>
      <w:pPr>
        <w:spacing w:after="0" w:line="2" w:lineRule="exact"/>
        <w:rPr>
          <w:rFonts w:ascii="Arial" w:cs="Arial" w:eastAsia="Arial" w:hAnsi="Arial"/>
          <w:sz w:val="14"/>
          <w:szCs w:val="14"/>
          <w:color w:val="auto"/>
        </w:rPr>
      </w:pPr>
    </w:p>
    <w:p>
      <w:pPr>
        <w:ind w:left="500" w:right="20" w:hanging="250"/>
        <w:spacing w:after="0" w:line="252"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Proven Scalability: </w:t>
      </w:r>
      <w:r>
        <w:rPr>
          <w:rFonts w:ascii="Arial" w:cs="Arial" w:eastAsia="Arial" w:hAnsi="Arial"/>
          <w:sz w:val="14"/>
          <w:szCs w:val="14"/>
          <w:color w:val="auto"/>
        </w:rPr>
        <w:t>Our infrastructure is highly scalable and we expect our weekly processing capacity to increase over time. We believe that the process improvements</w:t>
      </w:r>
      <w:r>
        <w:rPr>
          <w:rFonts w:ascii="Arial" w:cs="Arial" w:eastAsia="Arial" w:hAnsi="Arial"/>
          <w:sz w:val="14"/>
          <w:szCs w:val="14"/>
          <w:b w:val="1"/>
          <w:bCs w:val="1"/>
          <w:color w:val="auto"/>
        </w:rPr>
        <w:t xml:space="preserve"> </w:t>
      </w:r>
      <w:r>
        <w:rPr>
          <w:rFonts w:ascii="Arial" w:cs="Arial" w:eastAsia="Arial" w:hAnsi="Arial"/>
          <w:sz w:val="14"/>
          <w:szCs w:val="14"/>
          <w:color w:val="auto"/>
        </w:rPr>
        <w:t>we have made have enabled us to expand our capacity to handle approximately 4x our active subscriber count at the end of fiscal year 2022 in our two current facilities with minimal investment.</w:t>
      </w:r>
    </w:p>
    <w:p>
      <w:pPr>
        <w:spacing w:after="0" w:line="1" w:lineRule="exact"/>
        <w:rPr>
          <w:rFonts w:ascii="Arial" w:cs="Arial" w:eastAsia="Arial" w:hAnsi="Arial"/>
          <w:sz w:val="14"/>
          <w:szCs w:val="14"/>
          <w:color w:val="auto"/>
        </w:rPr>
      </w:pPr>
    </w:p>
    <w:p>
      <w:pPr>
        <w:ind w:left="500" w:right="20" w:hanging="250"/>
        <w:spacing w:after="0" w:line="261" w:lineRule="auto"/>
        <w:tabs>
          <w:tab w:leader="none" w:pos="496" w:val="left"/>
        </w:tabs>
        <w:numPr>
          <w:ilvl w:val="0"/>
          <w:numId w:val="18"/>
        </w:numPr>
        <w:rPr>
          <w:rFonts w:ascii="Arial" w:cs="Arial" w:eastAsia="Arial" w:hAnsi="Arial"/>
          <w:sz w:val="14"/>
          <w:szCs w:val="14"/>
          <w:color w:val="auto"/>
        </w:rPr>
      </w:pPr>
      <w:r>
        <w:rPr>
          <w:rFonts w:ascii="Arial" w:cs="Arial" w:eastAsia="Arial" w:hAnsi="Arial"/>
          <w:sz w:val="14"/>
          <w:szCs w:val="14"/>
          <w:b w:val="1"/>
          <w:bCs w:val="1"/>
          <w:color w:val="auto"/>
        </w:rPr>
        <w:t xml:space="preserve">Transportation Management: </w:t>
      </w:r>
      <w:r>
        <w:rPr>
          <w:rFonts w:ascii="Arial" w:cs="Arial" w:eastAsia="Arial" w:hAnsi="Arial"/>
          <w:sz w:val="14"/>
          <w:szCs w:val="14"/>
          <w:color w:val="auto"/>
        </w:rPr>
        <w:t>We partner with a variety of national, regional and local last mile service providers in order to close the loop between our fulfillment centers</w:t>
      </w:r>
      <w:r>
        <w:rPr>
          <w:rFonts w:ascii="Arial" w:cs="Arial" w:eastAsia="Arial" w:hAnsi="Arial"/>
          <w:sz w:val="14"/>
          <w:szCs w:val="14"/>
          <w:b w:val="1"/>
          <w:bCs w:val="1"/>
          <w:color w:val="auto"/>
        </w:rPr>
        <w:t xml:space="preserve"> </w:t>
      </w:r>
      <w:r>
        <w:rPr>
          <w:rFonts w:ascii="Arial" w:cs="Arial" w:eastAsia="Arial" w:hAnsi="Arial"/>
          <w:sz w:val="14"/>
          <w:szCs w:val="14"/>
          <w:color w:val="auto"/>
        </w:rPr>
        <w:t>and our customers. We also offer at-home pickup through local couriers across 34 markets, covering 60% of our subscriber base as of January 31, 2023. Our transportation management system allows us to rate shop across these providers and opt into the best shipping method based upon cost and capacity.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2023 Strategy</w:t>
      </w:r>
    </w:p>
    <w:p>
      <w:pPr>
        <w:spacing w:after="0" w:line="200" w:lineRule="exact"/>
        <w:rPr>
          <w:sz w:val="20"/>
          <w:szCs w:val="20"/>
          <w:color w:val="auto"/>
        </w:rPr>
      </w:pPr>
    </w:p>
    <w:p>
      <w:pPr>
        <w:ind w:right="320"/>
        <w:spacing w:after="0" w:line="271" w:lineRule="auto"/>
        <w:rPr>
          <w:sz w:val="20"/>
          <w:szCs w:val="20"/>
          <w:color w:val="auto"/>
        </w:rPr>
      </w:pPr>
      <w:r>
        <w:rPr>
          <w:rFonts w:ascii="Arial" w:cs="Arial" w:eastAsia="Arial" w:hAnsi="Arial"/>
          <w:sz w:val="14"/>
          <w:szCs w:val="14"/>
          <w:color w:val="auto"/>
        </w:rPr>
        <w:t>Our belief is that we can drive future growth by investing in and improving the customer experience. Unlike traditional e-commerce companies, we are an experience-based company that our subscribers engage with multiple times a week. Our goal is to make customers’ time spent with Rent the Runway as efficient and delightful as possible and to continue to invest in our customer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432435</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48"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880" w:h="15480" w:orient="portrait"/>
          <w:cols w:equalWidth="0" w:num="1">
            <w:col w:w="11260"/>
          </w:cols>
          <w:pgMar w:left="300" w:top="848" w:right="319" w:bottom="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auto"/>
        </w:rPr>
        <w:t>We are focused on three strategic pillars for growth in 2023:</w:t>
      </w:r>
    </w:p>
    <w:p>
      <w:pPr>
        <w:spacing w:after="0" w:line="200" w:lineRule="exact"/>
        <w:rPr>
          <w:sz w:val="20"/>
          <w:szCs w:val="20"/>
          <w:color w:val="auto"/>
        </w:rPr>
      </w:pPr>
    </w:p>
    <w:p>
      <w:pPr>
        <w:ind w:left="500" w:hanging="25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Inventory She Wants, When She Wants It: Enhancing the availability of the items on our site and increasing the depth of our buys.</w:t>
      </w:r>
    </w:p>
    <w:p>
      <w:pPr>
        <w:spacing w:after="0" w:line="22" w:lineRule="exact"/>
        <w:rPr>
          <w:rFonts w:ascii="Arial" w:cs="Arial" w:eastAsia="Arial" w:hAnsi="Arial"/>
          <w:sz w:val="14"/>
          <w:szCs w:val="14"/>
          <w:color w:val="auto"/>
        </w:rPr>
      </w:pPr>
    </w:p>
    <w:p>
      <w:pPr>
        <w:ind w:left="500" w:hanging="251"/>
        <w:spacing w:after="0"/>
        <w:tabs>
          <w:tab w:leader="none" w:pos="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Best in Class Product Discovery: Prioritizing search and discovery features and tools to make finding that perfect item a more efficient, engaging and fun experience.</w:t>
      </w:r>
    </w:p>
    <w:p>
      <w:pPr>
        <w:spacing w:after="0" w:line="8" w:lineRule="exact"/>
        <w:rPr>
          <w:rFonts w:ascii="Arial" w:cs="Arial" w:eastAsia="Arial" w:hAnsi="Arial"/>
          <w:sz w:val="14"/>
          <w:szCs w:val="14"/>
          <w:color w:val="auto"/>
        </w:rPr>
      </w:pPr>
    </w:p>
    <w:p>
      <w:pPr>
        <w:ind w:left="500" w:right="180" w:hanging="251"/>
        <w:spacing w:after="0" w:line="269" w:lineRule="auto"/>
        <w:tabs>
          <w:tab w:leader="none" w:pos="496" w:val="left"/>
        </w:tabs>
        <w:numPr>
          <w:ilvl w:val="0"/>
          <w:numId w:val="19"/>
        </w:numPr>
        <w:rPr>
          <w:rFonts w:ascii="Arial" w:cs="Arial" w:eastAsia="Arial" w:hAnsi="Arial"/>
          <w:sz w:val="14"/>
          <w:szCs w:val="14"/>
          <w:color w:val="auto"/>
        </w:rPr>
      </w:pPr>
      <w:r>
        <w:rPr>
          <w:rFonts w:ascii="Arial" w:cs="Arial" w:eastAsia="Arial" w:hAnsi="Arial"/>
          <w:sz w:val="14"/>
          <w:szCs w:val="14"/>
          <w:color w:val="auto"/>
        </w:rPr>
        <w:t>Efficient and Easy-to-Use Experience: Providing additional onboarding support for new subscribers and improving the performance of our website, mobile site and mobile application, including increasing site speed and reliability.</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plan to introduce additional features, tools, and enhancements in support of these strategic pillars throughout fiscal year 2023. For example, beginning in March 2023, in support of our customer experience improvement goals, we changed our Subscription programs by adding an extra item to each shipment per plan at no extra cost to our subscribers. This means that our base Subscription programs offer 25% more value for the same price. We believe that there is strategic value in giving her more items in her Subscription, because we have observed from our data and testing that providing an additional item drives higher loyalty and engagement.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ESG (Environmental, Social, and Governance) Impact Strategy</w:t>
      </w:r>
    </w:p>
    <w:p>
      <w:pPr>
        <w:spacing w:after="0" w:line="189"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We believe that shared access to fashion has the power to curb the negative environmental and social impacts that stem from excess in the fashion industry. Driving positive impact is core to our business model: allowing our customers to buy less and wear more.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Below are key operational updates we made in fiscal year 2022 as part of our business strategy that we believe help drive Rent the Runway’s positive ESG impact:</w:t>
      </w:r>
    </w:p>
    <w:p>
      <w:pPr>
        <w:spacing w:after="0" w:line="189" w:lineRule="exact"/>
        <w:rPr>
          <w:sz w:val="20"/>
          <w:szCs w:val="20"/>
          <w:color w:val="auto"/>
        </w:rPr>
      </w:pPr>
    </w:p>
    <w:p>
      <w:pPr>
        <w:ind w:left="500" w:right="40" w:hanging="251"/>
        <w:spacing w:after="0" w:line="247" w:lineRule="auto"/>
        <w:tabs>
          <w:tab w:leader="none" w:pos="4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introduced new garment bags, which are made from recycled material and do not require wet cleaning, reducing our water usage. They were designed to be more durable and last longer, which means we expect to manufacture fewer of them and, in turn, believe that we can reduce the carbon footprint associated with their production.</w:t>
      </w:r>
    </w:p>
    <w:p>
      <w:pPr>
        <w:ind w:left="500" w:right="260" w:hanging="250"/>
        <w:spacing w:after="0" w:line="229" w:lineRule="auto"/>
        <w:tabs>
          <w:tab w:leader="none" w:pos="4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expanded our at-home pickup offering, which we believe can reduce the overall carbon emissions associated with our customer returns, as it consolidates the return process.</w:t>
      </w:r>
    </w:p>
    <w:p>
      <w:pPr>
        <w:ind w:left="500" w:right="220" w:hanging="250"/>
        <w:spacing w:after="0" w:line="253" w:lineRule="auto"/>
        <w:tabs>
          <w:tab w:leader="none" w:pos="49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made enhancements to our cleaning processes that result in less wear and tear on our garments and reduce our use of water and cleaning solutions as compared to prior years.</w:t>
      </w:r>
    </w:p>
    <w:p>
      <w:pPr>
        <w:spacing w:after="0" w:line="15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addition to these operational changes, we have developed an Impact Strategy that is intended to expand and deepen our positive impact while advancing and complementing our business strategy. Below is an update on our progress toward this strategy in fiscal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2734945</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5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880" w:h="15480" w:orient="portrait"/>
          <w:cols w:equalWidth="0" w:num="1">
            <w:col w:w="11260"/>
          </w:cols>
          <w:pgMar w:left="300" w:top="952" w:right="319" w:bottom="0" w:gutter="0" w:footer="0" w:header="0"/>
          <w:type w:val="continuous"/>
        </w:sectPr>
      </w:pPr>
    </w:p>
    <w:bookmarkStart w:id="20" w:name="page21"/>
    <w:bookmarkEnd w:id="20"/>
    <w:p>
      <w:pPr>
        <w:ind w:left="25"/>
        <w:spacing w:after="0"/>
        <w:rPr>
          <w:sz w:val="20"/>
          <w:szCs w:val="20"/>
          <w:color w:val="auto"/>
        </w:rPr>
      </w:pPr>
      <w:r>
        <w:rPr>
          <w:rFonts w:ascii="Arial" w:cs="Arial" w:eastAsia="Arial" w:hAnsi="Arial"/>
          <w:sz w:val="14"/>
          <w:szCs w:val="14"/>
          <w:color w:val="FFFFFF"/>
        </w:rPr>
        <w:drawing>
          <wp:anchor simplePos="0" relativeHeight="251657728" behindDoc="1" locked="0" layoutInCell="0" allowOverlap="1">
            <wp:simplePos x="0" y="0"/>
            <wp:positionH relativeFrom="page">
              <wp:posOffset>187325</wp:posOffset>
            </wp:positionH>
            <wp:positionV relativeFrom="page">
              <wp:posOffset>506730</wp:posOffset>
            </wp:positionV>
            <wp:extent cx="7168515" cy="4581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4581525"/>
                    </a:xfrm>
                    <a:prstGeom prst="rect">
                      <a:avLst/>
                    </a:prstGeom>
                    <a:noFill/>
                  </pic:spPr>
                </pic:pic>
              </a:graphicData>
            </a:graphic>
          </wp:anchor>
        </w:drawing>
        <w:t>Ambition 1: We will harness the power of our business model to set the standard for sustainable fashion.</w:t>
      </w:r>
    </w:p>
    <w:p>
      <w:pPr>
        <w:spacing w:after="0" w:line="24"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1700" w:type="dxa"/>
            <w:vAlign w:val="bottom"/>
            <w:tcBorders>
              <w:top w:val="single" w:sz="8" w:color="auto"/>
              <w:bottom w:val="single" w:sz="8" w:color="auto"/>
              <w:right w:val="single" w:sz="8" w:color="auto"/>
            </w:tcBorders>
            <w:shd w:val="clear" w:color="auto" w:fill="919191"/>
          </w:tcPr>
          <w:p>
            <w:pPr>
              <w:ind w:left="20"/>
              <w:spacing w:after="0"/>
              <w:rPr>
                <w:sz w:val="20"/>
                <w:szCs w:val="20"/>
                <w:color w:val="auto"/>
              </w:rPr>
            </w:pPr>
            <w:r>
              <w:rPr>
                <w:rFonts w:ascii="Arial" w:cs="Arial" w:eastAsia="Arial" w:hAnsi="Arial"/>
                <w:sz w:val="14"/>
                <w:szCs w:val="14"/>
                <w:b w:val="1"/>
                <w:bCs w:val="1"/>
                <w:color w:val="auto"/>
              </w:rPr>
              <w:t>Priority</w:t>
            </w:r>
          </w:p>
        </w:tc>
        <w:tc>
          <w:tcPr>
            <w:tcW w:w="2940" w:type="dxa"/>
            <w:vAlign w:val="bottom"/>
            <w:tcBorders>
              <w:top w:val="single" w:sz="8" w:color="auto"/>
              <w:bottom w:val="single" w:sz="8" w:color="auto"/>
              <w:right w:val="single" w:sz="8" w:color="auto"/>
            </w:tcBorders>
            <w:shd w:val="clear" w:color="auto" w:fill="919191"/>
          </w:tcPr>
          <w:p>
            <w:pPr>
              <w:spacing w:after="0"/>
              <w:rPr>
                <w:sz w:val="20"/>
                <w:szCs w:val="20"/>
                <w:color w:val="auto"/>
              </w:rPr>
            </w:pPr>
            <w:r>
              <w:rPr>
                <w:rFonts w:ascii="Arial" w:cs="Arial" w:eastAsia="Arial" w:hAnsi="Arial"/>
                <w:sz w:val="14"/>
                <w:szCs w:val="14"/>
                <w:b w:val="1"/>
                <w:bCs w:val="1"/>
                <w:color w:val="auto"/>
              </w:rPr>
              <w:t>Goal</w:t>
            </w:r>
          </w:p>
        </w:tc>
        <w:tc>
          <w:tcPr>
            <w:tcW w:w="6640" w:type="dxa"/>
            <w:vAlign w:val="bottom"/>
            <w:tcBorders>
              <w:top w:val="single" w:sz="8" w:color="auto"/>
              <w:bottom w:val="single" w:sz="8" w:color="auto"/>
            </w:tcBorders>
            <w:shd w:val="clear" w:color="auto" w:fill="919191"/>
          </w:tcPr>
          <w:p>
            <w:pPr>
              <w:spacing w:after="0"/>
              <w:rPr>
                <w:sz w:val="20"/>
                <w:szCs w:val="20"/>
                <w:color w:val="auto"/>
              </w:rPr>
            </w:pPr>
            <w:r>
              <w:rPr>
                <w:rFonts w:ascii="Arial" w:cs="Arial" w:eastAsia="Arial" w:hAnsi="Arial"/>
                <w:sz w:val="14"/>
                <w:szCs w:val="14"/>
                <w:b w:val="1"/>
                <w:bCs w:val="1"/>
                <w:color w:val="auto"/>
              </w:rPr>
              <w:t>Notable Progress in Fiscal Year 2022</w:t>
            </w:r>
          </w:p>
        </w:tc>
        <w:tc>
          <w:tcPr>
            <w:tcW w:w="0" w:type="dxa"/>
            <w:vAlign w:val="bottom"/>
          </w:tcPr>
          <w:p>
            <w:pPr>
              <w:spacing w:after="0"/>
              <w:rPr>
                <w:sz w:val="1"/>
                <w:szCs w:val="1"/>
                <w:color w:val="auto"/>
              </w:rPr>
            </w:pPr>
          </w:p>
        </w:tc>
      </w:tr>
      <w:tr>
        <w:trPr>
          <w:trHeight w:val="775"/>
        </w:trPr>
        <w:tc>
          <w:tcPr>
            <w:tcW w:w="1700" w:type="dxa"/>
            <w:vAlign w:val="bottom"/>
            <w:tcBorders>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We estimate that our business model has displaced the need for new production of 151,523 garments in</w:t>
            </w:r>
          </w:p>
        </w:tc>
        <w:tc>
          <w:tcPr>
            <w:tcW w:w="0" w:type="dxa"/>
            <w:vAlign w:val="bottom"/>
          </w:tcPr>
          <w:p>
            <w:pPr>
              <w:spacing w:after="0"/>
              <w:rPr>
                <w:sz w:val="1"/>
                <w:szCs w:val="1"/>
                <w:color w:val="auto"/>
              </w:rPr>
            </w:pPr>
          </w:p>
        </w:tc>
      </w:tr>
      <w:tr>
        <w:trPr>
          <w:trHeight w:val="186"/>
        </w:trPr>
        <w:tc>
          <w:tcPr>
            <w:tcW w:w="1700" w:type="dxa"/>
            <w:vAlign w:val="bottom"/>
            <w:tcBorders>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fiscal year 2022.</w:t>
            </w:r>
          </w:p>
        </w:tc>
        <w:tc>
          <w:tcPr>
            <w:tcW w:w="0" w:type="dxa"/>
            <w:vAlign w:val="bottom"/>
          </w:tcPr>
          <w:p>
            <w:pPr>
              <w:spacing w:after="0"/>
              <w:rPr>
                <w:sz w:val="1"/>
                <w:szCs w:val="1"/>
                <w:color w:val="auto"/>
              </w:rPr>
            </w:pPr>
          </w:p>
        </w:tc>
      </w:tr>
      <w:tr>
        <w:trPr>
          <w:trHeight w:val="292"/>
        </w:trPr>
        <w:tc>
          <w:tcPr>
            <w:tcW w:w="1700" w:type="dxa"/>
            <w:vAlign w:val="bottom"/>
            <w:tcBorders>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Our business model is at the center of how we displace new garment production:</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640" w:type="dxa"/>
            <w:vAlign w:val="bottom"/>
          </w:tcPr>
          <w:p>
            <w:pPr>
              <w:ind w:left="260"/>
              <w:spacing w:after="0" w:line="138" w:lineRule="exact"/>
              <w:rPr>
                <w:sz w:val="20"/>
                <w:szCs w:val="20"/>
                <w:color w:val="auto"/>
              </w:rPr>
            </w:pPr>
            <w:r>
              <w:rPr>
                <w:rFonts w:ascii="Arial" w:cs="Arial" w:eastAsia="Arial" w:hAnsi="Arial"/>
                <w:sz w:val="14"/>
                <w:szCs w:val="14"/>
                <w:color w:val="auto"/>
              </w:rPr>
              <w:t>•   It encourages customers to rent versus purchasing new, and this results in behavior changes</w:t>
            </w:r>
          </w:p>
        </w:tc>
        <w:tc>
          <w:tcPr>
            <w:tcW w:w="0" w:type="dxa"/>
            <w:vAlign w:val="bottom"/>
          </w:tcPr>
          <w:p>
            <w:pPr>
              <w:spacing w:after="0"/>
              <w:rPr>
                <w:sz w:val="1"/>
                <w:szCs w:val="1"/>
                <w:color w:val="auto"/>
              </w:rPr>
            </w:pPr>
          </w:p>
        </w:tc>
      </w:tr>
      <w:tr>
        <w:trPr>
          <w:trHeight w:val="144"/>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520"/>
              <w:spacing w:after="0" w:line="145" w:lineRule="exact"/>
              <w:rPr>
                <w:sz w:val="20"/>
                <w:szCs w:val="20"/>
                <w:color w:val="auto"/>
              </w:rPr>
            </w:pPr>
            <w:r>
              <w:rPr>
                <w:rFonts w:ascii="Arial" w:cs="Arial" w:eastAsia="Arial" w:hAnsi="Arial"/>
                <w:sz w:val="14"/>
                <w:szCs w:val="14"/>
                <w:color w:val="auto"/>
              </w:rPr>
              <w:t>from our customers. 82% of subscribers say they buy fewer clothes than they did prior to joining</w:t>
            </w:r>
          </w:p>
        </w:tc>
        <w:tc>
          <w:tcPr>
            <w:tcW w:w="0" w:type="dxa"/>
            <w:vAlign w:val="bottom"/>
          </w:tcPr>
          <w:p>
            <w:pPr>
              <w:spacing w:after="0"/>
              <w:rPr>
                <w:sz w:val="1"/>
                <w:szCs w:val="1"/>
                <w:color w:val="auto"/>
              </w:rPr>
            </w:pPr>
          </w:p>
        </w:tc>
      </w:tr>
      <w:tr>
        <w:trPr>
          <w:trHeight w:val="142"/>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520"/>
              <w:spacing w:after="0" w:line="142" w:lineRule="exact"/>
              <w:rPr>
                <w:sz w:val="20"/>
                <w:szCs w:val="20"/>
                <w:color w:val="auto"/>
              </w:rPr>
            </w:pPr>
            <w:r>
              <w:rPr>
                <w:rFonts w:ascii="Arial" w:cs="Arial" w:eastAsia="Arial" w:hAnsi="Arial"/>
                <w:sz w:val="14"/>
                <w:szCs w:val="14"/>
                <w:color w:val="auto"/>
              </w:rPr>
              <w:t>RTR.</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640" w:type="dxa"/>
            <w:vAlign w:val="bottom"/>
          </w:tcPr>
          <w:p>
            <w:pPr>
              <w:ind w:left="260"/>
              <w:spacing w:after="0" w:line="138" w:lineRule="exact"/>
              <w:rPr>
                <w:sz w:val="20"/>
                <w:szCs w:val="20"/>
                <w:color w:val="auto"/>
              </w:rPr>
            </w:pPr>
            <w:r>
              <w:rPr>
                <w:rFonts w:ascii="Arial" w:cs="Arial" w:eastAsia="Arial" w:hAnsi="Arial"/>
                <w:sz w:val="14"/>
                <w:szCs w:val="14"/>
                <w:color w:val="auto"/>
              </w:rPr>
              <w:t>•   It improves the longevity of our clothing, driving higher clothing utilization, which directly</w:t>
            </w:r>
          </w:p>
        </w:tc>
        <w:tc>
          <w:tcPr>
            <w:tcW w:w="0" w:type="dxa"/>
            <w:vAlign w:val="bottom"/>
          </w:tcPr>
          <w:p>
            <w:pPr>
              <w:spacing w:after="0"/>
              <w:rPr>
                <w:sz w:val="1"/>
                <w:szCs w:val="1"/>
                <w:color w:val="auto"/>
              </w:rPr>
            </w:pPr>
          </w:p>
        </w:tc>
      </w:tr>
      <w:tr>
        <w:trPr>
          <w:trHeight w:val="144"/>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520"/>
              <w:spacing w:after="0" w:line="145" w:lineRule="exact"/>
              <w:rPr>
                <w:sz w:val="20"/>
                <w:szCs w:val="20"/>
                <w:color w:val="auto"/>
              </w:rPr>
            </w:pPr>
            <w:r>
              <w:rPr>
                <w:rFonts w:ascii="Arial" w:cs="Arial" w:eastAsia="Arial" w:hAnsi="Arial"/>
                <w:sz w:val="14"/>
                <w:szCs w:val="14"/>
                <w:color w:val="auto"/>
              </w:rPr>
              <w:t>correlates with how we monetize our products.</w:t>
            </w:r>
          </w:p>
        </w:tc>
        <w:tc>
          <w:tcPr>
            <w:tcW w:w="0" w:type="dxa"/>
            <w:vAlign w:val="bottom"/>
          </w:tcPr>
          <w:p>
            <w:pPr>
              <w:spacing w:after="0"/>
              <w:rPr>
                <w:sz w:val="1"/>
                <w:szCs w:val="1"/>
                <w:color w:val="auto"/>
              </w:rPr>
            </w:pPr>
          </w:p>
        </w:tc>
      </w:tr>
      <w:tr>
        <w:trPr>
          <w:trHeight w:val="142"/>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260"/>
              <w:spacing w:after="0" w:line="142" w:lineRule="exact"/>
              <w:rPr>
                <w:sz w:val="20"/>
                <w:szCs w:val="20"/>
                <w:color w:val="auto"/>
              </w:rPr>
            </w:pPr>
            <w:r>
              <w:rPr>
                <w:rFonts w:ascii="Arial" w:cs="Arial" w:eastAsia="Arial" w:hAnsi="Arial"/>
                <w:sz w:val="14"/>
                <w:szCs w:val="14"/>
                <w:color w:val="auto"/>
              </w:rPr>
              <w:t>•   In order to further increase the longevity of our garments, our team of experts performed an</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Displace the need for new production of</w:t>
            </w:r>
          </w:p>
        </w:tc>
        <w:tc>
          <w:tcPr>
            <w:tcW w:w="6640" w:type="dxa"/>
            <w:vAlign w:val="bottom"/>
          </w:tcPr>
          <w:p>
            <w:pPr>
              <w:ind w:left="520"/>
              <w:spacing w:after="0" w:line="138" w:lineRule="exact"/>
              <w:rPr>
                <w:sz w:val="20"/>
                <w:szCs w:val="20"/>
                <w:color w:val="auto"/>
              </w:rPr>
            </w:pPr>
            <w:r>
              <w:rPr>
                <w:rFonts w:ascii="Arial" w:cs="Arial" w:eastAsia="Arial" w:hAnsi="Arial"/>
                <w:sz w:val="14"/>
                <w:szCs w:val="14"/>
                <w:color w:val="auto"/>
              </w:rPr>
              <w:t>estimated 1.1 million repairs in fiscal year 2022 to keep our garments in rentable condition, which</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vMerge w:val="continue"/>
          </w:tcPr>
          <w:p>
            <w:pPr>
              <w:spacing w:after="0"/>
              <w:rPr>
                <w:sz w:val="11"/>
                <w:szCs w:val="11"/>
                <w:color w:val="auto"/>
              </w:rPr>
            </w:pPr>
          </w:p>
        </w:tc>
        <w:tc>
          <w:tcPr>
            <w:tcW w:w="6640" w:type="dxa"/>
            <w:vAlign w:val="bottom"/>
          </w:tcPr>
          <w:p>
            <w:pPr>
              <w:ind w:left="520"/>
              <w:spacing w:after="0" w:line="138" w:lineRule="exact"/>
              <w:rPr>
                <w:sz w:val="20"/>
                <w:szCs w:val="20"/>
                <w:color w:val="auto"/>
              </w:rPr>
            </w:pPr>
            <w:r>
              <w:rPr>
                <w:rFonts w:ascii="Arial" w:cs="Arial" w:eastAsia="Arial" w:hAnsi="Arial"/>
                <w:sz w:val="14"/>
                <w:szCs w:val="14"/>
                <w:color w:val="auto"/>
              </w:rPr>
              <w:t>we believe drives higher clothing utilization, and in turn directly correlates to how we monetize our</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BEBEBE"/>
              <w:right w:val="single" w:sz="8" w:color="auto"/>
            </w:tcBorders>
            <w:shd w:val="clear" w:color="auto" w:fill="BEBEBE"/>
          </w:tcPr>
          <w:p>
            <w:pPr>
              <w:spacing w:after="0"/>
              <w:rPr>
                <w:sz w:val="16"/>
                <w:szCs w:val="16"/>
                <w:color w:val="auto"/>
              </w:rPr>
            </w:pPr>
          </w:p>
        </w:tc>
        <w:tc>
          <w:tcPr>
            <w:tcW w:w="2940" w:type="dxa"/>
            <w:vAlign w:val="bottom"/>
            <w:tcBorders>
              <w:bottom w:val="single" w:sz="8" w:color="auto"/>
              <w:right w:val="single" w:sz="8" w:color="auto"/>
            </w:tcBorders>
          </w:tcPr>
          <w:p>
            <w:pPr>
              <w:spacing w:after="0" w:line="192" w:lineRule="exact"/>
              <w:rPr>
                <w:sz w:val="20"/>
                <w:szCs w:val="20"/>
                <w:color w:val="auto"/>
              </w:rPr>
            </w:pPr>
            <w:r>
              <w:rPr>
                <w:rFonts w:ascii="Arial" w:cs="Arial" w:eastAsia="Arial" w:hAnsi="Arial"/>
                <w:sz w:val="14"/>
                <w:szCs w:val="14"/>
                <w:color w:val="auto"/>
              </w:rPr>
              <w:t>500,000 garments by fiscal year end 2026.</w:t>
            </w:r>
            <w:r>
              <w:rPr>
                <w:rFonts w:ascii="Arial" w:cs="Arial" w:eastAsia="Arial" w:hAnsi="Arial"/>
                <w:sz w:val="18"/>
                <w:szCs w:val="18"/>
                <w:color w:val="auto"/>
                <w:vertAlign w:val="superscript"/>
              </w:rPr>
              <w:t>5</w:t>
            </w:r>
          </w:p>
        </w:tc>
        <w:tc>
          <w:tcPr>
            <w:tcW w:w="6640" w:type="dxa"/>
            <w:vAlign w:val="bottom"/>
            <w:tcBorders>
              <w:bottom w:val="single" w:sz="8" w:color="auto"/>
            </w:tcBorders>
          </w:tcPr>
          <w:p>
            <w:pPr>
              <w:ind w:left="520"/>
              <w:spacing w:after="0" w:line="192" w:lineRule="exact"/>
              <w:rPr>
                <w:sz w:val="20"/>
                <w:szCs w:val="20"/>
                <w:color w:val="auto"/>
              </w:rPr>
            </w:pPr>
            <w:r>
              <w:rPr>
                <w:rFonts w:ascii="Arial" w:cs="Arial" w:eastAsia="Arial" w:hAnsi="Arial"/>
                <w:sz w:val="14"/>
                <w:szCs w:val="14"/>
                <w:color w:val="auto"/>
              </w:rPr>
              <w:t>products.</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446"/>
        </w:trPr>
        <w:tc>
          <w:tcPr>
            <w:tcW w:w="1700" w:type="dxa"/>
            <w:vAlign w:val="bottom"/>
            <w:tcBorders>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Our Scope 1 and Scope 2 greenhouse gas emissions were as follows:</w:t>
            </w:r>
          </w:p>
        </w:tc>
        <w:tc>
          <w:tcPr>
            <w:tcW w:w="0" w:type="dxa"/>
            <w:vAlign w:val="bottom"/>
          </w:tcPr>
          <w:p>
            <w:pPr>
              <w:spacing w:after="0"/>
              <w:rPr>
                <w:sz w:val="1"/>
                <w:szCs w:val="1"/>
                <w:color w:val="auto"/>
              </w:rPr>
            </w:pPr>
          </w:p>
        </w:tc>
      </w:tr>
      <w:tr>
        <w:trPr>
          <w:trHeight w:val="144"/>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260"/>
              <w:spacing w:after="0" w:line="145" w:lineRule="exact"/>
              <w:rPr>
                <w:sz w:val="20"/>
                <w:szCs w:val="20"/>
                <w:color w:val="auto"/>
              </w:rPr>
            </w:pPr>
            <w:r>
              <w:rPr>
                <w:rFonts w:ascii="Arial" w:cs="Arial" w:eastAsia="Arial" w:hAnsi="Arial"/>
                <w:sz w:val="14"/>
                <w:szCs w:val="14"/>
                <w:color w:val="auto"/>
              </w:rPr>
              <w:t>•   Scope 1 - 546 tonnes CO2e</w:t>
            </w:r>
          </w:p>
        </w:tc>
        <w:tc>
          <w:tcPr>
            <w:tcW w:w="0" w:type="dxa"/>
            <w:vAlign w:val="bottom"/>
          </w:tcPr>
          <w:p>
            <w:pPr>
              <w:spacing w:after="0"/>
              <w:rPr>
                <w:sz w:val="1"/>
                <w:szCs w:val="1"/>
                <w:color w:val="auto"/>
              </w:rPr>
            </w:pPr>
          </w:p>
        </w:tc>
      </w:tr>
      <w:tr>
        <w:trPr>
          <w:trHeight w:val="142"/>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260"/>
              <w:spacing w:after="0" w:line="142" w:lineRule="exact"/>
              <w:rPr>
                <w:sz w:val="20"/>
                <w:szCs w:val="20"/>
                <w:color w:val="auto"/>
              </w:rPr>
            </w:pPr>
            <w:r>
              <w:rPr>
                <w:rFonts w:ascii="Arial" w:cs="Arial" w:eastAsia="Arial" w:hAnsi="Arial"/>
                <w:sz w:val="14"/>
                <w:szCs w:val="14"/>
                <w:color w:val="auto"/>
              </w:rPr>
              <w:t>•   Scope 2 location - 468 tonnes CO2e</w:t>
            </w:r>
          </w:p>
        </w:tc>
        <w:tc>
          <w:tcPr>
            <w:tcW w:w="0" w:type="dxa"/>
            <w:vAlign w:val="bottom"/>
          </w:tcPr>
          <w:p>
            <w:pPr>
              <w:spacing w:after="0"/>
              <w:rPr>
                <w:sz w:val="1"/>
                <w:szCs w:val="1"/>
                <w:color w:val="auto"/>
              </w:rPr>
            </w:pPr>
          </w:p>
        </w:tc>
      </w:tr>
      <w:tr>
        <w:trPr>
          <w:trHeight w:val="186"/>
        </w:trPr>
        <w:tc>
          <w:tcPr>
            <w:tcW w:w="1700" w:type="dxa"/>
            <w:vAlign w:val="bottom"/>
            <w:tcBorders>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40" w:type="dxa"/>
            <w:vAlign w:val="bottom"/>
          </w:tcPr>
          <w:p>
            <w:pPr>
              <w:ind w:left="260"/>
              <w:spacing w:after="0"/>
              <w:rPr>
                <w:sz w:val="20"/>
                <w:szCs w:val="20"/>
                <w:color w:val="auto"/>
              </w:rPr>
            </w:pPr>
            <w:r>
              <w:rPr>
                <w:rFonts w:ascii="Arial" w:cs="Arial" w:eastAsia="Arial" w:hAnsi="Arial"/>
                <w:sz w:val="14"/>
                <w:szCs w:val="14"/>
                <w:color w:val="auto"/>
              </w:rPr>
              <w:t>•   Scope 2 market - 502 tonnes CO2e</w:t>
            </w:r>
          </w:p>
        </w:tc>
        <w:tc>
          <w:tcPr>
            <w:tcW w:w="0" w:type="dxa"/>
            <w:vAlign w:val="bottom"/>
          </w:tcPr>
          <w:p>
            <w:pPr>
              <w:spacing w:after="0"/>
              <w:rPr>
                <w:sz w:val="1"/>
                <w:szCs w:val="1"/>
                <w:color w:val="auto"/>
              </w:rPr>
            </w:pPr>
          </w:p>
        </w:tc>
      </w:tr>
      <w:tr>
        <w:trPr>
          <w:trHeight w:val="288"/>
        </w:trPr>
        <w:tc>
          <w:tcPr>
            <w:tcW w:w="1700" w:type="dxa"/>
            <w:vAlign w:val="bottom"/>
            <w:tcBorders>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Of our Scope 2 emissions:</w:t>
            </w:r>
          </w:p>
        </w:tc>
        <w:tc>
          <w:tcPr>
            <w:tcW w:w="0" w:type="dxa"/>
            <w:vAlign w:val="bottom"/>
          </w:tcPr>
          <w:p>
            <w:pPr>
              <w:spacing w:after="0"/>
              <w:rPr>
                <w:sz w:val="1"/>
                <w:szCs w:val="1"/>
                <w:color w:val="auto"/>
              </w:rPr>
            </w:pPr>
          </w:p>
        </w:tc>
      </w:tr>
      <w:tr>
        <w:trPr>
          <w:trHeight w:val="142"/>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40" w:type="dxa"/>
            <w:vAlign w:val="bottom"/>
          </w:tcPr>
          <w:p>
            <w:pPr>
              <w:ind w:left="260"/>
              <w:spacing w:after="0" w:line="142" w:lineRule="exact"/>
              <w:rPr>
                <w:sz w:val="20"/>
                <w:szCs w:val="20"/>
                <w:color w:val="auto"/>
              </w:rPr>
            </w:pPr>
            <w:r>
              <w:rPr>
                <w:rFonts w:ascii="Arial" w:cs="Arial" w:eastAsia="Arial" w:hAnsi="Arial"/>
                <w:sz w:val="14"/>
                <w:szCs w:val="14"/>
                <w:color w:val="auto"/>
              </w:rPr>
              <w:t>•   Total energy consumed was 1,414 MWh</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640" w:type="dxa"/>
            <w:vAlign w:val="bottom"/>
          </w:tcPr>
          <w:p>
            <w:pPr>
              <w:ind w:left="260"/>
              <w:spacing w:after="0" w:line="138" w:lineRule="exact"/>
              <w:rPr>
                <w:sz w:val="20"/>
                <w:szCs w:val="20"/>
                <w:color w:val="auto"/>
              </w:rPr>
            </w:pPr>
            <w:r>
              <w:rPr>
                <w:rFonts w:ascii="Arial" w:cs="Arial" w:eastAsia="Arial" w:hAnsi="Arial"/>
                <w:sz w:val="14"/>
                <w:szCs w:val="14"/>
                <w:color w:val="auto"/>
              </w:rPr>
              <w:t>•   Percentage of grid electricity was 100%</w:t>
            </w:r>
          </w:p>
        </w:tc>
        <w:tc>
          <w:tcPr>
            <w:tcW w:w="0" w:type="dxa"/>
            <w:vAlign w:val="bottom"/>
          </w:tcPr>
          <w:p>
            <w:pPr>
              <w:spacing w:after="0"/>
              <w:rPr>
                <w:sz w:val="1"/>
                <w:szCs w:val="1"/>
                <w:color w:val="auto"/>
              </w:rPr>
            </w:pPr>
          </w:p>
        </w:tc>
      </w:tr>
      <w:tr>
        <w:trPr>
          <w:trHeight w:val="186"/>
        </w:trPr>
        <w:tc>
          <w:tcPr>
            <w:tcW w:w="1700" w:type="dxa"/>
            <w:vAlign w:val="bottom"/>
            <w:tcBorders>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40" w:type="dxa"/>
            <w:vAlign w:val="bottom"/>
          </w:tcPr>
          <w:p>
            <w:pPr>
              <w:ind w:left="260"/>
              <w:spacing w:after="0"/>
              <w:rPr>
                <w:sz w:val="20"/>
                <w:szCs w:val="20"/>
                <w:color w:val="auto"/>
              </w:rPr>
            </w:pPr>
            <w:r>
              <w:rPr>
                <w:rFonts w:ascii="Arial" w:cs="Arial" w:eastAsia="Arial" w:hAnsi="Arial"/>
                <w:sz w:val="14"/>
                <w:szCs w:val="14"/>
                <w:color w:val="auto"/>
              </w:rPr>
              <w:t>•   Percentage of renewable energy was 1.82%</w:t>
            </w:r>
          </w:p>
        </w:tc>
        <w:tc>
          <w:tcPr>
            <w:tcW w:w="0" w:type="dxa"/>
            <w:vAlign w:val="bottom"/>
          </w:tcPr>
          <w:p>
            <w:pPr>
              <w:spacing w:after="0"/>
              <w:rPr>
                <w:sz w:val="1"/>
                <w:szCs w:val="1"/>
                <w:color w:val="auto"/>
              </w:rPr>
            </w:pPr>
          </w:p>
        </w:tc>
      </w:tr>
      <w:tr>
        <w:trPr>
          <w:trHeight w:val="143"/>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3" w:lineRule="exact"/>
              <w:rPr>
                <w:sz w:val="20"/>
                <w:szCs w:val="20"/>
                <w:color w:val="auto"/>
              </w:rPr>
            </w:pPr>
            <w:r>
              <w:rPr>
                <w:rFonts w:ascii="Arial" w:cs="Arial" w:eastAsia="Arial" w:hAnsi="Arial"/>
                <w:sz w:val="14"/>
                <w:szCs w:val="14"/>
                <w:color w:val="auto"/>
              </w:rPr>
              <w:t>Power our owned and operated facilities</w:t>
            </w:r>
          </w:p>
        </w:tc>
        <w:tc>
          <w:tcPr>
            <w:tcW w:w="6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(offices and warehouses) with 100%</w:t>
            </w:r>
          </w:p>
        </w:tc>
        <w:tc>
          <w:tcPr>
            <w:tcW w:w="6640" w:type="dxa"/>
            <w:vAlign w:val="bottom"/>
          </w:tcPr>
          <w:p>
            <w:pPr>
              <w:spacing w:after="0" w:line="149" w:lineRule="exact"/>
              <w:rPr>
                <w:sz w:val="20"/>
                <w:szCs w:val="20"/>
                <w:color w:val="auto"/>
              </w:rPr>
            </w:pPr>
            <w:r>
              <w:rPr>
                <w:rFonts w:ascii="Arial" w:cs="Arial" w:eastAsia="Arial" w:hAnsi="Arial"/>
                <w:sz w:val="14"/>
                <w:szCs w:val="14"/>
                <w:color w:val="auto"/>
              </w:rPr>
              <w:t>While we already source 100% renewable energy for our Ireland office, we continue to assess and</w:t>
            </w:r>
          </w:p>
        </w:tc>
        <w:tc>
          <w:tcPr>
            <w:tcW w:w="0" w:type="dxa"/>
            <w:vAlign w:val="bottom"/>
          </w:tcPr>
          <w:p>
            <w:pPr>
              <w:spacing w:after="0"/>
              <w:rPr>
                <w:sz w:val="1"/>
                <w:szCs w:val="1"/>
                <w:color w:val="auto"/>
              </w:rPr>
            </w:pPr>
          </w:p>
        </w:tc>
      </w:tr>
      <w:tr>
        <w:trPr>
          <w:trHeight w:val="181"/>
        </w:trPr>
        <w:tc>
          <w:tcPr>
            <w:tcW w:w="1700" w:type="dxa"/>
            <w:vAlign w:val="bottom"/>
            <w:tcBorders>
              <w:bottom w:val="single" w:sz="8" w:color="BEBEBE"/>
              <w:right w:val="single" w:sz="8" w:color="auto"/>
            </w:tcBorders>
            <w:shd w:val="clear" w:color="auto" w:fill="BEBEBE"/>
          </w:tcPr>
          <w:p>
            <w:pPr>
              <w:spacing w:after="0"/>
              <w:rPr>
                <w:sz w:val="15"/>
                <w:szCs w:val="15"/>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renewable electricity by fiscal year end 2026.</w:t>
            </w:r>
          </w:p>
        </w:tc>
        <w:tc>
          <w:tcPr>
            <w:tcW w:w="664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monitor options for renewable energy procurement at our U.S. locations to fulfill our goal.</w:t>
            </w:r>
            <w:r>
              <w:rPr>
                <w:rFonts w:ascii="Arial" w:cs="Arial" w:eastAsia="Arial" w:hAnsi="Arial"/>
                <w:sz w:val="18"/>
                <w:szCs w:val="18"/>
                <w:color w:val="auto"/>
                <w:vertAlign w:val="superscript"/>
              </w:rPr>
              <w:t>7,8</w:t>
            </w:r>
          </w:p>
        </w:tc>
        <w:tc>
          <w:tcPr>
            <w:tcW w:w="0" w:type="dxa"/>
            <w:vAlign w:val="bottom"/>
          </w:tcPr>
          <w:p>
            <w:pPr>
              <w:spacing w:after="0"/>
              <w:rPr>
                <w:sz w:val="1"/>
                <w:szCs w:val="1"/>
                <w:color w:val="auto"/>
              </w:rPr>
            </w:pPr>
          </w:p>
        </w:tc>
      </w:tr>
      <w:tr>
        <w:trPr>
          <w:trHeight w:val="414"/>
        </w:trPr>
        <w:tc>
          <w:tcPr>
            <w:tcW w:w="1700" w:type="dxa"/>
            <w:vAlign w:val="bottom"/>
            <w:tcBorders>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We aim to quantify our Scope 3 greenhouse gas emissions baseline by fiscal year end 2024 in line with</w:t>
            </w:r>
          </w:p>
        </w:tc>
        <w:tc>
          <w:tcPr>
            <w:tcW w:w="0" w:type="dxa"/>
            <w:vAlign w:val="bottom"/>
          </w:tcPr>
          <w:p>
            <w:pPr>
              <w:spacing w:after="0"/>
              <w:rPr>
                <w:sz w:val="1"/>
                <w:szCs w:val="1"/>
                <w:color w:val="auto"/>
              </w:rPr>
            </w:pPr>
          </w:p>
        </w:tc>
      </w:tr>
      <w:tr>
        <w:trPr>
          <w:trHeight w:val="186"/>
        </w:trPr>
        <w:tc>
          <w:tcPr>
            <w:tcW w:w="1700" w:type="dxa"/>
            <w:vAlign w:val="bottom"/>
            <w:tcBorders>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40" w:type="dxa"/>
            <w:vAlign w:val="bottom"/>
          </w:tcPr>
          <w:p>
            <w:pPr>
              <w:spacing w:after="0"/>
              <w:rPr>
                <w:sz w:val="20"/>
                <w:szCs w:val="20"/>
                <w:color w:val="auto"/>
              </w:rPr>
            </w:pPr>
            <w:r>
              <w:rPr>
                <w:rFonts w:ascii="Arial" w:cs="Arial" w:eastAsia="Arial" w:hAnsi="Arial"/>
                <w:sz w:val="14"/>
                <w:szCs w:val="14"/>
                <w:color w:val="auto"/>
              </w:rPr>
              <w:t>our goal.</w:t>
            </w:r>
          </w:p>
        </w:tc>
        <w:tc>
          <w:tcPr>
            <w:tcW w:w="0" w:type="dxa"/>
            <w:vAlign w:val="bottom"/>
          </w:tcPr>
          <w:p>
            <w:pPr>
              <w:spacing w:after="0"/>
              <w:rPr>
                <w:sz w:val="1"/>
                <w:szCs w:val="1"/>
                <w:color w:val="auto"/>
              </w:rPr>
            </w:pPr>
          </w:p>
        </w:tc>
      </w:tr>
      <w:tr>
        <w:trPr>
          <w:trHeight w:val="238"/>
        </w:trPr>
        <w:tc>
          <w:tcPr>
            <w:tcW w:w="1700" w:type="dxa"/>
            <w:vAlign w:val="bottom"/>
            <w:tcBorders>
              <w:right w:val="single" w:sz="8" w:color="auto"/>
            </w:tcBorders>
            <w:shd w:val="clear" w:color="auto" w:fill="BEBEBE"/>
          </w:tcPr>
          <w:p>
            <w:pPr>
              <w:spacing w:after="0"/>
              <w:rPr>
                <w:sz w:val="20"/>
                <w:szCs w:val="20"/>
                <w:color w:val="auto"/>
              </w:rPr>
            </w:pPr>
          </w:p>
        </w:tc>
        <w:tc>
          <w:tcPr>
            <w:tcW w:w="2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Quantify our supply chain emissions (i.e.,</w:t>
            </w:r>
          </w:p>
        </w:tc>
        <w:tc>
          <w:tcPr>
            <w:tcW w:w="6640" w:type="dxa"/>
            <w:vAlign w:val="bottom"/>
          </w:tcPr>
          <w:p>
            <w:pPr>
              <w:spacing w:after="0"/>
              <w:rPr>
                <w:sz w:val="20"/>
                <w:szCs w:val="20"/>
                <w:color w:val="auto"/>
              </w:rPr>
            </w:pPr>
            <w:r>
              <w:rPr>
                <w:rFonts w:ascii="Arial" w:cs="Arial" w:eastAsia="Arial" w:hAnsi="Arial"/>
                <w:sz w:val="14"/>
                <w:szCs w:val="14"/>
                <w:color w:val="auto"/>
              </w:rPr>
              <w:t>We quantify a small portion of our Scope 3 emissions related to transportation for shipments to and from</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vMerge w:val="continue"/>
          </w:tcPr>
          <w:p>
            <w:pPr>
              <w:spacing w:after="0"/>
              <w:rPr>
                <w:sz w:val="12"/>
                <w:szCs w:val="12"/>
                <w:color w:val="auto"/>
              </w:rPr>
            </w:pPr>
          </w:p>
        </w:tc>
        <w:tc>
          <w:tcPr>
            <w:tcW w:w="6640" w:type="dxa"/>
            <w:vAlign w:val="bottom"/>
          </w:tcPr>
          <w:p>
            <w:pPr>
              <w:spacing w:after="0" w:line="138" w:lineRule="exact"/>
              <w:rPr>
                <w:sz w:val="20"/>
                <w:szCs w:val="20"/>
                <w:color w:val="auto"/>
              </w:rPr>
            </w:pPr>
            <w:r>
              <w:rPr>
                <w:rFonts w:ascii="Arial" w:cs="Arial" w:eastAsia="Arial" w:hAnsi="Arial"/>
                <w:sz w:val="14"/>
                <w:szCs w:val="14"/>
                <w:color w:val="auto"/>
              </w:rPr>
              <w:t>customers. In February 2022, we launched a carbon offset program and are purchasing carbon offsets to</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BEBEBE"/>
              <w:right w:val="single" w:sz="8" w:color="auto"/>
            </w:tcBorders>
            <w:shd w:val="clear" w:color="auto" w:fill="BEBEBE"/>
          </w:tcPr>
          <w:p>
            <w:pPr>
              <w:spacing w:after="0"/>
              <w:rPr>
                <w:sz w:val="16"/>
                <w:szCs w:val="16"/>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Scope 3 baseline) by fiscal year end 2024.</w:t>
            </w:r>
          </w:p>
        </w:tc>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compensate for 100% of the estimated carbon emissions created by shipments to and from customers.</w:t>
            </w:r>
          </w:p>
        </w:tc>
        <w:tc>
          <w:tcPr>
            <w:tcW w:w="0" w:type="dxa"/>
            <w:vAlign w:val="bottom"/>
          </w:tcPr>
          <w:p>
            <w:pPr>
              <w:spacing w:after="0"/>
              <w:rPr>
                <w:sz w:val="1"/>
                <w:szCs w:val="1"/>
                <w:color w:val="auto"/>
              </w:rPr>
            </w:pPr>
          </w:p>
        </w:tc>
      </w:tr>
      <w:tr>
        <w:trPr>
          <w:trHeight w:val="250"/>
        </w:trPr>
        <w:tc>
          <w:tcPr>
            <w:tcW w:w="1700" w:type="dxa"/>
            <w:vAlign w:val="bottom"/>
            <w:tcBorders>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1. Reduce carbon</w:t>
            </w:r>
          </w:p>
        </w:tc>
        <w:tc>
          <w:tcPr>
            <w:tcW w:w="2940" w:type="dxa"/>
            <w:vAlign w:val="bottom"/>
            <w:tcBorders>
              <w:right w:val="single" w:sz="8" w:color="auto"/>
            </w:tcBorders>
          </w:tcPr>
          <w:p>
            <w:pPr>
              <w:spacing w:after="0"/>
              <w:rPr>
                <w:sz w:val="21"/>
                <w:szCs w:val="21"/>
                <w:color w:val="auto"/>
              </w:rPr>
            </w:pPr>
          </w:p>
        </w:tc>
        <w:tc>
          <w:tcPr>
            <w:tcW w:w="6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1700" w:type="dxa"/>
            <w:vAlign w:val="bottom"/>
            <w:tcBorders>
              <w:right w:val="single" w:sz="8" w:color="auto"/>
            </w:tcBorders>
            <w:shd w:val="clear" w:color="auto" w:fill="BEBEBE"/>
          </w:tcPr>
          <w:p>
            <w:pPr>
              <w:ind w:left="20"/>
              <w:spacing w:after="0" w:line="145" w:lineRule="exact"/>
              <w:rPr>
                <w:sz w:val="20"/>
                <w:szCs w:val="20"/>
                <w:color w:val="auto"/>
              </w:rPr>
            </w:pPr>
            <w:r>
              <w:rPr>
                <w:rFonts w:ascii="Arial" w:cs="Arial" w:eastAsia="Arial" w:hAnsi="Arial"/>
                <w:sz w:val="14"/>
                <w:szCs w:val="14"/>
                <w:color w:val="auto"/>
              </w:rPr>
              <w:t>emissions from our</w:t>
            </w:r>
          </w:p>
        </w:tc>
        <w:tc>
          <w:tcPr>
            <w:tcW w:w="2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Sustainably source 50% of key materials -</w:t>
            </w:r>
          </w:p>
        </w:tc>
        <w:tc>
          <w:tcPr>
            <w:tcW w:w="6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right w:val="single" w:sz="8" w:color="auto"/>
            </w:tcBorders>
            <w:shd w:val="clear" w:color="auto" w:fill="BEBEBE"/>
          </w:tcPr>
          <w:p>
            <w:pPr>
              <w:ind w:left="20"/>
              <w:spacing w:after="0" w:line="142" w:lineRule="exact"/>
              <w:rPr>
                <w:sz w:val="20"/>
                <w:szCs w:val="20"/>
                <w:color w:val="auto"/>
              </w:rPr>
            </w:pPr>
            <w:r>
              <w:rPr>
                <w:rFonts w:ascii="Arial" w:cs="Arial" w:eastAsia="Arial" w:hAnsi="Arial"/>
                <w:sz w:val="14"/>
                <w:szCs w:val="14"/>
                <w:color w:val="auto"/>
              </w:rPr>
              <w:t>business so that we</w:t>
            </w:r>
          </w:p>
        </w:tc>
        <w:tc>
          <w:tcPr>
            <w:tcW w:w="2940" w:type="dxa"/>
            <w:vAlign w:val="bottom"/>
            <w:tcBorders>
              <w:right w:val="single" w:sz="8" w:color="auto"/>
            </w:tcBorders>
            <w:vMerge w:val="continue"/>
          </w:tcPr>
          <w:p>
            <w:pPr>
              <w:spacing w:after="0"/>
              <w:rPr>
                <w:sz w:val="12"/>
                <w:szCs w:val="12"/>
                <w:color w:val="auto"/>
              </w:rPr>
            </w:pPr>
          </w:p>
        </w:tc>
        <w:tc>
          <w:tcPr>
            <w:tcW w:w="6640" w:type="dxa"/>
            <w:vAlign w:val="bottom"/>
            <w:vMerge w:val="restart"/>
          </w:tcPr>
          <w:p>
            <w:pPr>
              <w:spacing w:after="0"/>
              <w:rPr>
                <w:sz w:val="20"/>
                <w:szCs w:val="20"/>
                <w:color w:val="auto"/>
              </w:rPr>
            </w:pPr>
            <w:r>
              <w:rPr>
                <w:rFonts w:ascii="Arial" w:cs="Arial" w:eastAsia="Arial" w:hAnsi="Arial"/>
                <w:sz w:val="14"/>
                <w:szCs w:val="14"/>
                <w:color w:val="auto"/>
              </w:rPr>
              <w:t>We actively source sustainable cotton and polyester from our Exclusive Designs suppliers and are</w:t>
            </w:r>
          </w:p>
        </w:tc>
        <w:tc>
          <w:tcPr>
            <w:tcW w:w="0" w:type="dxa"/>
            <w:vAlign w:val="bottom"/>
          </w:tcPr>
          <w:p>
            <w:pPr>
              <w:spacing w:after="0"/>
              <w:rPr>
                <w:sz w:val="1"/>
                <w:szCs w:val="1"/>
                <w:color w:val="auto"/>
              </w:rPr>
            </w:pPr>
          </w:p>
        </w:tc>
      </w:tr>
      <w:tr>
        <w:trPr>
          <w:trHeight w:val="138"/>
        </w:trPr>
        <w:tc>
          <w:tcPr>
            <w:tcW w:w="170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operate with net zero</w:t>
            </w:r>
          </w:p>
        </w:tc>
        <w:tc>
          <w:tcPr>
            <w:tcW w:w="29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cotton and polyester - we use for Exclusive</w:t>
            </w:r>
          </w:p>
        </w:tc>
        <w:tc>
          <w:tcPr>
            <w:tcW w:w="6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emissions by 2040.</w:t>
            </w:r>
          </w:p>
        </w:tc>
        <w:tc>
          <w:tcPr>
            <w:tcW w:w="2940" w:type="dxa"/>
            <w:vAlign w:val="bottom"/>
            <w:tcBorders>
              <w:bottom w:val="single" w:sz="8" w:color="auto"/>
              <w:right w:val="single" w:sz="8" w:color="auto"/>
            </w:tcBorders>
          </w:tcPr>
          <w:p>
            <w:pPr>
              <w:spacing w:after="0" w:line="192" w:lineRule="exact"/>
              <w:rPr>
                <w:sz w:val="20"/>
                <w:szCs w:val="20"/>
                <w:color w:val="auto"/>
              </w:rPr>
            </w:pPr>
            <w:r>
              <w:rPr>
                <w:rFonts w:ascii="Arial" w:cs="Arial" w:eastAsia="Arial" w:hAnsi="Arial"/>
                <w:sz w:val="14"/>
                <w:szCs w:val="14"/>
                <w:color w:val="auto"/>
              </w:rPr>
              <w:t>Designs by fiscal year end 2026.</w:t>
            </w:r>
            <w:r>
              <w:rPr>
                <w:rFonts w:ascii="Arial" w:cs="Arial" w:eastAsia="Arial" w:hAnsi="Arial"/>
                <w:sz w:val="18"/>
                <w:szCs w:val="18"/>
                <w:color w:val="auto"/>
                <w:vertAlign w:val="superscript"/>
              </w:rPr>
              <w:t>9</w:t>
            </w:r>
          </w:p>
        </w:tc>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building processes to accurately calculate the percentage of sustainable materials sourced.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134747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323" w:lineRule="exact"/>
        <w:rPr>
          <w:sz w:val="20"/>
          <w:szCs w:val="20"/>
          <w:color w:val="auto"/>
        </w:rPr>
      </w:pPr>
    </w:p>
    <w:p>
      <w:pPr>
        <w:ind w:left="5" w:right="140" w:hanging="5"/>
        <w:spacing w:after="0" w:line="247" w:lineRule="auto"/>
        <w:tabs>
          <w:tab w:leader="none" w:pos="93"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Displacement was calculated by taking the displacement rate for each product category then multiplying by the estimated number of units across all product categories from February 1, 2022 through January 31, 2023. Displacement rates are from our 2021 Life Cycle Assessment and calculated by (Rental Wears – Linear Wears) / Linear Wears, where “Rental Wears” is an estimate of the total amount of wears of RTR garments and “Linear Wears” is an estimate of how many garments would have been bought and worn in the traditional manner (which is not a rental model), had the Rental Wears not taken place.</w:t>
      </w:r>
    </w:p>
    <w:p>
      <w:pPr>
        <w:spacing w:after="0" w:line="15" w:lineRule="exact"/>
        <w:rPr>
          <w:rFonts w:ascii="Arial" w:cs="Arial" w:eastAsia="Arial" w:hAnsi="Arial"/>
          <w:sz w:val="15"/>
          <w:szCs w:val="15"/>
          <w:color w:val="auto"/>
          <w:vertAlign w:val="superscript"/>
        </w:rPr>
      </w:pPr>
    </w:p>
    <w:p>
      <w:pPr>
        <w:ind w:left="85" w:hanging="85"/>
        <w:spacing w:after="0"/>
        <w:tabs>
          <w:tab w:leader="none" w:pos="85"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According to our Member Survey conducted in November 2022, 82% of subscribers say they buy fewer clothes than they did prior to joining RTR.</w:t>
      </w:r>
    </w:p>
    <w:p>
      <w:pPr>
        <w:spacing w:after="0" w:line="53" w:lineRule="exact"/>
        <w:rPr>
          <w:rFonts w:ascii="Arial" w:cs="Arial" w:eastAsia="Arial" w:hAnsi="Arial"/>
          <w:sz w:val="15"/>
          <w:szCs w:val="15"/>
          <w:color w:val="auto"/>
          <w:vertAlign w:val="superscript"/>
        </w:rPr>
      </w:pPr>
    </w:p>
    <w:p>
      <w:pPr>
        <w:ind w:left="5" w:right="500" w:hanging="5"/>
        <w:spacing w:after="0" w:line="238" w:lineRule="auto"/>
        <w:tabs>
          <w:tab w:leader="none" w:pos="93"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RTR commissioned an external third party to perform verification procedures with respect to our Scope 1 and Scope 2 emissions and energy metrics for the reporting period. Details and methodology are available at renttherunway.com/impact.</w:t>
      </w:r>
    </w:p>
    <w:p>
      <w:pPr>
        <w:spacing w:after="0" w:line="43" w:lineRule="exact"/>
        <w:rPr>
          <w:rFonts w:ascii="Arial" w:cs="Arial" w:eastAsia="Arial" w:hAnsi="Arial"/>
          <w:sz w:val="15"/>
          <w:szCs w:val="15"/>
          <w:color w:val="auto"/>
          <w:vertAlign w:val="superscript"/>
        </w:rPr>
      </w:pPr>
    </w:p>
    <w:p>
      <w:pPr>
        <w:ind w:left="5" w:right="60" w:hanging="5"/>
        <w:spacing w:after="0" w:line="238" w:lineRule="auto"/>
        <w:tabs>
          <w:tab w:leader="none" w:pos="93"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Scope 1 emissions include direct emissions from such things as natural gas and refrigerants used at our facilities. Scope 2 emissions include indirect emissions from the generation of purchased energy for our facilities, such as electricity, heating, and cooling.</w:t>
      </w:r>
    </w:p>
    <w:p>
      <w:pPr>
        <w:spacing w:after="0" w:line="18" w:lineRule="exact"/>
        <w:rPr>
          <w:rFonts w:ascii="Arial" w:cs="Arial" w:eastAsia="Arial" w:hAnsi="Arial"/>
          <w:sz w:val="15"/>
          <w:szCs w:val="15"/>
          <w:color w:val="auto"/>
          <w:vertAlign w:val="superscript"/>
        </w:rPr>
      </w:pPr>
    </w:p>
    <w:p>
      <w:pPr>
        <w:ind w:left="85" w:hanging="85"/>
        <w:spacing w:after="0"/>
        <w:tabs>
          <w:tab w:leader="none" w:pos="85" w:val="left"/>
        </w:tabs>
        <w:numPr>
          <w:ilvl w:val="0"/>
          <w:numId w:val="21"/>
        </w:numPr>
        <w:rPr>
          <w:rFonts w:ascii="Arial" w:cs="Arial" w:eastAsia="Arial" w:hAnsi="Arial"/>
          <w:sz w:val="15"/>
          <w:szCs w:val="15"/>
          <w:color w:val="auto"/>
          <w:vertAlign w:val="superscript"/>
        </w:rPr>
      </w:pPr>
      <w:r>
        <w:rPr>
          <w:rFonts w:ascii="Arial" w:cs="Arial" w:eastAsia="Arial" w:hAnsi="Arial"/>
          <w:sz w:val="11"/>
          <w:szCs w:val="11"/>
          <w:color w:val="auto"/>
        </w:rPr>
        <w:t>RTR defines sustainable cotton and polyester as: Cotton - Better Cotton Initiative (BCI), organic and recycled; Polyester - recycled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5"/>
          </w:cols>
          <w:pgMar w:left="295" w:top="80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13</w:t>
      </w:r>
    </w:p>
    <w:p>
      <w:pPr>
        <w:sectPr>
          <w:pgSz w:w="11880" w:h="15480" w:orient="portrait"/>
          <w:cols w:equalWidth="0" w:num="1">
            <w:col w:w="11285"/>
          </w:cols>
          <w:pgMar w:left="295" w:top="803" w:right="299" w:bottom="0" w:gutter="0" w:footer="0" w:header="0"/>
          <w:type w:val="continuous"/>
        </w:sectPr>
      </w:pPr>
    </w:p>
    <w:bookmarkStart w:id="21" w:name="page22"/>
    <w:bookmarkEnd w:id="21"/>
    <w:tbl>
      <w:tblPr>
        <w:tblLayout w:type="fixed"/>
        <w:tblInd w:w="10" w:type="dxa"/>
        <w:tblCellMar>
          <w:top w:w="0" w:type="dxa"/>
          <w:left w:w="0" w:type="dxa"/>
          <w:bottom w:w="0" w:type="dxa"/>
          <w:right w:w="0" w:type="dxa"/>
        </w:tblCellMar>
      </w:tblPr>
      <w:tr>
        <w:trPr>
          <w:trHeight w:val="891"/>
        </w:trPr>
        <w:tc>
          <w:tcPr>
            <w:tcW w:w="1700" w:type="dxa"/>
            <w:vAlign w:val="bottom"/>
            <w:tcBorders>
              <w:top w:val="single" w:sz="8" w:color="auto"/>
              <w:left w:val="single" w:sz="8" w:color="auto"/>
              <w:right w:val="single" w:sz="8" w:color="auto"/>
            </w:tcBorders>
            <w:shd w:val="clear" w:color="auto" w:fill="BEBEBE"/>
          </w:tcPr>
          <w:p>
            <w:pPr>
              <w:spacing w:after="0"/>
              <w:rPr>
                <w:sz w:val="24"/>
                <w:szCs w:val="24"/>
                <w:color w:val="auto"/>
              </w:rPr>
            </w:pPr>
          </w:p>
        </w:tc>
        <w:tc>
          <w:tcPr>
            <w:tcW w:w="2940" w:type="dxa"/>
            <w:vAlign w:val="bottom"/>
            <w:tcBorders>
              <w:top w:val="single" w:sz="8" w:color="auto"/>
              <w:righ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spacing w:after="0"/>
              <w:rPr>
                <w:sz w:val="20"/>
                <w:szCs w:val="20"/>
                <w:color w:val="auto"/>
              </w:rPr>
            </w:pPr>
            <w:r>
              <w:rPr>
                <w:rFonts w:ascii="Arial" w:cs="Arial" w:eastAsia="Arial" w:hAnsi="Arial"/>
                <w:sz w:val="14"/>
                <w:szCs w:val="14"/>
                <w:color w:val="auto"/>
              </w:rPr>
              <w:t>Our warehouse operations include general warehouse waste management and product end-of-life</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6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management. While we plan to establish a waste baseline for our warehouses in future years so that we</w:t>
            </w:r>
          </w:p>
        </w:tc>
        <w:tc>
          <w:tcPr>
            <w:tcW w:w="0" w:type="dxa"/>
            <w:vAlign w:val="bottom"/>
          </w:tcPr>
          <w:p>
            <w:pPr>
              <w:spacing w:after="0"/>
              <w:rPr>
                <w:sz w:val="1"/>
                <w:szCs w:val="1"/>
                <w:color w:val="auto"/>
              </w:rPr>
            </w:pPr>
          </w:p>
        </w:tc>
      </w:tr>
      <w:tr>
        <w:trPr>
          <w:trHeight w:val="186"/>
        </w:trPr>
        <w:tc>
          <w:tcPr>
            <w:tcW w:w="1700" w:type="dxa"/>
            <w:vAlign w:val="bottom"/>
            <w:tcBorders>
              <w:left w:val="single" w:sz="8" w:color="auto"/>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can achieve our goal, we continue to drive progress, including:</w:t>
            </w:r>
          </w:p>
        </w:tc>
        <w:tc>
          <w:tcPr>
            <w:tcW w:w="0" w:type="dxa"/>
            <w:vAlign w:val="bottom"/>
          </w:tcPr>
          <w:p>
            <w:pPr>
              <w:spacing w:after="0"/>
              <w:rPr>
                <w:sz w:val="1"/>
                <w:szCs w:val="1"/>
                <w:color w:val="auto"/>
              </w:rPr>
            </w:pPr>
          </w:p>
        </w:tc>
      </w:tr>
      <w:tr>
        <w:trPr>
          <w:trHeight w:val="285"/>
        </w:trPr>
        <w:tc>
          <w:tcPr>
            <w:tcW w:w="1700" w:type="dxa"/>
            <w:vAlign w:val="bottom"/>
            <w:tcBorders>
              <w:left w:val="single" w:sz="8" w:color="auto"/>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General Warehouse Waste Management</w:t>
            </w: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6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We continue to partner with a third party, Trex Company, Inc. (“Trex”) to recycle the plastic garment</w:t>
            </w:r>
          </w:p>
        </w:tc>
        <w:tc>
          <w:tcPr>
            <w:tcW w:w="0" w:type="dxa"/>
            <w:vAlign w:val="bottom"/>
          </w:tcPr>
          <w:p>
            <w:pPr>
              <w:spacing w:after="0"/>
              <w:rPr>
                <w:sz w:val="1"/>
                <w:szCs w:val="1"/>
                <w:color w:val="auto"/>
              </w:rPr>
            </w:pPr>
          </w:p>
        </w:tc>
      </w:tr>
      <w:tr>
        <w:trPr>
          <w:trHeight w:val="142"/>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666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covers that protect our clothing in our warehouses. We encourage customers to send the covers back to</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rPr>
                <w:sz w:val="11"/>
                <w:szCs w:val="11"/>
                <w:color w:val="auto"/>
              </w:rPr>
            </w:pP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us to be recycled when they return their items. In fiscal year 2022, we recycled over 215 tons of plastic</w:t>
            </w:r>
          </w:p>
        </w:tc>
        <w:tc>
          <w:tcPr>
            <w:tcW w:w="0" w:type="dxa"/>
            <w:vAlign w:val="bottom"/>
          </w:tcPr>
          <w:p>
            <w:pPr>
              <w:spacing w:after="0"/>
              <w:rPr>
                <w:sz w:val="1"/>
                <w:szCs w:val="1"/>
                <w:color w:val="auto"/>
              </w:rPr>
            </w:pPr>
          </w:p>
        </w:tc>
      </w:tr>
      <w:tr>
        <w:trPr>
          <w:trHeight w:val="186"/>
        </w:trPr>
        <w:tc>
          <w:tcPr>
            <w:tcW w:w="1700" w:type="dxa"/>
            <w:vAlign w:val="bottom"/>
            <w:tcBorders>
              <w:left w:val="single" w:sz="8" w:color="auto"/>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16"/>
                <w:szCs w:val="16"/>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through our partnership with Trex.</w:t>
            </w:r>
          </w:p>
        </w:tc>
        <w:tc>
          <w:tcPr>
            <w:tcW w:w="0" w:type="dxa"/>
            <w:vAlign w:val="bottom"/>
          </w:tcPr>
          <w:p>
            <w:pPr>
              <w:spacing w:after="0"/>
              <w:rPr>
                <w:sz w:val="1"/>
                <w:szCs w:val="1"/>
                <w:color w:val="auto"/>
              </w:rPr>
            </w:pPr>
          </w:p>
        </w:tc>
      </w:tr>
      <w:tr>
        <w:trPr>
          <w:trHeight w:val="292"/>
        </w:trPr>
        <w:tc>
          <w:tcPr>
            <w:tcW w:w="1700" w:type="dxa"/>
            <w:vAlign w:val="bottom"/>
            <w:tcBorders>
              <w:left w:val="single" w:sz="8" w:color="auto"/>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4"/>
                <w:szCs w:val="24"/>
                <w:color w:val="auto"/>
              </w:rPr>
            </w:pPr>
          </w:p>
        </w:tc>
        <w:tc>
          <w:tcPr>
            <w:tcW w:w="6660" w:type="dxa"/>
            <w:vAlign w:val="bottom"/>
            <w:tcBorders>
              <w:right w:val="single" w:sz="8" w:color="auto"/>
            </w:tcBorders>
          </w:tcPr>
          <w:p>
            <w:pPr>
              <w:spacing w:after="0"/>
              <w:rPr>
                <w:sz w:val="20"/>
                <w:szCs w:val="20"/>
                <w:color w:val="auto"/>
              </w:rPr>
            </w:pPr>
            <w:r>
              <w:rPr>
                <w:rFonts w:ascii="Arial" w:cs="Arial" w:eastAsia="Arial" w:hAnsi="Arial"/>
                <w:sz w:val="14"/>
                <w:szCs w:val="14"/>
                <w:i w:val="1"/>
                <w:iCs w:val="1"/>
                <w:color w:val="auto"/>
              </w:rPr>
              <w:t>Product End-of-Life Management</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Divert 90% of waste from our warehouse</w:t>
            </w: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RTR continues to practice responsible end-of-life practices and resells, donates, or recycles with</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vMerge w:val="continue"/>
          </w:tcPr>
          <w:p>
            <w:pPr>
              <w:spacing w:after="0"/>
              <w:rPr>
                <w:sz w:val="11"/>
                <w:szCs w:val="11"/>
                <w:color w:val="auto"/>
              </w:rPr>
            </w:pP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approved third-party organizations all products when they are no longer able to cycle through the Closet</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operations from landfill by fiscal year end</w:t>
            </w:r>
          </w:p>
        </w:tc>
        <w:tc>
          <w:tcPr>
            <w:tcW w:w="66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in the Cloud. In fiscal year 2022, we recycled 83,000 units of clothing and accessories through our partner</w:t>
            </w:r>
          </w:p>
        </w:tc>
        <w:tc>
          <w:tcPr>
            <w:tcW w:w="0" w:type="dxa"/>
            <w:vAlign w:val="bottom"/>
          </w:tcPr>
          <w:p>
            <w:pPr>
              <w:spacing w:after="0"/>
              <w:rPr>
                <w:sz w:val="1"/>
                <w:szCs w:val="1"/>
                <w:color w:val="auto"/>
              </w:rPr>
            </w:pPr>
          </w:p>
        </w:tc>
      </w:tr>
      <w:tr>
        <w:trPr>
          <w:trHeight w:val="181"/>
        </w:trPr>
        <w:tc>
          <w:tcPr>
            <w:tcW w:w="1700" w:type="dxa"/>
            <w:vAlign w:val="bottom"/>
            <w:tcBorders>
              <w:left w:val="single" w:sz="8" w:color="auto"/>
              <w:bottom w:val="single" w:sz="8" w:color="BEBEBE"/>
              <w:right w:val="single" w:sz="8" w:color="auto"/>
            </w:tcBorders>
            <w:shd w:val="clear" w:color="auto" w:fill="BEBEBE"/>
          </w:tcPr>
          <w:p>
            <w:pPr>
              <w:spacing w:after="0"/>
              <w:rPr>
                <w:sz w:val="15"/>
                <w:szCs w:val="15"/>
                <w:color w:val="auto"/>
              </w:rPr>
            </w:pP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6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organizations.</w:t>
            </w:r>
          </w:p>
        </w:tc>
        <w:tc>
          <w:tcPr>
            <w:tcW w:w="0" w:type="dxa"/>
            <w:vAlign w:val="bottom"/>
          </w:tcPr>
          <w:p>
            <w:pPr>
              <w:spacing w:after="0"/>
              <w:rPr>
                <w:sz w:val="1"/>
                <w:szCs w:val="1"/>
                <w:color w:val="auto"/>
              </w:rPr>
            </w:pPr>
          </w:p>
        </w:tc>
      </w:tr>
      <w:tr>
        <w:trPr>
          <w:trHeight w:val="1412"/>
        </w:trPr>
        <w:tc>
          <w:tcPr>
            <w:tcW w:w="1700" w:type="dxa"/>
            <w:vAlign w:val="bottom"/>
            <w:tcBorders>
              <w:left w:val="single" w:sz="8" w:color="auto"/>
              <w:right w:val="single" w:sz="8" w:color="auto"/>
            </w:tcBorders>
            <w:shd w:val="clear" w:color="auto" w:fill="BEBEBE"/>
          </w:tcPr>
          <w:p>
            <w:pPr>
              <w:spacing w:after="0"/>
              <w:rPr>
                <w:sz w:val="24"/>
                <w:szCs w:val="24"/>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Eliminate unnecessary plastic in shipments to</w:t>
            </w:r>
          </w:p>
        </w:tc>
        <w:tc>
          <w:tcPr>
            <w:tcW w:w="6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customers and only utilize reusable,</w:t>
            </w:r>
          </w:p>
        </w:tc>
        <w:tc>
          <w:tcPr>
            <w:tcW w:w="6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compostable or 100% recyclable content for</w:t>
            </w:r>
          </w:p>
        </w:tc>
        <w:tc>
          <w:tcPr>
            <w:tcW w:w="66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necessary plastic packaging to customers by</w:t>
            </w:r>
          </w:p>
        </w:tc>
        <w:tc>
          <w:tcPr>
            <w:tcW w:w="6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00" w:type="dxa"/>
            <w:vAlign w:val="bottom"/>
            <w:tcBorders>
              <w:left w:val="single" w:sz="8" w:color="auto"/>
              <w:right w:val="single" w:sz="8" w:color="auto"/>
            </w:tcBorders>
            <w:shd w:val="clear" w:color="auto" w:fill="BEBEBE"/>
          </w:tcPr>
          <w:p>
            <w:pPr>
              <w:spacing w:after="0"/>
              <w:rPr>
                <w:sz w:val="16"/>
                <w:szCs w:val="16"/>
                <w:color w:val="auto"/>
              </w:rPr>
            </w:pPr>
          </w:p>
        </w:tc>
        <w:tc>
          <w:tcPr>
            <w:tcW w:w="29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 xml:space="preserve">fiscal year end 2023. </w:t>
            </w:r>
            <w:r>
              <w:rPr>
                <w:rFonts w:ascii="Arial" w:cs="Arial" w:eastAsia="Arial" w:hAnsi="Arial"/>
                <w:sz w:val="14"/>
                <w:szCs w:val="14"/>
                <w:i w:val="1"/>
                <w:iCs w:val="1"/>
                <w:color w:val="auto"/>
              </w:rPr>
              <w:t>(2023 Update)</w:t>
            </w:r>
          </w:p>
        </w:tc>
        <w:tc>
          <w:tcPr>
            <w:tcW w:w="6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700" w:type="dxa"/>
            <w:vAlign w:val="bottom"/>
            <w:tcBorders>
              <w:left w:val="single" w:sz="8" w:color="auto"/>
              <w:right w:val="single" w:sz="8" w:color="auto"/>
            </w:tcBorders>
            <w:shd w:val="clear" w:color="auto" w:fill="BEBEBE"/>
          </w:tcPr>
          <w:p>
            <w:pPr>
              <w:spacing w:after="0"/>
              <w:rPr>
                <w:sz w:val="13"/>
                <w:szCs w:val="13"/>
                <w:color w:val="auto"/>
              </w:rPr>
            </w:pPr>
          </w:p>
        </w:tc>
        <w:tc>
          <w:tcPr>
            <w:tcW w:w="294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Eliminate unnecessary single use plastic</w:t>
            </w:r>
          </w:p>
        </w:tc>
        <w:tc>
          <w:tcPr>
            <w:tcW w:w="6660" w:type="dxa"/>
            <w:vAlign w:val="bottom"/>
            <w:tcBorders>
              <w:right w:val="single" w:sz="8" w:color="auto"/>
            </w:tcBorders>
          </w:tcPr>
          <w:p>
            <w:pPr>
              <w:spacing w:after="0" w:line="154" w:lineRule="exact"/>
              <w:rPr>
                <w:sz w:val="20"/>
                <w:szCs w:val="20"/>
                <w:color w:val="auto"/>
              </w:rPr>
            </w:pPr>
            <w:r>
              <w:rPr>
                <w:rFonts w:ascii="Arial" w:cs="Arial" w:eastAsia="Arial" w:hAnsi="Arial"/>
                <w:sz w:val="14"/>
                <w:szCs w:val="14"/>
                <w:color w:val="auto"/>
              </w:rPr>
              <w:t>We aim to fulfill the updated goal by removing plastic hangers in shipments to customers by fiscal year</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vMerge w:val="continue"/>
          </w:tcPr>
          <w:p>
            <w:pPr>
              <w:spacing w:after="0"/>
              <w:rPr>
                <w:sz w:val="12"/>
                <w:szCs w:val="12"/>
                <w:color w:val="auto"/>
              </w:rPr>
            </w:pP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end 2023, pending small changes to our in-bag experience.</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shd w:val="clear" w:color="auto" w:fill="BEBEBE"/>
          </w:tcPr>
          <w:p>
            <w:pPr>
              <w:spacing w:after="0"/>
              <w:rPr>
                <w:sz w:val="11"/>
                <w:szCs w:val="11"/>
                <w:color w:val="auto"/>
              </w:rPr>
            </w:pPr>
          </w:p>
        </w:tc>
        <w:tc>
          <w:tcPr>
            <w:tcW w:w="29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packaging in shipments to customers and only</w:t>
            </w:r>
          </w:p>
        </w:tc>
        <w:tc>
          <w:tcPr>
            <w:tcW w:w="66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We plan to update our packaging in 2023 in order to reduce the amount of plastic included in shipments</w:t>
            </w:r>
          </w:p>
        </w:tc>
        <w:tc>
          <w:tcPr>
            <w:tcW w:w="0" w:type="dxa"/>
            <w:vAlign w:val="bottom"/>
          </w:tcPr>
          <w:p>
            <w:pPr>
              <w:spacing w:after="0"/>
              <w:rPr>
                <w:sz w:val="1"/>
                <w:szCs w:val="1"/>
                <w:color w:val="auto"/>
              </w:rPr>
            </w:pPr>
          </w:p>
        </w:tc>
      </w:tr>
      <w:tr>
        <w:trPr>
          <w:trHeight w:val="148"/>
        </w:trPr>
        <w:tc>
          <w:tcPr>
            <w:tcW w:w="1700" w:type="dxa"/>
            <w:vAlign w:val="bottom"/>
            <w:tcBorders>
              <w:left w:val="single" w:sz="8" w:color="auto"/>
              <w:right w:val="single" w:sz="8" w:color="auto"/>
            </w:tcBorders>
            <w:shd w:val="clear" w:color="auto" w:fill="BEBEBE"/>
          </w:tcPr>
          <w:p>
            <w:pPr>
              <w:spacing w:after="0"/>
              <w:rPr>
                <w:sz w:val="12"/>
                <w:szCs w:val="12"/>
                <w:color w:val="auto"/>
              </w:rPr>
            </w:pPr>
          </w:p>
        </w:tc>
        <w:tc>
          <w:tcPr>
            <w:tcW w:w="294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utilize reusable, compostable or 100%</w:t>
            </w:r>
          </w:p>
        </w:tc>
        <w:tc>
          <w:tcPr>
            <w:tcW w:w="66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vMerge w:val="restart"/>
            <w:shd w:val="clear" w:color="auto" w:fill="BEBEBE"/>
          </w:tcPr>
          <w:p>
            <w:pPr>
              <w:ind w:left="20"/>
              <w:spacing w:after="0"/>
              <w:rPr>
                <w:sz w:val="20"/>
                <w:szCs w:val="20"/>
                <w:color w:val="auto"/>
              </w:rPr>
            </w:pPr>
            <w:r>
              <w:rPr>
                <w:rFonts w:ascii="Arial" w:cs="Arial" w:eastAsia="Arial" w:hAnsi="Arial"/>
                <w:sz w:val="14"/>
                <w:szCs w:val="14"/>
                <w:color w:val="auto"/>
              </w:rPr>
              <w:t>2. Minimize waste from</w:t>
            </w:r>
          </w:p>
        </w:tc>
        <w:tc>
          <w:tcPr>
            <w:tcW w:w="29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recycled content for necessary plastic</w:t>
            </w: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to customers, while preserving a pleasant in-bag experience for our customers. Given these planned</w:t>
            </w:r>
          </w:p>
        </w:tc>
        <w:tc>
          <w:tcPr>
            <w:tcW w:w="0" w:type="dxa"/>
            <w:vAlign w:val="bottom"/>
          </w:tcPr>
          <w:p>
            <w:pPr>
              <w:spacing w:after="0"/>
              <w:rPr>
                <w:sz w:val="1"/>
                <w:szCs w:val="1"/>
                <w:color w:val="auto"/>
              </w:rPr>
            </w:pPr>
          </w:p>
        </w:tc>
      </w:tr>
      <w:tr>
        <w:trPr>
          <w:trHeight w:val="138"/>
        </w:trPr>
        <w:tc>
          <w:tcPr>
            <w:tcW w:w="1700" w:type="dxa"/>
            <w:vAlign w:val="bottom"/>
            <w:tcBorders>
              <w:left w:val="single" w:sz="8" w:color="auto"/>
              <w:right w:val="single" w:sz="8" w:color="auto"/>
            </w:tcBorders>
            <w:vMerge w:val="continue"/>
            <w:shd w:val="clear" w:color="auto" w:fill="BEBEBE"/>
          </w:tcPr>
          <w:p>
            <w:pPr>
              <w:spacing w:after="0"/>
              <w:rPr>
                <w:sz w:val="12"/>
                <w:szCs w:val="12"/>
                <w:color w:val="auto"/>
              </w:rPr>
            </w:pPr>
          </w:p>
        </w:tc>
        <w:tc>
          <w:tcPr>
            <w:tcW w:w="294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packaging to customers by fiscal year end</w:t>
            </w:r>
          </w:p>
        </w:tc>
        <w:tc>
          <w:tcPr>
            <w:tcW w:w="666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changes, we decided to update our original goal. In addition, we continue to recycle plastic garment</w:t>
            </w:r>
          </w:p>
        </w:tc>
        <w:tc>
          <w:tcPr>
            <w:tcW w:w="0" w:type="dxa"/>
            <w:vAlign w:val="bottom"/>
          </w:tcPr>
          <w:p>
            <w:pPr>
              <w:spacing w:after="0"/>
              <w:rPr>
                <w:sz w:val="1"/>
                <w:szCs w:val="1"/>
                <w:color w:val="auto"/>
              </w:rPr>
            </w:pPr>
          </w:p>
        </w:tc>
      </w:tr>
      <w:tr>
        <w:trPr>
          <w:trHeight w:val="191"/>
        </w:trPr>
        <w:tc>
          <w:tcPr>
            <w:tcW w:w="1700" w:type="dxa"/>
            <w:vAlign w:val="bottom"/>
            <w:tcBorders>
              <w:left w:val="single" w:sz="8" w:color="auto"/>
              <w:bottom w:val="single" w:sz="8" w:color="auto"/>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our business.</w:t>
            </w:r>
          </w:p>
        </w:tc>
        <w:tc>
          <w:tcPr>
            <w:tcW w:w="29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 xml:space="preserve">2023. </w:t>
            </w:r>
            <w:r>
              <w:rPr>
                <w:rFonts w:ascii="Arial" w:cs="Arial" w:eastAsia="Arial" w:hAnsi="Arial"/>
                <w:sz w:val="14"/>
                <w:szCs w:val="14"/>
                <w:i w:val="1"/>
                <w:iCs w:val="1"/>
                <w:color w:val="auto"/>
              </w:rPr>
              <w:t>(2022 Original Goal)</w:t>
            </w:r>
          </w:p>
        </w:tc>
        <w:tc>
          <w:tcPr>
            <w:tcW w:w="6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covers with Trex, as described above.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614045</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777"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880" w:h="15480" w:orient="portrait"/>
          <w:cols w:equalWidth="0" w:num="1">
            <w:col w:w="11280"/>
          </w:cols>
          <w:pgMar w:left="300" w:top="777" w:right="299" w:bottom="0" w:gutter="0" w:footer="0" w:header="0"/>
          <w:type w:val="continuous"/>
        </w:sectPr>
      </w:pPr>
    </w:p>
    <w:bookmarkStart w:id="22" w:name="page23"/>
    <w:bookmarkEnd w:id="22"/>
    <w:p>
      <w:pPr>
        <w:ind w:left="25"/>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187325</wp:posOffset>
            </wp:positionH>
            <wp:positionV relativeFrom="page">
              <wp:posOffset>506730</wp:posOffset>
            </wp:positionV>
            <wp:extent cx="7168515" cy="5464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5464175"/>
                    </a:xfrm>
                    <a:prstGeom prst="rect">
                      <a:avLst/>
                    </a:prstGeom>
                    <a:noFill/>
                  </pic:spPr>
                </pic:pic>
              </a:graphicData>
            </a:graphic>
          </wp:anchor>
        </w:drawing>
        <w:t>Ambition 2: Create a culture and cultivate a community where all people are inspired, empowered and thrive.</w:t>
      </w:r>
    </w:p>
    <w:p>
      <w:pPr>
        <w:spacing w:after="0" w:line="24" w:lineRule="exact"/>
        <w:rPr>
          <w:sz w:val="20"/>
          <w:szCs w:val="20"/>
          <w:color w:val="auto"/>
        </w:rPr>
      </w:pPr>
    </w:p>
    <w:tbl>
      <w:tblPr>
        <w:tblLayout w:type="fixed"/>
        <w:tblInd w:w="5" w:type="dxa"/>
        <w:tblCellMar>
          <w:top w:w="0" w:type="dxa"/>
          <w:left w:w="0" w:type="dxa"/>
          <w:bottom w:w="0" w:type="dxa"/>
          <w:right w:w="0" w:type="dxa"/>
        </w:tblCellMar>
      </w:tblPr>
      <w:tr>
        <w:trPr>
          <w:trHeight w:val="171"/>
        </w:trPr>
        <w:tc>
          <w:tcPr>
            <w:tcW w:w="2260" w:type="dxa"/>
            <w:vAlign w:val="bottom"/>
            <w:tcBorders>
              <w:top w:val="single" w:sz="8" w:color="auto"/>
              <w:bottom w:val="single" w:sz="8" w:color="auto"/>
              <w:right w:val="single" w:sz="8" w:color="auto"/>
            </w:tcBorders>
            <w:shd w:val="clear" w:color="auto" w:fill="919191"/>
          </w:tcPr>
          <w:p>
            <w:pPr>
              <w:ind w:left="20"/>
              <w:spacing w:after="0"/>
              <w:rPr>
                <w:sz w:val="20"/>
                <w:szCs w:val="20"/>
                <w:color w:val="auto"/>
              </w:rPr>
            </w:pPr>
            <w:r>
              <w:rPr>
                <w:rFonts w:ascii="Arial" w:cs="Arial" w:eastAsia="Arial" w:hAnsi="Arial"/>
                <w:sz w:val="14"/>
                <w:szCs w:val="14"/>
                <w:b w:val="1"/>
                <w:bCs w:val="1"/>
                <w:color w:val="auto"/>
              </w:rPr>
              <w:t>Priority</w:t>
            </w:r>
          </w:p>
        </w:tc>
        <w:tc>
          <w:tcPr>
            <w:tcW w:w="2680" w:type="dxa"/>
            <w:vAlign w:val="bottom"/>
            <w:tcBorders>
              <w:top w:val="single" w:sz="8" w:color="auto"/>
              <w:bottom w:val="single" w:sz="8" w:color="auto"/>
              <w:right w:val="single" w:sz="8" w:color="auto"/>
            </w:tcBorders>
            <w:shd w:val="clear" w:color="auto" w:fill="919191"/>
          </w:tcPr>
          <w:p>
            <w:pPr>
              <w:spacing w:after="0"/>
              <w:rPr>
                <w:sz w:val="20"/>
                <w:szCs w:val="20"/>
                <w:color w:val="auto"/>
              </w:rPr>
            </w:pPr>
            <w:r>
              <w:rPr>
                <w:rFonts w:ascii="Arial" w:cs="Arial" w:eastAsia="Arial" w:hAnsi="Arial"/>
                <w:sz w:val="14"/>
                <w:szCs w:val="14"/>
                <w:b w:val="1"/>
                <w:bCs w:val="1"/>
                <w:color w:val="auto"/>
              </w:rPr>
              <w:t>Goal</w:t>
            </w:r>
          </w:p>
        </w:tc>
        <w:tc>
          <w:tcPr>
            <w:tcW w:w="6340" w:type="dxa"/>
            <w:vAlign w:val="bottom"/>
            <w:tcBorders>
              <w:top w:val="single" w:sz="8" w:color="auto"/>
              <w:bottom w:val="single" w:sz="8" w:color="auto"/>
            </w:tcBorders>
            <w:shd w:val="clear" w:color="auto" w:fill="919191"/>
          </w:tcPr>
          <w:p>
            <w:pPr>
              <w:ind w:left="20"/>
              <w:spacing w:after="0"/>
              <w:rPr>
                <w:sz w:val="20"/>
                <w:szCs w:val="20"/>
                <w:color w:val="auto"/>
              </w:rPr>
            </w:pPr>
            <w:r>
              <w:rPr>
                <w:rFonts w:ascii="Arial" w:cs="Arial" w:eastAsia="Arial" w:hAnsi="Arial"/>
                <w:sz w:val="14"/>
                <w:szCs w:val="14"/>
                <w:b w:val="1"/>
                <w:bCs w:val="1"/>
                <w:color w:val="auto"/>
              </w:rPr>
              <w:t>Notable Progress in Fiscal Year 2022</w:t>
            </w:r>
          </w:p>
        </w:tc>
        <w:tc>
          <w:tcPr>
            <w:tcW w:w="0" w:type="dxa"/>
            <w:vAlign w:val="bottom"/>
          </w:tcPr>
          <w:p>
            <w:pPr>
              <w:spacing w:after="0"/>
              <w:rPr>
                <w:sz w:val="1"/>
                <w:szCs w:val="1"/>
                <w:color w:val="auto"/>
              </w:rPr>
            </w:pPr>
          </w:p>
        </w:tc>
      </w:tr>
      <w:tr>
        <w:trPr>
          <w:trHeight w:val="563"/>
        </w:trPr>
        <w:tc>
          <w:tcPr>
            <w:tcW w:w="2260" w:type="dxa"/>
            <w:vAlign w:val="bottom"/>
            <w:tcBorders>
              <w:right w:val="single" w:sz="8" w:color="auto"/>
            </w:tcBorders>
            <w:shd w:val="clear" w:color="auto" w:fill="BEBEBE"/>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Maintain on average 40% representation</w:t>
            </w:r>
          </w:p>
        </w:tc>
        <w:tc>
          <w:tcPr>
            <w:tcW w:w="6340" w:type="dxa"/>
            <w:vAlign w:val="bottom"/>
          </w:tcPr>
          <w:p>
            <w:pPr>
              <w:ind w:left="20"/>
              <w:spacing w:after="0"/>
              <w:rPr>
                <w:sz w:val="20"/>
                <w:szCs w:val="20"/>
                <w:color w:val="auto"/>
              </w:rPr>
            </w:pPr>
            <w:r>
              <w:rPr>
                <w:rFonts w:ascii="Arial" w:cs="Arial" w:eastAsia="Arial" w:hAnsi="Arial"/>
                <w:sz w:val="14"/>
                <w:szCs w:val="14"/>
                <w:color w:val="auto"/>
              </w:rPr>
              <w:t>Our representation of U.S. corporate employees identifying as a racial and ethnic minority was 44%</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of racial and ethnic minorities for the U.S.</w:t>
            </w:r>
          </w:p>
        </w:tc>
        <w:tc>
          <w:tcPr>
            <w:tcW w:w="6340" w:type="dxa"/>
            <w:vAlign w:val="bottom"/>
          </w:tcPr>
          <w:p>
            <w:pPr>
              <w:ind w:left="20"/>
              <w:spacing w:after="0" w:line="145" w:lineRule="exact"/>
              <w:rPr>
                <w:sz w:val="20"/>
                <w:szCs w:val="20"/>
                <w:color w:val="auto"/>
              </w:rPr>
            </w:pPr>
            <w:r>
              <w:rPr>
                <w:rFonts w:ascii="Arial" w:cs="Arial" w:eastAsia="Arial" w:hAnsi="Arial"/>
                <w:sz w:val="14"/>
                <w:szCs w:val="14"/>
                <w:color w:val="auto"/>
              </w:rPr>
              <w:t>as of January 31, 2023. Additionally, as of January 31, 2023:</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corporate workforce through fiscal year</w:t>
            </w:r>
          </w:p>
        </w:tc>
        <w:tc>
          <w:tcPr>
            <w:tcW w:w="6340" w:type="dxa"/>
            <w:vAlign w:val="bottom"/>
          </w:tcPr>
          <w:p>
            <w:pPr>
              <w:ind w:left="260"/>
              <w:spacing w:after="0" w:line="142" w:lineRule="exact"/>
              <w:rPr>
                <w:sz w:val="20"/>
                <w:szCs w:val="20"/>
                <w:color w:val="auto"/>
              </w:rPr>
            </w:pPr>
            <w:r>
              <w:rPr>
                <w:rFonts w:ascii="Arial" w:cs="Arial" w:eastAsia="Arial" w:hAnsi="Arial"/>
                <w:sz w:val="14"/>
                <w:szCs w:val="14"/>
                <w:color w:val="auto"/>
              </w:rPr>
              <w:t>•   44% of our executive team identify as a racial and ethnic minority</w:t>
            </w:r>
          </w:p>
        </w:tc>
        <w:tc>
          <w:tcPr>
            <w:tcW w:w="0" w:type="dxa"/>
            <w:vAlign w:val="bottom"/>
          </w:tcPr>
          <w:p>
            <w:pPr>
              <w:spacing w:after="0"/>
              <w:rPr>
                <w:sz w:val="1"/>
                <w:szCs w:val="1"/>
                <w:color w:val="auto"/>
              </w:rPr>
            </w:pPr>
          </w:p>
        </w:tc>
      </w:tr>
      <w:tr>
        <w:trPr>
          <w:trHeight w:val="181"/>
        </w:trPr>
        <w:tc>
          <w:tcPr>
            <w:tcW w:w="2260" w:type="dxa"/>
            <w:vAlign w:val="bottom"/>
            <w:tcBorders>
              <w:bottom w:val="single" w:sz="8" w:color="BEBEBE"/>
              <w:right w:val="single" w:sz="8" w:color="auto"/>
            </w:tcBorders>
            <w:shd w:val="clear" w:color="auto" w:fill="BEBEBE"/>
          </w:tcPr>
          <w:p>
            <w:pPr>
              <w:spacing w:after="0"/>
              <w:rPr>
                <w:sz w:val="15"/>
                <w:szCs w:val="15"/>
                <w:color w:val="auto"/>
              </w:rPr>
            </w:pPr>
          </w:p>
        </w:tc>
        <w:tc>
          <w:tcPr>
            <w:tcW w:w="2680" w:type="dxa"/>
            <w:vAlign w:val="bottom"/>
            <w:tcBorders>
              <w:bottom w:val="single" w:sz="8" w:color="auto"/>
              <w:right w:val="single" w:sz="8" w:color="auto"/>
            </w:tcBorders>
          </w:tcPr>
          <w:p>
            <w:pPr>
              <w:spacing w:after="0" w:line="182" w:lineRule="exact"/>
              <w:rPr>
                <w:sz w:val="20"/>
                <w:szCs w:val="20"/>
                <w:color w:val="auto"/>
              </w:rPr>
            </w:pPr>
            <w:r>
              <w:rPr>
                <w:rFonts w:ascii="Arial" w:cs="Arial" w:eastAsia="Arial" w:hAnsi="Arial"/>
                <w:sz w:val="14"/>
                <w:szCs w:val="14"/>
                <w:color w:val="auto"/>
              </w:rPr>
              <w:t>end 2026.</w:t>
            </w:r>
            <w:r>
              <w:rPr>
                <w:rFonts w:ascii="Arial" w:cs="Arial" w:eastAsia="Arial" w:hAnsi="Arial"/>
                <w:sz w:val="18"/>
                <w:szCs w:val="18"/>
                <w:color w:val="auto"/>
                <w:vertAlign w:val="superscript"/>
              </w:rPr>
              <w:t>10</w:t>
            </w:r>
          </w:p>
        </w:tc>
        <w:tc>
          <w:tcPr>
            <w:tcW w:w="6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10% of our Board of Directors identify as a racial and ethnic minority</w:t>
            </w:r>
          </w:p>
        </w:tc>
        <w:tc>
          <w:tcPr>
            <w:tcW w:w="0" w:type="dxa"/>
            <w:vAlign w:val="bottom"/>
          </w:tcPr>
          <w:p>
            <w:pPr>
              <w:spacing w:after="0"/>
              <w:rPr>
                <w:sz w:val="1"/>
                <w:szCs w:val="1"/>
                <w:color w:val="auto"/>
              </w:rPr>
            </w:pPr>
          </w:p>
        </w:tc>
      </w:tr>
      <w:tr>
        <w:trPr>
          <w:trHeight w:val="616"/>
        </w:trPr>
        <w:tc>
          <w:tcPr>
            <w:tcW w:w="2260" w:type="dxa"/>
            <w:vAlign w:val="bottom"/>
            <w:tcBorders>
              <w:right w:val="single" w:sz="8" w:color="auto"/>
            </w:tcBorders>
            <w:shd w:val="clear" w:color="auto" w:fill="BEBEBE"/>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Maintain on average 50% representation</w:t>
            </w:r>
          </w:p>
        </w:tc>
        <w:tc>
          <w:tcPr>
            <w:tcW w:w="6340" w:type="dxa"/>
            <w:vAlign w:val="bottom"/>
          </w:tcPr>
          <w:p>
            <w:pPr>
              <w:ind w:left="20"/>
              <w:spacing w:after="0"/>
              <w:rPr>
                <w:sz w:val="20"/>
                <w:szCs w:val="20"/>
                <w:color w:val="auto"/>
              </w:rPr>
            </w:pPr>
            <w:r>
              <w:rPr>
                <w:rFonts w:ascii="Arial" w:cs="Arial" w:eastAsia="Arial" w:hAnsi="Arial"/>
                <w:sz w:val="14"/>
                <w:szCs w:val="14"/>
                <w:color w:val="auto"/>
              </w:rPr>
              <w:t>Our representation of U.S. corporate employees identifying as women and non-binary was 75% as</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of individuals identifying as women and</w:t>
            </w:r>
          </w:p>
        </w:tc>
        <w:tc>
          <w:tcPr>
            <w:tcW w:w="6340" w:type="dxa"/>
            <w:vAlign w:val="bottom"/>
          </w:tcPr>
          <w:p>
            <w:pPr>
              <w:ind w:left="20"/>
              <w:spacing w:after="0" w:line="145" w:lineRule="exact"/>
              <w:rPr>
                <w:sz w:val="20"/>
                <w:szCs w:val="20"/>
                <w:color w:val="auto"/>
              </w:rPr>
            </w:pPr>
            <w:r>
              <w:rPr>
                <w:rFonts w:ascii="Arial" w:cs="Arial" w:eastAsia="Arial" w:hAnsi="Arial"/>
                <w:sz w:val="14"/>
                <w:szCs w:val="14"/>
                <w:color w:val="auto"/>
              </w:rPr>
              <w:t>of January 31, 2023. Additionally, as of January 31, 2023:</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non-binary in the U.S. workforce through</w:t>
            </w:r>
          </w:p>
        </w:tc>
        <w:tc>
          <w:tcPr>
            <w:tcW w:w="6340" w:type="dxa"/>
            <w:vAlign w:val="bottom"/>
          </w:tcPr>
          <w:p>
            <w:pPr>
              <w:ind w:left="260"/>
              <w:spacing w:after="0" w:line="142" w:lineRule="exact"/>
              <w:rPr>
                <w:sz w:val="20"/>
                <w:szCs w:val="20"/>
                <w:color w:val="auto"/>
              </w:rPr>
            </w:pPr>
            <w:r>
              <w:rPr>
                <w:rFonts w:ascii="Arial" w:cs="Arial" w:eastAsia="Arial" w:hAnsi="Arial"/>
                <w:sz w:val="14"/>
                <w:szCs w:val="14"/>
                <w:color w:val="auto"/>
              </w:rPr>
              <w:t>•   67% of our executive team identify as women or non-binary</w:t>
            </w:r>
          </w:p>
        </w:tc>
        <w:tc>
          <w:tcPr>
            <w:tcW w:w="0" w:type="dxa"/>
            <w:vAlign w:val="bottom"/>
          </w:tcPr>
          <w:p>
            <w:pPr>
              <w:spacing w:after="0"/>
              <w:rPr>
                <w:sz w:val="1"/>
                <w:szCs w:val="1"/>
                <w:color w:val="auto"/>
              </w:rPr>
            </w:pPr>
          </w:p>
        </w:tc>
      </w:tr>
      <w:tr>
        <w:trPr>
          <w:trHeight w:val="181"/>
        </w:trPr>
        <w:tc>
          <w:tcPr>
            <w:tcW w:w="2260" w:type="dxa"/>
            <w:vAlign w:val="bottom"/>
            <w:tcBorders>
              <w:bottom w:val="single" w:sz="8" w:color="BEBEBE"/>
              <w:right w:val="single" w:sz="8" w:color="auto"/>
            </w:tcBorders>
            <w:shd w:val="clear" w:color="auto" w:fill="BEBEBE"/>
          </w:tcPr>
          <w:p>
            <w:pPr>
              <w:spacing w:after="0"/>
              <w:rPr>
                <w:sz w:val="15"/>
                <w:szCs w:val="15"/>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fiscal year end 2026.</w:t>
            </w:r>
          </w:p>
        </w:tc>
        <w:tc>
          <w:tcPr>
            <w:tcW w:w="63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   60% of our Board of Directors identify as women or non-binary</w:t>
            </w:r>
          </w:p>
        </w:tc>
        <w:tc>
          <w:tcPr>
            <w:tcW w:w="0" w:type="dxa"/>
            <w:vAlign w:val="bottom"/>
          </w:tcPr>
          <w:p>
            <w:pPr>
              <w:spacing w:after="0"/>
              <w:rPr>
                <w:sz w:val="1"/>
                <w:szCs w:val="1"/>
                <w:color w:val="auto"/>
              </w:rPr>
            </w:pPr>
          </w:p>
        </w:tc>
      </w:tr>
      <w:tr>
        <w:trPr>
          <w:trHeight w:val="562"/>
        </w:trPr>
        <w:tc>
          <w:tcPr>
            <w:tcW w:w="2260" w:type="dxa"/>
            <w:vAlign w:val="bottom"/>
            <w:tcBorders>
              <w:right w:val="single" w:sz="8" w:color="auto"/>
            </w:tcBorders>
            <w:shd w:val="clear" w:color="auto" w:fill="BEBEBE"/>
          </w:tcPr>
          <w:p>
            <w:pPr>
              <w:spacing w:after="0"/>
              <w:rPr>
                <w:sz w:val="24"/>
                <w:szCs w:val="24"/>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Double representation of LatinX</w:t>
            </w:r>
          </w:p>
        </w:tc>
        <w:tc>
          <w:tcPr>
            <w:tcW w:w="6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leadership in the new hire classes at our</w:t>
            </w:r>
          </w:p>
        </w:tc>
        <w:tc>
          <w:tcPr>
            <w:tcW w:w="6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Secaucus warehouse by fiscal year end</w:t>
            </w:r>
          </w:p>
        </w:tc>
        <w:tc>
          <w:tcPr>
            <w:tcW w:w="6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bottom w:val="single" w:sz="8" w:color="BEBEBE"/>
              <w:right w:val="single" w:sz="8" w:color="auto"/>
            </w:tcBorders>
            <w:shd w:val="clear" w:color="auto" w:fill="BEBEBE"/>
          </w:tcPr>
          <w:p>
            <w:pPr>
              <w:spacing w:after="0"/>
              <w:rPr>
                <w:sz w:val="15"/>
                <w:szCs w:val="15"/>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6340" w:type="dxa"/>
            <w:vAlign w:val="bottom"/>
            <w:vMerge w:val="restart"/>
          </w:tcPr>
          <w:p>
            <w:pPr>
              <w:ind w:left="20"/>
              <w:spacing w:after="0"/>
              <w:rPr>
                <w:sz w:val="20"/>
                <w:szCs w:val="20"/>
                <w:color w:val="auto"/>
              </w:rPr>
            </w:pPr>
            <w:r>
              <w:rPr>
                <w:rFonts w:ascii="Arial" w:cs="Arial" w:eastAsia="Arial" w:hAnsi="Arial"/>
                <w:sz w:val="14"/>
                <w:szCs w:val="14"/>
                <w:color w:val="auto"/>
              </w:rPr>
              <w:t>We continued to take action aimed at improving Black and LatinX representation and belonging</w:t>
            </w:r>
          </w:p>
        </w:tc>
        <w:tc>
          <w:tcPr>
            <w:tcW w:w="0" w:type="dxa"/>
            <w:vAlign w:val="bottom"/>
          </w:tcPr>
          <w:p>
            <w:pPr>
              <w:spacing w:after="0"/>
              <w:rPr>
                <w:sz w:val="1"/>
                <w:szCs w:val="1"/>
                <w:color w:val="auto"/>
              </w:rPr>
            </w:pPr>
          </w:p>
        </w:tc>
      </w:tr>
      <w:tr>
        <w:trPr>
          <w:trHeight w:val="116"/>
        </w:trPr>
        <w:tc>
          <w:tcPr>
            <w:tcW w:w="2260" w:type="dxa"/>
            <w:vAlign w:val="bottom"/>
            <w:tcBorders>
              <w:right w:val="single" w:sz="8" w:color="auto"/>
            </w:tcBorders>
            <w:shd w:val="clear" w:color="auto" w:fill="BEBEBE"/>
          </w:tcPr>
          <w:p>
            <w:pPr>
              <w:spacing w:after="0"/>
              <w:rPr>
                <w:sz w:val="10"/>
                <w:szCs w:val="10"/>
                <w:color w:val="auto"/>
              </w:rPr>
            </w:pPr>
          </w:p>
        </w:tc>
        <w:tc>
          <w:tcPr>
            <w:tcW w:w="2680" w:type="dxa"/>
            <w:vAlign w:val="bottom"/>
            <w:tcBorders>
              <w:right w:val="single" w:sz="8" w:color="auto"/>
            </w:tcBorders>
          </w:tcPr>
          <w:p>
            <w:pPr>
              <w:spacing w:after="0"/>
              <w:rPr>
                <w:sz w:val="10"/>
                <w:szCs w:val="10"/>
                <w:color w:val="auto"/>
              </w:rPr>
            </w:pPr>
          </w:p>
        </w:tc>
        <w:tc>
          <w:tcPr>
            <w:tcW w:w="6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40" w:type="dxa"/>
            <w:vAlign w:val="bottom"/>
          </w:tcPr>
          <w:p>
            <w:pPr>
              <w:ind w:left="20"/>
              <w:spacing w:after="0" w:line="145" w:lineRule="exact"/>
              <w:rPr>
                <w:sz w:val="20"/>
                <w:szCs w:val="20"/>
                <w:color w:val="auto"/>
              </w:rPr>
            </w:pPr>
            <w:r>
              <w:rPr>
                <w:rFonts w:ascii="Arial" w:cs="Arial" w:eastAsia="Arial" w:hAnsi="Arial"/>
                <w:sz w:val="14"/>
                <w:szCs w:val="14"/>
                <w:color w:val="auto"/>
              </w:rPr>
              <w:t>across our organization including:</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40" w:type="dxa"/>
            <w:vAlign w:val="bottom"/>
          </w:tcPr>
          <w:p>
            <w:pPr>
              <w:ind w:left="260"/>
              <w:spacing w:after="0" w:line="142" w:lineRule="exact"/>
              <w:rPr>
                <w:sz w:val="20"/>
                <w:szCs w:val="20"/>
                <w:color w:val="auto"/>
              </w:rPr>
            </w:pPr>
            <w:r>
              <w:rPr>
                <w:rFonts w:ascii="Arial" w:cs="Arial" w:eastAsia="Arial" w:hAnsi="Arial"/>
                <w:sz w:val="14"/>
                <w:szCs w:val="14"/>
                <w:color w:val="auto"/>
              </w:rPr>
              <w:t>•   Ramped up programming from our Employee Resource Groups (ERGs) since their inception</w:t>
            </w:r>
          </w:p>
        </w:tc>
        <w:tc>
          <w:tcPr>
            <w:tcW w:w="0" w:type="dxa"/>
            <w:vAlign w:val="bottom"/>
          </w:tcPr>
          <w:p>
            <w:pPr>
              <w:spacing w:after="0"/>
              <w:rPr>
                <w:sz w:val="1"/>
                <w:szCs w:val="1"/>
                <w:color w:val="auto"/>
              </w:rPr>
            </w:pPr>
          </w:p>
        </w:tc>
      </w:tr>
      <w:tr>
        <w:trPr>
          <w:trHeight w:val="138"/>
        </w:trPr>
        <w:tc>
          <w:tcPr>
            <w:tcW w:w="2260" w:type="dxa"/>
            <w:vAlign w:val="bottom"/>
            <w:tcBorders>
              <w:right w:val="single" w:sz="8" w:color="auto"/>
            </w:tcBorders>
            <w:shd w:val="clear" w:color="auto" w:fill="BEBEBE"/>
          </w:tcPr>
          <w:p>
            <w:pPr>
              <w:spacing w:after="0"/>
              <w:rPr>
                <w:sz w:val="11"/>
                <w:szCs w:val="11"/>
                <w:color w:val="auto"/>
              </w:rPr>
            </w:pPr>
          </w:p>
        </w:tc>
        <w:tc>
          <w:tcPr>
            <w:tcW w:w="2680" w:type="dxa"/>
            <w:vAlign w:val="bottom"/>
            <w:tcBorders>
              <w:right w:val="single" w:sz="8" w:color="auto"/>
            </w:tcBorders>
          </w:tcPr>
          <w:p>
            <w:pPr>
              <w:spacing w:after="0"/>
              <w:rPr>
                <w:sz w:val="11"/>
                <w:szCs w:val="11"/>
                <w:color w:val="auto"/>
              </w:rPr>
            </w:pPr>
          </w:p>
        </w:tc>
        <w:tc>
          <w:tcPr>
            <w:tcW w:w="6340" w:type="dxa"/>
            <w:vAlign w:val="bottom"/>
          </w:tcPr>
          <w:p>
            <w:pPr>
              <w:ind w:left="520"/>
              <w:spacing w:after="0" w:line="138" w:lineRule="exact"/>
              <w:rPr>
                <w:sz w:val="20"/>
                <w:szCs w:val="20"/>
                <w:color w:val="auto"/>
              </w:rPr>
            </w:pPr>
            <w:r>
              <w:rPr>
                <w:rFonts w:ascii="Arial" w:cs="Arial" w:eastAsia="Arial" w:hAnsi="Arial"/>
                <w:sz w:val="14"/>
                <w:szCs w:val="14"/>
                <w:color w:val="auto"/>
              </w:rPr>
              <w:t>in 2021, and are planning to expand ERGs to our warehouses in 2023.</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Double representation of Black and</w:t>
            </w:r>
          </w:p>
        </w:tc>
        <w:tc>
          <w:tcPr>
            <w:tcW w:w="6340" w:type="dxa"/>
            <w:vAlign w:val="bottom"/>
          </w:tcPr>
          <w:p>
            <w:pPr>
              <w:ind w:left="260"/>
              <w:spacing w:after="0" w:line="145" w:lineRule="exact"/>
              <w:rPr>
                <w:sz w:val="20"/>
                <w:szCs w:val="20"/>
                <w:color w:val="auto"/>
              </w:rPr>
            </w:pPr>
            <w:r>
              <w:rPr>
                <w:rFonts w:ascii="Arial" w:cs="Arial" w:eastAsia="Arial" w:hAnsi="Arial"/>
                <w:sz w:val="14"/>
                <w:szCs w:val="14"/>
                <w:color w:val="auto"/>
              </w:rPr>
              <w:t>•   Introduced our Emerging Leaders Management training program, which includes a focus on</w:t>
            </w:r>
          </w:p>
        </w:tc>
        <w:tc>
          <w:tcPr>
            <w:tcW w:w="0" w:type="dxa"/>
            <w:vAlign w:val="bottom"/>
          </w:tcPr>
          <w:p>
            <w:pPr>
              <w:spacing w:after="0"/>
              <w:rPr>
                <w:sz w:val="1"/>
                <w:szCs w:val="1"/>
                <w:color w:val="auto"/>
              </w:rPr>
            </w:pPr>
          </w:p>
        </w:tc>
      </w:tr>
      <w:tr>
        <w:trPr>
          <w:trHeight w:val="143"/>
        </w:trPr>
        <w:tc>
          <w:tcPr>
            <w:tcW w:w="2260" w:type="dxa"/>
            <w:vAlign w:val="bottom"/>
            <w:tcBorders>
              <w:right w:val="single" w:sz="8" w:color="auto"/>
            </w:tcBorders>
            <w:shd w:val="clear" w:color="auto" w:fill="BEBEBE"/>
          </w:tcPr>
          <w:p>
            <w:pPr>
              <w:ind w:left="20"/>
              <w:spacing w:after="0" w:line="143" w:lineRule="exact"/>
              <w:rPr>
                <w:sz w:val="20"/>
                <w:szCs w:val="20"/>
                <w:color w:val="auto"/>
              </w:rPr>
            </w:pPr>
            <w:r>
              <w:rPr>
                <w:rFonts w:ascii="Arial" w:cs="Arial" w:eastAsia="Arial" w:hAnsi="Arial"/>
                <w:sz w:val="14"/>
                <w:szCs w:val="14"/>
                <w:color w:val="auto"/>
              </w:rPr>
              <w:t>1. Ensure our workforce remains</w:t>
            </w:r>
          </w:p>
        </w:tc>
        <w:tc>
          <w:tcPr>
            <w:tcW w:w="2680" w:type="dxa"/>
            <w:vAlign w:val="bottom"/>
            <w:tcBorders>
              <w:right w:val="single" w:sz="8" w:color="auto"/>
            </w:tcBorders>
            <w:vMerge w:val="continue"/>
          </w:tcPr>
          <w:p>
            <w:pPr>
              <w:spacing w:after="0"/>
              <w:rPr>
                <w:sz w:val="12"/>
                <w:szCs w:val="12"/>
                <w:color w:val="auto"/>
              </w:rPr>
            </w:pPr>
          </w:p>
        </w:tc>
        <w:tc>
          <w:tcPr>
            <w:tcW w:w="6340" w:type="dxa"/>
            <w:vAlign w:val="bottom"/>
          </w:tcPr>
          <w:p>
            <w:pPr>
              <w:ind w:left="520"/>
              <w:spacing w:after="0" w:line="143" w:lineRule="exact"/>
              <w:rPr>
                <w:sz w:val="20"/>
                <w:szCs w:val="20"/>
                <w:color w:val="auto"/>
              </w:rPr>
            </w:pPr>
            <w:r>
              <w:rPr>
                <w:rFonts w:ascii="Arial" w:cs="Arial" w:eastAsia="Arial" w:hAnsi="Arial"/>
                <w:sz w:val="14"/>
                <w:szCs w:val="14"/>
                <w:color w:val="auto"/>
              </w:rPr>
              <w:t>fostering belonging within teams.</w:t>
            </w:r>
          </w:p>
        </w:tc>
        <w:tc>
          <w:tcPr>
            <w:tcW w:w="0" w:type="dxa"/>
            <w:vAlign w:val="bottom"/>
          </w:tcPr>
          <w:p>
            <w:pPr>
              <w:spacing w:after="0"/>
              <w:rPr>
                <w:sz w:val="1"/>
                <w:szCs w:val="1"/>
                <w:color w:val="auto"/>
              </w:rPr>
            </w:pPr>
          </w:p>
        </w:tc>
      </w:tr>
      <w:tr>
        <w:trPr>
          <w:trHeight w:val="138"/>
        </w:trPr>
        <w:tc>
          <w:tcPr>
            <w:tcW w:w="226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diverse and for leadership to reflect</w:t>
            </w:r>
          </w:p>
        </w:tc>
        <w:tc>
          <w:tcPr>
            <w:tcW w:w="268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LatinX leadership in new hire classes at</w:t>
            </w:r>
          </w:p>
        </w:tc>
        <w:tc>
          <w:tcPr>
            <w:tcW w:w="6340" w:type="dxa"/>
            <w:vAlign w:val="bottom"/>
          </w:tcPr>
          <w:p>
            <w:pPr>
              <w:ind w:left="260"/>
              <w:spacing w:after="0" w:line="138" w:lineRule="exact"/>
              <w:rPr>
                <w:sz w:val="20"/>
                <w:szCs w:val="20"/>
                <w:color w:val="auto"/>
              </w:rPr>
            </w:pPr>
            <w:r>
              <w:rPr>
                <w:rFonts w:ascii="Arial" w:cs="Arial" w:eastAsia="Arial" w:hAnsi="Arial"/>
                <w:sz w:val="14"/>
                <w:szCs w:val="14"/>
                <w:color w:val="auto"/>
              </w:rPr>
              <w:t>•   Launched our Diversity Launchpad internship program.</w:t>
            </w:r>
          </w:p>
        </w:tc>
        <w:tc>
          <w:tcPr>
            <w:tcW w:w="0" w:type="dxa"/>
            <w:vAlign w:val="bottom"/>
          </w:tcPr>
          <w:p>
            <w:pPr>
              <w:spacing w:after="0"/>
              <w:rPr>
                <w:sz w:val="1"/>
                <w:szCs w:val="1"/>
                <w:color w:val="auto"/>
              </w:rPr>
            </w:pPr>
          </w:p>
        </w:tc>
      </w:tr>
      <w:tr>
        <w:trPr>
          <w:trHeight w:val="148"/>
        </w:trPr>
        <w:tc>
          <w:tcPr>
            <w:tcW w:w="2260" w:type="dxa"/>
            <w:vAlign w:val="bottom"/>
            <w:tcBorders>
              <w:right w:val="single" w:sz="8" w:color="auto"/>
            </w:tcBorders>
            <w:shd w:val="clear" w:color="auto" w:fill="BEBEBE"/>
          </w:tcPr>
          <w:p>
            <w:pPr>
              <w:ind w:left="20"/>
              <w:spacing w:after="0" w:line="149" w:lineRule="exact"/>
              <w:rPr>
                <w:sz w:val="20"/>
                <w:szCs w:val="20"/>
                <w:color w:val="auto"/>
              </w:rPr>
            </w:pPr>
            <w:r>
              <w:rPr>
                <w:rFonts w:ascii="Arial" w:cs="Arial" w:eastAsia="Arial" w:hAnsi="Arial"/>
                <w:sz w:val="14"/>
                <w:szCs w:val="14"/>
                <w:color w:val="auto"/>
              </w:rPr>
              <w:t>the population of individual</w:t>
            </w:r>
          </w:p>
        </w:tc>
        <w:tc>
          <w:tcPr>
            <w:tcW w:w="268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our Dallas warehouse by fiscal year end</w:t>
            </w:r>
          </w:p>
        </w:tc>
        <w:tc>
          <w:tcPr>
            <w:tcW w:w="6340" w:type="dxa"/>
            <w:vAlign w:val="bottom"/>
          </w:tcPr>
          <w:p>
            <w:pPr>
              <w:ind w:left="260"/>
              <w:spacing w:after="0" w:line="149" w:lineRule="exact"/>
              <w:rPr>
                <w:sz w:val="20"/>
                <w:szCs w:val="20"/>
                <w:color w:val="auto"/>
              </w:rPr>
            </w:pPr>
            <w:r>
              <w:rPr>
                <w:rFonts w:ascii="Arial" w:cs="Arial" w:eastAsia="Arial" w:hAnsi="Arial"/>
                <w:sz w:val="14"/>
                <w:szCs w:val="14"/>
                <w:color w:val="auto"/>
              </w:rPr>
              <w:t>•   Evolved RTR’s leadership competencies so that they include new themes which highlight</w:t>
            </w:r>
          </w:p>
        </w:tc>
        <w:tc>
          <w:tcPr>
            <w:tcW w:w="0" w:type="dxa"/>
            <w:vAlign w:val="bottom"/>
          </w:tcPr>
          <w:p>
            <w:pPr>
              <w:spacing w:after="0"/>
              <w:rPr>
                <w:sz w:val="1"/>
                <w:szCs w:val="1"/>
                <w:color w:val="auto"/>
              </w:rPr>
            </w:pPr>
          </w:p>
        </w:tc>
      </w:tr>
      <w:tr>
        <w:trPr>
          <w:trHeight w:val="181"/>
        </w:trPr>
        <w:tc>
          <w:tcPr>
            <w:tcW w:w="2260" w:type="dxa"/>
            <w:vAlign w:val="bottom"/>
            <w:tcBorders>
              <w:bottom w:val="single" w:sz="8" w:color="auto"/>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contributors.</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2026.</w:t>
            </w:r>
          </w:p>
        </w:tc>
        <w:tc>
          <w:tcPr>
            <w:tcW w:w="63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diversity, equity and inclusion in the definitions and behavioral indicators of each level.</w:t>
            </w:r>
          </w:p>
        </w:tc>
        <w:tc>
          <w:tcPr>
            <w:tcW w:w="0" w:type="dxa"/>
            <w:vAlign w:val="bottom"/>
          </w:tcPr>
          <w:p>
            <w:pPr>
              <w:spacing w:after="0"/>
              <w:rPr>
                <w:sz w:val="1"/>
                <w:szCs w:val="1"/>
                <w:color w:val="auto"/>
              </w:rPr>
            </w:pPr>
          </w:p>
        </w:tc>
      </w:tr>
      <w:tr>
        <w:trPr>
          <w:trHeight w:val="924"/>
        </w:trPr>
        <w:tc>
          <w:tcPr>
            <w:tcW w:w="2260" w:type="dxa"/>
            <w:vAlign w:val="bottom"/>
            <w:tcBorders>
              <w:right w:val="single" w:sz="8" w:color="auto"/>
            </w:tcBorders>
            <w:shd w:val="clear" w:color="auto" w:fill="BEBEBE"/>
          </w:tcPr>
          <w:p>
            <w:pPr>
              <w:spacing w:after="0"/>
              <w:rPr>
                <w:sz w:val="24"/>
                <w:szCs w:val="24"/>
                <w:color w:val="auto"/>
              </w:rPr>
            </w:pPr>
          </w:p>
        </w:tc>
        <w:tc>
          <w:tcPr>
            <w:tcW w:w="2680" w:type="dxa"/>
            <w:vAlign w:val="bottom"/>
            <w:tcBorders>
              <w:right w:val="single" w:sz="8" w:color="auto"/>
            </w:tcBorders>
          </w:tcPr>
          <w:p>
            <w:pPr>
              <w:spacing w:after="0"/>
              <w:rPr>
                <w:sz w:val="24"/>
                <w:szCs w:val="24"/>
                <w:color w:val="auto"/>
              </w:rPr>
            </w:pPr>
          </w:p>
        </w:tc>
        <w:tc>
          <w:tcPr>
            <w:tcW w:w="6340" w:type="dxa"/>
            <w:vAlign w:val="bottom"/>
          </w:tcPr>
          <w:p>
            <w:pPr>
              <w:ind w:left="20"/>
              <w:spacing w:after="0"/>
              <w:rPr>
                <w:sz w:val="20"/>
                <w:szCs w:val="20"/>
                <w:color w:val="auto"/>
              </w:rPr>
            </w:pPr>
            <w:r>
              <w:rPr>
                <w:rFonts w:ascii="Arial" w:cs="Arial" w:eastAsia="Arial" w:hAnsi="Arial"/>
                <w:sz w:val="14"/>
                <w:szCs w:val="14"/>
                <w:color w:val="auto"/>
              </w:rPr>
              <w:t>We estimate that we spent $1.76 million with Black designers and a total of $7.5 million with racial</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rPr>
                <w:sz w:val="12"/>
                <w:szCs w:val="12"/>
                <w:color w:val="auto"/>
              </w:rPr>
            </w:pPr>
          </w:p>
        </w:tc>
        <w:tc>
          <w:tcPr>
            <w:tcW w:w="6340" w:type="dxa"/>
            <w:vAlign w:val="bottom"/>
          </w:tcPr>
          <w:p>
            <w:pPr>
              <w:ind w:left="20"/>
              <w:spacing w:after="0" w:line="145" w:lineRule="exact"/>
              <w:rPr>
                <w:sz w:val="20"/>
                <w:szCs w:val="20"/>
                <w:color w:val="auto"/>
              </w:rPr>
            </w:pPr>
            <w:r>
              <w:rPr>
                <w:rFonts w:ascii="Arial" w:cs="Arial" w:eastAsia="Arial" w:hAnsi="Arial"/>
                <w:sz w:val="14"/>
                <w:szCs w:val="14"/>
                <w:color w:val="auto"/>
              </w:rPr>
              <w:t>and ethnic minority designers. We estimate that we have invested more than $4.9 million in rental</w:t>
            </w:r>
          </w:p>
        </w:tc>
        <w:tc>
          <w:tcPr>
            <w:tcW w:w="0" w:type="dxa"/>
            <w:vAlign w:val="bottom"/>
          </w:tcPr>
          <w:p>
            <w:pPr>
              <w:spacing w:after="0"/>
              <w:rPr>
                <w:sz w:val="1"/>
                <w:szCs w:val="1"/>
                <w:color w:val="auto"/>
              </w:rPr>
            </w:pPr>
          </w:p>
        </w:tc>
      </w:tr>
      <w:tr>
        <w:trPr>
          <w:trHeight w:val="183"/>
        </w:trPr>
        <w:tc>
          <w:tcPr>
            <w:tcW w:w="2260" w:type="dxa"/>
            <w:vAlign w:val="bottom"/>
            <w:tcBorders>
              <w:right w:val="single" w:sz="8" w:color="auto"/>
            </w:tcBorders>
            <w:shd w:val="clear" w:color="auto" w:fill="BEBEBE"/>
          </w:tcPr>
          <w:p>
            <w:pPr>
              <w:spacing w:after="0"/>
              <w:rPr>
                <w:sz w:val="15"/>
                <w:szCs w:val="15"/>
                <w:color w:val="auto"/>
              </w:rPr>
            </w:pPr>
          </w:p>
        </w:tc>
        <w:tc>
          <w:tcPr>
            <w:tcW w:w="2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 million cumulative spend with Black</w:t>
            </w:r>
          </w:p>
        </w:tc>
        <w:tc>
          <w:tcPr>
            <w:tcW w:w="6340" w:type="dxa"/>
            <w:vAlign w:val="bottom"/>
          </w:tcPr>
          <w:p>
            <w:pPr>
              <w:ind w:left="20"/>
              <w:spacing w:after="0"/>
              <w:rPr>
                <w:sz w:val="20"/>
                <w:szCs w:val="20"/>
                <w:color w:val="auto"/>
              </w:rPr>
            </w:pPr>
            <w:r>
              <w:rPr>
                <w:rFonts w:ascii="Arial" w:cs="Arial" w:eastAsia="Arial" w:hAnsi="Arial"/>
                <w:sz w:val="14"/>
                <w:szCs w:val="14"/>
                <w:color w:val="auto"/>
              </w:rPr>
              <w:t>product purchases to support Black-owned businesses since June 2020. We continue to prioritize</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designers between fiscal year ended</w:t>
            </w:r>
          </w:p>
        </w:tc>
        <w:tc>
          <w:tcPr>
            <w:tcW w:w="6340" w:type="dxa"/>
            <w:vAlign w:val="bottom"/>
          </w:tcPr>
          <w:p>
            <w:pPr>
              <w:ind w:left="20"/>
              <w:spacing w:after="0" w:line="145" w:lineRule="exact"/>
              <w:rPr>
                <w:sz w:val="20"/>
                <w:szCs w:val="20"/>
                <w:color w:val="auto"/>
              </w:rPr>
            </w:pPr>
            <w:r>
              <w:rPr>
                <w:rFonts w:ascii="Arial" w:cs="Arial" w:eastAsia="Arial" w:hAnsi="Arial"/>
                <w:sz w:val="14"/>
                <w:szCs w:val="14"/>
                <w:color w:val="auto"/>
              </w:rPr>
              <w:t>identifying new Black designers as well as deepen relationships with our existing Black designers.</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2022 and fiscal year end 2026. </w:t>
            </w:r>
            <w:r>
              <w:rPr>
                <w:rFonts w:ascii="Arial" w:cs="Arial" w:eastAsia="Arial" w:hAnsi="Arial"/>
                <w:sz w:val="14"/>
                <w:szCs w:val="14"/>
                <w:i w:val="1"/>
                <w:iCs w:val="1"/>
                <w:color w:val="auto"/>
              </w:rPr>
              <w:t>(2023</w:t>
            </w:r>
          </w:p>
        </w:tc>
        <w:tc>
          <w:tcPr>
            <w:tcW w:w="6340" w:type="dxa"/>
            <w:vAlign w:val="bottom"/>
            <w:vMerge w:val="restart"/>
          </w:tcPr>
          <w:p>
            <w:pPr>
              <w:ind w:left="20"/>
              <w:spacing w:after="0"/>
              <w:rPr>
                <w:sz w:val="20"/>
                <w:szCs w:val="20"/>
                <w:color w:val="auto"/>
              </w:rPr>
            </w:pPr>
            <w:r>
              <w:rPr>
                <w:rFonts w:ascii="Arial" w:cs="Arial" w:eastAsia="Arial" w:hAnsi="Arial"/>
                <w:sz w:val="14"/>
                <w:szCs w:val="14"/>
                <w:color w:val="auto"/>
              </w:rPr>
              <w:t>We estimate that we increased the penetration of racial and ethnic minority designers featured on</w:t>
            </w:r>
          </w:p>
        </w:tc>
        <w:tc>
          <w:tcPr>
            <w:tcW w:w="0" w:type="dxa"/>
            <w:vAlign w:val="bottom"/>
          </w:tcPr>
          <w:p>
            <w:pPr>
              <w:spacing w:after="0"/>
              <w:rPr>
                <w:sz w:val="1"/>
                <w:szCs w:val="1"/>
                <w:color w:val="auto"/>
              </w:rPr>
            </w:pPr>
          </w:p>
        </w:tc>
      </w:tr>
      <w:tr>
        <w:trPr>
          <w:trHeight w:val="146"/>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6" w:lineRule="exact"/>
              <w:rPr>
                <w:sz w:val="20"/>
                <w:szCs w:val="20"/>
                <w:color w:val="auto"/>
              </w:rPr>
            </w:pPr>
            <w:r>
              <w:rPr>
                <w:rFonts w:ascii="Arial" w:cs="Arial" w:eastAsia="Arial" w:hAnsi="Arial"/>
                <w:sz w:val="14"/>
                <w:szCs w:val="14"/>
                <w:i w:val="1"/>
                <w:iCs w:val="1"/>
                <w:color w:val="auto"/>
              </w:rPr>
              <w:t>Update)</w:t>
            </w:r>
          </w:p>
        </w:tc>
        <w:tc>
          <w:tcPr>
            <w:tcW w:w="6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60" w:type="dxa"/>
            <w:vAlign w:val="bottom"/>
            <w:tcBorders>
              <w:right w:val="single" w:sz="8" w:color="auto"/>
            </w:tcBorders>
            <w:shd w:val="clear" w:color="auto" w:fill="BEBEBE"/>
          </w:tcPr>
          <w:p>
            <w:pPr>
              <w:spacing w:after="0"/>
              <w:rPr>
                <w:sz w:val="16"/>
                <w:szCs w:val="16"/>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$10 million cumulative spend with Black</w:t>
            </w:r>
          </w:p>
        </w:tc>
        <w:tc>
          <w:tcPr>
            <w:tcW w:w="6340" w:type="dxa"/>
            <w:vAlign w:val="bottom"/>
          </w:tcPr>
          <w:p>
            <w:pPr>
              <w:ind w:left="20"/>
              <w:spacing w:after="0"/>
              <w:rPr>
                <w:sz w:val="20"/>
                <w:szCs w:val="20"/>
                <w:color w:val="auto"/>
              </w:rPr>
            </w:pPr>
            <w:r>
              <w:rPr>
                <w:rFonts w:ascii="Arial" w:cs="Arial" w:eastAsia="Arial" w:hAnsi="Arial"/>
                <w:sz w:val="14"/>
                <w:szCs w:val="14"/>
                <w:color w:val="auto"/>
              </w:rPr>
              <w:t>our platform from 4% of brands in the fall of 2020 to 15% in the fall of 2022.</w:t>
            </w:r>
          </w:p>
        </w:tc>
        <w:tc>
          <w:tcPr>
            <w:tcW w:w="0" w:type="dxa"/>
            <w:vAlign w:val="bottom"/>
          </w:tcPr>
          <w:p>
            <w:pPr>
              <w:spacing w:after="0"/>
              <w:rPr>
                <w:sz w:val="1"/>
                <w:szCs w:val="1"/>
                <w:color w:val="auto"/>
              </w:rPr>
            </w:pPr>
          </w:p>
        </w:tc>
      </w:tr>
      <w:tr>
        <w:trPr>
          <w:trHeight w:val="143"/>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vMerge w:val="continue"/>
          </w:tcPr>
          <w:p>
            <w:pPr>
              <w:spacing w:after="0"/>
              <w:rPr>
                <w:sz w:val="12"/>
                <w:szCs w:val="12"/>
                <w:color w:val="auto"/>
              </w:rPr>
            </w:pPr>
          </w:p>
        </w:tc>
        <w:tc>
          <w:tcPr>
            <w:tcW w:w="6340" w:type="dxa"/>
            <w:vAlign w:val="bottom"/>
            <w:vMerge w:val="restart"/>
          </w:tcPr>
          <w:p>
            <w:pPr>
              <w:ind w:left="20"/>
              <w:spacing w:after="0"/>
              <w:rPr>
                <w:sz w:val="20"/>
                <w:szCs w:val="20"/>
                <w:color w:val="auto"/>
              </w:rPr>
            </w:pPr>
            <w:r>
              <w:rPr>
                <w:rFonts w:ascii="Arial" w:cs="Arial" w:eastAsia="Arial" w:hAnsi="Arial"/>
                <w:sz w:val="14"/>
                <w:szCs w:val="14"/>
                <w:color w:val="auto"/>
              </w:rPr>
              <w:t>We decided to update our original goal due to new efficiencies in the way we acquire rental product.</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designers between fiscal year end 2022</w:t>
            </w:r>
          </w:p>
        </w:tc>
        <w:tc>
          <w:tcPr>
            <w:tcW w:w="6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60" w:type="dxa"/>
            <w:vAlign w:val="bottom"/>
            <w:tcBorders>
              <w:right w:val="single" w:sz="8" w:color="auto"/>
            </w:tcBorders>
            <w:shd w:val="clear" w:color="auto" w:fill="BEBEBE"/>
          </w:tcPr>
          <w:p>
            <w:pPr>
              <w:spacing w:after="0"/>
              <w:rPr>
                <w:sz w:val="11"/>
                <w:szCs w:val="11"/>
                <w:color w:val="auto"/>
              </w:rPr>
            </w:pPr>
          </w:p>
        </w:tc>
        <w:tc>
          <w:tcPr>
            <w:tcW w:w="2680" w:type="dxa"/>
            <w:vAlign w:val="bottom"/>
            <w:tcBorders>
              <w:right w:val="single" w:sz="8" w:color="auto"/>
            </w:tcBorders>
          </w:tcPr>
          <w:p>
            <w:pPr>
              <w:spacing w:after="0" w:line="138" w:lineRule="exact"/>
              <w:rPr>
                <w:sz w:val="20"/>
                <w:szCs w:val="20"/>
                <w:color w:val="auto"/>
              </w:rPr>
            </w:pPr>
            <w:r>
              <w:rPr>
                <w:rFonts w:ascii="Arial" w:cs="Arial" w:eastAsia="Arial" w:hAnsi="Arial"/>
                <w:sz w:val="14"/>
                <w:szCs w:val="14"/>
                <w:color w:val="auto"/>
              </w:rPr>
              <w:t xml:space="preserve">and fiscal year end 2026. </w:t>
            </w:r>
            <w:r>
              <w:rPr>
                <w:rFonts w:ascii="Arial" w:cs="Arial" w:eastAsia="Arial" w:hAnsi="Arial"/>
                <w:sz w:val="14"/>
                <w:szCs w:val="14"/>
                <w:i w:val="1"/>
                <w:iCs w:val="1"/>
                <w:color w:val="auto"/>
              </w:rPr>
              <w:t>(2022 Original</w:t>
            </w:r>
          </w:p>
        </w:tc>
        <w:tc>
          <w:tcPr>
            <w:tcW w:w="6340" w:type="dxa"/>
            <w:vAlign w:val="bottom"/>
          </w:tcPr>
          <w:p>
            <w:pPr>
              <w:ind w:left="20"/>
              <w:spacing w:after="0" w:line="138" w:lineRule="exact"/>
              <w:rPr>
                <w:sz w:val="20"/>
                <w:szCs w:val="20"/>
                <w:color w:val="auto"/>
              </w:rPr>
            </w:pPr>
            <w:r>
              <w:rPr>
                <w:rFonts w:ascii="Arial" w:cs="Arial" w:eastAsia="Arial" w:hAnsi="Arial"/>
                <w:sz w:val="14"/>
                <w:szCs w:val="14"/>
                <w:color w:val="auto"/>
              </w:rPr>
              <w:t>Much of our rental product is purchased via a consignment model, which allows us to lower rental</w:t>
            </w:r>
          </w:p>
        </w:tc>
        <w:tc>
          <w:tcPr>
            <w:tcW w:w="0" w:type="dxa"/>
            <w:vAlign w:val="bottom"/>
          </w:tcPr>
          <w:p>
            <w:pPr>
              <w:spacing w:after="0"/>
              <w:rPr>
                <w:sz w:val="1"/>
                <w:szCs w:val="1"/>
                <w:color w:val="auto"/>
              </w:rPr>
            </w:pPr>
          </w:p>
        </w:tc>
      </w:tr>
      <w:tr>
        <w:trPr>
          <w:trHeight w:val="192"/>
        </w:trPr>
        <w:tc>
          <w:tcPr>
            <w:tcW w:w="2260" w:type="dxa"/>
            <w:vAlign w:val="bottom"/>
            <w:tcBorders>
              <w:bottom w:val="single" w:sz="8" w:color="BEBEBE"/>
              <w:right w:val="single" w:sz="8" w:color="auto"/>
            </w:tcBorders>
            <w:shd w:val="clear" w:color="auto" w:fill="BEBEBE"/>
          </w:tcPr>
          <w:p>
            <w:pPr>
              <w:spacing w:after="0"/>
              <w:rPr>
                <w:sz w:val="16"/>
                <w:szCs w:val="16"/>
                <w:color w:val="auto"/>
              </w:rPr>
            </w:pP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i w:val="1"/>
                <w:iCs w:val="1"/>
                <w:color w:val="auto"/>
              </w:rPr>
              <w:t>Goal)</w:t>
            </w: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product spend while maintaining or increasing our rental product purchases.</w:t>
            </w:r>
          </w:p>
        </w:tc>
        <w:tc>
          <w:tcPr>
            <w:tcW w:w="0" w:type="dxa"/>
            <w:vAlign w:val="bottom"/>
          </w:tcPr>
          <w:p>
            <w:pPr>
              <w:spacing w:after="0"/>
              <w:rPr>
                <w:sz w:val="1"/>
                <w:szCs w:val="1"/>
                <w:color w:val="auto"/>
              </w:rPr>
            </w:pPr>
          </w:p>
        </w:tc>
      </w:tr>
      <w:tr>
        <w:trPr>
          <w:trHeight w:val="563"/>
        </w:trPr>
        <w:tc>
          <w:tcPr>
            <w:tcW w:w="2260" w:type="dxa"/>
            <w:vAlign w:val="bottom"/>
            <w:tcBorders>
              <w:right w:val="single" w:sz="8" w:color="auto"/>
            </w:tcBorders>
            <w:shd w:val="clear" w:color="auto" w:fill="BEBEBE"/>
          </w:tcPr>
          <w:p>
            <w:pPr>
              <w:spacing w:after="0"/>
              <w:rPr>
                <w:sz w:val="24"/>
                <w:szCs w:val="24"/>
                <w:color w:val="auto"/>
              </w:rPr>
            </w:pPr>
          </w:p>
        </w:tc>
        <w:tc>
          <w:tcPr>
            <w:tcW w:w="26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Ensure at least 40% representation of</w:t>
            </w:r>
          </w:p>
        </w:tc>
        <w:tc>
          <w:tcPr>
            <w:tcW w:w="6340" w:type="dxa"/>
            <w:vAlign w:val="bottom"/>
          </w:tcPr>
          <w:p>
            <w:pPr>
              <w:ind w:left="20"/>
              <w:spacing w:after="0"/>
              <w:rPr>
                <w:sz w:val="20"/>
                <w:szCs w:val="20"/>
                <w:color w:val="auto"/>
              </w:rPr>
            </w:pPr>
            <w:r>
              <w:rPr>
                <w:rFonts w:ascii="Arial" w:cs="Arial" w:eastAsia="Arial" w:hAnsi="Arial"/>
                <w:sz w:val="14"/>
                <w:szCs w:val="14"/>
                <w:color w:val="auto"/>
              </w:rPr>
              <w:t>In fiscal year 2022 we calculated our baseline for this goal and we estimate that we had 21%</w:t>
            </w:r>
          </w:p>
        </w:tc>
        <w:tc>
          <w:tcPr>
            <w:tcW w:w="0" w:type="dxa"/>
            <w:vAlign w:val="bottom"/>
          </w:tcPr>
          <w:p>
            <w:pPr>
              <w:spacing w:after="0"/>
              <w:rPr>
                <w:sz w:val="1"/>
                <w:szCs w:val="1"/>
                <w:color w:val="auto"/>
              </w:rPr>
            </w:pPr>
          </w:p>
        </w:tc>
      </w:tr>
      <w:tr>
        <w:trPr>
          <w:trHeight w:val="138"/>
        </w:trPr>
        <w:tc>
          <w:tcPr>
            <w:tcW w:w="2260" w:type="dxa"/>
            <w:vAlign w:val="bottom"/>
            <w:tcBorders>
              <w:right w:val="single" w:sz="8" w:color="auto"/>
            </w:tcBorders>
            <w:shd w:val="clear" w:color="auto" w:fill="BEBEBE"/>
          </w:tcPr>
          <w:p>
            <w:pPr>
              <w:spacing w:after="0"/>
              <w:rPr>
                <w:sz w:val="12"/>
                <w:szCs w:val="12"/>
                <w:color w:val="auto"/>
              </w:rPr>
            </w:pPr>
          </w:p>
        </w:tc>
        <w:tc>
          <w:tcPr>
            <w:tcW w:w="2680" w:type="dxa"/>
            <w:vAlign w:val="bottom"/>
            <w:tcBorders>
              <w:right w:val="single" w:sz="8" w:color="auto"/>
            </w:tcBorders>
            <w:vMerge w:val="continue"/>
          </w:tcPr>
          <w:p>
            <w:pPr>
              <w:spacing w:after="0"/>
              <w:rPr>
                <w:sz w:val="12"/>
                <w:szCs w:val="12"/>
                <w:color w:val="auto"/>
              </w:rPr>
            </w:pPr>
          </w:p>
        </w:tc>
        <w:tc>
          <w:tcPr>
            <w:tcW w:w="6340" w:type="dxa"/>
            <w:vAlign w:val="bottom"/>
          </w:tcPr>
          <w:p>
            <w:pPr>
              <w:ind w:left="20"/>
              <w:spacing w:after="0" w:line="138" w:lineRule="exact"/>
              <w:rPr>
                <w:sz w:val="20"/>
                <w:szCs w:val="20"/>
                <w:color w:val="auto"/>
              </w:rPr>
            </w:pPr>
            <w:r>
              <w:rPr>
                <w:rFonts w:ascii="Arial" w:cs="Arial" w:eastAsia="Arial" w:hAnsi="Arial"/>
                <w:sz w:val="14"/>
                <w:szCs w:val="14"/>
                <w:color w:val="auto"/>
              </w:rPr>
              <w:t>representation of racial and ethnic minorities in our marketing materials and imagery.</w:t>
            </w:r>
          </w:p>
        </w:tc>
        <w:tc>
          <w:tcPr>
            <w:tcW w:w="0" w:type="dxa"/>
            <w:vAlign w:val="bottom"/>
          </w:tcPr>
          <w:p>
            <w:pPr>
              <w:spacing w:after="0"/>
              <w:rPr>
                <w:sz w:val="1"/>
                <w:szCs w:val="1"/>
                <w:color w:val="auto"/>
              </w:rPr>
            </w:pPr>
          </w:p>
        </w:tc>
      </w:tr>
      <w:tr>
        <w:trPr>
          <w:trHeight w:val="144"/>
        </w:trPr>
        <w:tc>
          <w:tcPr>
            <w:tcW w:w="2260" w:type="dxa"/>
            <w:vAlign w:val="bottom"/>
            <w:tcBorders>
              <w:right w:val="single" w:sz="8" w:color="auto"/>
            </w:tcBorders>
            <w:vMerge w:val="restart"/>
            <w:shd w:val="clear" w:color="auto" w:fill="BEBEBE"/>
          </w:tcPr>
          <w:p>
            <w:pPr>
              <w:ind w:left="20"/>
              <w:spacing w:after="0"/>
              <w:rPr>
                <w:sz w:val="20"/>
                <w:szCs w:val="20"/>
                <w:color w:val="auto"/>
              </w:rPr>
            </w:pPr>
            <w:r>
              <w:rPr>
                <w:rFonts w:ascii="Arial" w:cs="Arial" w:eastAsia="Arial" w:hAnsi="Arial"/>
                <w:sz w:val="14"/>
                <w:szCs w:val="14"/>
                <w:color w:val="auto"/>
              </w:rPr>
              <w:t>2. Use our platform to support and</w:t>
            </w:r>
          </w:p>
        </w:tc>
        <w:tc>
          <w:tcPr>
            <w:tcW w:w="2680" w:type="dxa"/>
            <w:vAlign w:val="bottom"/>
            <w:tcBorders>
              <w:right w:val="single" w:sz="8" w:color="auto"/>
            </w:tcBorders>
          </w:tcPr>
          <w:p>
            <w:pPr>
              <w:spacing w:after="0" w:line="145" w:lineRule="exact"/>
              <w:rPr>
                <w:sz w:val="20"/>
                <w:szCs w:val="20"/>
                <w:color w:val="auto"/>
              </w:rPr>
            </w:pPr>
            <w:r>
              <w:rPr>
                <w:rFonts w:ascii="Arial" w:cs="Arial" w:eastAsia="Arial" w:hAnsi="Arial"/>
                <w:sz w:val="14"/>
                <w:szCs w:val="14"/>
                <w:color w:val="auto"/>
              </w:rPr>
              <w:t>racial and ethnic minorities in our</w:t>
            </w:r>
          </w:p>
        </w:tc>
        <w:tc>
          <w:tcPr>
            <w:tcW w:w="6340" w:type="dxa"/>
            <w:vAlign w:val="bottom"/>
            <w:vMerge w:val="restart"/>
          </w:tcPr>
          <w:p>
            <w:pPr>
              <w:ind w:left="20"/>
              <w:spacing w:after="0"/>
              <w:rPr>
                <w:sz w:val="20"/>
                <w:szCs w:val="20"/>
                <w:color w:val="auto"/>
              </w:rPr>
            </w:pPr>
            <w:r>
              <w:rPr>
                <w:rFonts w:ascii="Arial" w:cs="Arial" w:eastAsia="Arial" w:hAnsi="Arial"/>
                <w:sz w:val="14"/>
                <w:szCs w:val="14"/>
                <w:color w:val="auto"/>
              </w:rPr>
              <w:t>With the baseline established, our marketing team is focused on building the capabilities necessary</w:t>
            </w:r>
          </w:p>
        </w:tc>
        <w:tc>
          <w:tcPr>
            <w:tcW w:w="0" w:type="dxa"/>
            <w:vAlign w:val="bottom"/>
          </w:tcPr>
          <w:p>
            <w:pPr>
              <w:spacing w:after="0"/>
              <w:rPr>
                <w:sz w:val="1"/>
                <w:szCs w:val="1"/>
                <w:color w:val="auto"/>
              </w:rPr>
            </w:pPr>
          </w:p>
        </w:tc>
      </w:tr>
      <w:tr>
        <w:trPr>
          <w:trHeight w:val="142"/>
        </w:trPr>
        <w:tc>
          <w:tcPr>
            <w:tcW w:w="2260" w:type="dxa"/>
            <w:vAlign w:val="bottom"/>
            <w:tcBorders>
              <w:right w:val="single" w:sz="8" w:color="auto"/>
            </w:tcBorders>
            <w:vMerge w:val="continue"/>
            <w:shd w:val="clear" w:color="auto" w:fill="BEBEBE"/>
          </w:tcPr>
          <w:p>
            <w:pPr>
              <w:spacing w:after="0"/>
              <w:rPr>
                <w:sz w:val="12"/>
                <w:szCs w:val="12"/>
                <w:color w:val="auto"/>
              </w:rPr>
            </w:pPr>
          </w:p>
        </w:tc>
        <w:tc>
          <w:tcPr>
            <w:tcW w:w="2680" w:type="dxa"/>
            <w:vAlign w:val="bottom"/>
            <w:tcBorders>
              <w:right w:val="single" w:sz="8" w:color="auto"/>
            </w:tcBorders>
          </w:tcPr>
          <w:p>
            <w:pPr>
              <w:spacing w:after="0" w:line="142" w:lineRule="exact"/>
              <w:rPr>
                <w:sz w:val="20"/>
                <w:szCs w:val="20"/>
                <w:color w:val="auto"/>
              </w:rPr>
            </w:pPr>
            <w:r>
              <w:rPr>
                <w:rFonts w:ascii="Arial" w:cs="Arial" w:eastAsia="Arial" w:hAnsi="Arial"/>
                <w:sz w:val="14"/>
                <w:szCs w:val="14"/>
                <w:color w:val="auto"/>
              </w:rPr>
              <w:t>marketing materials and imagery by fiscal</w:t>
            </w:r>
          </w:p>
        </w:tc>
        <w:tc>
          <w:tcPr>
            <w:tcW w:w="6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60" w:type="dxa"/>
            <w:vAlign w:val="bottom"/>
            <w:tcBorders>
              <w:bottom w:val="single" w:sz="8" w:color="auto"/>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amplify diversity in fashion.</w:t>
            </w:r>
          </w:p>
        </w:tc>
        <w:tc>
          <w:tcPr>
            <w:tcW w:w="2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year end 2026.</w:t>
            </w:r>
          </w:p>
        </w:tc>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 increase this number and achieve our goal over the next four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134747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 w:right="60" w:hanging="5"/>
        <w:spacing w:after="0" w:line="239" w:lineRule="auto"/>
        <w:tabs>
          <w:tab w:leader="none" w:pos="118" w:val="left"/>
        </w:tabs>
        <w:numPr>
          <w:ilvl w:val="0"/>
          <w:numId w:val="22"/>
        </w:numPr>
        <w:rPr>
          <w:rFonts w:ascii="Arial" w:cs="Arial" w:eastAsia="Arial" w:hAnsi="Arial"/>
          <w:sz w:val="15"/>
          <w:szCs w:val="15"/>
          <w:color w:val="auto"/>
          <w:vertAlign w:val="superscript"/>
        </w:rPr>
      </w:pPr>
      <w:r>
        <w:rPr>
          <w:rFonts w:ascii="Arial" w:cs="Arial" w:eastAsia="Arial" w:hAnsi="Arial"/>
          <w:sz w:val="11"/>
          <w:szCs w:val="11"/>
          <w:i w:val="1"/>
          <w:iCs w:val="1"/>
          <w:color w:val="auto"/>
        </w:rPr>
        <w:t xml:space="preserve">Racial and ethnic minorities </w:t>
      </w:r>
      <w:r>
        <w:rPr>
          <w:rFonts w:ascii="Arial" w:cs="Arial" w:eastAsia="Arial" w:hAnsi="Arial"/>
          <w:sz w:val="11"/>
          <w:szCs w:val="11"/>
          <w:color w:val="auto"/>
        </w:rPr>
        <w:t>refers to American Indian or Alaskan Native, Asian, Black or African American, Hispanic/Latino, Native Hawaiian or other Pacific Islander, Middle Eastern or North African, or two or more races.</w:t>
      </w:r>
      <w:r>
        <w:rPr>
          <w:rFonts w:ascii="Arial" w:cs="Arial" w:eastAsia="Arial" w:hAnsi="Arial"/>
          <w:sz w:val="11"/>
          <w:szCs w:val="11"/>
          <w:i w:val="1"/>
          <w:iCs w:val="1"/>
          <w:color w:val="auto"/>
        </w:rPr>
        <w:t xml:space="preserve"> </w:t>
      </w:r>
      <w:r>
        <w:rPr>
          <w:rFonts w:ascii="Arial" w:cs="Arial" w:eastAsia="Arial" w:hAnsi="Arial"/>
          <w:sz w:val="11"/>
          <w:szCs w:val="11"/>
          <w:color w:val="auto"/>
        </w:rPr>
        <w:t>While we recognize that these racial and ethnic categories do not reflect the complexities of an individual's identity nor do they acknowledge the systemic and historical exclusion of these communities, we use these categories for reporting as required by the U.S. Equal Opportunity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436880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5"/>
          </w:cols>
          <w:pgMar w:left="295" w:top="80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15</w:t>
      </w:r>
    </w:p>
    <w:p>
      <w:pPr>
        <w:sectPr>
          <w:pgSz w:w="11880" w:h="15480" w:orient="portrait"/>
          <w:cols w:equalWidth="0" w:num="1">
            <w:col w:w="11285"/>
          </w:cols>
          <w:pgMar w:left="295" w:top="803" w:right="299" w:bottom="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Seasonality</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experience seasonality in our business.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 -19)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typically sees a moderate increase in active subscriber count compared to the first quarter, except in fiscal year 2022 which saw a significant increase post-Omicron variant in the first quarter and in light of the adverse impact of the price increase of our Subscription programs in April 2022.</w:t>
      </w:r>
    </w:p>
    <w:p>
      <w:pPr>
        <w:spacing w:after="0" w:line="99"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Our seasonality trends have seen effects from COVID-19 and the macro environment generally and may continue to do so in the future. For example, subscriber trends and revenue have been impacted by fewer large-scale holiday and special events compared to pre-COVID-19, especially those typically occurring in the third and fourth quarters.</w:t>
      </w:r>
    </w:p>
    <w:p>
      <w:pPr>
        <w:spacing w:after="0" w:line="13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higher service levels, such as more costly and expedited shipping, and competition during holidays. Our most significant product capital expenditures typically occur in the first</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fiscal quarter and the third fiscal quarter, when we acquire product for the upcoming fall and spring seasons, which can increase rental product depreciation and revenue share and impact our gross margins. However, the impact on cash is typically dependent on timing of receipt of product.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Relating To Our Business and Industry — Our business is affected by seasonality.”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Competition</w:t>
      </w:r>
    </w:p>
    <w:p>
      <w:pPr>
        <w:spacing w:after="0" w:line="20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The fashion industry is highly fragmented and competitive. Our competitors include other fashion rental companies and also a range of traditional and online retail and resale fashion companies. Our ability to remain competitive depends on the continued shift from an ownership to an access model. While other competitors may change their business models and endeavor to expand into the rental and resale space, online fashion rental and resale presents unique operational and technical challenges.</w:t>
      </w:r>
    </w:p>
    <w:p>
      <w:pPr>
        <w:spacing w:after="0" w:line="15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compete primarily on the basis of brand recognition, customer and brand partner experience, product mix and quality, quality of our e-commerce experiences and services, and price. Additionally, we experience competition for consumer discretionary spending from other product and experiential categories. We believe we are able to compete effectively because there are numerous trends in our favor that support the continued growth and success of online fashion rental. For example, key trends include consumers prioritizing access over ownership, consumers increasingly seeking variety and newness, growth in online shopping, an increasingly female workforce, and consumers valuing sustainability as it relates to fashion choices. See the section of Part I, Item 1A titled “Risk Factors — Risks Relating To Our Business and Industry — The global fashion industry is highly competitive and rapidly changing, and we may not be able to compete effectively.”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Government Regulation</w:t>
      </w:r>
    </w:p>
    <w:p>
      <w:pPr>
        <w:spacing w:after="0" w:line="200"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are subject to a wide variety of complex laws and regulations in the United States and other jurisdictions in which we operate. The laws and regulations govern many issues related to our business practices, including those regarding consumer protection, worker classification, wage and hour, sick pay and leaves of absence, anti-discrimination and harassment, whistleblower protections, background checks, privacy, data security, intellectual property, health and safety, environmental, competition, fees and payments, pricing, product liability and disclosures, property damage, communications, employee benefits, taxation, unionization and collective bargaining, contracts, arbitration agreements, class action waivers, terms of service, and accessibility of our mobile app or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557530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6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w:t>
      </w:r>
    </w:p>
    <w:p>
      <w:pPr>
        <w:sectPr>
          <w:pgSz w:w="11880" w:h="15480" w:orient="portrait"/>
          <w:cols w:equalWidth="0" w:num="1">
            <w:col w:w="11260"/>
          </w:cols>
          <w:pgMar w:left="300" w:top="761" w:right="319" w:bottom="0" w:gutter="0" w:footer="0" w:header="0"/>
          <w:type w:val="continuous"/>
        </w:sectPr>
      </w:pPr>
    </w:p>
    <w:bookmarkStart w:id="24" w:name="page25"/>
    <w:bookmarkEnd w:id="24"/>
    <w:p>
      <w:pPr>
        <w:ind w:right="20"/>
        <w:spacing w:after="0" w:line="265" w:lineRule="auto"/>
        <w:rPr>
          <w:sz w:val="20"/>
          <w:szCs w:val="20"/>
          <w:color w:val="auto"/>
        </w:rPr>
      </w:pPr>
      <w:r>
        <w:rPr>
          <w:rFonts w:ascii="Arial" w:cs="Arial" w:eastAsia="Arial" w:hAnsi="Arial"/>
          <w:sz w:val="14"/>
          <w:szCs w:val="14"/>
          <w:color w:val="auto"/>
        </w:rPr>
        <w:t>These laws and regulations are constantly evolving and may be interpreted, applied, created, superseded, or amended in a manner that could harm our business. These changes may occur immediately or develop over time through judicial decisions or as new guidance or interpretations are provided by regulatory and governing bodies, such as federal, state and local administrative agencies. As we expand our business into new markets or introduce new features or offerings into existing markets, regulatory bodies or courts may claim that we are subject to additional requirements, or that we are prohibited from conducting business in certain jurisdictions.</w:t>
      </w:r>
    </w:p>
    <w:p>
      <w:pPr>
        <w:spacing w:after="0" w:line="15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Additionally, because we receive, use, store, transmit, and disclose personal data relating to customers on our platform, we are subject to numerous laws and regulations in the United States and other countries where we do business, as well as industry standards, relating to privacy, data security and data protection, direct marketing, and online advertising. Such laws, regulations, and industry standards include, but are not limited to, Section 5(a) of the Federal Trade Commission Act, the Telephone Consumer Protection Act of 1991 and all regulations promulgated thereunder, the Controlling the Assault of Non-Solicited Pornography And Marketing Act of 2003, the California Consumer Privacy Act of 2018, the California Privacy Rights Act of 2020, the California Online Privacy Protection Act, and the Payment Card Industry (“PCI”) Data Security Standard.</w:t>
      </w:r>
    </w:p>
    <w:p>
      <w:pPr>
        <w:spacing w:after="0" w:line="161"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See Part I, Item 1A, “Risk Factors — Risks Related to Our Legal and Regulatory Environment” for additional information about the laws and regulations we are subject to and the risks to our business associated with such laws and regulations.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Intellectual Property</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Our intellectual property is an important component of our business. We rely on a combination of trademarks, copyrights, patents, trade secrets, license agreements, confidentiality procedures, non-disclosure agreements, employee non-disclosure and invention assignment agreements, and other legal and contractual rights, and policies and procedures, to establish and protect our proprietary rights.</w:t>
      </w:r>
    </w:p>
    <w:p>
      <w:pPr>
        <w:spacing w:after="0" w:line="1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As of January 31, 2023, we had five issued patents in the United States that expire between 2031 and 2038, no allowed patent applications in the United States, and one patent application (including active PCT applications) pending in the United States and globally. While we believe our patents and patent applications in the aggregate enhance our competitive position, no single patent or patent application is material to us as a whole.</w:t>
      </w:r>
    </w:p>
    <w:p>
      <w:pPr>
        <w:spacing w:after="0" w:line="155"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We register our brand names and product names, taglines and logos in the United States to the extent we determine appropriate and cost-effective. As of January 31, 2023, we had a total of 26 registered trademarks in the United States and 60 registered trademarks in non-U.S. jurisdictions, as well as certain pending trademark applications. As of January 31, 2023, we had also registered a total of 12 copyrights. We also register domain names for certain websites that we use in our business, such as www.renttherunway.com, as well as similar variations to protect our brands and marks from cybersquatters.</w:t>
      </w:r>
    </w:p>
    <w:p>
      <w:pPr>
        <w:spacing w:after="0" w:line="15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control access to and use of our proprietary technology and other confidential information through the use of internal and external controls, including contractual protections with employees, contractors, customers, and partners. It is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in order to limit access to, and disclosure and use of, our confidential information and proprietary information. We further control the use of our proprietary technology and intellectual property through provisions in our terms of service. We intend to pursue additional actions to establish and protect our intellectual property rights to the extent we believe it would be beneficial and cost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1165225</wp:posOffset>
            </wp:positionV>
            <wp:extent cx="3238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6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sectPr>
          <w:pgSz w:w="11880" w:h="15480" w:orient="portrait"/>
          <w:cols w:equalWidth="0" w:num="1">
            <w:col w:w="11260"/>
          </w:cols>
          <w:pgMar w:left="300" w:top="761" w:right="319" w:bottom="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4"/>
          <w:szCs w:val="14"/>
          <w:b w:val="1"/>
          <w:bCs w:val="1"/>
          <w:color w:val="auto"/>
        </w:rPr>
        <w:t>Employees and Human Capital Resources</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As of January 31, 2023, we had a total of 880 full-time employees and 135 part-time employees in the United States and Ireland. As of January 31, 2023, our technology team consisted of 182 employees, across engineering, data analytics, IT, product, software quality assurance, user experience and design, including a team of 63 in Galway, Ireland, primarily in engineering and data analytics. None of our employees are represented by a labor union or covered by collective bargaining agreements and we have not experienced any work stoppages.</w:t>
      </w:r>
    </w:p>
    <w:p>
      <w:pPr>
        <w:spacing w:after="0" w:line="159"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strive to make Rent the Runway a diverse, inclusive, and safe workplace, with opportunities for our employees to grow and develop in their careers, supported by competitive compensation and benefits programs. Our culture is underpinned by our Core Values, including that we are all Founders of Rent the Runway, and we all Dream BIG and go after it, adapt and learn from everything we do and debating, honest conversations and collaborating make the company stronger.</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See “Our ESG (Environmental, Social and Governance) Impact Strategy” for more information about our values, goals and human capital measures and objectives.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Corporate Information</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 were incorporated as Rent the Runway, Inc. in Delaware on March 3, 2009. We completed our initial public offering (“IPO”) in October 2021. For additional information regarding reclassification of our stockholder equity in connection with our IPO, see Note 2 - Summary of Significant Accounting Policies in the Notes to the Consolidated Financial Statements included in Part II, Item 8. Our Class A common stock trades on The Nasdaq Global Select Market (“Nasdaq”) under the symbol RENT. Our principal executive offices are located at 10 Jay Street, Brooklyn, New York 11201 and our website address is www.renttherunway.com.</w:t>
      </w:r>
    </w:p>
    <w:p>
      <w:pPr>
        <w:spacing w:after="0" w:line="170"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color w:val="auto"/>
        </w:rPr>
        <w:t>We provide free access to various reports that we file with, or furnish to, the United States Securities and Exchange Commission (the “SEC”) through our website, as soon as reasonably practicable after they have been filed or furnished. These reports include, but are not limited to, our annual reports on Form 10-K, quarterly reports on Form 10-Q, current reports on Form 8-K, and any amendments to those reports. Our SEC reports can also be accessed through the SEC's website at www.sec.gov. Also available on our website are printable versions of our Code of Conduct, Corporate Governance Guidelines and charters of the standing committees of our board of directors.</w:t>
      </w:r>
    </w:p>
    <w:p>
      <w:pPr>
        <w:spacing w:after="0" w:line="15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Our Code of Conduct applies to all of our directors, officers and employees, including our principal executive officer, principal financial officer, principal accounting officer and controller, or persons performing similar functions. A copy of the code is available on our Investor Relations website at investors.renttherunway.com in the “Governance” section. In addition, we intend to post on our website all disclosures that are required by law or by Nasdaq rules concerning any amendments to, or waivers from, any provision of our Code of Conduct.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our website does not constitute part of this Annual Report on Form 10-K or any other report we file or furnish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703580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76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w:t>
      </w:r>
    </w:p>
    <w:p>
      <w:pPr>
        <w:sectPr>
          <w:pgSz w:w="11880" w:h="15480" w:orient="portrait"/>
          <w:cols w:equalWidth="0" w:num="1">
            <w:col w:w="11240"/>
          </w:cols>
          <w:pgMar w:left="300" w:top="761" w:right="339" w:bottom="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Annual Report on Form 10-K, including our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9" w:lineRule="exact"/>
        <w:rPr>
          <w:sz w:val="20"/>
          <w:szCs w:val="20"/>
          <w:color w:val="auto"/>
        </w:rPr>
      </w:pPr>
    </w:p>
    <w:p>
      <w:pPr>
        <w:jc w:val="both"/>
        <w:ind w:right="180"/>
        <w:spacing w:after="0" w:line="299" w:lineRule="auto"/>
        <w:rPr>
          <w:sz w:val="20"/>
          <w:szCs w:val="20"/>
          <w:color w:val="auto"/>
        </w:rPr>
      </w:pPr>
      <w:r>
        <w:rPr>
          <w:rFonts w:ascii="Arial" w:cs="Arial" w:eastAsia="Arial" w:hAnsi="Arial"/>
          <w:sz w:val="14"/>
          <w:szCs w:val="14"/>
          <w:b w:val="1"/>
          <w:bCs w:val="1"/>
          <w:i w:val="1"/>
          <w:iCs w:val="1"/>
          <w:color w:val="auto"/>
        </w:rPr>
        <w:t>We have grown rapidly in recent years and have limited experience at our current scale of operations and our historical growth rates are not necessarily indicative of our future performance. 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have grown rapidly over the last several years, due in large part to the growth in demand for our Subscription offerings, however, our recent growth rates and financial performance should not necessarily be considered indicative of our future performance. To effectively manage and capitalize on our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a diverse and growing employee base. Failure to scale and preserve our company culture as we grow could also harm our future success, including our ability to retain and recruit personnel and to effectively focus on and pursue our corporate objectives.</w:t>
      </w:r>
    </w:p>
    <w:p>
      <w:pPr>
        <w:spacing w:after="0" w:line="14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 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growth rate slowed year over year as of January 31, 2023. In addition, we presently anticipate our revenue growth rate to slow in fiscal year 2023. If our growth rates continue to decelerate, investors’ perception of our business, financial condition and results of operations may be adversely affected.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60" w:hanging="183"/>
        <w:spacing w:after="0"/>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60" w:hanging="183"/>
        <w:spacing w:after="0" w:line="290" w:lineRule="auto"/>
        <w:tabs>
          <w:tab w:leader="none" w:pos="5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461010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880" w:h="15480" w:orient="portrait"/>
          <w:cols w:equalWidth="0" w:num="1">
            <w:col w:w="11260"/>
          </w:cols>
          <w:pgMar w:left="300" w:top="1015" w:right="319" w:bottom="0" w:gutter="0" w:footer="0" w:header="0"/>
          <w:type w:val="continuous"/>
        </w:sectPr>
      </w:pPr>
    </w:p>
    <w:bookmarkStart w:id="27" w:name="page28"/>
    <w:bookmarkEnd w:id="27"/>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60" w:right="66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60" w:right="16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maintaining and growing our Share by RTR and Exclusive Design offerings;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 efficient in our paid marketing;</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60" w:right="8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60" w:right="18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60" w:right="10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network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60" w:right="260" w:hanging="183"/>
        <w:spacing w:after="0" w:line="290" w:lineRule="auto"/>
        <w:tabs>
          <w:tab w:leader="none" w:pos="556" w:val="left"/>
        </w:tabs>
        <w:numPr>
          <w:ilvl w:val="0"/>
          <w:numId w:val="24"/>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results of operations.</w:t>
      </w:r>
    </w:p>
    <w:p>
      <w:pPr>
        <w:spacing w:after="0" w:line="138"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operating expenses, difficulties, complications, delays, and other unknown factors that may result in losses in future periods. If our revenue growth does not meet our expectations in future periods, our business, financial condition, and results of operations may be harmed, and we may not achieve or sustain profitability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380"/>
        <w:spacing w:after="0"/>
        <w:tabs>
          <w:tab w:leader="none" w:pos="540" w:val="left"/>
        </w:tabs>
        <w:rPr>
          <w:sz w:val="20"/>
          <w:szCs w:val="20"/>
          <w:color w:val="auto"/>
        </w:rPr>
      </w:pPr>
      <w:r>
        <w:rPr>
          <w:rFonts w:ascii="Arial" w:cs="Arial" w:eastAsia="Arial" w:hAnsi="Arial"/>
          <w:sz w:val="14"/>
          <w:szCs w:val="14"/>
          <w:color w:val="auto"/>
        </w:rPr>
        <w:t>•</w:t>
        <w:tab/>
        <w:t>our ability to normalize fashion rental and change traditional retail shopping habits and norms;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461645</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84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w:t>
      </w:r>
    </w:p>
    <w:p>
      <w:pPr>
        <w:sectPr>
          <w:pgSz w:w="11880" w:h="15480" w:orient="portrait"/>
          <w:cols w:equalWidth="0" w:num="1">
            <w:col w:w="11240"/>
          </w:cols>
          <w:pgMar w:left="300" w:top="845" w:right="339" w:bottom="0" w:gutter="0" w:footer="0" w:header="0"/>
          <w:type w:val="continuous"/>
        </w:sectPr>
      </w:pPr>
    </w:p>
    <w:bookmarkStart w:id="28" w:name="page29"/>
    <w:bookmarkEnd w:id="28"/>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and attract and retain customers;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price at which we are able to offer our Subscription, Reserve and Resale offerings;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60" w:right="220" w:hanging="183"/>
        <w:spacing w:after="0" w:line="290" w:lineRule="auto"/>
        <w:tabs>
          <w:tab w:leader="none" w:pos="5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Furthermore, we are revolutionizing the fashion industry by changing the way women get dressed.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40"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failure to achieve broad acceptance and changes in the fashion retail markets could result in lost market share and have a material adverse effect on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424815</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84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ectPr>
          <w:pgSz w:w="11880" w:h="15480" w:orient="portrait"/>
          <w:cols w:equalWidth="0" w:num="1">
            <w:col w:w="11240"/>
          </w:cols>
          <w:pgMar w:left="300" w:top="845" w:right="339" w:bottom="0" w:gutter="0" w:footer="0" w:header="0"/>
          <w:type w:val="continuous"/>
        </w:sectPr>
      </w:pPr>
    </w:p>
    <w:bookmarkStart w:id="29" w:name="page30"/>
    <w:bookmarkEnd w:id="29"/>
    <w:p>
      <w:pPr>
        <w:ind w:right="72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due to the COVID-19 pandemic and recent volatile macroeconomic environment and have seen negative impacts on customer demand at varying levels as a result.</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or acute recession, significant inflation, or increased supply chain shortages, consumer spending habits could be adversely affected, and we could experience lower than expected revenue, net income,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27"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require significant investment in paid marketing channels.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21"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In fiscal year 2022, as we have increased paid marketing spend, we have seen an increase in the proportion of new customers attributed to paid channels. Our current marketing initiatives are focused on re-engaging lapsed and paused customers, retaining existing customers and growing our base of new customers. Although we expect to make significant investments in improving the customer experience going forward, these investments may not result in an increase in customer loyalty or higher customer engagement. As a result, our levels of paid and organic growth may continue to fluctuate and/or overall growth may decline.</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Paid marketing is a key part of our growth strategy and we have increased our spending and plan to continue to increase spending and run marketing campaigns to acquire additional subscribers and customers, all of which could impact our customer acquisition costs and overall profitability. We also utilize promotional pricing to attract customers and subscribers who may have heightened price sensitivity and not be willing to pay full price for our offering when the promotion period expires. We may incur marketing expenses significantly in advance of the time we anticipate recognized revenue associated with such expenses. In addition, our paid marketing may not effectively reach potential customers or be cost-effective, changes in regulations or third-party interference could limit the ability of search engines and social media platforms for marketing, potential customers may decide not to rent through our platform or the spend of new customers may not yield the intended return on investment, any of which could negatively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438150</wp:posOffset>
            </wp:positionV>
            <wp:extent cx="3238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22</w:t>
      </w:r>
    </w:p>
    <w:p>
      <w:pPr>
        <w:sectPr>
          <w:pgSz w:w="11880" w:h="15480" w:orient="portrait"/>
          <w:cols w:equalWidth="0" w:num="1">
            <w:col w:w="11260"/>
          </w:cols>
          <w:pgMar w:left="300" w:top="1017" w:right="319" w:bottom="0" w:gutter="0" w:footer="0" w:header="0"/>
          <w:type w:val="continuous"/>
        </w:sectPr>
      </w:pPr>
    </w:p>
    <w:bookmarkStart w:id="30" w:name="page31"/>
    <w:bookmarkEnd w:id="30"/>
    <w:p>
      <w:pPr>
        <w:ind w:right="60"/>
        <w:spacing w:after="0" w:line="262" w:lineRule="auto"/>
        <w:rPr>
          <w:sz w:val="20"/>
          <w:szCs w:val="20"/>
          <w:color w:val="auto"/>
        </w:rPr>
      </w:pPr>
      <w:r>
        <w:rPr>
          <w:rFonts w:ascii="Arial" w:cs="Arial" w:eastAsia="Arial" w:hAnsi="Arial"/>
          <w:sz w:val="14"/>
          <w:szCs w:val="14"/>
          <w:color w:val="auto"/>
        </w:rPr>
        <w:t>In addition,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and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quality, consumer appeal, price, and reliability of our offerings;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and rental product availability;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site speed and reliability;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unpredictable nature of the continued impact of the COVID-19 pandemic or a future outbreak of disease or similar public health concern;</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failure (or perceived failure) to meet customer expectations regarding our environmental, social and governance (“ESG”), initiatives;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changes in efficiency of our historic or current customer acquisition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461645</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845"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sectPr>
          <w:pgSz w:w="11880" w:h="15480" w:orient="portrait"/>
          <w:cols w:equalWidth="0" w:num="1">
            <w:col w:w="11220"/>
          </w:cols>
          <w:pgMar w:left="300" w:top="845" w:right="359" w:bottom="0" w:gutter="0" w:footer="0" w:header="0"/>
          <w:type w:val="continuous"/>
        </w:sectPr>
      </w:pPr>
    </w:p>
    <w:bookmarkStart w:id="31" w:name="page32"/>
    <w:bookmarkEnd w:id="31"/>
    <w:p>
      <w:pPr>
        <w:ind w:left="60" w:right="20"/>
        <w:spacing w:after="0" w:line="256" w:lineRule="auto"/>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negative publicity may be generated and word-of-mouth and other referrals may be hampered. For example, in April 2022 we announced a price increase for our subscription plans. Based on performance and additional data in the third and fourth quarters of fiscal year 2022, we believe that the April price increase was a significant negative contributor to subscriber pause and retention levels, and to a lesser extent, subscriber acquisition, in the second quarter of fiscal year 2022, in addition to seasonality and other potential macroeconomic factors. We saw improvement in these trends in the second half of fiscal year 2022; however, these improvements may not be sustained. If our customers no longer perceive our subscription plans as appropriately priced and cancel or pause their subscriptions, our business and financial results could be harmed. We are focused on investing in our customer and delivering even more value to her, including by adding an extra item to each shipment beginning in the first quarter of fiscal year 2023, and emphasizing the value proposition of our offering in our marketing materials; however these or other initiatives to retain customers may not be successful and may require additional costs or lead to unanticipated consequences. 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 priced rentals, our financial results could be negatively affected.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had a net loss of $(138.7) million and $(211.8) million for the years ended January 31, 2023 and 2022, respectively, and have in the past had net losses. As of January 31, 2023, we had an accumulated deficit of $(939.9) million. Because we have a short operating history at scale, it is difficult for us to predict our future operating results. We will need to generate and sustain increased revenue and manage our costs to achieve profitability. Even if we do, we may not be able to sustain or increase our profitability.</w:t>
      </w:r>
    </w:p>
    <w:p>
      <w:pPr>
        <w:spacing w:after="0" w:line="13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fiscal year 2022, we took significant steps to reduce our operating costs, improve our margins, and make progress towards profitability, which is an important financial goal for us over time. Nevertheless, our efforts may be unsuccessful and we may continue to generate net losses in order to:</w:t>
      </w:r>
    </w:p>
    <w:p>
      <w:pPr>
        <w:spacing w:after="0" w:line="49" w:lineRule="exact"/>
        <w:rPr>
          <w:sz w:val="20"/>
          <w:szCs w:val="20"/>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acquire rental product, which impacts rental product depreciation and revenue share expenses;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develop new offerings;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may discover unanticipated operating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3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880" w:h="15480" w:orient="portrait"/>
          <w:cols w:equalWidth="0" w:num="1">
            <w:col w:w="11280"/>
          </w:cols>
          <w:pgMar w:left="300" w:top="930" w:right="29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our business could be harmed</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53"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For example, during the second quarter of fiscal year 2022, there was higher than expected usage of high formality apparel, which may have constrained the availability of these items and our ability to meet demand. In addition, external events may disrupt or change customer preferences and behaviors in ways we are not able to anticipate. We have observed that our customers live, work, socialize and travel differently than they did prior to the COVID-19 pandemic and this influences what they wear.</w:t>
      </w:r>
    </w:p>
    <w:p>
      <w:pPr>
        <w:spacing w:after="0" w:line="138"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380"/>
        <w:spacing w:after="0" w:line="271"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To the extent we misjudge the market for the service we offer or fail to execute on trends and deliver attractive products to customers, we may not attract and retain customers effectively and our operating results will be adversely affected.</w:t>
      </w:r>
    </w:p>
    <w:p>
      <w:pPr>
        <w:spacing w:after="0" w:line="221"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currently rely on several third-party national and regional shipping vendors for our outbound and inbound logistics. A substantial portion of our shipments to and from customers are currently conducted through a single vendor; however, we continue to focus on optimizing our provider network based on customer experience and cost and we cannot predict how changes and transitions may impact our costs and our customer sentiment and satisfaction.</w:t>
      </w:r>
    </w:p>
    <w:p>
      <w:pPr>
        <w:spacing w:after="0" w:line="134"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3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 delivery by our shipping vendors. If our customers do not receive their orders in good condition or on time, they could become dissatisfied and cease using our services, which would adversely affect our business and operating results. Our shipping vendors have faced and may continue to face increased volumes which, in turn, has caused and could in the future cause a decrease in their service levels, including shipping delays, or result in an increase of their prices. We have recently experienced increased shipping costs, and these costs may continue to increase in the future. Increases in shipping costs or other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1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w:t>
      </w:r>
    </w:p>
    <w:p>
      <w:pPr>
        <w:sectPr>
          <w:pgSz w:w="11880" w:h="15480" w:orient="portrait"/>
          <w:cols w:equalWidth="0" w:num="1">
            <w:col w:w="11240"/>
          </w:cols>
          <w:pgMar w:left="300" w:top="1015" w:right="339" w:bottom="0" w:gutter="0" w:footer="0" w:header="0"/>
          <w:type w:val="continuous"/>
        </w:sectPr>
      </w:pPr>
    </w:p>
    <w:bookmarkStart w:id="33" w:name="page34"/>
    <w:bookmarkEnd w:id="33"/>
    <w:p>
      <w:pPr>
        <w:ind w:right="20"/>
        <w:spacing w:after="0" w:line="262" w:lineRule="auto"/>
        <w:rPr>
          <w:sz w:val="20"/>
          <w:szCs w:val="20"/>
          <w:color w:val="auto"/>
        </w:rPr>
      </w:pPr>
      <w:r>
        <w:rPr>
          <w:rFonts w:ascii="Arial" w:cs="Arial" w:eastAsia="Arial" w:hAnsi="Arial"/>
          <w:sz w:val="14"/>
          <w:szCs w:val="14"/>
          <w:color w:val="auto"/>
        </w:rPr>
        <w:t>In addition to offering the ability to return products by dropping off items with third-party shipping vendors, we now offer at-home pickup for customers located in 34 markets to return their orders as of January 31, 2023. We believe at-home pickup is more convenient for many customers and is more cost-effective for us. Although we have had positive customer feedback and adoption to date, at-home pickup is a new offering and may not be successful over the long-term. In the event that we do not successfully and cost-effectively manage at-home pickup logistics, it will make it more difficult for us to satisfy our customers and efficiently manage shipping costs, which will negatively affect our brand, financial condition and results of operations.</w:t>
      </w:r>
    </w:p>
    <w:p>
      <w:pPr>
        <w:spacing w:after="0" w:line="227" w:lineRule="exact"/>
        <w:rPr>
          <w:sz w:val="20"/>
          <w:szCs w:val="20"/>
          <w:color w:val="auto"/>
        </w:rPr>
      </w:pPr>
    </w:p>
    <w:p>
      <w:pPr>
        <w:ind w:right="300"/>
        <w:spacing w:after="0" w:line="299" w:lineRule="auto"/>
        <w:rPr>
          <w:sz w:val="20"/>
          <w:szCs w:val="20"/>
          <w:color w:val="auto"/>
        </w:rPr>
      </w:pPr>
      <w:r>
        <w:rPr>
          <w:rFonts w:ascii="Arial" w:cs="Arial" w:eastAsia="Arial" w:hAnsi="Arial"/>
          <w:sz w:val="14"/>
          <w:szCs w:val="14"/>
          <w:b w:val="1"/>
          <w:bCs w:val="1"/>
          <w:i w:val="1"/>
          <w:iCs w:val="1"/>
          <w:color w:val="auto"/>
        </w:rPr>
        <w:t>If we are unable to accurately forecast customer demand, acquire and manage our products effectively and plan for future expenses, our operating results could be adversely affected.</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on a timely basis. We typically do not enter into long-term contracts with our brand and manufacturing partners and, as such, we operate without significant contractual assurances of continued supply, pricing or access to products. Although we believe we have had limited voluntary attrition of brand partners to date, a brand partner could choose to no longer work with us or provide less favorable terms for a variety of reasons, including current market and supply chain conditions.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14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have been focused on expanding our relationships with brand partners and continuing to work to increase the proportion of our products procured under Exclusive Designs arrangements, which reduces our purchases of rental product. For our Exclusive Designs, RTR generally sources the materials and relies upon third-party manufacturing partners to produce products. For Wholesale and Share by RTR items, entering into contracts in advance of a particular season requires brand partners to agree to incur costs related to sourcing and manufacturing products before we have paid for them, which requires the brand partners to continue to trust us. If we were viewed as less financially viable, we may receive less favorable terms and conditions from our brand partners, including requiring upfront payments or other demonstrations of credit. The cash flow benefits we currently experience from our brand partners’ willingness to revenue share could be adversely affected if revenue share terms change or if brand partners no longer wish to revenue share due to (1) lack of trust in us, (2) lack of revenue earned in comparison to the projections we provided, or (3)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440690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3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880" w:h="15480" w:orient="portrait"/>
          <w:cols w:equalWidth="0" w:num="1">
            <w:col w:w="11280"/>
          </w:cols>
          <w:pgMar w:left="300" w:top="930" w:right="299" w:bottom="0" w:gutter="0" w:footer="0" w:header="0"/>
          <w:type w:val="continuous"/>
        </w:sectPr>
      </w:pPr>
    </w:p>
    <w:bookmarkStart w:id="34" w:name="page35"/>
    <w:bookmarkEnd w:id="34"/>
    <w:p>
      <w:pPr>
        <w:ind w:right="60"/>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Russia’s invasion of Ukraine have led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4"/>
          <w:szCs w:val="14"/>
          <w:color w:val="auto"/>
        </w:rPr>
        <w:t>We also rely on our merchandising team to order styles that our customers will rent and we rely on our data science to inform the levels of and which products we purchase, including when to reorder items that are renting well and when to sell or write-off items that are not renting well. If our teams do not predict customer demand and tastes well or if our algorithms do not help us reorder the right products or write off the right products timely, we may not effectively manage our products and our operating results could be adversely affected.</w:t>
      </w:r>
    </w:p>
    <w:p>
      <w:pPr>
        <w:spacing w:after="0" w:line="30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55"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could harm our reputation, customer trust and referrals of our services, brand partner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3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880" w:h="15480" w:orient="portrait"/>
          <w:cols w:equalWidth="0" w:num="1">
            <w:col w:w="11280"/>
          </w:cols>
          <w:pgMar w:left="300" w:top="930" w:right="299" w:bottom="0" w:gutter="0" w:footer="0" w:header="0"/>
          <w:type w:val="continuous"/>
        </w:sectPr>
      </w:pPr>
    </w:p>
    <w:bookmarkStart w:id="35" w:name="page36"/>
    <w:bookmarkEnd w:id="35"/>
    <w:p>
      <w:pPr>
        <w:ind w:right="6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600"/>
        <w:spacing w:after="0" w:line="299" w:lineRule="auto"/>
        <w:rPr>
          <w:sz w:val="20"/>
          <w:szCs w:val="20"/>
          <w:color w:val="auto"/>
        </w:rPr>
      </w:pPr>
      <w:r>
        <w:rPr>
          <w:rFonts w:ascii="Arial" w:cs="Arial" w:eastAsia="Arial" w:hAnsi="Arial"/>
          <w:sz w:val="14"/>
          <w:szCs w:val="14"/>
          <w:b w:val="1"/>
          <w:bCs w:val="1"/>
          <w:i w:val="1"/>
          <w:iCs w:val="1"/>
          <w:color w:val="auto"/>
        </w:rPr>
        <w:t>If we are not able to improve our website and mobile app performance, keep pace with technological changes, enhance our current offerings, and develop new offerings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For example, we are currently focused on improving the performance of our website and mobile application for our customers, including increasing site speed and reliability; however, our efforts may be unsuccessful. The technologies that we currently use to support our business platform may become inadequate or obsolete, and the cost of incorporating new technologies into our offerings and services may be substantial.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drive efficiencies in our operations, our business, results of operations and financial condition could be harmed.</w:t>
      </w:r>
    </w:p>
    <w:p>
      <w:pPr>
        <w:spacing w:after="0" w:line="143"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2021, we phased out our “unlimited swaps” subscription plan and shifted to our current subscription plans with different price points based on usage. In addition, our at-home pickup offering offers customers in certain markets a new way to return their items without going to a physical drop off location. In March 2023, we changed our subscription programs to provide customers with one additional item per shipment at no extra charge, which is intended to provide more value to our customers and increase retention. These new plans and offerings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historical experience.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3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ectPr>
          <w:pgSz w:w="11880" w:h="15480" w:orient="portrait"/>
          <w:cols w:equalWidth="0" w:num="1">
            <w:col w:w="11260"/>
          </w:cols>
          <w:pgMar w:left="300" w:top="930" w:right="319" w:bottom="0" w:gutter="0" w:footer="0" w:header="0"/>
          <w:type w:val="continuous"/>
        </w:sectPr>
      </w:pPr>
    </w:p>
    <w:bookmarkStart w:id="36" w:name="page37"/>
    <w:bookmarkEnd w:id="36"/>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heavily on the Internet, in-house proprietary technology, third-party software and infrastructure, and customized off-the-shelf technology solutions across our business (collectively, our “IT Systems”). Our ability to effectively manage all areas of our business, particularly our product management and fulfillment operations, depends significantly on the reliability and capacity of these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similar outages or other disruptions may occur in the future, which could harm our ability to meet customer expectations, fulfill orders, manage our products, and achieve our objectives for operating efficiencies and profitability.</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technology underlying our platform is highly interconnected and complex and may contain undetected errors or vulnerabilities. Due to the interconnected nature of the software underlying our platform, updates to parts of our code, third-party code, and application programming interfaces, on which we rely and that maintain the functionality of our systems, could have an unintended impact on other sections of our code, which may result in errors or vulnerabilities to our platform that negatively impact the customer experience and functionality of our offerings. In some cases, such as our mobile application, errors may only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systems are increasingly reliant on machine learning systems, which are complex and may have errors or inadequacies that are not easily detectable. These systems may inadvertently reduce the efficiency of our systems, or may cause unintentional or unexpected outputs that are incorrect, do not match our business goals, do not comply with our policies, or otherwise are inconsistent with our brand, guiding principles and mission. Any errors or vulnerabilities discovered in our code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The secure processing, maintenance and transmission of this information is critical to our operations. Our IT Systems and those of our service providers and business partners may be subject to damage or interruption from cyber attacks,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may have to upgrade our existing IT Systems or choose to incorporate new technology systems from time to time in order for such systems to support the increasing needs of our expanding business. Costs and potential problems and interruptions associated with the implementation of new or upgraded systems and technology or with maintenance or adequate support of existing systems could disrupt or reduce the efficiency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440690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29</w:t>
      </w:r>
    </w:p>
    <w:p>
      <w:pPr>
        <w:sectPr>
          <w:pgSz w:w="11880" w:h="15480" w:orient="portrait"/>
          <w:cols w:equalWidth="0" w:num="1">
            <w:col w:w="11240"/>
          </w:cols>
          <w:pgMar w:left="300" w:top="1017" w:right="339" w:bottom="0" w:gutter="0" w:footer="0" w:header="0"/>
          <w:type w:val="continuous"/>
        </w:sectPr>
      </w:pPr>
    </w:p>
    <w:bookmarkStart w:id="37" w:name="page38"/>
    <w:bookmarkEnd w:id="37"/>
    <w:p>
      <w:pPr>
        <w:ind w:right="40"/>
        <w:spacing w:after="0" w:line="256" w:lineRule="auto"/>
        <w:rPr>
          <w:sz w:val="20"/>
          <w:szCs w:val="20"/>
          <w:color w:val="auto"/>
        </w:rPr>
      </w:pPr>
      <w:r>
        <w:rPr>
          <w:rFonts w:ascii="Arial" w:cs="Arial" w:eastAsia="Arial" w:hAnsi="Arial"/>
          <w:sz w:val="14"/>
          <w:szCs w:val="14"/>
          <w:color w:val="auto"/>
        </w:rPr>
        <w:t>Despite various security measures that have been implemented, our IT Systems and those of our third-party service providers and business partners are vulnerable to security incidents, attacks by hackers, acts of vandalism, malware, social engineering, denial or degradation of service attacks, computer viruses, software bugs or vulnerabilities, supply chain attacks, phishing attacks, ransomware attacks, misplaced or lost data, human errors, malicious insiders or other similar events. If unauthorized parties gain access to our IT Systems or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In addition, employees may intentionally or inadvertently cause data or security incidents that result in unauthorized release of personal or confidential information. Because the techniques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and may occur in the future, resulting in unauthorized, unlawful, or inappropriate access to, inability to access, disclosure of, or loss of sensitive, proprietary and confidential information. For example, although no sensitive information was affected, our platform has been the subject of phishing attempts, credential stuffing attacks (i.e., email addresses and passwords involved in security incidents reported by other companies have been used to attempt to gain unauthorized access to our platform) and brute force attacks (i.e., attempts to try different username and password credentials to gain access to our platform). In addition, company-issued laptops or other devices have been, and may in the future be, lost, stolen, or infected with malware. The security measures we employ to prevent, detect, and mitigate potential harm to our users from the theft of or misuse of user credentials on our network may not be effective in every instance.</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rely on a number of third-party providers of products and services to operate our critical internal and external operations, such as the processing of confidential and personally identifiable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information they process on our behalf and may not be able to contain or recover from such incidents or to notify us in a timely manner. Moreover, we or our third-party service providers may be more vulnerable to such attacks in remote or hybrid work environments, which have increased in response to the COVID-19 pandemic. Any cyberattack, security incident, or material disruption or slowdown affecting our IT Systems or those of our third-party service providers or business partners, could have a material adverse effect on our business, financial condition, and results of operations.</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Any such incident, attack, virus or other event could result in costly investigations and litigation exceeding applicable insurance coverage or contractual rights available to us, in particular because certain data privacy laws, including the California Consumer Privacy Act (the “CCPA”), grant individuals a private right of action arising from certain data security incidents, civil or criminal penalties, operational changes or other response measures, loss of consumer confidence in our security measures, and negative publicity that could adversely affect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93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30</w:t>
      </w:r>
    </w:p>
    <w:p>
      <w:pPr>
        <w:sectPr>
          <w:pgSz w:w="11880" w:h="15480" w:orient="portrait"/>
          <w:cols w:equalWidth="0" w:num="1">
            <w:col w:w="11220"/>
          </w:cols>
          <w:pgMar w:left="300" w:top="930" w:right="359" w:bottom="0" w:gutter="0" w:footer="0" w:header="0"/>
          <w:type w:val="continuous"/>
        </w:sectPr>
      </w:pPr>
    </w:p>
    <w:bookmarkStart w:id="38" w:name="page39"/>
    <w:bookmarkEnd w:id="38"/>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rental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We cannot guarantee that we will be able to renew or negotiate new leases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60" w:right="240" w:hanging="183"/>
        <w:spacing w:after="0" w:line="290" w:lineRule="auto"/>
        <w:tabs>
          <w:tab w:leader="none" w:pos="5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60" w:right="100" w:hanging="183"/>
        <w:spacing w:after="0" w:line="271" w:lineRule="auto"/>
        <w:tabs>
          <w:tab w:leader="none" w:pos="5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3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436245</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w:t>
      </w:r>
    </w:p>
    <w:p>
      <w:pPr>
        <w:sectPr>
          <w:pgSz w:w="11880" w:h="15480" w:orient="portrait"/>
          <w:cols w:equalWidth="0" w:num="1">
            <w:col w:w="11260"/>
          </w:cols>
          <w:pgMar w:left="300" w:top="1017" w:right="319" w:bottom="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section, factors that may contribute to the variability of our quarterly and annual results include:</w:t>
      </w:r>
    </w:p>
    <w:p>
      <w:pPr>
        <w:spacing w:after="0" w:line="53" w:lineRule="exact"/>
        <w:rPr>
          <w:sz w:val="20"/>
          <w:szCs w:val="20"/>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60" w:right="140" w:hanging="183"/>
        <w:spacing w:after="0" w:line="290" w:lineRule="auto"/>
        <w:tabs>
          <w:tab w:leader="none" w:pos="5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a-la-carte rental or purchase at any given time;</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60" w:right="300" w:hanging="183"/>
        <w:spacing w:after="0" w:line="290" w:lineRule="auto"/>
        <w:tabs>
          <w:tab w:leader="none" w:pos="5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60" w:right="600" w:hanging="183"/>
        <w:spacing w:after="0" w:line="290" w:lineRule="auto"/>
        <w:tabs>
          <w:tab w:leader="none" w:pos="5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1015"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32</w:t>
      </w:r>
    </w:p>
    <w:p>
      <w:pPr>
        <w:sectPr>
          <w:pgSz w:w="11880" w:h="15480" w:orient="portrait"/>
          <w:cols w:equalWidth="0" w:num="1">
            <w:col w:w="11220"/>
          </w:cols>
          <w:pgMar w:left="300" w:top="1015" w:right="359" w:bottom="0" w:gutter="0" w:footer="0" w:header="0"/>
          <w:type w:val="continuous"/>
        </w:sectPr>
      </w:pPr>
    </w:p>
    <w:bookmarkStart w:id="40" w:name="page41"/>
    <w:bookmarkEnd w:id="40"/>
    <w:p>
      <w:pPr>
        <w:ind w:right="42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September 2022, we announced a restructuring plan that is intended to reduce costs, streamline our organizational structure and drive operational efficiencies. This plan presents significant risks that could have a material adverse effect on our operations, financial condition, results of operations, cash flow, or business reputation. Such risks include:</w:t>
      </w:r>
    </w:p>
    <w:p>
      <w:pPr>
        <w:spacing w:after="0" w:line="35" w:lineRule="exact"/>
        <w:rPr>
          <w:sz w:val="20"/>
          <w:szCs w:val="20"/>
          <w:color w:val="auto"/>
        </w:rPr>
      </w:pPr>
    </w:p>
    <w:p>
      <w:pPr>
        <w:ind w:left="560" w:hanging="183"/>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profitability goals;</w:t>
      </w:r>
    </w:p>
    <w:p>
      <w:pPr>
        <w:spacing w:after="0" w:line="93" w:lineRule="exact"/>
        <w:rPr>
          <w:rFonts w:ascii="Arial" w:cs="Arial" w:eastAsia="Arial" w:hAnsi="Arial"/>
          <w:sz w:val="14"/>
          <w:szCs w:val="14"/>
          <w:color w:val="auto"/>
        </w:rPr>
      </w:pPr>
    </w:p>
    <w:p>
      <w:pPr>
        <w:ind w:left="560" w:right="440" w:hanging="183"/>
        <w:spacing w:after="0" w:line="290" w:lineRule="auto"/>
        <w:tabs>
          <w:tab w:leader="none" w:pos="5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 and</w:t>
      </w:r>
    </w:p>
    <w:p>
      <w:pPr>
        <w:spacing w:after="0" w:line="93" w:lineRule="exact"/>
        <w:rPr>
          <w:rFonts w:ascii="Arial" w:cs="Arial" w:eastAsia="Arial" w:hAnsi="Arial"/>
          <w:sz w:val="14"/>
          <w:szCs w:val="14"/>
          <w:color w:val="auto"/>
        </w:rPr>
      </w:pPr>
    </w:p>
    <w:p>
      <w:pPr>
        <w:ind w:left="560" w:right="640" w:hanging="183"/>
        <w:spacing w:after="0" w:line="290" w:lineRule="auto"/>
        <w:tabs>
          <w:tab w:leader="none" w:pos="55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failure to meet our operational standards, needs, or goals due to fewer employees, including potential single points of failure, or due to reduced or reallocated resources generally.</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social and governance matters may impact our business and reputation.</w:t>
      </w:r>
    </w:p>
    <w:p>
      <w:pPr>
        <w:spacing w:after="0" w:line="92"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There has been increased focus, including by consumers, investors, employees and other stakeholders, as well as by governmental and non-governmental organizations, on environmental, social and governance matters generally and with regard to the fashion industry specifically. We expect that an increased focus on ESG considerations will affect some aspects of our operations.</w:t>
      </w:r>
    </w:p>
    <w:p>
      <w:pPr>
        <w:spacing w:after="0" w:line="13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Any failure by us to meet our Impact Strategy goals or a loss of confidence on the part of customers, investors, employees, brand partners, and other stakeholders as it relates to our ESG initiatives could negatively impact our brand, the demand for our offerings,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Voluntary or required standards and research regarding environmental, social, and governance initiatives could change and become more onerous for both for us and our third-party suppliers and vendors to meet successfully. Evolving data and research could undermine or refute our current claims and beliefs that we have made in reliance on current research, which could also result in costs, a decrease in revenue, and negative market perception that could have a material adverse effect on our business and financial condition.</w:t>
      </w:r>
    </w:p>
    <w:p>
      <w:pPr>
        <w:ind w:right="520"/>
        <w:spacing w:after="0" w:line="253" w:lineRule="auto"/>
        <w:rPr>
          <w:sz w:val="20"/>
          <w:szCs w:val="20"/>
          <w:color w:val="auto"/>
        </w:rPr>
      </w:pPr>
      <w:r>
        <w:rPr>
          <w:rFonts w:ascii="Arial" w:cs="Arial" w:eastAsia="Arial" w:hAnsi="Arial"/>
          <w:sz w:val="14"/>
          <w:szCs w:val="14"/>
          <w:color w:val="auto"/>
        </w:rPr>
        <w:t>Alternatively, if we are unable to satisfy such new criteria, investors may conclude that our policies or actions with respect to corporate responsibility are inadequate. We risk damage to our brand and reputation in the event that our corporate responsibility procedures or standards do not meet the standards set by various constituencies.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w:t>
      </w:r>
    </w:p>
    <w:p>
      <w:pPr>
        <w:spacing w:after="0" w:line="12"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w:t>
      </w:r>
    </w:p>
    <w:p>
      <w:pPr>
        <w:ind w:right="120"/>
        <w:spacing w:after="0" w:line="242" w:lineRule="auto"/>
        <w:rPr>
          <w:sz w:val="20"/>
          <w:szCs w:val="20"/>
          <w:color w:val="auto"/>
        </w:rPr>
      </w:pPr>
      <w:r>
        <w:rPr>
          <w:rFonts w:ascii="Arial" w:cs="Arial" w:eastAsia="Arial" w:hAnsi="Arial"/>
          <w:sz w:val="14"/>
          <w:szCs w:val="14"/>
          <w:color w:val="auto"/>
        </w:rPr>
        <w:t>rights, ethics and compliance with law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 will successfully meet our stakeholders’ or society’s ESG expectations or achieve our ESG goals and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445770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w:t>
      </w:r>
    </w:p>
    <w:p>
      <w:pPr>
        <w:sectPr>
          <w:pgSz w:w="11880" w:h="15480" w:orient="portrait"/>
          <w:cols w:equalWidth="0" w:num="1">
            <w:col w:w="11260"/>
          </w:cols>
          <w:pgMar w:left="300" w:top="1017" w:right="319" w:bottom="0" w:gutter="0" w:footer="0" w:header="0"/>
          <w:type w:val="continuous"/>
        </w:sectPr>
      </w:pPr>
    </w:p>
    <w:bookmarkStart w:id="41" w:name="page42"/>
    <w:bookmarkEnd w:id="41"/>
    <w:p>
      <w:pPr>
        <w:ind w:right="22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Chief Executive Officer and Chair, Jennifer Y. Hyman. From time to time, there may be changes in our executive management team resulting from the hiring or departure of these executives. Our executive officers are employed on an at-will basis, which means they may terminate their employment with us at any time. The loss of one or more of our executive officers, or the failure by our executive team to effectively work with our employees and lead our company, could harm our business. We do not maintain key man life insurance with respect to any member of management or other employee.</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data science and analytics),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are likely to increase further due to inflation and potential minimum wage increases, which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w:t>
      </w:r>
    </w:p>
    <w:p>
      <w:pPr>
        <w:spacing w:after="0" w:line="3"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color w:val="auto"/>
        </w:rPr>
        <w:t>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In April 2023, we announced a proposed option</w:t>
      </w:r>
    </w:p>
    <w:p>
      <w:pPr>
        <w:ind w:right="40"/>
        <w:spacing w:after="0" w:line="242" w:lineRule="auto"/>
        <w:rPr>
          <w:sz w:val="20"/>
          <w:szCs w:val="20"/>
          <w:color w:val="auto"/>
        </w:rPr>
      </w:pPr>
      <w:r>
        <w:rPr>
          <w:rFonts w:ascii="Arial" w:cs="Arial" w:eastAsia="Arial" w:hAnsi="Arial"/>
          <w:sz w:val="14"/>
          <w:szCs w:val="14"/>
          <w:color w:val="auto"/>
        </w:rPr>
        <w:t>exchange designed to incentivize and retain employees, directors and other service providers by providing the ability to exchange outstanding stock options for RSUs. This option exchange may not be approved by stockholders or we may change our plans, and it may cause us to incur significant and unexpected costs. In addition, the option exchange may not have the intended incentivization and retention benefits. Additionally, our September 2022 restructuring plan has made and in the future may continue to make it more difficult to attract and retain employees for key roles.</w:t>
      </w:r>
    </w:p>
    <w:p>
      <w:pPr>
        <w:spacing w:after="0" w:line="154"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Our corporate employees primarily worked remotely from March 2020 to April 2022. Since then, we have reopened our offices and moved to a hybrid working model for New York City and Galway, in which employees were asked to be in the office two days per week in 2022 and three days per week starting in March 2023. If the hybrid model is not aligned with our employees’ preferences, it may adversely affect our ability to recruit and retain employees. In addition, the hybrid model may negatively impact our company culture, collaboration and productivity.</w:t>
      </w:r>
    </w:p>
    <w:p>
      <w:pPr>
        <w:spacing w:after="0" w:line="138"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challenging labor market conditions such as rising wages, and a decreased level of workforce participation.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believe that our company culture has been critical to our success. Our company culture stands for being entrepreneurial, passionate, kind and positive. Our ability to continue to cultivate and maintain this culture is essential to our growth and continued success. We face a number of challenges that may affect our ability to sustain our corporate culture, including:</w:t>
      </w:r>
    </w:p>
    <w:p>
      <w:pPr>
        <w:spacing w:after="0" w:line="49" w:lineRule="exact"/>
        <w:rPr>
          <w:sz w:val="20"/>
          <w:szCs w:val="20"/>
          <w:color w:val="auto"/>
        </w:rPr>
      </w:pPr>
    </w:p>
    <w:p>
      <w:pPr>
        <w:ind w:left="560" w:hanging="183"/>
        <w:spacing w:after="0"/>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September 2022 restructuring plan, which negatively impacted morale for some employees and our efforts to boost morale may not be successful;</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increasing size, complexity and geographic diversity of our workforce, and our ability to promote a uniform and consistent culture across all our offices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461645</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ectPr>
          <w:pgSz w:w="11880" w:h="15480" w:orient="portrait"/>
          <w:cols w:equalWidth="0" w:num="1">
            <w:col w:w="11260"/>
          </w:cols>
          <w:pgMar w:left="300" w:top="1017" w:right="319" w:bottom="0" w:gutter="0" w:footer="0" w:header="0"/>
          <w:type w:val="continuous"/>
        </w:sectPr>
      </w:pPr>
    </w:p>
    <w:bookmarkStart w:id="42" w:name="page43"/>
    <w:bookmarkEnd w:id="42"/>
    <w:p>
      <w:pPr>
        <w:ind w:left="560" w:hanging="183"/>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hybrid working model for corporate employees in New York City and Galway and the remote working model for customer service employees;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 particular, Diversity, Equity and Inclusion is a strategic imperative for us. We are focused on driving inclusiveness, innovation and stronger business results by attracting a diverse talent pool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92"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our manufacturing partners increase their costs, our Exclusive Designs may not be as cost-effective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supply of the fabrics or raw materials used in the manufacture of the products we offer, such as due to restrictions on Xinjiang cotton, we and/or our partners might not be able to locate alternative suppliers of materials of comparable quality at an acceptable price. For example, disruptions in the supply chain as a result of the COVID-19 pandemic and the current inflationary environment increased raw material costs, impacting pricing of our products, and caused shipping delays for certain of our products.</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45"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ectPr>
          <w:pgSz w:w="11880" w:h="15480" w:orient="portrait"/>
          <w:cols w:equalWidth="0" w:num="1">
            <w:col w:w="11260"/>
          </w:cols>
          <w:pgMar w:left="300" w:top="845" w:right="319" w:bottom="0" w:gutter="0" w:footer="0" w:header="0"/>
          <w:type w:val="continuous"/>
        </w:sectPr>
      </w:pPr>
    </w:p>
    <w:bookmarkStart w:id="43" w:name="page44"/>
    <w:bookmarkEnd w:id="43"/>
    <w:p>
      <w:pPr>
        <w:ind w:right="500"/>
        <w:spacing w:after="0" w:line="239"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w:t>
      </w:r>
    </w:p>
    <w:p>
      <w:pPr>
        <w:spacing w:after="0" w:line="1" w:lineRule="exact"/>
        <w:rPr>
          <w:sz w:val="20"/>
          <w:szCs w:val="20"/>
          <w:color w:val="auto"/>
        </w:rPr>
      </w:pPr>
    </w:p>
    <w:p>
      <w:pPr>
        <w:jc w:val="both"/>
        <w:ind w:right="280"/>
        <w:spacing w:after="0" w:line="233" w:lineRule="auto"/>
        <w:rPr>
          <w:sz w:val="20"/>
          <w:szCs w:val="20"/>
          <w:color w:val="auto"/>
        </w:rPr>
      </w:pPr>
      <w:r>
        <w:rPr>
          <w:rFonts w:ascii="Arial" w:cs="Arial" w:eastAsia="Arial" w:hAnsi="Arial"/>
          <w:sz w:val="14"/>
          <w:szCs w:val="14"/>
          <w:color w:val="auto"/>
        </w:rPr>
        <w:t>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143"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Furthermore, our rapid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2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If we are unable to obtain adequate financing or financing on terms satisfactory to us, our ability to support our business growth, and respond to business challenges could be significantly impaired, and our business may be adversely affected. Additionally, in recent months, there has been volatility in and disruptions to the global economy, including the equity and debt financial markets. Such weakness and volatility in capital markets and the economy in general could limit our access to capital markets and increase our costs of borrowing.</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435610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1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sectPr>
          <w:pgSz w:w="11880" w:h="15480" w:orient="portrait"/>
          <w:cols w:equalWidth="0" w:num="1">
            <w:col w:w="11260"/>
          </w:cols>
          <w:pgMar w:left="300" w:top="919" w:right="319" w:bottom="0" w:gutter="0" w:footer="0" w:header="0"/>
          <w:type w:val="continuous"/>
        </w:sectPr>
      </w:pPr>
    </w:p>
    <w:bookmarkStart w:id="44" w:name="page45"/>
    <w:bookmarkEnd w:id="44"/>
    <w:p>
      <w:pPr>
        <w:ind w:right="18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As of January 31, 2023, we had $272.5 million aggregate principal amount of borrowings under a credit facility with Double Helix Pte Ltd. as administrative agent for Temasek Holdings (as currently in effect, the “2022 Amended Temasek Facility”). The 2022 Amended Temasek Facility matures in October 2026. 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These financing risks, in addition to potential rising interest rates and changes in market conditions, if realized, could negatively impact our business, financial condition and results of operations. See “Note 8 —Long-Term Debt” in the Notes to Consolidated Financial Statements for more information on our indebtedness.</w:t>
      </w:r>
    </w:p>
    <w:p>
      <w:pPr>
        <w:spacing w:after="0" w:line="233"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Our 2022 Amended Temasek Facility contains financial covenants and other restrictions on our actions that may limit our operational flexibility or otherwise adversely affect our business, financial condition and results of operations.</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terms of our 2022 Amended Temasek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2022 Amended Temasek Facility includes a minimum liquidity maintenance covenant of $50.0 million. The terms of our 2022 Amended Temasek Facility may restrict our 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55"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A failure by us to comply with the covenants specified in the 2022 Amended Temasek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to be impaired</w:t>
      </w:r>
      <w:r>
        <w:rPr>
          <w:rFonts w:ascii="Arial" w:cs="Arial" w:eastAsia="Arial" w:hAnsi="Arial"/>
          <w:sz w:val="14"/>
          <w:szCs w:val="14"/>
          <w:color w:val="auto"/>
        </w:rPr>
        <w:t>.</w:t>
      </w:r>
    </w:p>
    <w:p>
      <w:pPr>
        <w:spacing w:after="0" w:line="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preparation of our consolidated financial statements as of January 31, 2021, we identified material weaknesses in our internal control over financial reporting, as described below. As of January 31, 2023, these material weaknesses were still in the process of being 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8"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433070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880" w:h="15480" w:orient="portrait"/>
          <w:cols w:equalWidth="0" w:num="1">
            <w:col w:w="11260"/>
          </w:cols>
          <w:pgMar w:left="300" w:top="1017" w:right="319" w:bottom="0" w:gutter="0" w:footer="0" w:header="0"/>
          <w:type w:val="continuous"/>
        </w:sectPr>
      </w:pPr>
    </w:p>
    <w:bookmarkStart w:id="45" w:name="page46"/>
    <w:bookmarkEnd w:id="45"/>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42"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3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34"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 protocols for our enterprise resource planning environment in order to implement</w:t>
      </w:r>
    </w:p>
    <w:p>
      <w:pPr>
        <w:spacing w:after="0" w:line="1" w:lineRule="exact"/>
        <w:rPr>
          <w:sz w:val="20"/>
          <w:szCs w:val="20"/>
          <w:color w:val="auto"/>
        </w:rPr>
      </w:pPr>
    </w:p>
    <w:p>
      <w:pPr>
        <w:ind w:right="200"/>
        <w:spacing w:after="0" w:line="233" w:lineRule="auto"/>
        <w:rPr>
          <w:sz w:val="20"/>
          <w:szCs w:val="20"/>
          <w:color w:val="auto"/>
        </w:rPr>
      </w:pPr>
      <w:r>
        <w:rPr>
          <w:rFonts w:ascii="Arial" w:cs="Arial" w:eastAsia="Arial" w:hAnsi="Arial"/>
          <w:sz w:val="14"/>
          <w:szCs w:val="14"/>
          <w:color w:val="auto"/>
        </w:rPr>
        <w:t>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w:t>
      </w:r>
    </w:p>
    <w:p>
      <w:pPr>
        <w:spacing w:after="0" w:line="12"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effectiveness of internal controls over a sustained period of financial reporting cycles, and as a result, the timing of when we will be able to fully remediate the material weaknesses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in a timely manner, or if we fail to implement and maintain effective internal control over financial reporting, there could be errors in our annual or interim consolidated financial statements that could result in a restatement of our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jc w:val="both"/>
        <w:ind w:right="8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 in a timely manner, or if additional material weaknesses exist or are discovered in the future, and we are unable to remediate any such material weakness, our reputation, results of operations and financial condition could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435610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3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880" w:h="15480" w:orient="portrait"/>
          <w:cols w:equalWidth="0" w:num="1">
            <w:col w:w="11280"/>
          </w:cols>
          <w:pgMar w:left="300" w:top="930" w:right="299" w:bottom="0" w:gutter="0" w:footer="0" w:header="0"/>
          <w:type w:val="continuous"/>
        </w:sectPr>
      </w:pPr>
    </w:p>
    <w:bookmarkStart w:id="46" w:name="page47"/>
    <w:bookmarkEnd w:id="46"/>
    <w:p>
      <w:pPr>
        <w:ind w:right="90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several members of our management team do not have prior experience in running a public company. We have hired additional employees and engaged consultants to assist us in complying with these requirements; however we may invest additional resources in our compliance efforts, including hiring more employees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117"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Our compliance with Section 404 will require that we incur substantial expenses and expend significant management efforts.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as of and for the fiscal year 2020,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7"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sectPr>
          <w:pgSz w:w="11880" w:h="15480" w:orient="portrait"/>
          <w:cols w:equalWidth="0" w:num="1">
            <w:col w:w="11260"/>
          </w:cols>
          <w:pgMar w:left="300" w:top="1017" w:right="319" w:bottom="0" w:gutter="0" w:footer="0" w:header="0"/>
          <w:type w:val="continuous"/>
        </w:sectPr>
      </w:pPr>
    </w:p>
    <w:bookmarkStart w:id="47" w:name="page48"/>
    <w:bookmarkEnd w:id="47"/>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21"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60" w:hanging="183"/>
        <w:spacing w:after="0"/>
        <w:tabs>
          <w:tab w:leader="none" w:pos="5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60" w:right="200" w:hanging="183"/>
        <w:spacing w:after="0" w:line="290" w:lineRule="auto"/>
        <w:tabs>
          <w:tab w:leader="none" w:pos="5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60" w:hanging="183"/>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63"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b w:val="1"/>
          <w:bCs w:val="1"/>
          <w:i w:val="1"/>
          <w:iCs w:val="1"/>
          <w:color w:val="auto"/>
        </w:rPr>
        <w:t>The COVID-19 pandemic has had, and may in the future continue to have,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due to the occurrence of the following events or circumstances, among others:</w:t>
      </w:r>
    </w:p>
    <w:p>
      <w:pPr>
        <w:spacing w:after="0" w:line="35" w:lineRule="exact"/>
        <w:rPr>
          <w:sz w:val="20"/>
          <w:szCs w:val="20"/>
          <w:color w:val="auto"/>
        </w:rPr>
      </w:pPr>
    </w:p>
    <w:p>
      <w:pPr>
        <w:ind w:left="560" w:right="120" w:hanging="183"/>
        <w:spacing w:after="0" w:line="290" w:lineRule="auto"/>
        <w:tabs>
          <w:tab w:leader="none" w:pos="5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global shelter-in-place restrictions significantly reduced our number of Active Subscribers and engagement with all of our offerings because of the decrease in special events, social gatherings and interactions outside the home;</w:t>
      </w:r>
    </w:p>
    <w:p>
      <w:pPr>
        <w:spacing w:after="0" w:line="35" w:lineRule="exact"/>
        <w:rPr>
          <w:rFonts w:ascii="Arial" w:cs="Arial" w:eastAsia="Arial" w:hAnsi="Arial"/>
          <w:sz w:val="14"/>
          <w:szCs w:val="14"/>
          <w:color w:val="auto"/>
        </w:rPr>
      </w:pPr>
    </w:p>
    <w:p>
      <w:pPr>
        <w:ind w:left="560" w:hanging="183"/>
        <w:spacing w:after="0" w:line="290" w:lineRule="auto"/>
        <w:tabs>
          <w:tab w:leader="none" w:pos="55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significant number of subscribers paused or canceled their subscriptions or downgraded to lower-priced plans, and we experienced significant decreased demand for our Reserve offering and customers canceled their existing orders for special events;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subscribers engaged less, which impacted the success of our organic marketing and reduced the volume of our data and business insights;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disruptions of the operations of our brand partners and delays in shipment and delivery of our products;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pausing all of our paid marketing spend and eliminating or significantly reducing investments in growth initiatives;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carrying more products relative to customer demand, negatively impacting gross margins;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performance-based revenue share payments to brands were decreased due to lower total revenue, impacting our brand partner relationships and value proposition;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ectPr>
          <w:pgSz w:w="11880" w:h="15480" w:orient="portrait"/>
          <w:cols w:equalWidth="0" w:num="1">
            <w:col w:w="11240"/>
          </w:cols>
          <w:pgMar w:left="300" w:top="1017" w:right="339" w:bottom="0" w:gutter="0" w:footer="0" w:header="0"/>
          <w:type w:val="continuous"/>
        </w:sectPr>
      </w:pPr>
    </w:p>
    <w:bookmarkStart w:id="48" w:name="page49"/>
    <w:bookmarkEnd w:id="48"/>
    <w:p>
      <w:pPr>
        <w:ind w:left="560" w:right="540" w:hanging="183"/>
        <w:spacing w:after="0" w:line="290" w:lineRule="auto"/>
        <w:tabs>
          <w:tab w:leader="none" w:pos="5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implementing temporary salary cuts, employee layoffs and furloughs, and pausing recruiting efforts, which negatively impacted employee morale and resulted in an increase in regrettable employee attrition; and</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closure of our brick-and-mortar retail stores, which was perceived negatively by some customers.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fiscal years 2021 and 2022, our operating and financial results continued to be impacted by the COVID-19 pandemic, including the Omicron variant.</w:t>
      </w:r>
    </w:p>
    <w:p>
      <w:pPr>
        <w:spacing w:after="0" w:line="179"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effects of the COVID-19 pandemic, including the identification and spread of new variants of the virus, may continue to have a negative impact on our business operations and long-term financial results of operations due to the occurrence of the following events or circumstances, among others:</w:t>
      </w:r>
    </w:p>
    <w:p>
      <w:pPr>
        <w:spacing w:after="0" w:line="35" w:lineRule="exact"/>
        <w:rPr>
          <w:sz w:val="20"/>
          <w:szCs w:val="20"/>
          <w:color w:val="auto"/>
        </w:rPr>
      </w:pPr>
    </w:p>
    <w:p>
      <w:pPr>
        <w:ind w:left="560" w:right="240" w:hanging="183"/>
        <w:spacing w:after="0" w:line="290" w:lineRule="auto"/>
        <w:tabs>
          <w:tab w:leader="none" w:pos="5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difficulty in accurately predicting the timing of potential new variants and/or the pace of our business recovery, particularly changes in demand, subscriber levels and pause activity, and Reserve and Resale orders, leading to potentially over-spending and lower profitability if demand and engagement are not as expected;</w:t>
      </w:r>
    </w:p>
    <w:p>
      <w:pPr>
        <w:spacing w:after="0" w:line="35" w:lineRule="exact"/>
        <w:rPr>
          <w:rFonts w:ascii="Arial" w:cs="Arial" w:eastAsia="Arial" w:hAnsi="Arial"/>
          <w:sz w:val="14"/>
          <w:szCs w:val="14"/>
          <w:color w:val="auto"/>
        </w:rPr>
      </w:pPr>
    </w:p>
    <w:p>
      <w:pPr>
        <w:ind w:left="560" w:right="340" w:hanging="183"/>
        <w:spacing w:after="0" w:line="290" w:lineRule="auto"/>
        <w:tabs>
          <w:tab w:leader="none" w:pos="5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inability to meet increased demand and provide an optimal customer experience as a result of difficulty in hiring additional employees, particularly in our fulfillment, operations and customer experience functions;</w:t>
      </w:r>
    </w:p>
    <w:p>
      <w:pPr>
        <w:spacing w:after="0" w:line="35" w:lineRule="exact"/>
        <w:rPr>
          <w:rFonts w:ascii="Arial" w:cs="Arial" w:eastAsia="Arial" w:hAnsi="Arial"/>
          <w:sz w:val="14"/>
          <w:szCs w:val="14"/>
          <w:color w:val="auto"/>
        </w:rPr>
      </w:pPr>
    </w:p>
    <w:p>
      <w:pPr>
        <w:ind w:left="560" w:right="160" w:hanging="183"/>
        <w:spacing w:after="0" w:line="290" w:lineRule="auto"/>
        <w:tabs>
          <w:tab w:leader="none" w:pos="5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continuing supply chain disruptions and/or disruptions in the operations of our brand partners, which could impact our ability to acquire an adequate depth and breadth of products at favorable prices in a timely manner to match demand; and</w:t>
      </w:r>
    </w:p>
    <w:p>
      <w:pPr>
        <w:spacing w:after="0" w:line="35" w:lineRule="exact"/>
        <w:rPr>
          <w:rFonts w:ascii="Arial" w:cs="Arial" w:eastAsia="Arial" w:hAnsi="Arial"/>
          <w:sz w:val="14"/>
          <w:szCs w:val="14"/>
          <w:color w:val="auto"/>
        </w:rPr>
      </w:pPr>
    </w:p>
    <w:p>
      <w:pPr>
        <w:ind w:left="560" w:right="60" w:hanging="183"/>
        <w:spacing w:after="0" w:line="290" w:lineRule="auto"/>
        <w:tabs>
          <w:tab w:leader="none" w:pos="556" w:val="left"/>
        </w:tabs>
        <w:numPr>
          <w:ilvl w:val="0"/>
          <w:numId w:val="37"/>
        </w:numPr>
        <w:rPr>
          <w:rFonts w:ascii="Arial" w:cs="Arial" w:eastAsia="Arial" w:hAnsi="Arial"/>
          <w:sz w:val="14"/>
          <w:szCs w:val="14"/>
          <w:color w:val="auto"/>
        </w:rPr>
      </w:pPr>
      <w:r>
        <w:rPr>
          <w:rFonts w:ascii="Arial" w:cs="Arial" w:eastAsia="Arial" w:hAnsi="Arial"/>
          <w:sz w:val="14"/>
          <w:szCs w:val="14"/>
          <w:color w:val="auto"/>
        </w:rPr>
        <w:t>possible resurgences of the COVID-19 pandemic that lead to new or additional shelter-in-place orders, travel advisories, and/or reduced social activities and events, which may dampen future demand for our products and offering.</w:t>
      </w:r>
    </w:p>
    <w:p>
      <w:pPr>
        <w:spacing w:after="0" w:line="22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Future pandemics or public health crises may have similar adverse effects on our business. Although we anticipate that our operating results in future fiscal years will begin to reflect a more normal operating environment, the current economic and public health climate has created a high degree of uncertainty and there is no assurance that our scale, number of customers and revenue will return to or surpass pre-pandemic levels for a sustained period of time. As such, we continue to closely monitor this global health crisis and will continue to reassess our strategy and operational structure on a regular, ongoing basis as the situation evolves. See Part II, Item 7, “Management’s Discussion and Analysis of Financial Condition and Results of Operations” for more details on the impact of the COVID-19 pandemic.</w:t>
      </w:r>
    </w:p>
    <w:p>
      <w:pPr>
        <w:spacing w:after="0" w:line="163"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60" w:hanging="183"/>
        <w:spacing w:after="0"/>
        <w:tabs>
          <w:tab w:leader="none" w:pos="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60" w:right="160" w:hanging="183"/>
        <w:spacing w:after="0" w:line="271" w:lineRule="auto"/>
        <w:tabs>
          <w:tab w:leader="none" w:pos="55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433705</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4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880" w:h="15480" w:orient="portrait"/>
          <w:cols w:equalWidth="0" w:num="1">
            <w:col w:w="11280"/>
          </w:cols>
          <w:pgMar w:left="300" w:top="845" w:right="299" w:bottom="0" w:gutter="0" w:footer="0" w:header="0"/>
          <w:type w:val="continuous"/>
        </w:sectPr>
      </w:pPr>
    </w:p>
    <w:bookmarkStart w:id="49" w:name="page50"/>
    <w:bookmarkEnd w:id="49"/>
    <w:p>
      <w:pPr>
        <w:ind w:left="560" w:right="60" w:hanging="183"/>
        <w:spacing w:after="0" w:line="290" w:lineRule="auto"/>
        <w:tabs>
          <w:tab w:leader="none" w:pos="5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60" w:right="140" w:hanging="183"/>
        <w:spacing w:after="0" w:line="271" w:lineRule="auto"/>
        <w:tabs>
          <w:tab w:leader="none" w:pos="556" w:val="left"/>
        </w:tabs>
        <w:numPr>
          <w:ilvl w:val="0"/>
          <w:numId w:val="39"/>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appearing elsewhere in this Annual Report.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and the valuation of share-based compensation and warrants.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1"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554355</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4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880" w:h="15480" w:orient="portrait"/>
          <w:cols w:equalWidth="0" w:num="1">
            <w:col w:w="11280"/>
          </w:cols>
          <w:pgMar w:left="300" w:top="845" w:right="299" w:bottom="0" w:gutter="0" w:footer="0" w:header="0"/>
          <w:type w:val="continuous"/>
        </w:sectPr>
      </w:pPr>
    </w:p>
    <w:bookmarkStart w:id="50" w:name="page51"/>
    <w:bookmarkEnd w:id="50"/>
    <w:p>
      <w:pPr>
        <w:ind w:right="2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8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60" w:hanging="183"/>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60" w:right="120" w:hanging="183"/>
        <w:spacing w:after="0" w:line="290" w:lineRule="auto"/>
        <w:tabs>
          <w:tab w:leader="none" w:pos="556"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w:t>
      </w:r>
    </w:p>
    <w:p>
      <w:pPr>
        <w:spacing w:after="0" w:line="92"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recent focus on automatically renewing Subscription offerings.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actions against companies, challenging automatic renewal and subscription programs.</w:t>
      </w:r>
    </w:p>
    <w:p>
      <w:pPr>
        <w:spacing w:after="0" w:line="142"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433070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76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43</w:t>
      </w:r>
    </w:p>
    <w:p>
      <w:pPr>
        <w:sectPr>
          <w:pgSz w:w="11880" w:h="15480" w:orient="portrait"/>
          <w:cols w:equalWidth="0" w:num="1">
            <w:col w:w="11220"/>
          </w:cols>
          <w:pgMar w:left="300" w:top="760" w:right="359" w:bottom="0" w:gutter="0" w:footer="0" w:header="0"/>
          <w:type w:val="continuous"/>
        </w:sectPr>
      </w:pPr>
    </w:p>
    <w:bookmarkStart w:id="51" w:name="page52"/>
    <w:bookmarkEnd w:id="51"/>
    <w:p>
      <w:pPr>
        <w:ind w:right="6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31"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alleges that we violated Sections 11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and offerings, all of which could negatively affect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sectPr>
          <w:pgSz w:w="11880" w:h="15480" w:orient="portrait"/>
          <w:cols w:equalWidth="0" w:num="1">
            <w:col w:w="11260"/>
          </w:cols>
          <w:pgMar w:left="300" w:top="1016" w:right="319" w:bottom="0" w:gutter="0" w:footer="0" w:header="0"/>
          <w:type w:val="continuous"/>
        </w:sectPr>
      </w:pPr>
    </w:p>
    <w:bookmarkStart w:id="52" w:name="page53"/>
    <w:bookmarkEnd w:id="52"/>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broadly enforce all of our intellectual property rights. Failure to adequately protect our intellectual property could harm our brand, devalue our proprietary technology and content, and adversely affect our ability to compete effectively.</w:t>
      </w:r>
    </w:p>
    <w:p>
      <w:pPr>
        <w:spacing w:after="0" w:line="142"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create potential roadblocks to any expansion of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442595</wp:posOffset>
            </wp:positionV>
            <wp:extent cx="3238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2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ectPr>
          <w:pgSz w:w="11880" w:h="15480" w:orient="portrait"/>
          <w:cols w:equalWidth="0" w:num="1">
            <w:col w:w="11260"/>
          </w:cols>
          <w:pgMar w:left="300" w:top="929" w:right="319" w:bottom="0" w:gutter="0" w:footer="0" w:header="0"/>
          <w:type w:val="continuous"/>
        </w:sectPr>
      </w:pPr>
    </w:p>
    <w:bookmarkStart w:id="53" w:name="page54"/>
    <w:bookmarkEnd w:id="53"/>
    <w:p>
      <w:pPr>
        <w:ind w:right="4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447675</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3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w:t>
      </w:r>
    </w:p>
    <w:p>
      <w:pPr>
        <w:sectPr>
          <w:pgSz w:w="11880" w:h="15480" w:orient="portrait"/>
          <w:cols w:equalWidth="0" w:num="1">
            <w:col w:w="11260"/>
          </w:cols>
          <w:pgMar w:left="300" w:top="930" w:right="319" w:bottom="0" w:gutter="0" w:footer="0" w:header="0"/>
          <w:type w:val="continuous"/>
        </w:sectPr>
      </w:pPr>
    </w:p>
    <w:bookmarkStart w:id="54" w:name="page55"/>
    <w:bookmarkEnd w:id="54"/>
    <w:p>
      <w:pPr>
        <w:ind w:right="18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particularly as we expand our business.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lawsuits or administrative proceedings, and we cannot ensure that the results of any such actions will not have an adverse effect on our business, financial condition or results of operations. These claims are resolved against us, they could result in significant monetary liability, or prevent us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Further, licenses may not be available to us on reasonable terms, if at all. Any of these events could harm our business and cause our results of operations, liquidity and financial condition to suffer.</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limit or prohibit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47</w:t>
      </w:r>
    </w:p>
    <w:p>
      <w:pPr>
        <w:sectPr>
          <w:pgSz w:w="11880" w:h="15480" w:orient="portrait"/>
          <w:cols w:equalWidth="0" w:num="1">
            <w:col w:w="11260"/>
          </w:cols>
          <w:pgMar w:left="300" w:top="1016" w:right="319" w:bottom="0" w:gutter="0" w:footer="0" w:header="0"/>
          <w:type w:val="continuous"/>
        </w:sectPr>
      </w:pPr>
    </w:p>
    <w:bookmarkStart w:id="55" w:name="page56"/>
    <w:bookmarkEnd w:id="55"/>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and industry standards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and costs imposed by these laws, or our actual or perceived failure to comply with them, could subject us to liabilities that adversely affect our business, operations, and financial performance.</w:t>
      </w:r>
    </w:p>
    <w:p>
      <w:pPr>
        <w:spacing w:after="0" w:line="37"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credit card numbers (through our payment processor) and geolocation.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the right to access and delete their personal information, and receive detailed information about how their personal information is used and shared. The CCPA also created restrictions on “sales” of personal information that allow California residents to opt-out of certain sharing of their personal information and may restrict the use of cookies and similar technologies for advertising purposes, and could cause us to incur additional CCPA compliance costs or create adverse effects as a result of its restrictions. The CCPA provides for civil penalties for violations, and creates a private right of action for data security incidents that is expected to increase data security-related litigation. Additionally, the California Privacy Rights Act (the “CPRA”) largely took effect on January 1, 2023. The CPRA restricts the use of cross-context behavioral advertising techniques on which our products and offerings may rely on in the future; expands requirements on businesses that “sell” personal information under the CCPA to businesses like ours that “share” it; requires all businesses with any California employees to limit uses of employee data; establish restrictions on the retention of personal information; expands the types of data security incidents subject to the private right of action; and establishes the California Privacy Protection Agency to implement and enforce the new law, as well as impose administrative fines. We expect to continue to invest in compliance initiatives and potentially implement business process changes to support our compliance efforts. Similar laws have been proposed in other states and at the federal level, reflecting a trend toward more stringent privacy legislation in the United States. For example, in March 2021, Virginia enacted the Virginia Consumer Data Protection Act (the “CDPA”), a comprehensive privacy statute that shares similarities with the CCPA, CPRA, and legislation proposed in other states. Some observers have noted that the CCPA, CPRA, and CDPA could mark the beginning of a trend toward more stringent privacy legislation in the United States. The enactment of such laws could have potentially conflicting requirements that would make compliance challenging resulting in further uncertainty and requiring us to incur additional costs and expenses in an effort to comply.</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without the prior consent of the person being contacted. We use text messages frequently to communicate with our customers. Efforts to comply with the TCPA do not prevent third-party claims that we have violated the TCPA from being brought, and such claims could be costly to litigate, and if successful, expose us to substantial statutory damages. The Controlling the Assault of Non-Solicited Pornography and Marketing Act (the “CAN-SPAM”), imposes specific restrictions and requirements on our efforts to send marketing materials via email, including notice obligations that must be included in our marketing emails and the ability for recipients to unsubscribe from such emails. The Federal Trade Commission enforces CAN-SPAM, and our efforts to comply with CAN-SPAM may not prevent claims that we have violated the law, which could be costly to resolve, and if successful, expose us to substantial penalties and potential injunctive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16"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48</w:t>
      </w:r>
    </w:p>
    <w:p>
      <w:pPr>
        <w:sectPr>
          <w:pgSz w:w="11880" w:h="15480" w:orient="portrait"/>
          <w:cols w:equalWidth="0" w:num="1">
            <w:col w:w="11240"/>
          </w:cols>
          <w:pgMar w:left="300" w:top="1016" w:right="339" w:bottom="0" w:gutter="0" w:footer="0" w:header="0"/>
          <w:type w:val="continuous"/>
        </w:sectPr>
      </w:pPr>
    </w:p>
    <w:bookmarkStart w:id="56" w:name="page57"/>
    <w:bookmarkEnd w:id="56"/>
    <w:p>
      <w:pPr>
        <w:ind w:right="40"/>
        <w:spacing w:after="0" w:line="260" w:lineRule="auto"/>
        <w:rPr>
          <w:sz w:val="20"/>
          <w:szCs w:val="20"/>
          <w:color w:val="auto"/>
        </w:rPr>
      </w:pPr>
      <w:r>
        <w:rPr>
          <w:rFonts w:ascii="Arial" w:cs="Arial" w:eastAsia="Arial" w:hAnsi="Arial"/>
          <w:sz w:val="14"/>
          <w:szCs w:val="14"/>
          <w:color w:val="auto"/>
        </w:rPr>
        <w:t xml:space="preserve">We are also subject to the European Union General Data Protection Regulation (the “GDPR”), due to certain of our employees being based in Ireland. The GDPR, which is wide-ranging in scope and applies extraterritorially, imposes several requirements relating to the processing of personal data. The GDPR also imposes strict rules on the transfer of personal data out of the EU, including to the U.S. In addition, GDPR compliance requirements are constantly and rapidly evolving. For example, in July 2020, the Court of Justice of the European Union invalidated the EU-U.S. Privacy Shield data transfer mechanism, and other data transfer mechanisms such as the Standard Contractual Clauses, have also faced challenged in European courts, potentially limiting how organizations can lawfully transfer personal data from EEA to the U.S. Notably, the GDPR imposes large penalties for noncompliance, including the potential for fines of up to </w:t>
      </w:r>
      <w:r>
        <w:rPr>
          <w:rFonts w:ascii="Times New Roman" w:cs="Times New Roman" w:eastAsia="Times New Roman" w:hAnsi="Times New Roman"/>
          <w:sz w:val="14"/>
          <w:szCs w:val="14"/>
          <w:color w:val="auto"/>
        </w:rPr>
        <w:t>€</w:t>
      </w:r>
      <w:r>
        <w:rPr>
          <w:rFonts w:ascii="Arial" w:cs="Arial" w:eastAsia="Arial" w:hAnsi="Arial"/>
          <w:sz w:val="14"/>
          <w:szCs w:val="14"/>
          <w:color w:val="auto"/>
        </w:rPr>
        <w:t>20 million or 4% of the annual global revenues of the noncompliant entity, whichever is greater.</w:t>
      </w:r>
    </w:p>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as a result of industry regulatory or legal developments, the adoption by consumers of browser settings or “ad-blocking” software, and the development and deployment of new technologies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credit card account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have an adverse impact on our business and reputation, and be costly for us to defend.</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Any actual or perceived non-compliance could result in litigation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436245</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2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ectPr>
          <w:pgSz w:w="11880" w:h="15480" w:orient="portrait"/>
          <w:cols w:equalWidth="0" w:num="1">
            <w:col w:w="11260"/>
          </w:cols>
          <w:pgMar w:left="300" w:top="929" w:right="319" w:bottom="0" w:gutter="0" w:footer="0" w:header="0"/>
          <w:type w:val="continuous"/>
        </w:sectPr>
      </w:pPr>
    </w:p>
    <w:bookmarkStart w:id="57" w:name="page58"/>
    <w:bookmarkEnd w:id="57"/>
    <w:p>
      <w:pPr>
        <w:jc w:val="both"/>
        <w:ind w:right="140"/>
        <w:spacing w:after="0" w:line="265" w:lineRule="auto"/>
        <w:rPr>
          <w:sz w:val="20"/>
          <w:szCs w:val="20"/>
          <w:color w:val="auto"/>
        </w:rPr>
      </w:pPr>
      <w:r>
        <w:rPr>
          <w:rFonts w:ascii="Arial" w:cs="Arial" w:eastAsia="Arial" w:hAnsi="Arial"/>
          <w:sz w:val="14"/>
          <w:szCs w:val="14"/>
          <w:color w:val="auto"/>
        </w:rPr>
        <w:t>Despite our efforts, we may become subject to claims that we have violated such laws and regulations based on past, present, and future practices, which could have an adverse impact on our business and reputation, and be costly for us to defend. Failure to comply with such laws and regulations, which tend to become more stringent over time,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w:t>
      </w:r>
    </w:p>
    <w:p>
      <w:pPr>
        <w:spacing w:after="0" w:line="138"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manage our waste materials as non-hazardous waste, but we cannot guarantee that our supply chain or the products we use will not contain hazardous materials or result in the generation of hazardous waste. Further, liability for the improper release or disposal of waste, even if non-hazardous,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 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42"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As of January 31, 2023, we had federal net operating loss carryforwards of $596.0 million, $152.0 million of which will expire at various times through 2038. Furthermore, we had stated net operating loss carryforwards of $33.0 million, which will expire at various times through 2041. Portions of these net operating loss carryforwards could expire unused and be unavailable to offset future income tax liabilities. Under the legislation enacted in 2017, commonly referred to as the Tax Cuts and Jobs Act (the “Tax Act”), U.S. federal net operating losses incurred in taxable years beginning after December 31, 2017, may be carried forward indefinitely, but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42"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We may have experienced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440690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2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880" w:h="15480" w:orient="portrait"/>
          <w:cols w:equalWidth="0" w:num="1">
            <w:col w:w="11280"/>
          </w:cols>
          <w:pgMar w:left="300" w:top="929" w:right="299" w:bottom="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60" w:hanging="183"/>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 interpretation of them;</w:t>
      </w:r>
    </w:p>
    <w:p>
      <w:pPr>
        <w:spacing w:after="0" w:line="93" w:lineRule="exact"/>
        <w:rPr>
          <w:rFonts w:ascii="Arial" w:cs="Arial" w:eastAsia="Arial" w:hAnsi="Arial"/>
          <w:sz w:val="14"/>
          <w:szCs w:val="14"/>
          <w:color w:val="auto"/>
        </w:rPr>
      </w:pPr>
    </w:p>
    <w:p>
      <w:pPr>
        <w:ind w:left="560" w:hanging="183"/>
        <w:spacing w:after="0" w:line="290" w:lineRule="auto"/>
        <w:tabs>
          <w:tab w:leader="none" w:pos="5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In particular, new income or other tax laws or regulations could be enacted at any time, which could adversely affect our business operations and financial performance. Further, existing tax laws and regulations could be interpreted, modified, or applied adversely to us. For example, the recent Inflation Reduction Act enacted, among other changes, a 15% corporate minimum tax on certain United States corporations and a 1% excise tax on certain stock redemptions by United States corporations. To the extent that such changes or any future changes have a negative impact on us, our suppliers or our customers, these changes may materially and adversely impact our business, financial condition, results of operations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60" w:right="120" w:hanging="183"/>
        <w:spacing w:after="0" w:line="290" w:lineRule="auto"/>
        <w:tabs>
          <w:tab w:leader="none" w:pos="556" w:val="left"/>
        </w:tabs>
        <w:numPr>
          <w:ilvl w:val="0"/>
          <w:numId w:val="42"/>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 not view our brand favorably;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1014"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51</w:t>
      </w:r>
    </w:p>
    <w:p>
      <w:pPr>
        <w:sectPr>
          <w:pgSz w:w="11880" w:h="15480" w:orient="portrait"/>
          <w:cols w:equalWidth="0" w:num="1">
            <w:col w:w="11220"/>
          </w:cols>
          <w:pgMar w:left="300" w:top="1014" w:right="359" w:bottom="0" w:gutter="0" w:footer="0" w:header="0"/>
          <w:type w:val="continuous"/>
        </w:sectPr>
      </w:pPr>
    </w:p>
    <w:bookmarkStart w:id="59" w:name="page60"/>
    <w:bookmarkEnd w:id="59"/>
    <w:p>
      <w:pPr>
        <w:ind w:right="10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jc w:val="both"/>
        <w:ind w:right="60"/>
        <w:spacing w:after="0" w:line="259" w:lineRule="auto"/>
        <w:rPr>
          <w:sz w:val="20"/>
          <w:szCs w:val="20"/>
          <w:color w:val="auto"/>
        </w:rPr>
      </w:pPr>
      <w:r>
        <w:rPr>
          <w:rFonts w:ascii="Arial" w:cs="Arial" w:eastAsia="Arial" w:hAnsi="Arial"/>
          <w:sz w:val="14"/>
          <w:szCs w:val="14"/>
          <w:color w:val="auto"/>
        </w:rPr>
        <w:t>Our brand partners and manufacturers may be forced to reduce their production, shut down their operations or file for bankruptcy. Our ability to obtain products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color w:val="auto"/>
        </w:rPr>
        <w:t>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27"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We rely on third parties for elements of the payment processing infrastructure underlying our business. If these third-party elements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rely on third parties, including for our payment processing infrastructure, to accept payments from customers and in connection with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companies become unwilling or unable to provide these services to us on acceptable terms or at all, our business may be disrupted. For certain payment methods, including credit and debit cards, we generally pay interchange fees and other processing and gateway fees, and such fees result in significant costs. In addition, online payment providers are under continued pressure to pay increased fees to banks to process funds, and there is no assurance that such online payment providers will not pass any increased costs on to us. If these fees increase over time, our operating costs will increase, which could adversely affect our business, financial condition, and results of operations.</w:t>
      </w:r>
    </w:p>
    <w:p>
      <w:pPr>
        <w:spacing w:after="0" w:line="14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the payment processing infrastructure underlying our business could harm our business and cause customers to lose trust in our payment operations and cause them to discontinue use of our products and services. If the quality or convenience of our payment processing infrastructure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as effective, efficient, or well-received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92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880" w:h="15480" w:orient="portrait"/>
          <w:cols w:equalWidth="0" w:num="1">
            <w:col w:w="11280"/>
          </w:cols>
          <w:pgMar w:left="300" w:top="929" w:right="299" w:bottom="0" w:gutter="0" w:footer="0" w:header="0"/>
          <w:type w:val="continuous"/>
        </w:sectPr>
      </w:pPr>
    </w:p>
    <w:bookmarkStart w:id="60" w:name="page61"/>
    <w:bookmarkEnd w:id="60"/>
    <w:p>
      <w:pPr>
        <w:ind w:right="62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2022, we migrated a substantial portion of our primary production environment, core architecture, and data centers to a new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and internal tools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All of the aforementioned risks may be exacerbated if our business continuity and disaster recovery plans prove to be inadequate.</w:t>
      </w:r>
    </w:p>
    <w:p>
      <w:pPr>
        <w:spacing w:after="0" w:line="143"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Additionally, data stored with our third-party cloud providers may experience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 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 these types of disruptions could damage our brand and reputation and may adversely impact our business.</w:t>
      </w:r>
    </w:p>
    <w:p>
      <w:pPr>
        <w:spacing w:after="0" w:line="14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Although alternative data center providers could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jc w:val="both"/>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customer acquisition costs will continue to rise</w:t>
      </w:r>
      <w:r>
        <w:rPr>
          <w:rFonts w:ascii="Arial" w:cs="Arial" w:eastAsia="Arial" w:hAnsi="Arial"/>
          <w:sz w:val="14"/>
          <w:szCs w:val="14"/>
          <w:color w:val="auto"/>
        </w:rPr>
        <w:t>.</w:t>
      </w:r>
    </w:p>
    <w:p>
      <w:pPr>
        <w:spacing w:after="0" w:line="37"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advertising and other online sources for traffic to our website and mobile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433705</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ectPr>
          <w:pgSz w:w="11880" w:h="15480" w:orient="portrait"/>
          <w:cols w:equalWidth="0" w:num="1">
            <w:col w:w="11260"/>
          </w:cols>
          <w:pgMar w:left="300" w:top="1016" w:right="319" w:bottom="0" w:gutter="0" w:footer="0" w:header="0"/>
          <w:type w:val="continuous"/>
        </w:sectPr>
      </w:pPr>
    </w:p>
    <w:bookmarkStart w:id="61" w:name="page62"/>
    <w:bookmarkEnd w:id="61"/>
    <w:p>
      <w:pPr>
        <w:spacing w:after="0" w:line="262"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and introduce new advertising products. If one or more of the search engines or other online sources on which we rely for traffic to our website and our mobile application were to modify its general methodology for how it displays our advertisements or keyword search results, resulting in fewer consumers clicking through to our website and our mobile application, our business and operating results are likely to suffer. For example, Apple recently moved to “opt-in” privacy models for mobile applications using its operating system such as ours, requiring consumers to voluntarily choose to receive targeted ads,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including, but not limited to, Google and Facebook, to collect data from users and engage in targeted advertising, making them less effective in disseminating our advertisements to our target customers. For example, the proposed Designing Accounting Safeguards to Help Broaden Oversight and Regulations on Data (DASHBOARD) Act would mandate annual disclosure to the SEC of the type and “aggregate value” of user data used by harvesting companies, such as, but not limited to, Facebook, Google and Amazon, including how revenue is generated by user data and what measures are taken to protect the data. If the costs of advertising on search engines and social media platforms increase, we may incur additional marketing expenses or be required to allocate a larger portion of our marketing spend to other channels and our business and operating results could be adversely affected.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because many of our customers access our products through our mobile application, we depend on the Apple App Store to distribute our mobile application.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an adverse effect on our business, financial condition,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2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ectPr>
          <w:pgSz w:w="11880" w:h="15480" w:orient="portrait"/>
          <w:cols w:equalWidth="0" w:num="1">
            <w:col w:w="11260"/>
          </w:cols>
          <w:pgMar w:left="300" w:top="929" w:right="319" w:bottom="0" w:gutter="0" w:footer="0" w:header="0"/>
          <w:type w:val="continuous"/>
        </w:sectPr>
      </w:pPr>
    </w:p>
    <w:bookmarkStart w:id="62" w:name="page63"/>
    <w:bookmarkEnd w:id="62"/>
    <w:p>
      <w:pPr>
        <w:ind w:right="2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The products we rent or sell to our customers is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It is possible that some of the products we rent or sell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our failure to adequately prevent fraudulent transactions could damage our reputation, result in litigation or regulatory action, and lead to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We cannot guarantee that we will continue to receive adequate insurance coverage on favorable terms.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6"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880" w:h="15480" w:orient="portrait"/>
          <w:cols w:equalWidth="0" w:num="1">
            <w:col w:w="11280"/>
          </w:cols>
          <w:pgMar w:left="300" w:top="1016" w:right="299" w:bottom="0" w:gutter="0" w:footer="0" w:header="0"/>
          <w:type w:val="continuous"/>
        </w:sectPr>
      </w:pPr>
    </w:p>
    <w:bookmarkStart w:id="63" w:name="page64"/>
    <w:bookmarkEnd w:id="63"/>
    <w:p>
      <w:pPr>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16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stockholders’ agreement among us and certain stockholders has the effect of concentrating voting control with those stockholders who held our capital stock prior to the listing of our Class A common stock on Nasdaq, including our Co-Founders, and their affiliates, which will limit an investor’s ability to influence the outcome of important transactions,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CEO and Co-Founder Jennifer Y. Hyman, entered into a stockholders’ agreement in connection with our IPO with respect to the election of directors. This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investors may believe are in their best interests.</w:t>
      </w:r>
    </w:p>
    <w:p>
      <w:pPr>
        <w:spacing w:after="0" w:line="143"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the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00"/>
        <w:spacing w:after="0" w:line="291"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Annual Report, and others within or beyond our control, including:</w:t>
      </w:r>
    </w:p>
    <w:p>
      <w:pPr>
        <w:spacing w:after="0" w:line="35" w:lineRule="exact"/>
        <w:rPr>
          <w:sz w:val="20"/>
          <w:szCs w:val="20"/>
          <w:color w:val="auto"/>
        </w:rPr>
      </w:pPr>
    </w:p>
    <w:p>
      <w:pPr>
        <w:ind w:left="560" w:hanging="183"/>
        <w:spacing w:after="0"/>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perceived adequacy of our ESG efforts;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461645</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92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w:t>
      </w:r>
    </w:p>
    <w:p>
      <w:pPr>
        <w:sectPr>
          <w:pgSz w:w="11880" w:h="15480" w:orient="portrait"/>
          <w:cols w:equalWidth="0" w:num="1">
            <w:col w:w="11240"/>
          </w:cols>
          <w:pgMar w:left="300" w:top="929" w:right="339" w:bottom="0" w:gutter="0" w:footer="0" w:header="0"/>
          <w:type w:val="continuous"/>
        </w:sectPr>
      </w:pPr>
    </w:p>
    <w:bookmarkStart w:id="64" w:name="page65"/>
    <w:bookmarkEnd w:id="64"/>
    <w:p>
      <w:pPr>
        <w:ind w:left="560" w:right="120" w:hanging="183"/>
        <w:spacing w:after="0" w:line="290" w:lineRule="auto"/>
        <w:tabs>
          <w:tab w:leader="none" w:pos="5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60" w:right="440" w:hanging="183"/>
        <w:spacing w:after="0" w:line="290" w:lineRule="auto"/>
        <w:tabs>
          <w:tab w:leader="none" w:pos="5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60" w:right="40" w:hanging="183"/>
        <w:spacing w:after="0" w:line="290" w:lineRule="auto"/>
        <w:tabs>
          <w:tab w:leader="none" w:pos="5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pace of the COVID-19 pandemic recovery and its impact on our business or the fashion industry and sharing economy generally;</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Class A common stock shortly following the listing of our Class A common stock on Nasdaq as a result of the supply and demand forces described above.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Company insiders have the ability to control or significantly influence all matters submitted to stockholders for approval.</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executive officers, directors, and stockholders party to our stockholders’ agreement entered into in connection with our IPO, in the aggregate, beneficially own over 50% of our outstanding common stock as of January 31, 2023.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management has broad discretion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435610</wp:posOffset>
            </wp:positionV>
            <wp:extent cx="3238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44"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880" w:h="15480" w:orient="portrait"/>
          <w:cols w:equalWidth="0" w:num="1">
            <w:col w:w="11280"/>
          </w:cols>
          <w:pgMar w:left="300" w:top="844" w:right="299" w:bottom="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We cannot predict the effect our dual class structure may have on the trading price of our Class A common stock</w:t>
      </w:r>
      <w:r>
        <w:rPr>
          <w:rFonts w:ascii="Arial" w:cs="Arial" w:eastAsia="Arial" w:hAnsi="Arial"/>
          <w:sz w:val="14"/>
          <w:szCs w:val="14"/>
          <w:color w:val="auto"/>
        </w:rPr>
        <w:t>.</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cannot predict whether our dual class structure will result in a lower or more volatile trading price of our Class A common stock, in adverse publicity, or other adverse consequences. For example, certain index providers have announced restrictions on including companies with multiple-class share structures in certain of their indices. Under such announced policies, the dual class structure of our common stock makes us ineligible for inclusion in certain indices and, as a result, mutual funds, exchange-traded funds, and other investment vehicles that attempt to passively track those indices may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are currently not eligible for inclusion in certain indices, and we cannot provide assurance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461645</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1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58</w:t>
      </w:r>
    </w:p>
    <w:p>
      <w:pPr>
        <w:sectPr>
          <w:pgSz w:w="11880" w:h="15480" w:orient="portrait"/>
          <w:cols w:equalWidth="0" w:num="1">
            <w:col w:w="11240"/>
          </w:cols>
          <w:pgMar w:left="300" w:top="1014" w:right="339" w:bottom="0" w:gutter="0" w:footer="0" w:header="0"/>
          <w:type w:val="continuous"/>
        </w:sectPr>
      </w:pPr>
    </w:p>
    <w:bookmarkStart w:id="66" w:name="page67"/>
    <w:bookmarkEnd w:id="66"/>
    <w:p>
      <w:pPr>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There are provisions in our Amended Charter and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jc w:val="both"/>
        <w:ind w:left="560" w:right="60" w:hanging="183"/>
        <w:spacing w:after="0" w:line="271" w:lineRule="auto"/>
        <w:tabs>
          <w:tab w:leader="none" w:pos="5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provide for 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60" w:right="100" w:hanging="183"/>
        <w:spacing w:after="0" w:line="290" w:lineRule="auto"/>
        <w:tabs>
          <w:tab w:leader="none" w:pos="5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60" w:hanging="183"/>
        <w:spacing w:after="0"/>
        <w:tabs>
          <w:tab w:leader="none" w:pos="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(the “DGCL”),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433705</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100"/>
          </w:cols>
          <w:pgMar w:left="300" w:top="1016"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59</w:t>
      </w:r>
    </w:p>
    <w:p>
      <w:pPr>
        <w:sectPr>
          <w:pgSz w:w="11880" w:h="15480" w:orient="portrait"/>
          <w:cols w:equalWidth="0" w:num="1">
            <w:col w:w="11100"/>
          </w:cols>
          <w:pgMar w:left="300" w:top="1016" w:right="479" w:bottom="0" w:gutter="0" w:footer="0" w:header="0"/>
          <w:type w:val="continuous"/>
        </w:sectPr>
      </w:pPr>
    </w:p>
    <w:bookmarkStart w:id="67" w:name="page68"/>
    <w:bookmarkEnd w:id="67"/>
    <w:p>
      <w:pPr>
        <w:ind w:right="4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jc w:val="both"/>
        <w:ind w:right="34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Charter to be inapplicable or unenforceable in an action, we may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549275</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31"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sectPr>
          <w:pgSz w:w="11880" w:h="15480" w:orient="portrait"/>
          <w:cols w:equalWidth="0" w:num="1">
            <w:col w:w="11260"/>
          </w:cols>
          <w:pgMar w:left="300" w:top="931" w:right="319" w:bottom="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Our corporate headquarters is located in Brooklyn, New York, which consists of approximately 47,000 square feet of space under a lease that expires in November 2032. We also lease a corporate space and photo studio in New York, New York and lease and operate fulfillment centers in Secaucus, New Jersey and Arlington, Texas totaling approximately 540,000 square feet, under leases that expire in August 2024 and May 2030, respectively. We also lease a corporate space in Galway, Ireland.</w:t>
      </w:r>
    </w:p>
    <w:p>
      <w:pPr>
        <w:spacing w:after="0" w:line="15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believe our facilities are suitable for our current needs. We intend to expand our facilities or add new facilities as we grow and believe that suitable additional or alternative space will be available as needed to accommodate such growth.</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contained in “Note 16 — Commitments and Contingencies” in the Notes to the Consolidated Financial Statements is incorporated by reference into this Item.</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865505</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100"/>
          </w:cols>
          <w:pgMar w:left="300" w:top="1014"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61</w:t>
      </w:r>
    </w:p>
    <w:p>
      <w:pPr>
        <w:sectPr>
          <w:pgSz w:w="11880" w:h="15480" w:orient="portrait"/>
          <w:cols w:equalWidth="0" w:num="1">
            <w:col w:w="11100"/>
          </w:cols>
          <w:pgMar w:left="300" w:top="1014" w:right="479" w:bottom="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auto"/>
        </w:rPr>
        <w:t>Part 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Class A common stock is listed on the Nasdaq Global Select Market under the symbol “RENT.”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200"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As of April 7, 2023, there were approximately 177 stockholders of record of our Class A common stock and seven stockholders of record of our Class B common stock. The number of stockholders of record is based upon the actual number of holders registered on this date and does not include holders of common stock in “street name” by brokers or other entities on behalf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200"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future earnings and do not anticipate declaring or paying any dividends in the foreseeable future. Any future determination to declare dividends will be made at the discretion of our board of directors, subject to compliance with applicable law and contractual restrictions in the agreements governing our current and future indebtedness, and will depend on a number of then-existing factors, including our business prospects, results of operations, financial condition, cash requirements and availability and other factors that our board of directors may deem relevant.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200"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Other than sales previously reported in the Company’s Current Report on Form 8-K filed with the SEC on January 31, 2023, the Company did not sell any unregistered securities during the period covered by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Proceeds from our IPO</w:t>
      </w:r>
    </w:p>
    <w:p>
      <w:pPr>
        <w:spacing w:after="0" w:line="200"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The offer and sale of the shares in the IPO was registered under the Securities Act pursuant to a registration statement on Form S-1 (File No. 333-260027), which was declared effective by the SEC on October 26, 2021.</w:t>
      </w:r>
    </w:p>
    <w:p>
      <w:pPr>
        <w:spacing w:after="0" w:line="141"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There has been no material change in the expected use of the net proceeds from our IPO, as described in our final prospectus filed with the SEC on October 27, 2021 pursuant to Rule 424(b) under the Securities Act of 1933.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w:t>
      </w:r>
    </w:p>
    <w:p>
      <w:pPr>
        <w:spacing w:after="0" w:line="96"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608330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75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62</w:t>
      </w:r>
    </w:p>
    <w:p>
      <w:pPr>
        <w:sectPr>
          <w:pgSz w:w="11880" w:h="15480" w:orient="portrait"/>
          <w:cols w:equalWidth="0" w:num="1">
            <w:col w:w="11240"/>
          </w:cols>
          <w:pgMar w:left="300" w:top="759" w:right="339" w:bottom="0" w:gutter="0" w:footer="0" w:header="0"/>
          <w:type w:val="continuous"/>
        </w:sectPr>
      </w:pPr>
    </w:p>
    <w:bookmarkStart w:id="70" w:name="page71"/>
    <w:bookmarkEnd w:id="70"/>
    <w:p>
      <w:pPr>
        <w:spacing w:after="0" w:line="262" w:lineRule="auto"/>
        <w:rPr>
          <w:sz w:val="20"/>
          <w:szCs w:val="20"/>
          <w:color w:val="auto"/>
        </w:rPr>
      </w:pPr>
      <w:r>
        <w:rPr>
          <w:rFonts w:ascii="Arial" w:cs="Arial" w:eastAsia="Arial" w:hAnsi="Arial"/>
          <w:sz w:val="14"/>
          <w:szCs w:val="14"/>
          <w:color w:val="auto"/>
        </w:rPr>
        <w:t>The following graph shows a comparison from October 27, 2021 (the date our common stock commenced trading on Nasdaq), through January 31, 2023, of the cumulative total returns for our common stock, the Nasdaq Composite Index and the S&amp;P Retail Select Index. The graph assumes $100 was invested at the market close on October 27, 2021 in our Class A common stock, the Nasdaq Composite Index, and the S&amp;P Retail Select Index, respectively. Such returns are based on historical results and are not intended to suggest future performance. The Nasdaq Composite Index and S&amp;P Retail Select Index assume reinvestment of any dividends.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45720</wp:posOffset>
            </wp:positionV>
            <wp:extent cx="4130040" cy="257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30040"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866140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100"/>
          </w:cols>
          <w:pgMar w:left="300" w:top="844"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63</w:t>
      </w:r>
    </w:p>
    <w:p>
      <w:pPr>
        <w:sectPr>
          <w:pgSz w:w="11880" w:h="15480" w:orient="portrait"/>
          <w:cols w:equalWidth="0" w:num="1">
            <w:col w:w="11100"/>
          </w:cols>
          <w:pgMar w:left="300" w:top="844" w:right="479" w:bottom="0" w:gutter="0" w:footer="0" w:header="0"/>
          <w:type w:val="continuous"/>
        </w:sectPr>
      </w:pPr>
    </w:p>
    <w:bookmarkStart w:id="71" w:name="page72"/>
    <w:bookmarkEnd w:id="71"/>
    <w:p>
      <w:pPr>
        <w:ind w:left="5"/>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23" w:lineRule="exact"/>
        <w:rPr>
          <w:sz w:val="20"/>
          <w:szCs w:val="20"/>
          <w:color w:val="auto"/>
        </w:rPr>
      </w:pPr>
    </w:p>
    <w:p>
      <w:pPr>
        <w:ind w:left="5" w:right="120"/>
        <w:spacing w:after="0" w:line="245"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audited consolidated financial statements and the related notes included elsewhere in this Annual Report on Form 10-K. The following discussion focuses on fiscal years 2022 and 2021 financial condition and results of operations and year-to-year comparisons between fiscal years 2022 and 2021. Discussion of fiscal year 2020 financial condition and results of operations and year-to-year comparisons between fiscal years 2021 and 2020 are included in Part II, Item 7, “Management’s Discussion and Analysis of Financial Condition and Results of Operations” in our Annual Report on Form 10-K for the fiscal year ended January 31, 2022.</w:t>
      </w:r>
    </w:p>
    <w:p>
      <w:pPr>
        <w:spacing w:after="0" w:line="174" w:lineRule="exact"/>
        <w:rPr>
          <w:sz w:val="20"/>
          <w:szCs w:val="20"/>
          <w:color w:val="auto"/>
        </w:rPr>
      </w:pPr>
    </w:p>
    <w:p>
      <w:pPr>
        <w:ind w:left="5"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Annual Report on Form 10-K, particularly in Part I, Item 1A, “Risk Factors”.</w:t>
      </w:r>
    </w:p>
    <w:p>
      <w:pPr>
        <w:spacing w:after="0" w:line="240"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left="5" w:right="100"/>
        <w:spacing w:after="0" w:line="247" w:lineRule="auto"/>
        <w:rPr>
          <w:sz w:val="20"/>
          <w:szCs w:val="20"/>
          <w:color w:val="auto"/>
        </w:rPr>
      </w:pPr>
      <w:r>
        <w:rPr>
          <w:rFonts w:ascii="Arial" w:cs="Arial" w:eastAsia="Arial" w:hAnsi="Arial"/>
          <w:sz w:val="14"/>
          <w:szCs w:val="14"/>
          <w:color w:val="auto"/>
        </w:rPr>
        <w:t>We give customers ongoing access to our “unlimited closet” — with tens of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171,998 ending total subscribers</w:t>
      </w:r>
      <w:r>
        <w:rPr>
          <w:rFonts w:ascii="Arial" w:cs="Arial" w:eastAsia="Arial" w:hAnsi="Arial"/>
          <w:sz w:val="18"/>
          <w:szCs w:val="18"/>
          <w:color w:val="auto"/>
          <w:vertAlign w:val="superscript"/>
        </w:rPr>
        <w:t>11</w:t>
      </w:r>
      <w:r>
        <w:rPr>
          <w:rFonts w:ascii="Arial" w:cs="Arial" w:eastAsia="Arial" w:hAnsi="Arial"/>
          <w:sz w:val="14"/>
          <w:szCs w:val="14"/>
          <w:color w:val="auto"/>
        </w:rPr>
        <w:t xml:space="preserve"> (active and paused) as of January 31, 2023. We had 126,712 active subscribers as of January 31, 2023 and 141,205 active subscribers as of April 8, 2023. The majority of our revenue is highly recurring and is generated by our subscribers. For the years ended January 31, 2023 and 2022, respectively, 86% and 84% of our total revenue (including Reserve and Resale revenue) was generated by subscribers while they were active or paused.</w:t>
      </w:r>
    </w:p>
    <w:p>
      <w:pPr>
        <w:spacing w:after="0" w:line="66" w:lineRule="exact"/>
        <w:rPr>
          <w:sz w:val="20"/>
          <w:szCs w:val="20"/>
          <w:color w:val="auto"/>
        </w:rPr>
      </w:pPr>
    </w:p>
    <w:p>
      <w:pPr>
        <w:ind w:left="5"/>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items at a fraction of their retail or comparable value, creating an attractive price and value proposition for our subscribers and customers.</w:t>
      </w:r>
    </w:p>
    <w:p>
      <w:pPr>
        <w:spacing w:after="0" w:line="49" w:lineRule="exact"/>
        <w:rPr>
          <w:sz w:val="20"/>
          <w:szCs w:val="20"/>
          <w:color w:val="auto"/>
        </w:rPr>
      </w:pPr>
    </w:p>
    <w:p>
      <w:pPr>
        <w:jc w:val="both"/>
        <w:ind w:left="5" w:right="2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5" w:lineRule="exact"/>
        <w:rPr>
          <w:sz w:val="20"/>
          <w:szCs w:val="20"/>
          <w:color w:val="auto"/>
        </w:rPr>
      </w:pPr>
    </w:p>
    <w:p>
      <w:pPr>
        <w:ind w:left="5" w:right="180"/>
        <w:spacing w:after="0" w:line="290" w:lineRule="auto"/>
        <w:rPr>
          <w:sz w:val="20"/>
          <w:szCs w:val="20"/>
          <w:color w:val="auto"/>
        </w:rPr>
      </w:pPr>
      <w:r>
        <w:rPr>
          <w:rFonts w:ascii="Arial" w:cs="Arial" w:eastAsia="Arial" w:hAnsi="Arial"/>
          <w:sz w:val="14"/>
          <w:szCs w:val="14"/>
          <w:color w:val="auto"/>
        </w:rPr>
        <w:t>On October 29, 2021, we closed our initial public offering (“IPO”), in which we issued and sold 17,000,000 shares at the public offering price of $21.00 per share. We received net proceeds of $327.3 million after deducting underwriting discounts and commissions and offering expenses.</w:t>
      </w:r>
    </w:p>
    <w:p>
      <w:pPr>
        <w:spacing w:after="0" w:line="141" w:lineRule="exact"/>
        <w:rPr>
          <w:sz w:val="20"/>
          <w:szCs w:val="20"/>
          <w:color w:val="auto"/>
        </w:rPr>
      </w:pPr>
    </w:p>
    <w:p>
      <w:pPr>
        <w:ind w:left="5" w:right="100"/>
        <w:spacing w:after="0" w:line="271" w:lineRule="auto"/>
        <w:rPr>
          <w:sz w:val="20"/>
          <w:szCs w:val="20"/>
          <w:color w:val="auto"/>
        </w:rPr>
      </w:pPr>
      <w:r>
        <w:rPr>
          <w:rFonts w:ascii="Arial" w:cs="Arial" w:eastAsia="Arial" w:hAnsi="Arial"/>
          <w:sz w:val="14"/>
          <w:szCs w:val="14"/>
          <w:color w:val="auto"/>
        </w:rPr>
        <w:t>Concurrent with our IPO, we paid down our senior secured term loan with Ares Corporate Opportunities Fund V, L.P. of $80.7 million in full and $60.0 million of our subordinated, junior lien term loan with Double Helix Pte Ltd. as administrative agent for Temasek Holdings (the “Temasek Facility”), resulting in a total debt repayment of $140.7 million. We also refinanced the remaining Temasek Facility concurrent with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134747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75" w:lineRule="exact"/>
        <w:rPr>
          <w:sz w:val="20"/>
          <w:szCs w:val="20"/>
          <w:color w:val="auto"/>
        </w:rPr>
      </w:pPr>
    </w:p>
    <w:p>
      <w:pPr>
        <w:ind w:left="5" w:right="80" w:hanging="5"/>
        <w:spacing w:after="0" w:line="229" w:lineRule="auto"/>
        <w:tabs>
          <w:tab w:leader="none" w:pos="113" w:val="left"/>
        </w:tabs>
        <w:numPr>
          <w:ilvl w:val="0"/>
          <w:numId w:val="46"/>
        </w:numPr>
        <w:rPr>
          <w:rFonts w:ascii="Arial" w:cs="Arial" w:eastAsia="Arial" w:hAnsi="Arial"/>
          <w:sz w:val="15"/>
          <w:szCs w:val="15"/>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445135</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5"/>
          </w:cols>
          <w:pgMar w:left="295" w:top="1014"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64</w:t>
      </w:r>
    </w:p>
    <w:p>
      <w:pPr>
        <w:sectPr>
          <w:pgSz w:w="11880" w:h="15480" w:orient="portrait"/>
          <w:cols w:equalWidth="0" w:num="1">
            <w:col w:w="11265"/>
          </w:cols>
          <w:pgMar w:left="295" w:top="1014" w:right="319" w:bottom="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i w:val="1"/>
          <w:iCs w:val="1"/>
          <w:color w:val="auto"/>
        </w:rPr>
        <w:t xml:space="preserve">5 Item Plan. </w:t>
      </w:r>
      <w:r>
        <w:rPr>
          <w:rFonts w:ascii="Arial" w:cs="Arial" w:eastAsia="Arial" w:hAnsi="Arial"/>
          <w:sz w:val="14"/>
          <w:szCs w:val="14"/>
          <w:color w:val="auto"/>
        </w:rPr>
        <w:t>Beginning in March 2023, we permanently added an extra item to every shipment of our rental subscription programs to deliver greater value to subscribers. We expect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this program change to improve retention and acquisition rates and increase fulfillment and product depreciation and revenue share expenses with minimal impact on gross margin in fiscal year 2023.</w:t>
      </w:r>
    </w:p>
    <w:p>
      <w:pPr>
        <w:spacing w:after="0" w:line="155"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b w:val="1"/>
          <w:bCs w:val="1"/>
          <w:i w:val="1"/>
          <w:iCs w:val="1"/>
          <w:color w:val="auto"/>
        </w:rPr>
        <w:t xml:space="preserve">Debt Restructuring. </w:t>
      </w:r>
      <w:r>
        <w:rPr>
          <w:rFonts w:ascii="Arial" w:cs="Arial" w:eastAsia="Arial" w:hAnsi="Arial"/>
          <w:sz w:val="14"/>
          <w:szCs w:val="14"/>
          <w:color w:val="auto"/>
        </w:rPr>
        <w:t>On January 31, 2023, we completed an amendment to our Temasek Facility (“2022 Amended Temasek Facility”). The 2022 Amended Temasek Facility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extended the maturity date of our credit facility from October 2024 to October 2026, reduced cash interest payments by over $20 million in the next two fiscal years while the total interest rate remains unchanged during this period, with subsequent increases thereafter. In connection with the 2022 Amended Temasek Facility, we also granted warrants to Temasek to purchase two million shares of Class A Common Stock at an exercise price of $5.00 per share and made other clarifications and updates. See Note 8, “Long-Term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Debt” in the Notes to the Consolidated Financial Statements for more details.</w:t>
      </w:r>
    </w:p>
    <w:p>
      <w:pPr>
        <w:spacing w:after="0" w:line="184" w:lineRule="exact"/>
        <w:rPr>
          <w:sz w:val="20"/>
          <w:szCs w:val="20"/>
          <w:color w:val="auto"/>
        </w:rPr>
      </w:pPr>
    </w:p>
    <w:p>
      <w:pPr>
        <w:ind w:right="620"/>
        <w:spacing w:after="0" w:line="255" w:lineRule="auto"/>
        <w:rPr>
          <w:sz w:val="20"/>
          <w:szCs w:val="20"/>
          <w:color w:val="auto"/>
        </w:rPr>
      </w:pPr>
      <w:r>
        <w:rPr>
          <w:rFonts w:ascii="Arial" w:cs="Arial" w:eastAsia="Arial" w:hAnsi="Arial"/>
          <w:sz w:val="14"/>
          <w:szCs w:val="14"/>
          <w:b w:val="1"/>
          <w:bCs w:val="1"/>
          <w:i w:val="1"/>
          <w:iCs w:val="1"/>
          <w:color w:val="auto"/>
        </w:rPr>
        <w:t>Corporate Restructuring Plan</w:t>
      </w:r>
      <w:r>
        <w:rPr>
          <w:rFonts w:ascii="Arial" w:cs="Arial" w:eastAsia="Arial" w:hAnsi="Arial"/>
          <w:sz w:val="14"/>
          <w:szCs w:val="14"/>
          <w:color w:val="auto"/>
        </w:rPr>
        <w:t>. On September 12, 2022, we announced a restructuring plan to reduce costs, streamline our organizational structure and drive operational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16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Restructuring charges of $2.4 million for severance and related costs were recognized during the year ended January 31, 2023 and are reflected in Restructuring charges on our Consolidated Statements of Operations. We recorded asset impairment charges of $5.3 million during the year ended January 31, 2023 related to discontinuing two warehouse operations projects during the third and fourth quarters of fiscal year 2022 in connection with the restructuring plan, of which $4.9 million related to the write-off of fixed assets and $0.4 million related to accrued expenses. The charge is reflected in Loss on asset impairment related to restructuring on our Consolidated Statements of Operations. We may incur additional restructuring charges in the future.</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expect the restructuring plan to generate total annual operating expense savings of approximately $25 million (relative to the second quarter of fiscal year 2022 run rate) in fiscal year 2023. Approximately $17 million of the total annualized savings reflect the portion related to personnel expenses, which was substantially completed by the end of the fourth quarter of fiscal year 2022, and we expect approximately $8 million of technology and general and administrative expense savings to be realized in fiscal year 2023.</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See Note 4, “Restructuring and Related Charges” in the Notes to the Consolidated Financial Statements for more details on these charges.</w:t>
      </w:r>
    </w:p>
    <w:p>
      <w:pPr>
        <w:spacing w:after="0" w:line="20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b w:val="1"/>
          <w:bCs w:val="1"/>
          <w:i w:val="1"/>
          <w:iCs w:val="1"/>
          <w:color w:val="auto"/>
        </w:rPr>
        <w:t>Option Exchange</w:t>
      </w:r>
      <w:r>
        <w:rPr>
          <w:rFonts w:ascii="Arial" w:cs="Arial" w:eastAsia="Arial" w:hAnsi="Arial"/>
          <w:sz w:val="14"/>
          <w:szCs w:val="14"/>
          <w:color w:val="auto"/>
        </w:rPr>
        <w:t>. In April 2023, we announced a proposed option exchange designed to incentivize and retain employees, directors and other service providers by providing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ability to exchange outstanding stock options for RSUs. This option exchange may not be approved by stockholders. The option exchange is expected to result in minimal incremental stock-based compensation expense over the anticipated life of the replacement RSUs, in addition to certain administrative expenses in fiscal year 2023. In addition, the option exchange may not have the intended incentivization and retention benefits.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Additional Key Fiscal Fourth Quarter, Fiscal Year 2022 and Recent Business Highlights:</w:t>
      </w:r>
    </w:p>
    <w:p>
      <w:pPr>
        <w:spacing w:after="0" w:line="198" w:lineRule="exact"/>
        <w:rPr>
          <w:sz w:val="20"/>
          <w:szCs w:val="20"/>
          <w:color w:val="auto"/>
        </w:rPr>
      </w:pPr>
    </w:p>
    <w:p>
      <w:pPr>
        <w:ind w:left="560" w:right="20" w:hanging="247"/>
        <w:spacing w:after="0" w:line="290" w:lineRule="auto"/>
        <w:tabs>
          <w:tab w:leader="none" w:pos="5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March 2023, rolled out “Rent the Look”, a highly requested feature that showcases how to rent full outfits styled on-model and presents similar items if a particular item is not available to rent right now.</w:t>
      </w:r>
    </w:p>
    <w:p>
      <w:pPr>
        <w:spacing w:after="0" w:line="141" w:lineRule="exact"/>
        <w:rPr>
          <w:rFonts w:ascii="Arial" w:cs="Arial" w:eastAsia="Arial" w:hAnsi="Arial"/>
          <w:sz w:val="14"/>
          <w:szCs w:val="14"/>
          <w:color w:val="auto"/>
        </w:rPr>
      </w:pPr>
    </w:p>
    <w:p>
      <w:pPr>
        <w:ind w:left="560" w:right="40" w:hanging="247"/>
        <w:spacing w:after="0" w:line="290" w:lineRule="auto"/>
        <w:tabs>
          <w:tab w:leader="none" w:pos="556"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 February 2023, executed this year’s first major technology launch to deliver best-in-class product discovery, completing the integration of our new product catalog, EPIC, into our new search service. As a result, we believe richer and fresher product attributes are yielding better search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424815</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88"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880" w:h="15480" w:orient="portrait"/>
          <w:cols w:equalWidth="0" w:num="1">
            <w:col w:w="11280"/>
          </w:cols>
          <w:pgMar w:left="300" w:top="888" w:right="299" w:bottom="0" w:gutter="0" w:footer="0" w:header="0"/>
          <w:type w:val="continuous"/>
        </w:sectPr>
      </w:pPr>
    </w:p>
    <w:bookmarkStart w:id="73" w:name="page74"/>
    <w:bookmarkEnd w:id="73"/>
    <w:p>
      <w:pPr>
        <w:ind w:left="565" w:right="420" w:hanging="183"/>
        <w:spacing w:after="0" w:line="290" w:lineRule="auto"/>
        <w:tabs>
          <w:tab w:leader="none" w:pos="562" w:val="left"/>
        </w:tabs>
        <w:numPr>
          <w:ilvl w:val="1"/>
          <w:numId w:val="48"/>
        </w:numPr>
        <w:rPr>
          <w:rFonts w:ascii="Arial" w:cs="Arial" w:eastAsia="Arial" w:hAnsi="Arial"/>
          <w:sz w:val="14"/>
          <w:szCs w:val="14"/>
          <w:color w:val="auto"/>
        </w:rPr>
      </w:pPr>
      <w:r>
        <w:rPr>
          <w:rFonts w:ascii="Arial" w:cs="Arial" w:eastAsia="Arial" w:hAnsi="Arial"/>
          <w:sz w:val="14"/>
          <w:szCs w:val="14"/>
          <w:color w:val="auto"/>
        </w:rPr>
        <w:t>In fiscal 2022, completed migration to the cloud to unlock better resiliency, site performance and reliability, increased developer velocity, and the ability to scale more efficiently with subscriber growth.</w:t>
      </w:r>
    </w:p>
    <w:p>
      <w:pPr>
        <w:spacing w:after="0" w:line="141" w:lineRule="exact"/>
        <w:rPr>
          <w:rFonts w:ascii="Arial" w:cs="Arial" w:eastAsia="Arial" w:hAnsi="Arial"/>
          <w:sz w:val="14"/>
          <w:szCs w:val="14"/>
          <w:color w:val="auto"/>
        </w:rPr>
      </w:pPr>
    </w:p>
    <w:p>
      <w:pPr>
        <w:ind w:left="565" w:hanging="183"/>
        <w:spacing w:after="0"/>
        <w:tabs>
          <w:tab w:leader="none" w:pos="565" w:val="left"/>
        </w:tabs>
        <w:numPr>
          <w:ilvl w:val="1"/>
          <w:numId w:val="48"/>
        </w:numPr>
        <w:rPr>
          <w:rFonts w:ascii="Arial" w:cs="Arial" w:eastAsia="Arial" w:hAnsi="Arial"/>
          <w:sz w:val="14"/>
          <w:szCs w:val="14"/>
          <w:color w:val="auto"/>
        </w:rPr>
      </w:pPr>
      <w:r>
        <w:rPr>
          <w:rFonts w:ascii="Arial" w:cs="Arial" w:eastAsia="Arial" w:hAnsi="Arial"/>
          <w:sz w:val="14"/>
          <w:szCs w:val="14"/>
          <w:color w:val="auto"/>
        </w:rPr>
        <w:t>Q4 2022 saw continued strong subscriber engagement, with 28% of subscribers adding one or more paid additional items into their subscription program.</w:t>
      </w:r>
    </w:p>
    <w:p>
      <w:pPr>
        <w:spacing w:after="0" w:line="199" w:lineRule="exact"/>
        <w:rPr>
          <w:rFonts w:ascii="Arial" w:cs="Arial" w:eastAsia="Arial" w:hAnsi="Arial"/>
          <w:sz w:val="14"/>
          <w:szCs w:val="14"/>
          <w:color w:val="auto"/>
        </w:rPr>
      </w:pPr>
    </w:p>
    <w:p>
      <w:pPr>
        <w:ind w:left="565" w:hanging="183"/>
        <w:spacing w:after="0" w:line="271" w:lineRule="auto"/>
        <w:tabs>
          <w:tab w:leader="none" w:pos="561" w:val="left"/>
        </w:tabs>
        <w:numPr>
          <w:ilvl w:val="1"/>
          <w:numId w:val="48"/>
        </w:numPr>
        <w:rPr>
          <w:rFonts w:ascii="Arial" w:cs="Arial" w:eastAsia="Arial" w:hAnsi="Arial"/>
          <w:sz w:val="14"/>
          <w:szCs w:val="14"/>
          <w:color w:val="auto"/>
        </w:rPr>
      </w:pPr>
      <w:r>
        <w:rPr>
          <w:rFonts w:ascii="Arial" w:cs="Arial" w:eastAsia="Arial" w:hAnsi="Arial"/>
          <w:sz w:val="14"/>
          <w:szCs w:val="14"/>
          <w:color w:val="auto"/>
        </w:rPr>
        <w:t>Expanded at-home pickup to 34 markets covering 60% of our subscriber base. In addition, 29% of at-home pickups in Q4 2022 were “live-swap” (where the delivery and return happen simultaneously), leading to consolidation-based transportation cost savings. Subscriber adoption of at-home pickup within eligible zip codes was 37% during the last fiscal week of Q4 2022.</w:t>
      </w:r>
    </w:p>
    <w:p>
      <w:pPr>
        <w:spacing w:after="0" w:line="154" w:lineRule="exact"/>
        <w:rPr>
          <w:rFonts w:ascii="Arial" w:cs="Arial" w:eastAsia="Arial" w:hAnsi="Arial"/>
          <w:sz w:val="14"/>
          <w:szCs w:val="14"/>
          <w:color w:val="auto"/>
        </w:rPr>
      </w:pPr>
    </w:p>
    <w:p>
      <w:pPr>
        <w:ind w:left="565" w:right="340" w:hanging="183"/>
        <w:spacing w:after="0" w:line="290" w:lineRule="auto"/>
        <w:tabs>
          <w:tab w:leader="none" w:pos="561" w:val="left"/>
        </w:tabs>
        <w:numPr>
          <w:ilvl w:val="1"/>
          <w:numId w:val="48"/>
        </w:numPr>
        <w:rPr>
          <w:rFonts w:ascii="Arial" w:cs="Arial" w:eastAsia="Arial" w:hAnsi="Arial"/>
          <w:sz w:val="14"/>
          <w:szCs w:val="14"/>
          <w:color w:val="auto"/>
        </w:rPr>
      </w:pPr>
      <w:r>
        <w:rPr>
          <w:rFonts w:ascii="Arial" w:cs="Arial" w:eastAsia="Arial" w:hAnsi="Arial"/>
          <w:sz w:val="14"/>
          <w:szCs w:val="14"/>
          <w:color w:val="auto"/>
        </w:rPr>
        <w:t>Achieved our product acquisition goal of 60% non-wholesale in fiscal 2022, excluding the opportunistic pull-forward of product spend from fiscal 2023 into fiscal 2022. Inclusive of all product spend for the year, non-wholesale represented 58% in fiscal 2022.</w:t>
      </w:r>
    </w:p>
    <w:p>
      <w:pPr>
        <w:spacing w:after="0" w:line="141" w:lineRule="exact"/>
        <w:rPr>
          <w:rFonts w:ascii="Arial" w:cs="Arial" w:eastAsia="Arial" w:hAnsi="Arial"/>
          <w:sz w:val="14"/>
          <w:szCs w:val="14"/>
          <w:color w:val="auto"/>
        </w:rPr>
      </w:pPr>
    </w:p>
    <w:p>
      <w:pPr>
        <w:jc w:val="both"/>
        <w:ind w:left="565" w:right="260" w:hanging="183"/>
        <w:spacing w:after="0" w:line="271" w:lineRule="auto"/>
        <w:tabs>
          <w:tab w:leader="none" w:pos="562" w:val="left"/>
        </w:tabs>
        <w:numPr>
          <w:ilvl w:val="1"/>
          <w:numId w:val="48"/>
        </w:numPr>
        <w:rPr>
          <w:rFonts w:ascii="Arial" w:cs="Arial" w:eastAsia="Arial" w:hAnsi="Arial"/>
          <w:sz w:val="14"/>
          <w:szCs w:val="14"/>
          <w:color w:val="auto"/>
        </w:rPr>
      </w:pPr>
      <w:r>
        <w:rPr>
          <w:rFonts w:ascii="Arial" w:cs="Arial" w:eastAsia="Arial" w:hAnsi="Arial"/>
          <w:sz w:val="14"/>
          <w:szCs w:val="14"/>
          <w:color w:val="auto"/>
        </w:rPr>
        <w:t>In March 2023, launched 360, full-funnel “Era of Extra” marketing campaign to announce the launch of RTR's new subscription plans, which included collaboration with social media creators, video content to members from our CEO, full site and app takeover, a multi-touch email campaign, full coverage on paid social and search, plus activation with the RTR ambassador community.</w:t>
      </w:r>
    </w:p>
    <w:p>
      <w:pPr>
        <w:spacing w:after="0" w:line="154" w:lineRule="exact"/>
        <w:rPr>
          <w:rFonts w:ascii="Arial" w:cs="Arial" w:eastAsia="Arial" w:hAnsi="Arial"/>
          <w:sz w:val="14"/>
          <w:szCs w:val="14"/>
          <w:color w:val="auto"/>
        </w:rPr>
      </w:pPr>
    </w:p>
    <w:p>
      <w:pPr>
        <w:ind w:left="565" w:hanging="246"/>
        <w:spacing w:after="0" w:line="290" w:lineRule="auto"/>
        <w:tabs>
          <w:tab w:leader="none" w:pos="561"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In March 2023, executed continued integration of Rent the Runway’s brand into pop culture with notable inclusion in Netflix’s </w:t>
      </w:r>
      <w:r>
        <w:rPr>
          <w:rFonts w:ascii="Arial" w:cs="Arial" w:eastAsia="Arial" w:hAnsi="Arial"/>
          <w:sz w:val="14"/>
          <w:szCs w:val="14"/>
          <w:i w:val="1"/>
          <w:iCs w:val="1"/>
          <w:color w:val="auto"/>
        </w:rPr>
        <w:t>Next in Fashion</w:t>
      </w:r>
      <w:r>
        <w:rPr>
          <w:rFonts w:ascii="Arial" w:cs="Arial" w:eastAsia="Arial" w:hAnsi="Arial"/>
          <w:sz w:val="14"/>
          <w:szCs w:val="14"/>
          <w:color w:val="auto"/>
        </w:rPr>
        <w:t xml:space="preserve"> hosted by Gigi Hadid and Tan France. Winner Nigel Xavier’s collection -- which appears exclusively on RTR -- features upcycled garments, including pre-loved items from RTR.</w:t>
      </w:r>
    </w:p>
    <w:p>
      <w:pPr>
        <w:spacing w:after="0" w:line="269" w:lineRule="exact"/>
        <w:rPr>
          <w:sz w:val="20"/>
          <w:szCs w:val="20"/>
          <w:color w:val="auto"/>
        </w:rPr>
      </w:pPr>
    </w:p>
    <w:p>
      <w:pPr>
        <w:ind w:left="5"/>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years ended January 31, 2023 and 2022, respectively:</w:t>
      </w:r>
    </w:p>
    <w:p>
      <w:pPr>
        <w:spacing w:after="0" w:line="285" w:lineRule="exact"/>
        <w:rPr>
          <w:sz w:val="20"/>
          <w:szCs w:val="20"/>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Revenue was $296.4 million and $203.3 million, respectively, representing 45.8% growth year-over-year;</w:t>
      </w:r>
    </w:p>
    <w:p>
      <w:pPr>
        <w:spacing w:after="0" w:line="91"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126,712 and 115,240 ending Active Subscribers</w:t>
      </w:r>
      <w:r>
        <w:rPr>
          <w:rFonts w:ascii="Arial" w:cs="Arial" w:eastAsia="Arial" w:hAnsi="Arial"/>
          <w:sz w:val="18"/>
          <w:szCs w:val="18"/>
          <w:color w:val="auto"/>
          <w:vertAlign w:val="superscript"/>
        </w:rPr>
        <w:t>12</w:t>
      </w:r>
      <w:r>
        <w:rPr>
          <w:rFonts w:ascii="Arial" w:cs="Arial" w:eastAsia="Arial" w:hAnsi="Arial"/>
          <w:sz w:val="14"/>
          <w:szCs w:val="14"/>
          <w:color w:val="auto"/>
        </w:rPr>
        <w:t xml:space="preserve"> (excluding paused subscribers), respectively, representing 10% growth year-over-year;</w:t>
      </w:r>
    </w:p>
    <w:p>
      <w:pPr>
        <w:spacing w:after="0" w:line="47"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128,586 and 93,371 Average Active Subscribers</w:t>
      </w:r>
      <w:r>
        <w:rPr>
          <w:rFonts w:ascii="Arial" w:cs="Arial" w:eastAsia="Arial" w:hAnsi="Arial"/>
          <w:sz w:val="18"/>
          <w:szCs w:val="18"/>
          <w:color w:val="auto"/>
          <w:vertAlign w:val="superscript"/>
        </w:rPr>
        <w:t>13</w:t>
      </w:r>
      <w:r>
        <w:rPr>
          <w:rFonts w:ascii="Arial" w:cs="Arial" w:eastAsia="Arial" w:hAnsi="Arial"/>
          <w:sz w:val="14"/>
          <w:szCs w:val="14"/>
          <w:color w:val="auto"/>
        </w:rPr>
        <w:t>, respectively, representing 38% growth year-over-year;</w:t>
      </w:r>
    </w:p>
    <w:p>
      <w:pPr>
        <w:spacing w:after="0" w:line="49"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171,998 and 159,544 ending Total Subscribers (including paused subscribers), respectively, representing 8% growth year-over-year;</w:t>
      </w:r>
    </w:p>
    <w:p>
      <w:pPr>
        <w:spacing w:after="0" w:line="93"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Gross Profit was $120.0 million and $69.7 million, respectively, representing a gross margin of 40.5% and 34.3%, respectively;</w:t>
      </w:r>
    </w:p>
    <w:p>
      <w:pPr>
        <w:spacing w:after="0" w:line="93" w:lineRule="exact"/>
        <w:rPr>
          <w:rFonts w:ascii="Arial" w:cs="Arial" w:eastAsia="Arial" w:hAnsi="Arial"/>
          <w:sz w:val="14"/>
          <w:szCs w:val="14"/>
          <w:color w:val="auto"/>
        </w:rPr>
      </w:pPr>
    </w:p>
    <w:p>
      <w:pPr>
        <w:ind w:left="565" w:right="600" w:hanging="183"/>
        <w:spacing w:after="0" w:line="290" w:lineRule="auto"/>
        <w:tabs>
          <w:tab w:leader="none" w:pos="562"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Net Loss was $(138.7) million and $(211.8) million, respectively. Net Loss as a percentage of revenue was (46.8)%, and (104.2)%, respectively. In the year ended January 31, 2023, Net Loss included $7.7 million of restructuring and related charges;</w:t>
      </w:r>
    </w:p>
    <w:p>
      <w:pPr>
        <w:spacing w:after="0" w:line="35"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Adjusted EBITDA was $6.7 million and $(19.2) million, respectively, representing an Adjusted EBITDA margin of 2.3% and (9.4)%, respectively;</w:t>
      </w:r>
    </w:p>
    <w:p>
      <w:pPr>
        <w:spacing w:after="0" w:line="93"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was $(92.0) million and $(64.8) million, respectively;</w:t>
      </w:r>
    </w:p>
    <w:p>
      <w:pPr>
        <w:spacing w:after="0" w:line="93"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Net cash used in operating activities plus net cash used in investing activities as a percentage of revenue was (31.0)% and (31.9)%, respectively; and</w:t>
      </w:r>
    </w:p>
    <w:p>
      <w:pPr>
        <w:spacing w:after="0" w:line="93" w:lineRule="exact"/>
        <w:rPr>
          <w:rFonts w:ascii="Arial" w:cs="Arial" w:eastAsia="Arial" w:hAnsi="Arial"/>
          <w:sz w:val="14"/>
          <w:szCs w:val="14"/>
          <w:color w:val="auto"/>
        </w:rPr>
      </w:pPr>
    </w:p>
    <w:p>
      <w:pPr>
        <w:ind w:left="565" w:hanging="183"/>
        <w:spacing w:after="0"/>
        <w:tabs>
          <w:tab w:leader="none" w:pos="565" w:val="left"/>
        </w:tabs>
        <w:numPr>
          <w:ilvl w:val="0"/>
          <w:numId w:val="49"/>
        </w:numPr>
        <w:rPr>
          <w:rFonts w:ascii="Arial" w:cs="Arial" w:eastAsia="Arial" w:hAnsi="Arial"/>
          <w:sz w:val="14"/>
          <w:szCs w:val="14"/>
          <w:color w:val="auto"/>
        </w:rPr>
      </w:pPr>
      <w:r>
        <w:rPr>
          <w:rFonts w:ascii="Arial" w:cs="Arial" w:eastAsia="Arial" w:hAnsi="Arial"/>
          <w:sz w:val="14"/>
          <w:szCs w:val="14"/>
          <w:color w:val="auto"/>
        </w:rPr>
        <w:t>Cash and Cash Equivalents was $154.5 million and $247.6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134747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20" w:lineRule="exact"/>
        <w:rPr>
          <w:sz w:val="20"/>
          <w:szCs w:val="20"/>
          <w:color w:val="auto"/>
        </w:rPr>
      </w:pPr>
    </w:p>
    <w:p>
      <w:pPr>
        <w:ind w:left="105" w:hanging="105"/>
        <w:spacing w:after="0"/>
        <w:tabs>
          <w:tab w:leader="none" w:pos="105" w:val="left"/>
        </w:tabs>
        <w:numPr>
          <w:ilvl w:val="0"/>
          <w:numId w:val="50"/>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21" w:lineRule="exact"/>
        <w:rPr>
          <w:rFonts w:ascii="Arial" w:cs="Arial" w:eastAsia="Arial" w:hAnsi="Arial"/>
          <w:sz w:val="7"/>
          <w:szCs w:val="7"/>
          <w:color w:val="auto"/>
        </w:rPr>
      </w:pPr>
    </w:p>
    <w:p>
      <w:pPr>
        <w:ind w:left="5" w:right="260" w:hanging="5"/>
        <w:spacing w:after="0" w:line="221" w:lineRule="auto"/>
        <w:tabs>
          <w:tab w:leader="none" w:pos="118" w:val="left"/>
        </w:tabs>
        <w:numPr>
          <w:ilvl w:val="0"/>
          <w:numId w:val="50"/>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445135</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5"/>
          </w:cols>
          <w:pgMar w:left="295" w:top="95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4"/>
        <w:spacing w:after="0"/>
        <w:rPr>
          <w:sz w:val="20"/>
          <w:szCs w:val="20"/>
          <w:color w:val="auto"/>
        </w:rPr>
      </w:pPr>
      <w:r>
        <w:rPr>
          <w:rFonts w:ascii="Arial" w:cs="Arial" w:eastAsia="Arial" w:hAnsi="Arial"/>
          <w:sz w:val="20"/>
          <w:szCs w:val="20"/>
          <w:color w:val="auto"/>
        </w:rPr>
        <w:t>66</w:t>
      </w:r>
    </w:p>
    <w:p>
      <w:pPr>
        <w:sectPr>
          <w:pgSz w:w="11880" w:h="15480" w:orient="portrait"/>
          <w:cols w:equalWidth="0" w:num="1">
            <w:col w:w="11245"/>
          </w:cols>
          <w:pgMar w:left="295" w:top="950" w:right="339" w:bottom="0" w:gutter="0" w:footer="0" w:header="0"/>
          <w:type w:val="continuous"/>
        </w:sectPr>
      </w:pPr>
    </w:p>
    <w:bookmarkStart w:id="74" w:name="page75"/>
    <w:bookmarkEnd w:id="74"/>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13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acquire and monetize products in three ways: Wholesale, Share by RTR and Exclusive Designs. These three product acquisition methods are strategic levers to manage our capital efficiency, profitability and product risk. Our Exclusive Designs channel uses data insights to acquire items at a lower cost, which are designed to generate higher profitability over time. Share by RTR meaningfully reduces our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chart below summarizes the percentage of new items acquired via each method. In total, approximately 58% of new items were acquired through the more capital-efficient channels in fiscal year 2022, approximately 55% in fiscal year 2021 and approximately 54% in fiscal year 2020. Both our purchasing power and the diversification into Share by RTR and Exclusive Designs have led to a decrease in rental product capital expenditures (or Purchases of Rental Product as presented in the Consolidated Statement of Cash Flows) as a percentage of revenue over time. We plan to further decrease the percentage of units acquired through Wholesale and increase the percentage of units acquired through our more capital-efficient channels, Exclusive Designs and Share by RTR over time.</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900" w:type="dxa"/>
            <w:vAlign w:val="bottom"/>
            <w:tcBorders>
              <w:top w:val="single" w:sz="8" w:color="auto"/>
              <w:right w:val="single" w:sz="8" w:color="auto"/>
            </w:tcBorders>
            <w:vMerge w:val="restart"/>
            <w:shd w:val="clear" w:color="auto" w:fill="292929"/>
          </w:tcPr>
          <w:p>
            <w:pPr>
              <w:ind w:left="560"/>
              <w:spacing w:after="0"/>
              <w:rPr>
                <w:sz w:val="20"/>
                <w:szCs w:val="20"/>
                <w:color w:val="auto"/>
              </w:rPr>
            </w:pPr>
            <w:r>
              <w:rPr>
                <w:rFonts w:ascii="Arial" w:cs="Arial" w:eastAsia="Arial" w:hAnsi="Arial"/>
                <w:sz w:val="14"/>
                <w:szCs w:val="14"/>
                <w:b w:val="1"/>
                <w:bCs w:val="1"/>
                <w:color w:val="FFFFFF"/>
              </w:rPr>
              <w:t>Description</w:t>
            </w:r>
          </w:p>
        </w:tc>
        <w:tc>
          <w:tcPr>
            <w:tcW w:w="1900" w:type="dxa"/>
            <w:vAlign w:val="bottom"/>
            <w:tcBorders>
              <w:top w:val="single" w:sz="8" w:color="auto"/>
              <w:right w:val="single" w:sz="8" w:color="auto"/>
            </w:tcBorders>
            <w:shd w:val="clear" w:color="auto" w:fill="292929"/>
          </w:tcPr>
          <w:p>
            <w:pPr>
              <w:ind w:left="40"/>
              <w:spacing w:after="0" w:line="146"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292929"/>
          </w:tcPr>
          <w:p>
            <w:pPr>
              <w:ind w:left="200"/>
              <w:spacing w:after="0" w:line="146" w:lineRule="exact"/>
              <w:rPr>
                <w:sz w:val="20"/>
                <w:szCs w:val="20"/>
                <w:color w:val="auto"/>
              </w:rPr>
            </w:pPr>
            <w:r>
              <w:rPr>
                <w:rFonts w:ascii="Arial" w:cs="Arial" w:eastAsia="Arial" w:hAnsi="Arial"/>
                <w:sz w:val="14"/>
                <w:szCs w:val="14"/>
                <w:b w:val="1"/>
                <w:bCs w:val="1"/>
                <w:color w:val="FFFFFF"/>
              </w:rPr>
              <w:t>Consolidated Balance</w:t>
            </w:r>
          </w:p>
        </w:tc>
        <w:tc>
          <w:tcPr>
            <w:tcW w:w="1900" w:type="dxa"/>
            <w:vAlign w:val="bottom"/>
            <w:tcBorders>
              <w:top w:val="single" w:sz="8" w:color="auto"/>
              <w:right w:val="single" w:sz="8" w:color="auto"/>
            </w:tcBorders>
            <w:shd w:val="clear" w:color="auto" w:fill="292929"/>
          </w:tcPr>
          <w:p>
            <w:pPr>
              <w:ind w:left="40"/>
              <w:spacing w:after="0" w:line="146" w:lineRule="exact"/>
              <w:rPr>
                <w:sz w:val="20"/>
                <w:szCs w:val="20"/>
                <w:color w:val="auto"/>
              </w:rPr>
            </w:pPr>
            <w:r>
              <w:rPr>
                <w:rFonts w:ascii="Arial" w:cs="Arial" w:eastAsia="Arial" w:hAnsi="Arial"/>
                <w:sz w:val="14"/>
                <w:szCs w:val="14"/>
                <w:b w:val="1"/>
                <w:bCs w:val="1"/>
                <w:color w:val="FFFFFF"/>
              </w:rPr>
              <w:t>Consolidated Statement of</w:t>
            </w:r>
          </w:p>
        </w:tc>
        <w:tc>
          <w:tcPr>
            <w:tcW w:w="1900" w:type="dxa"/>
            <w:vAlign w:val="bottom"/>
            <w:tcBorders>
              <w:top w:val="single" w:sz="8" w:color="auto"/>
              <w:right w:val="single" w:sz="8" w:color="auto"/>
            </w:tcBorders>
            <w:shd w:val="clear" w:color="auto" w:fill="292929"/>
          </w:tcPr>
          <w:p>
            <w:pPr>
              <w:jc w:val="right"/>
              <w:ind w:right="9"/>
              <w:spacing w:after="0" w:line="146" w:lineRule="exact"/>
              <w:rPr>
                <w:sz w:val="20"/>
                <w:szCs w:val="20"/>
                <w:color w:val="auto"/>
              </w:rPr>
            </w:pPr>
            <w:r>
              <w:rPr>
                <w:rFonts w:ascii="Arial" w:cs="Arial" w:eastAsia="Arial" w:hAnsi="Arial"/>
                <w:sz w:val="14"/>
                <w:szCs w:val="14"/>
                <w:b w:val="1"/>
                <w:bCs w:val="1"/>
                <w:color w:val="FFFFFF"/>
              </w:rPr>
              <w:t>Percent of Items Acquired</w:t>
            </w:r>
          </w:p>
        </w:tc>
        <w:tc>
          <w:tcPr>
            <w:tcW w:w="0" w:type="dxa"/>
            <w:vAlign w:val="bottom"/>
          </w:tcPr>
          <w:p>
            <w:pPr>
              <w:spacing w:after="0"/>
              <w:rPr>
                <w:sz w:val="1"/>
                <w:szCs w:val="1"/>
                <w:color w:val="auto"/>
              </w:rPr>
            </w:pPr>
          </w:p>
        </w:tc>
      </w:tr>
      <w:tr>
        <w:trPr>
          <w:trHeight w:val="126"/>
        </w:trPr>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shd w:val="clear" w:color="auto" w:fill="292929"/>
          </w:tcPr>
          <w:p>
            <w:pPr>
              <w:spacing w:after="0"/>
              <w:rPr>
                <w:sz w:val="10"/>
                <w:szCs w:val="10"/>
                <w:color w:val="auto"/>
              </w:rPr>
            </w:pPr>
          </w:p>
        </w:tc>
        <w:tc>
          <w:tcPr>
            <w:tcW w:w="1900" w:type="dxa"/>
            <w:vAlign w:val="bottom"/>
            <w:tcBorders>
              <w:right w:val="single" w:sz="8" w:color="auto"/>
            </w:tcBorders>
            <w:vMerge w:val="restart"/>
            <w:shd w:val="clear" w:color="auto" w:fill="292929"/>
          </w:tcPr>
          <w:p>
            <w:pPr>
              <w:ind w:left="560"/>
              <w:spacing w:after="0"/>
              <w:rPr>
                <w:sz w:val="20"/>
                <w:szCs w:val="20"/>
                <w:color w:val="auto"/>
              </w:rPr>
            </w:pPr>
            <w:r>
              <w:rPr>
                <w:rFonts w:ascii="Arial" w:cs="Arial" w:eastAsia="Arial" w:hAnsi="Arial"/>
                <w:sz w:val="14"/>
                <w:szCs w:val="14"/>
                <w:b w:val="1"/>
                <w:bCs w:val="1"/>
                <w:color w:val="FFFFFF"/>
              </w:rPr>
              <w:t>Operations</w:t>
            </w:r>
          </w:p>
        </w:tc>
        <w:tc>
          <w:tcPr>
            <w:tcW w:w="1900" w:type="dxa"/>
            <w:vAlign w:val="bottom"/>
            <w:tcBorders>
              <w:right w:val="single" w:sz="8" w:color="auto"/>
            </w:tcBorders>
            <w:vMerge w:val="restart"/>
            <w:shd w:val="clear" w:color="auto" w:fill="292929"/>
          </w:tcPr>
          <w:p>
            <w:pPr>
              <w:ind w:left="700"/>
              <w:spacing w:after="0"/>
              <w:rPr>
                <w:sz w:val="20"/>
                <w:szCs w:val="20"/>
                <w:color w:val="auto"/>
              </w:rPr>
            </w:pPr>
            <w:r>
              <w:rPr>
                <w:rFonts w:ascii="Arial" w:cs="Arial" w:eastAsia="Arial" w:hAnsi="Arial"/>
                <w:sz w:val="14"/>
                <w:szCs w:val="14"/>
                <w:b w:val="1"/>
                <w:bCs w:val="1"/>
                <w:color w:val="FFFFFF"/>
              </w:rPr>
              <w:t>Sheets</w:t>
            </w:r>
          </w:p>
        </w:tc>
        <w:tc>
          <w:tcPr>
            <w:tcW w:w="1900" w:type="dxa"/>
            <w:vAlign w:val="bottom"/>
            <w:tcBorders>
              <w:right w:val="single" w:sz="8" w:color="auto"/>
            </w:tcBorders>
            <w:vMerge w:val="restart"/>
            <w:shd w:val="clear" w:color="auto" w:fill="292929"/>
          </w:tcPr>
          <w:p>
            <w:pPr>
              <w:ind w:left="540"/>
              <w:spacing w:after="0"/>
              <w:rPr>
                <w:sz w:val="20"/>
                <w:szCs w:val="20"/>
                <w:color w:val="auto"/>
              </w:rPr>
            </w:pPr>
            <w:r>
              <w:rPr>
                <w:rFonts w:ascii="Arial" w:cs="Arial" w:eastAsia="Arial" w:hAnsi="Arial"/>
                <w:sz w:val="14"/>
                <w:szCs w:val="14"/>
                <w:b w:val="1"/>
                <w:bCs w:val="1"/>
                <w:color w:val="FFFFFF"/>
              </w:rPr>
              <w:t>Cash Flows</w:t>
            </w:r>
          </w:p>
        </w:tc>
        <w:tc>
          <w:tcPr>
            <w:tcW w:w="1900" w:type="dxa"/>
            <w:vAlign w:val="bottom"/>
            <w:tcBorders>
              <w:right w:val="single" w:sz="8" w:color="auto"/>
            </w:tcBorders>
            <w:vMerge w:val="restart"/>
            <w:shd w:val="clear" w:color="auto" w:fill="292929"/>
          </w:tcPr>
          <w:p>
            <w:pPr>
              <w:jc w:val="right"/>
              <w:ind w:right="109"/>
              <w:spacing w:after="0"/>
              <w:rPr>
                <w:sz w:val="20"/>
                <w:szCs w:val="20"/>
                <w:color w:val="auto"/>
              </w:rPr>
            </w:pPr>
            <w:r>
              <w:rPr>
                <w:rFonts w:ascii="Arial" w:cs="Arial" w:eastAsia="Arial" w:hAnsi="Arial"/>
                <w:sz w:val="14"/>
                <w:szCs w:val="14"/>
                <w:b w:val="1"/>
                <w:bCs w:val="1"/>
                <w:color w:val="FFFFFF"/>
              </w:rPr>
              <w:t>in FY 2022 / 2021 / 2020</w:t>
            </w:r>
          </w:p>
        </w:tc>
        <w:tc>
          <w:tcPr>
            <w:tcW w:w="0" w:type="dxa"/>
            <w:vAlign w:val="bottom"/>
          </w:tcPr>
          <w:p>
            <w:pPr>
              <w:spacing w:after="0"/>
              <w:rPr>
                <w:sz w:val="1"/>
                <w:szCs w:val="1"/>
                <w:color w:val="auto"/>
              </w:rPr>
            </w:pPr>
          </w:p>
        </w:tc>
      </w:tr>
      <w:tr>
        <w:trPr>
          <w:trHeight w:val="67"/>
        </w:trPr>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shd w:val="clear" w:color="auto" w:fill="292929"/>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292929"/>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292929"/>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292929"/>
          </w:tcPr>
          <w:p>
            <w:pPr>
              <w:spacing w:after="0"/>
              <w:rPr>
                <w:sz w:val="5"/>
                <w:szCs w:val="5"/>
                <w:color w:val="auto"/>
              </w:rPr>
            </w:pPr>
          </w:p>
        </w:tc>
        <w:tc>
          <w:tcPr>
            <w:tcW w:w="1900" w:type="dxa"/>
            <w:vAlign w:val="bottom"/>
            <w:tcBorders>
              <w:bottom w:val="single" w:sz="8" w:color="auto"/>
              <w:right w:val="single" w:sz="8" w:color="auto"/>
            </w:tcBorders>
            <w:vMerge w:val="continue"/>
            <w:shd w:val="clear" w:color="auto" w:fill="292929"/>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12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shd w:val="clear" w:color="auto" w:fill="BEBEBE"/>
          </w:tcPr>
          <w:p>
            <w:pPr>
              <w:ind w:left="20"/>
              <w:spacing w:after="0" w:line="126" w:lineRule="exact"/>
              <w:rPr>
                <w:sz w:val="20"/>
                <w:szCs w:val="20"/>
                <w:color w:val="auto"/>
              </w:rPr>
            </w:pPr>
            <w:r>
              <w:rPr>
                <w:rFonts w:ascii="Arial" w:cs="Arial" w:eastAsia="Arial" w:hAnsi="Arial"/>
                <w:sz w:val="14"/>
                <w:szCs w:val="14"/>
                <w:color w:val="auto"/>
              </w:rPr>
              <w:t>Cost is recognized through</w:t>
            </w:r>
          </w:p>
        </w:tc>
        <w:tc>
          <w:tcPr>
            <w:tcW w:w="19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restart"/>
            <w:shd w:val="clear" w:color="auto" w:fill="BEBEBE"/>
          </w:tcPr>
          <w:p>
            <w:pPr>
              <w:spacing w:after="0"/>
              <w:rPr>
                <w:sz w:val="20"/>
                <w:szCs w:val="20"/>
                <w:color w:val="auto"/>
              </w:rPr>
            </w:pPr>
            <w:r>
              <w:rPr>
                <w:rFonts w:ascii="Arial" w:cs="Arial" w:eastAsia="Arial" w:hAnsi="Arial"/>
                <w:sz w:val="14"/>
                <w:szCs w:val="14"/>
                <w:color w:val="auto"/>
              </w:rPr>
              <w:t>Total cost is recognized as a</w:t>
            </w:r>
          </w:p>
        </w:tc>
        <w:tc>
          <w:tcPr>
            <w:tcW w:w="1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straight-line depreciation,</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shd w:val="clear" w:color="auto" w:fill="BEBEB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24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BEBEBE"/>
          </w:tcPr>
          <w:p>
            <w:pPr>
              <w:ind w:left="20"/>
              <w:spacing w:after="0" w:line="149" w:lineRule="exact"/>
              <w:rPr>
                <w:sz w:val="20"/>
                <w:szCs w:val="20"/>
                <w:color w:val="auto"/>
              </w:rPr>
            </w:pPr>
            <w:r>
              <w:rPr>
                <w:rFonts w:ascii="Arial" w:cs="Arial" w:eastAsia="Arial" w:hAnsi="Arial"/>
                <w:sz w:val="14"/>
                <w:szCs w:val="14"/>
                <w:color w:val="auto"/>
              </w:rPr>
              <w:t>with a three-year useful life</w:t>
            </w:r>
          </w:p>
        </w:tc>
        <w:tc>
          <w:tcPr>
            <w:tcW w:w="1900" w:type="dxa"/>
            <w:vAlign w:val="bottom"/>
            <w:tcBorders>
              <w:right w:val="single" w:sz="8" w:color="auto"/>
            </w:tcBorders>
            <w:vMerge w:val="restart"/>
          </w:tcPr>
          <w:p>
            <w:pPr>
              <w:spacing w:after="0" w:line="149" w:lineRule="exact"/>
              <w:rPr>
                <w:sz w:val="20"/>
                <w:szCs w:val="20"/>
                <w:color w:val="auto"/>
              </w:rPr>
            </w:pPr>
            <w:r>
              <w:rPr>
                <w:rFonts w:ascii="Arial" w:cs="Arial" w:eastAsia="Arial" w:hAnsi="Arial"/>
                <w:sz w:val="14"/>
                <w:szCs w:val="14"/>
                <w:color w:val="auto"/>
              </w:rPr>
              <w:t>Total cost is capitalized as</w:t>
            </w:r>
          </w:p>
        </w:tc>
        <w:tc>
          <w:tcPr>
            <w:tcW w:w="1900" w:type="dxa"/>
            <w:vAlign w:val="bottom"/>
            <w:tcBorders>
              <w:right w:val="single" w:sz="8" w:color="auto"/>
            </w:tcBorders>
            <w:vMerge w:val="restart"/>
            <w:shd w:val="clear" w:color="auto" w:fill="BEBEBE"/>
          </w:tcPr>
          <w:p>
            <w:pPr>
              <w:spacing w:after="0" w:line="149" w:lineRule="exact"/>
              <w:rPr>
                <w:sz w:val="20"/>
                <w:szCs w:val="20"/>
                <w:color w:val="auto"/>
              </w:rPr>
            </w:pPr>
            <w:r>
              <w:rPr>
                <w:rFonts w:ascii="Arial" w:cs="Arial" w:eastAsia="Arial" w:hAnsi="Arial"/>
                <w:sz w:val="14"/>
                <w:szCs w:val="14"/>
                <w:color w:val="auto"/>
              </w:rPr>
              <w:t>capital expenditure</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1780" w:type="dxa"/>
            <w:vAlign w:val="bottom"/>
            <w:tcBorders>
              <w:left w:val="single" w:sz="8" w:color="auto"/>
              <w:right w:val="single" w:sz="8" w:color="auto"/>
            </w:tcBorders>
            <w:gridSpan w:val="5"/>
            <w:vMerge w:val="restart"/>
          </w:tcPr>
          <w:p>
            <w:pPr>
              <w:ind w:left="40"/>
              <w:spacing w:after="0"/>
              <w:rPr>
                <w:sz w:val="20"/>
                <w:szCs w:val="20"/>
                <w:color w:val="auto"/>
              </w:rPr>
            </w:pPr>
            <w:r>
              <w:rPr>
                <w:rFonts w:ascii="Arial" w:cs="Arial" w:eastAsia="Arial" w:hAnsi="Arial"/>
                <w:sz w:val="16"/>
                <w:szCs w:val="16"/>
                <w:b w:val="1"/>
                <w:bCs w:val="1"/>
                <w:color w:val="4B4B4B"/>
              </w:rPr>
              <w:t>WHOLESALE</w:t>
            </w:r>
          </w:p>
        </w:tc>
        <w:tc>
          <w:tcPr>
            <w:tcW w:w="1900" w:type="dxa"/>
            <w:vAlign w:val="bottom"/>
            <w:tcBorders>
              <w:right w:val="single" w:sz="8" w:color="auto"/>
            </w:tcBorders>
            <w:vMerge w:val="restart"/>
          </w:tcPr>
          <w:p>
            <w:pPr>
              <w:ind w:left="20"/>
              <w:spacing w:after="0" w:line="145" w:lineRule="exact"/>
              <w:rPr>
                <w:sz w:val="20"/>
                <w:szCs w:val="20"/>
                <w:color w:val="auto"/>
              </w:rPr>
            </w:pPr>
            <w:r>
              <w:rPr>
                <w:rFonts w:ascii="Arial" w:cs="Arial" w:eastAsia="Arial" w:hAnsi="Arial"/>
                <w:sz w:val="14"/>
                <w:szCs w:val="14"/>
                <w:color w:val="auto"/>
              </w:rPr>
              <w:t>from brands partners,</w:t>
            </w:r>
          </w:p>
        </w:tc>
        <w:tc>
          <w:tcPr>
            <w:tcW w:w="1900" w:type="dxa"/>
            <w:vAlign w:val="bottom"/>
            <w:tcBorders>
              <w:right w:val="single" w:sz="8" w:color="auto"/>
            </w:tcBorders>
            <w:vMerge w:val="continue"/>
            <w:shd w:val="clear" w:color="auto" w:fill="BEBEBE"/>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BEBEB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780" w:type="dxa"/>
            <w:vAlign w:val="bottom"/>
            <w:tcBorders>
              <w:left w:val="single" w:sz="8" w:color="auto"/>
              <w:right w:val="single" w:sz="8" w:color="auto"/>
            </w:tcBorders>
            <w:gridSpan w:val="5"/>
            <w:vMerge w:val="continue"/>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BEBEBE"/>
          </w:tcPr>
          <w:p>
            <w:pPr>
              <w:ind w:left="20"/>
              <w:spacing w:after="0" w:line="138" w:lineRule="exact"/>
              <w:rPr>
                <w:sz w:val="20"/>
                <w:szCs w:val="20"/>
                <w:color w:val="auto"/>
              </w:rPr>
            </w:pPr>
            <w:r>
              <w:rPr>
                <w:rFonts w:ascii="Arial" w:cs="Arial" w:eastAsia="Arial" w:hAnsi="Arial"/>
                <w:sz w:val="14"/>
                <w:szCs w:val="14"/>
                <w:color w:val="auto"/>
              </w:rPr>
              <w:t>and 20% salvage value, in</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"Rental Products" in long-</w:t>
            </w:r>
          </w:p>
        </w:tc>
        <w:tc>
          <w:tcPr>
            <w:tcW w:w="1900" w:type="dxa"/>
            <w:vAlign w:val="bottom"/>
            <w:tcBorders>
              <w:right w:val="single" w:sz="8" w:color="auto"/>
            </w:tcBorders>
            <w:vMerge w:val="restart"/>
            <w:shd w:val="clear" w:color="auto" w:fill="BEBEBE"/>
          </w:tcPr>
          <w:p>
            <w:pPr>
              <w:spacing w:after="0" w:line="138" w:lineRule="exact"/>
              <w:rPr>
                <w:sz w:val="20"/>
                <w:szCs w:val="20"/>
                <w:color w:val="auto"/>
              </w:rPr>
            </w:pPr>
            <w:r>
              <w:rPr>
                <w:rFonts w:ascii="Arial" w:cs="Arial" w:eastAsia="Arial" w:hAnsi="Arial"/>
                <w:sz w:val="14"/>
                <w:szCs w:val="14"/>
                <w:color w:val="auto"/>
              </w:rPr>
              <w:t>("Purchases of Rental</w:t>
            </w:r>
          </w:p>
        </w:tc>
        <w:tc>
          <w:tcPr>
            <w:tcW w:w="1900" w:type="dxa"/>
            <w:vAlign w:val="bottom"/>
            <w:tcBorders>
              <w:right w:val="single" w:sz="8" w:color="auto"/>
            </w:tcBorders>
            <w:vMerge w:val="restart"/>
          </w:tcPr>
          <w:p>
            <w:pPr>
              <w:jc w:val="right"/>
              <w:ind w:right="729"/>
              <w:spacing w:after="0" w:line="138" w:lineRule="exact"/>
              <w:rPr>
                <w:sz w:val="20"/>
                <w:szCs w:val="20"/>
                <w:color w:val="auto"/>
              </w:rPr>
            </w:pPr>
            <w:r>
              <w:rPr>
                <w:rFonts w:ascii="Arial" w:cs="Arial" w:eastAsia="Arial" w:hAnsi="Arial"/>
                <w:sz w:val="14"/>
                <w:szCs w:val="14"/>
                <w:color w:val="auto"/>
              </w:rPr>
              <w:t>42% / 45% / 46%</w:t>
            </w:r>
          </w:p>
        </w:tc>
        <w:tc>
          <w:tcPr>
            <w:tcW w:w="0" w:type="dxa"/>
            <w:vAlign w:val="bottom"/>
          </w:tcPr>
          <w:p>
            <w:pPr>
              <w:spacing w:after="0"/>
              <w:rPr>
                <w:sz w:val="1"/>
                <w:szCs w:val="1"/>
                <w:color w:val="auto"/>
              </w:rPr>
            </w:pPr>
          </w:p>
        </w:tc>
      </w:tr>
      <w:tr>
        <w:trPr>
          <w:trHeight w:val="68"/>
        </w:trPr>
        <w:tc>
          <w:tcPr>
            <w:tcW w:w="1780" w:type="dxa"/>
            <w:vAlign w:val="bottom"/>
            <w:tcBorders>
              <w:left w:val="single" w:sz="8" w:color="auto"/>
              <w:right w:val="single" w:sz="8" w:color="auto"/>
            </w:tcBorders>
            <w:gridSpan w:val="5"/>
            <w:vMerge w:val="continue"/>
          </w:tcPr>
          <w:p>
            <w:pPr>
              <w:spacing w:after="0"/>
              <w:rPr>
                <w:sz w:val="5"/>
                <w:szCs w:val="5"/>
                <w:color w:val="auto"/>
              </w:rPr>
            </w:pPr>
          </w:p>
        </w:tc>
        <w:tc>
          <w:tcPr>
            <w:tcW w:w="1900" w:type="dxa"/>
            <w:vAlign w:val="bottom"/>
            <w:tcBorders>
              <w:right w:val="single" w:sz="8" w:color="auto"/>
            </w:tcBorders>
            <w:vMerge w:val="restart"/>
          </w:tcPr>
          <w:p>
            <w:pPr>
              <w:ind w:left="20"/>
              <w:spacing w:after="0" w:line="142" w:lineRule="exact"/>
              <w:rPr>
                <w:sz w:val="20"/>
                <w:szCs w:val="20"/>
                <w:color w:val="auto"/>
              </w:rPr>
            </w:pPr>
            <w:r>
              <w:rPr>
                <w:rFonts w:ascii="Arial" w:cs="Arial" w:eastAsia="Arial" w:hAnsi="Arial"/>
                <w:sz w:val="14"/>
                <w:szCs w:val="14"/>
                <w:color w:val="auto"/>
              </w:rPr>
              <w:t>typically at a discount to</w:t>
            </w: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1240" w:type="dxa"/>
            <w:vAlign w:val="bottom"/>
            <w:tcBorders>
              <w:lef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BEBEBE"/>
          </w:tcPr>
          <w:p>
            <w:pPr>
              <w:ind w:left="20"/>
              <w:spacing w:after="0" w:line="138" w:lineRule="exact"/>
              <w:rPr>
                <w:sz w:val="20"/>
                <w:szCs w:val="20"/>
                <w:color w:val="auto"/>
              </w:rPr>
            </w:pPr>
            <w:r>
              <w:rPr>
                <w:rFonts w:ascii="Arial" w:cs="Arial" w:eastAsia="Arial" w:hAnsi="Arial"/>
                <w:sz w:val="14"/>
                <w:szCs w:val="14"/>
                <w:color w:val="auto"/>
              </w:rPr>
              <w:t>the "Rental Product</w:t>
            </w: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term assets</w:t>
            </w:r>
          </w:p>
        </w:tc>
        <w:tc>
          <w:tcPr>
            <w:tcW w:w="1900" w:type="dxa"/>
            <w:vAlign w:val="bottom"/>
            <w:tcBorders>
              <w:right w:val="single" w:sz="8" w:color="auto"/>
            </w:tcBorders>
            <w:vMerge w:val="restart"/>
            <w:shd w:val="clear" w:color="auto" w:fill="BEBEBE"/>
          </w:tcPr>
          <w:p>
            <w:pPr>
              <w:spacing w:after="0" w:line="138" w:lineRule="exact"/>
              <w:rPr>
                <w:sz w:val="20"/>
                <w:szCs w:val="20"/>
                <w:color w:val="auto"/>
              </w:rPr>
            </w:pPr>
            <w:r>
              <w:rPr>
                <w:rFonts w:ascii="Arial" w:cs="Arial" w:eastAsia="Arial" w:hAnsi="Arial"/>
                <w:sz w:val="14"/>
                <w:szCs w:val="14"/>
                <w:color w:val="auto"/>
              </w:rPr>
              <w:t>Product") at time of</w:t>
            </w: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wholesale price</w:t>
            </w: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shd w:val="clear" w:color="auto" w:fill="BEBEBE"/>
          </w:tcPr>
          <w:p>
            <w:pPr>
              <w:ind w:left="20"/>
              <w:spacing w:after="0" w:line="149" w:lineRule="exact"/>
              <w:rPr>
                <w:sz w:val="20"/>
                <w:szCs w:val="20"/>
                <w:color w:val="auto"/>
              </w:rPr>
            </w:pPr>
            <w:r>
              <w:rPr>
                <w:rFonts w:ascii="Arial" w:cs="Arial" w:eastAsia="Arial" w:hAnsi="Arial"/>
                <w:sz w:val="14"/>
                <w:szCs w:val="14"/>
                <w:color w:val="auto"/>
              </w:rPr>
              <w:t>Depreciation and Revenue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spacing w:after="0" w:line="149" w:lineRule="exact"/>
              <w:rPr>
                <w:sz w:val="20"/>
                <w:szCs w:val="20"/>
                <w:color w:val="auto"/>
              </w:rPr>
            </w:pPr>
            <w:r>
              <w:rPr>
                <w:rFonts w:ascii="Arial" w:cs="Arial" w:eastAsia="Arial" w:hAnsi="Arial"/>
                <w:sz w:val="14"/>
                <w:szCs w:val="14"/>
                <w:color w:val="auto"/>
              </w:rPr>
              <w:t>acquisition</w:t>
            </w: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4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BEBEBE"/>
          </w:tcPr>
          <w:p>
            <w:pPr>
              <w:ind w:left="20"/>
              <w:spacing w:after="0" w:line="161" w:lineRule="exact"/>
              <w:rPr>
                <w:sz w:val="20"/>
                <w:szCs w:val="20"/>
                <w:color w:val="auto"/>
              </w:rPr>
            </w:pPr>
            <w:r>
              <w:rPr>
                <w:rFonts w:ascii="Arial" w:cs="Arial" w:eastAsia="Arial" w:hAnsi="Arial"/>
                <w:sz w:val="14"/>
                <w:szCs w:val="14"/>
                <w:color w:val="auto"/>
              </w:rPr>
              <w:t xml:space="preserve">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BEBEBE"/>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tcPr>
          <w:p>
            <w:pPr>
              <w:ind w:left="20"/>
              <w:spacing w:after="0" w:line="126" w:lineRule="exact"/>
              <w:rPr>
                <w:sz w:val="20"/>
                <w:szCs w:val="20"/>
                <w:color w:val="auto"/>
              </w:rPr>
            </w:pPr>
            <w:r>
              <w:rPr>
                <w:rFonts w:ascii="Arial" w:cs="Arial" w:eastAsia="Arial" w:hAnsi="Arial"/>
                <w:sz w:val="14"/>
                <w:szCs w:val="14"/>
                <w:color w:val="auto"/>
              </w:rPr>
              <w:t>Items are acquired directly</w:t>
            </w:r>
          </w:p>
        </w:tc>
        <w:tc>
          <w:tcPr>
            <w:tcW w:w="1900" w:type="dxa"/>
            <w:vAlign w:val="bottom"/>
            <w:tcBorders>
              <w:right w:val="single" w:sz="8" w:color="auto"/>
            </w:tcBorders>
            <w:vMerge w:val="restart"/>
            <w:shd w:val="clear" w:color="auto" w:fill="BEBEBE"/>
          </w:tcPr>
          <w:p>
            <w:pPr>
              <w:ind w:left="20"/>
              <w:spacing w:after="0"/>
              <w:rPr>
                <w:sz w:val="20"/>
                <w:szCs w:val="20"/>
                <w:color w:val="auto"/>
              </w:rPr>
            </w:pPr>
            <w:r>
              <w:rPr>
                <w:rFonts w:ascii="Arial" w:cs="Arial" w:eastAsia="Arial" w:hAnsi="Arial"/>
                <w:sz w:val="14"/>
                <w:szCs w:val="14"/>
                <w:color w:val="auto"/>
              </w:rPr>
              <w:t>Upfront and performance-</w:t>
            </w:r>
          </w:p>
        </w:tc>
        <w:tc>
          <w:tcPr>
            <w:tcW w:w="19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shd w:val="clear" w:color="auto" w:fill="BEBEBE"/>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ind w:left="20"/>
              <w:spacing w:after="0" w:line="145" w:lineRule="exact"/>
              <w:rPr>
                <w:sz w:val="20"/>
                <w:szCs w:val="20"/>
                <w:color w:val="auto"/>
              </w:rPr>
            </w:pPr>
            <w:r>
              <w:rPr>
                <w:rFonts w:ascii="Arial" w:cs="Arial" w:eastAsia="Arial" w:hAnsi="Arial"/>
                <w:sz w:val="14"/>
                <w:szCs w:val="14"/>
                <w:color w:val="auto"/>
              </w:rPr>
              <w:t>from brand partners on</w:t>
            </w: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shd w:val="clear" w:color="auto" w:fill="BEBEB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shd w:val="clear" w:color="auto" w:fill="BEBEBE"/>
          </w:tcPr>
          <w:p>
            <w:pPr>
              <w:ind w:left="20"/>
              <w:spacing w:after="0" w:line="145"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Items are not capitalized on</w:t>
            </w:r>
          </w:p>
        </w:tc>
        <w:tc>
          <w:tcPr>
            <w:tcW w:w="1900" w:type="dxa"/>
            <w:vAlign w:val="bottom"/>
            <w:tcBorders>
              <w:right w:val="single" w:sz="8" w:color="auto"/>
            </w:tcBorders>
            <w:vMerge w:val="restart"/>
            <w:shd w:val="clear" w:color="auto" w:fill="BEBEBE"/>
          </w:tcPr>
          <w:p>
            <w:pPr>
              <w:spacing w:after="0"/>
              <w:rPr>
                <w:sz w:val="20"/>
                <w:szCs w:val="20"/>
                <w:color w:val="auto"/>
              </w:rPr>
            </w:pPr>
            <w:r>
              <w:rPr>
                <w:rFonts w:ascii="Arial" w:cs="Arial" w:eastAsia="Arial" w:hAnsi="Arial"/>
                <w:sz w:val="14"/>
                <w:szCs w:val="14"/>
                <w:color w:val="auto"/>
              </w:rPr>
              <w:t>Upfront revenue share</w:t>
            </w: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2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ind w:left="20"/>
              <w:spacing w:after="0" w:line="142" w:lineRule="exact"/>
              <w:rPr>
                <w:sz w:val="20"/>
                <w:szCs w:val="20"/>
                <w:color w:val="auto"/>
              </w:rPr>
            </w:pPr>
            <w:r>
              <w:rPr>
                <w:rFonts w:ascii="Arial" w:cs="Arial" w:eastAsia="Arial" w:hAnsi="Arial"/>
                <w:sz w:val="14"/>
                <w:szCs w:val="14"/>
                <w:color w:val="auto"/>
              </w:rPr>
              <w:t>consignment, at zero to low</w:t>
            </w: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1240" w:type="dxa"/>
            <w:vAlign w:val="bottom"/>
            <w:tcBorders>
              <w:left w:val="single" w:sz="8" w:color="auto"/>
            </w:tcBorders>
            <w:vMerge w:val="restart"/>
          </w:tcPr>
          <w:p>
            <w:pPr>
              <w:ind w:left="40"/>
              <w:spacing w:after="0"/>
              <w:rPr>
                <w:sz w:val="20"/>
                <w:szCs w:val="20"/>
                <w:color w:val="auto"/>
              </w:rPr>
            </w:pPr>
            <w:r>
              <w:rPr>
                <w:rFonts w:ascii="Arial" w:cs="Arial" w:eastAsia="Arial" w:hAnsi="Arial"/>
                <w:sz w:val="16"/>
                <w:szCs w:val="16"/>
                <w:b w:val="1"/>
                <w:bCs w:val="1"/>
                <w:color w:val="4B4B4B"/>
                <w:w w:val="98"/>
              </w:rPr>
              <w:t>SHARE BY RTR</w:t>
            </w:r>
          </w:p>
        </w:tc>
        <w:tc>
          <w:tcPr>
            <w:tcW w:w="40" w:type="dxa"/>
            <w:vAlign w:val="bottom"/>
          </w:tcPr>
          <w:p>
            <w:pPr>
              <w:spacing w:after="0"/>
              <w:rPr>
                <w:sz w:val="6"/>
                <w:szCs w:val="6"/>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4B4B4B"/>
                <w:w w:val="74"/>
              </w:rPr>
              <w:t>²</w:t>
            </w:r>
          </w:p>
        </w:tc>
        <w:tc>
          <w:tcPr>
            <w:tcW w:w="20" w:type="dxa"/>
            <w:vAlign w:val="bottom"/>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shd w:val="clear" w:color="auto" w:fill="BEBEBE"/>
          </w:tcPr>
          <w:p>
            <w:pPr>
              <w:ind w:left="20"/>
              <w:spacing w:after="0" w:line="142" w:lineRule="exact"/>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vMerge w:val="continue"/>
          </w:tcPr>
          <w:p>
            <w:pPr>
              <w:spacing w:after="0"/>
              <w:rPr>
                <w:sz w:val="6"/>
                <w:szCs w:val="6"/>
                <w:color w:val="auto"/>
              </w:rPr>
            </w:pPr>
          </w:p>
        </w:tc>
        <w:tc>
          <w:tcPr>
            <w:tcW w:w="1900" w:type="dxa"/>
            <w:vAlign w:val="bottom"/>
            <w:tcBorders>
              <w:right w:val="single" w:sz="8" w:color="auto"/>
            </w:tcBorders>
            <w:vMerge w:val="continue"/>
            <w:shd w:val="clear" w:color="auto" w:fill="BEBEB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240" w:type="dxa"/>
            <w:vAlign w:val="bottom"/>
            <w:tcBorders>
              <w:left w:val="single" w:sz="8" w:color="auto"/>
            </w:tcBorders>
            <w:vMerge w:val="continue"/>
          </w:tcPr>
          <w:p>
            <w:pPr>
              <w:spacing w:after="0"/>
              <w:rPr>
                <w:sz w:val="6"/>
                <w:szCs w:val="6"/>
                <w:color w:val="auto"/>
              </w:rPr>
            </w:pPr>
          </w:p>
        </w:tc>
        <w:tc>
          <w:tcPr>
            <w:tcW w:w="40" w:type="dxa"/>
            <w:vAlign w:val="bottom"/>
            <w:tcBorders>
              <w:bottom w:val="single" w:sz="8" w:color="4B4B4B"/>
            </w:tcBorders>
          </w:tcPr>
          <w:p>
            <w:pPr>
              <w:spacing w:after="0"/>
              <w:rPr>
                <w:sz w:val="6"/>
                <w:szCs w:val="6"/>
                <w:color w:val="auto"/>
              </w:rPr>
            </w:pPr>
          </w:p>
        </w:tc>
        <w:tc>
          <w:tcPr>
            <w:tcW w:w="60" w:type="dxa"/>
            <w:vAlign w:val="bottom"/>
            <w:vMerge w:val="continue"/>
          </w:tcPr>
          <w:p>
            <w:pPr>
              <w:spacing w:after="0"/>
              <w:rPr>
                <w:sz w:val="6"/>
                <w:szCs w:val="6"/>
                <w:color w:val="auto"/>
              </w:rPr>
            </w:pPr>
          </w:p>
        </w:tc>
        <w:tc>
          <w:tcPr>
            <w:tcW w:w="20" w:type="dxa"/>
            <w:vAlign w:val="bottom"/>
            <w:tcBorders>
              <w:bottom w:val="single" w:sz="8" w:color="4B4B4B"/>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ind w:left="20"/>
              <w:spacing w:after="0" w:line="138" w:lineRule="exact"/>
              <w:rPr>
                <w:sz w:val="20"/>
                <w:szCs w:val="20"/>
                <w:color w:val="auto"/>
              </w:rPr>
            </w:pPr>
            <w:r>
              <w:rPr>
                <w:rFonts w:ascii="Arial" w:cs="Arial" w:eastAsia="Arial" w:hAnsi="Arial"/>
                <w:sz w:val="14"/>
                <w:szCs w:val="14"/>
                <w:color w:val="auto"/>
              </w:rPr>
              <w:t>upfront cost, with</w:t>
            </w:r>
          </w:p>
        </w:tc>
        <w:tc>
          <w:tcPr>
            <w:tcW w:w="1900" w:type="dxa"/>
            <w:vAlign w:val="bottom"/>
            <w:tcBorders>
              <w:bottom w:val="single" w:sz="8" w:color="BEBEBE"/>
              <w:right w:val="single" w:sz="8" w:color="auto"/>
            </w:tcBorders>
            <w:vMerge w:val="continue"/>
            <w:shd w:val="clear" w:color="auto" w:fill="BEBEBE"/>
          </w:tcPr>
          <w:p>
            <w:pPr>
              <w:spacing w:after="0"/>
              <w:rPr>
                <w:sz w:val="6"/>
                <w:szCs w:val="6"/>
                <w:color w:val="auto"/>
              </w:rPr>
            </w:pPr>
          </w:p>
        </w:tc>
        <w:tc>
          <w:tcPr>
            <w:tcW w:w="1900" w:type="dxa"/>
            <w:vAlign w:val="bottom"/>
            <w:tcBorders>
              <w:right w:val="single" w:sz="8" w:color="auto"/>
            </w:tcBorders>
            <w:vMerge w:val="restart"/>
          </w:tcPr>
          <w:p>
            <w:pPr>
              <w:spacing w:after="0" w:line="138" w:lineRule="exact"/>
              <w:rPr>
                <w:sz w:val="20"/>
                <w:szCs w:val="20"/>
                <w:color w:val="auto"/>
              </w:rPr>
            </w:pPr>
            <w:r>
              <w:rPr>
                <w:rFonts w:ascii="Arial" w:cs="Arial" w:eastAsia="Arial" w:hAnsi="Arial"/>
                <w:sz w:val="14"/>
                <w:szCs w:val="14"/>
                <w:color w:val="auto"/>
              </w:rPr>
              <w:t>the balance sheet as we do</w:t>
            </w:r>
          </w:p>
        </w:tc>
        <w:tc>
          <w:tcPr>
            <w:tcW w:w="1900" w:type="dxa"/>
            <w:vAlign w:val="bottom"/>
            <w:tcBorders>
              <w:bottom w:val="single" w:sz="8" w:color="BEBEBE"/>
              <w:right w:val="single" w:sz="8" w:color="auto"/>
            </w:tcBorders>
            <w:vMerge w:val="restart"/>
            <w:shd w:val="clear" w:color="auto" w:fill="BEBEBE"/>
          </w:tcPr>
          <w:p>
            <w:pPr>
              <w:spacing w:after="0" w:line="138" w:lineRule="exact"/>
              <w:rPr>
                <w:sz w:val="20"/>
                <w:szCs w:val="20"/>
                <w:color w:val="auto"/>
              </w:rPr>
            </w:pPr>
            <w:r>
              <w:rPr>
                <w:rFonts w:ascii="Arial" w:cs="Arial" w:eastAsia="Arial" w:hAnsi="Arial"/>
                <w:sz w:val="14"/>
                <w:szCs w:val="14"/>
                <w:color w:val="auto"/>
              </w:rPr>
              <w:t>payments flow through Net</w:t>
            </w:r>
          </w:p>
        </w:tc>
        <w:tc>
          <w:tcPr>
            <w:tcW w:w="1900" w:type="dxa"/>
            <w:vAlign w:val="bottom"/>
            <w:tcBorders>
              <w:right w:val="single" w:sz="8" w:color="auto"/>
            </w:tcBorders>
            <w:vMerge w:val="restart"/>
          </w:tcPr>
          <w:p>
            <w:pPr>
              <w:jc w:val="right"/>
              <w:ind w:right="729"/>
              <w:spacing w:after="0" w:line="138" w:lineRule="exact"/>
              <w:rPr>
                <w:sz w:val="20"/>
                <w:szCs w:val="20"/>
                <w:color w:val="auto"/>
              </w:rPr>
            </w:pPr>
            <w:r>
              <w:rPr>
                <w:rFonts w:ascii="Arial" w:cs="Arial" w:eastAsia="Arial" w:hAnsi="Arial"/>
                <w:sz w:val="14"/>
                <w:szCs w:val="14"/>
                <w:color w:val="auto"/>
              </w:rPr>
              <w:t>27% / 33% / 36%</w:t>
            </w:r>
          </w:p>
        </w:tc>
        <w:tc>
          <w:tcPr>
            <w:tcW w:w="0" w:type="dxa"/>
            <w:vAlign w:val="bottom"/>
          </w:tcPr>
          <w:p>
            <w:pPr>
              <w:spacing w:after="0"/>
              <w:rPr>
                <w:sz w:val="1"/>
                <w:szCs w:val="1"/>
                <w:color w:val="auto"/>
              </w:rPr>
            </w:pPr>
          </w:p>
        </w:tc>
      </w:tr>
      <w:tr>
        <w:trPr>
          <w:trHeight w:val="40"/>
        </w:trPr>
        <w:tc>
          <w:tcPr>
            <w:tcW w:w="1240" w:type="dxa"/>
            <w:vAlign w:val="bottom"/>
            <w:tcBorders>
              <w:left w:val="single" w:sz="8" w:color="auto"/>
            </w:tcBorders>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vMerge w:val="restart"/>
            <w:shd w:val="clear" w:color="auto" w:fill="BEBEBE"/>
          </w:tcPr>
          <w:p>
            <w:pPr>
              <w:ind w:left="20"/>
              <w:spacing w:after="0" w:line="103" w:lineRule="exact"/>
              <w:rPr>
                <w:sz w:val="20"/>
                <w:szCs w:val="20"/>
                <w:color w:val="auto"/>
              </w:rPr>
            </w:pPr>
            <w:r>
              <w:rPr>
                <w:rFonts w:ascii="Arial" w:cs="Arial" w:eastAsia="Arial" w:hAnsi="Arial"/>
                <w:sz w:val="11"/>
                <w:szCs w:val="11"/>
                <w:color w:val="auto"/>
              </w:rPr>
              <w:t>incurred in the "Rental</w:t>
            </w:r>
          </w:p>
        </w:tc>
        <w:tc>
          <w:tcPr>
            <w:tcW w:w="190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vMerge w:val="continue"/>
            <w:shd w:val="clear" w:color="auto" w:fill="BEBEBE"/>
          </w:tcPr>
          <w:p>
            <w:pPr>
              <w:spacing w:after="0"/>
              <w:rPr>
                <w:sz w:val="3"/>
                <w:szCs w:val="3"/>
                <w:color w:val="auto"/>
              </w:rPr>
            </w:pPr>
          </w:p>
        </w:tc>
        <w:tc>
          <w:tcPr>
            <w:tcW w:w="190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3"/>
        </w:trPr>
        <w:tc>
          <w:tcPr>
            <w:tcW w:w="12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performance-based revenue</w:t>
            </w:r>
          </w:p>
        </w:tc>
        <w:tc>
          <w:tcPr>
            <w:tcW w:w="1900" w:type="dxa"/>
            <w:vAlign w:val="bottom"/>
            <w:tcBorders>
              <w:right w:val="single" w:sz="8" w:color="auto"/>
            </w:tcBorders>
            <w:vMerge w:val="continue"/>
            <w:shd w:val="clear" w:color="auto" w:fill="BEBEBE"/>
          </w:tcPr>
          <w:p>
            <w:pPr>
              <w:spacing w:after="0"/>
              <w:rPr>
                <w:sz w:val="5"/>
                <w:szCs w:val="5"/>
                <w:color w:val="auto"/>
              </w:rPr>
            </w:pP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not own them</w:t>
            </w:r>
          </w:p>
        </w:tc>
        <w:tc>
          <w:tcPr>
            <w:tcW w:w="1900" w:type="dxa"/>
            <w:vAlign w:val="bottom"/>
            <w:tcBorders>
              <w:right w:val="single" w:sz="8" w:color="auto"/>
            </w:tcBorders>
            <w:vMerge w:val="restart"/>
            <w:shd w:val="clear" w:color="auto" w:fill="BEBEBE"/>
          </w:tcPr>
          <w:p>
            <w:pPr>
              <w:spacing w:after="0"/>
              <w:rPr>
                <w:sz w:val="20"/>
                <w:szCs w:val="20"/>
                <w:color w:val="auto"/>
              </w:rPr>
            </w:pPr>
            <w:r>
              <w:rPr>
                <w:rFonts w:ascii="Arial" w:cs="Arial" w:eastAsia="Arial" w:hAnsi="Arial"/>
                <w:sz w:val="14"/>
                <w:szCs w:val="14"/>
                <w:color w:val="auto"/>
              </w:rPr>
              <w:t>Income as incurred</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1240" w:type="dxa"/>
            <w:vAlign w:val="bottom"/>
            <w:tcBorders>
              <w:lef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Product Depreciation and</w:t>
            </w: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shd w:val="clear" w:color="auto" w:fill="BEBEB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share payments to our brand</w:t>
            </w:r>
          </w:p>
        </w:tc>
        <w:tc>
          <w:tcPr>
            <w:tcW w:w="1900" w:type="dxa"/>
            <w:vAlign w:val="bottom"/>
            <w:tcBorders>
              <w:right w:val="single" w:sz="8" w:color="auto"/>
            </w:tcBorders>
            <w:shd w:val="clear" w:color="auto" w:fill="BEBEBE"/>
          </w:tcPr>
          <w:p>
            <w:pPr>
              <w:ind w:left="20"/>
              <w:spacing w:after="0" w:line="149" w:lineRule="exact"/>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24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ind w:left="20"/>
              <w:spacing w:after="0" w:line="119" w:lineRule="exact"/>
              <w:rPr>
                <w:sz w:val="20"/>
                <w:szCs w:val="20"/>
                <w:color w:val="auto"/>
              </w:rPr>
            </w:pPr>
            <w:r>
              <w:rPr>
                <w:rFonts w:ascii="Arial" w:cs="Arial" w:eastAsia="Arial" w:hAnsi="Arial"/>
                <w:sz w:val="13"/>
                <w:szCs w:val="13"/>
                <w:color w:val="auto"/>
              </w:rPr>
              <w:t>partners over time</w:t>
            </w:r>
          </w:p>
        </w:tc>
        <w:tc>
          <w:tcPr>
            <w:tcW w:w="1900" w:type="dxa"/>
            <w:vAlign w:val="bottom"/>
            <w:tcBorders>
              <w:bottom w:val="single" w:sz="8" w:color="auto"/>
              <w:right w:val="single" w:sz="8" w:color="auto"/>
            </w:tcBorders>
            <w:shd w:val="clear" w:color="auto" w:fill="BEBEBE"/>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shd w:val="clear" w:color="auto" w:fill="BEBEBE"/>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492760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779780</wp:posOffset>
            </wp:positionH>
            <wp:positionV relativeFrom="paragraph">
              <wp:posOffset>-393065</wp:posOffset>
            </wp:positionV>
            <wp:extent cx="102870" cy="78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78740"/>
                    </a:xfrm>
                    <a:prstGeom prst="rect">
                      <a:avLst/>
                    </a:prstGeom>
                    <a:noFill/>
                  </pic:spPr>
                </pic:pic>
              </a:graphicData>
            </a:graphic>
          </wp:anchor>
        </w:drawing>
      </w:r>
    </w:p>
    <w:p>
      <w:pPr>
        <w:sectPr>
          <w:pgSz w:w="11880" w:h="15480" w:orient="portrait"/>
          <w:cols w:equalWidth="0" w:num="1">
            <w:col w:w="11280"/>
          </w:cols>
          <w:pgMar w:left="300" w:top="144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880" w:h="15480" w:orient="portrait"/>
          <w:cols w:equalWidth="0" w:num="1">
            <w:col w:w="11280"/>
          </w:cols>
          <w:pgMar w:left="300" w:top="1440" w:right="299" w:bottom="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46"/>
        </w:trPr>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BEBEBE"/>
          </w:tcPr>
          <w:p>
            <w:pPr>
              <w:ind w:left="20"/>
              <w:spacing w:after="0" w:line="146" w:lineRule="exact"/>
              <w:rPr>
                <w:sz w:val="20"/>
                <w:szCs w:val="20"/>
                <w:color w:val="auto"/>
              </w:rPr>
            </w:pPr>
            <w:r>
              <w:rPr>
                <w:rFonts w:ascii="Arial" w:cs="Arial" w:eastAsia="Arial" w:hAnsi="Arial"/>
                <w:sz w:val="14"/>
                <w:szCs w:val="14"/>
                <w:color w:val="auto"/>
              </w:rPr>
              <w:t>Upfront and performance-</w:t>
            </w:r>
          </w:p>
        </w:tc>
        <w:tc>
          <w:tcPr>
            <w:tcW w:w="1900" w:type="dxa"/>
            <w:vAlign w:val="bottom"/>
            <w:tcBorders>
              <w:top w:val="single" w:sz="8" w:color="auto"/>
              <w:right w:val="single" w:sz="8" w:color="auto"/>
            </w:tcBorders>
          </w:tcPr>
          <w:p>
            <w:pPr>
              <w:spacing w:after="0"/>
              <w:rPr>
                <w:sz w:val="12"/>
                <w:szCs w:val="12"/>
                <w:color w:val="auto"/>
              </w:rPr>
            </w:pPr>
          </w:p>
        </w:tc>
        <w:tc>
          <w:tcPr>
            <w:tcW w:w="1900" w:type="dxa"/>
            <w:vAlign w:val="bottom"/>
            <w:tcBorders>
              <w:top w:val="single" w:sz="8" w:color="auto"/>
              <w:right w:val="single" w:sz="8" w:color="auto"/>
            </w:tcBorders>
            <w:shd w:val="clear" w:color="auto" w:fill="BEBEBE"/>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ind w:left="20"/>
              <w:spacing w:after="0" w:line="145" w:lineRule="exact"/>
              <w:rPr>
                <w:sz w:val="20"/>
                <w:szCs w:val="20"/>
                <w:color w:val="auto"/>
              </w:rPr>
            </w:pPr>
            <w:r>
              <w:rPr>
                <w:rFonts w:ascii="Arial" w:cs="Arial" w:eastAsia="Arial" w:hAnsi="Arial"/>
                <w:sz w:val="14"/>
                <w:szCs w:val="14"/>
                <w:color w:val="auto"/>
              </w:rPr>
              <w:t>based revenue share</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Items are designed using our</w:t>
            </w:r>
          </w:p>
        </w:tc>
        <w:tc>
          <w:tcPr>
            <w:tcW w:w="1900" w:type="dxa"/>
            <w:vAlign w:val="bottom"/>
            <w:tcBorders>
              <w:right w:val="single" w:sz="8" w:color="auto"/>
            </w:tcBorders>
            <w:shd w:val="clear" w:color="auto" w:fill="BEBEBE"/>
          </w:tcPr>
          <w:p>
            <w:pPr>
              <w:ind w:left="20"/>
              <w:spacing w:after="0"/>
              <w:rPr>
                <w:sz w:val="20"/>
                <w:szCs w:val="20"/>
                <w:color w:val="auto"/>
              </w:rPr>
            </w:pPr>
            <w:r>
              <w:rPr>
                <w:rFonts w:ascii="Arial" w:cs="Arial" w:eastAsia="Arial" w:hAnsi="Arial"/>
                <w:sz w:val="14"/>
                <w:szCs w:val="14"/>
                <w:color w:val="auto"/>
              </w:rPr>
              <w:t>payments are expensed as</w:t>
            </w:r>
          </w:p>
        </w:tc>
        <w:tc>
          <w:tcPr>
            <w:tcW w:w="1900" w:type="dxa"/>
            <w:vAlign w:val="bottom"/>
            <w:tcBorders>
              <w:right w:val="single" w:sz="8" w:color="auto"/>
            </w:tcBorders>
          </w:tcPr>
          <w:p>
            <w:pPr>
              <w:spacing w:after="0"/>
              <w:rPr>
                <w:sz w:val="17"/>
                <w:szCs w:val="17"/>
                <w:color w:val="auto"/>
              </w:rPr>
            </w:pPr>
          </w:p>
        </w:tc>
        <w:tc>
          <w:tcPr>
            <w:tcW w:w="1900" w:type="dxa"/>
            <w:vAlign w:val="bottom"/>
            <w:tcBorders>
              <w:right w:val="single" w:sz="8" w:color="auto"/>
            </w:tcBorders>
            <w:shd w:val="clear" w:color="auto" w:fill="BEBEBE"/>
          </w:tcPr>
          <w:p>
            <w:pPr>
              <w:spacing w:after="0"/>
              <w:rPr>
                <w:sz w:val="20"/>
                <w:szCs w:val="20"/>
                <w:color w:val="auto"/>
              </w:rPr>
            </w:pPr>
            <w:r>
              <w:rPr>
                <w:rFonts w:ascii="Arial" w:cs="Arial" w:eastAsia="Arial" w:hAnsi="Arial"/>
                <w:sz w:val="14"/>
                <w:szCs w:val="14"/>
                <w:color w:val="auto"/>
              </w:rPr>
              <w:t>Upfront and revenue share</w:t>
            </w: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ind w:left="20"/>
              <w:spacing w:after="0" w:line="138" w:lineRule="exact"/>
              <w:rPr>
                <w:sz w:val="20"/>
                <w:szCs w:val="20"/>
                <w:color w:val="auto"/>
              </w:rPr>
            </w:pPr>
            <w:r>
              <w:rPr>
                <w:rFonts w:ascii="Arial" w:cs="Arial" w:eastAsia="Arial" w:hAnsi="Arial"/>
                <w:sz w:val="14"/>
                <w:szCs w:val="14"/>
                <w:color w:val="auto"/>
              </w:rPr>
              <w:t>data in collaboration with our</w:t>
            </w:r>
          </w:p>
        </w:tc>
        <w:tc>
          <w:tcPr>
            <w:tcW w:w="190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incurred in the "Rental</w:t>
            </w:r>
          </w:p>
        </w:tc>
        <w:tc>
          <w:tcPr>
            <w:tcW w:w="190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shd w:val="clear" w:color="auto" w:fill="BEBEBE"/>
          </w:tcPr>
          <w:p>
            <w:pPr>
              <w:spacing w:after="0" w:line="138" w:lineRule="exact"/>
              <w:rPr>
                <w:sz w:val="20"/>
                <w:szCs w:val="20"/>
                <w:color w:val="auto"/>
              </w:rPr>
            </w:pPr>
            <w:r>
              <w:rPr>
                <w:rFonts w:ascii="Arial" w:cs="Arial" w:eastAsia="Arial" w:hAnsi="Arial"/>
                <w:sz w:val="14"/>
                <w:szCs w:val="14"/>
                <w:color w:val="auto"/>
              </w:rPr>
              <w:t>payments flow through Net</w:t>
            </w: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brand partners</w:t>
            </w:r>
          </w:p>
        </w:tc>
        <w:tc>
          <w:tcPr>
            <w:tcW w:w="1900" w:type="dxa"/>
            <w:vAlign w:val="bottom"/>
            <w:tcBorders>
              <w:right w:val="single" w:sz="8" w:color="auto"/>
            </w:tcBorders>
            <w:shd w:val="clear" w:color="auto" w:fill="BEBEBE"/>
          </w:tcPr>
          <w:p>
            <w:pPr>
              <w:ind w:left="20"/>
              <w:spacing w:after="0" w:line="81" w:lineRule="exact"/>
              <w:rPr>
                <w:sz w:val="20"/>
                <w:szCs w:val="20"/>
                <w:color w:val="auto"/>
              </w:rPr>
            </w:pPr>
            <w:r>
              <w:rPr>
                <w:rFonts w:ascii="Arial" w:cs="Arial" w:eastAsia="Arial" w:hAnsi="Arial"/>
                <w:sz w:val="9"/>
                <w:szCs w:val="9"/>
                <w:color w:val="auto"/>
              </w:rPr>
              <w:t>Product Depreciation and</w:t>
            </w: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BEBEBE"/>
          </w:tcPr>
          <w:p>
            <w:pPr>
              <w:spacing w:after="0"/>
              <w:rPr>
                <w:sz w:val="20"/>
                <w:szCs w:val="20"/>
                <w:color w:val="auto"/>
              </w:rPr>
            </w:pPr>
            <w:r>
              <w:rPr>
                <w:rFonts w:ascii="Arial" w:cs="Arial" w:eastAsia="Arial" w:hAnsi="Arial"/>
                <w:sz w:val="14"/>
                <w:szCs w:val="14"/>
                <w:color w:val="auto"/>
              </w:rPr>
              <w:t>Income as incurred</w:t>
            </w: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shd w:val="clear" w:color="auto" w:fill="BEBEBE"/>
          </w:tcPr>
          <w:p>
            <w:pPr>
              <w:ind w:left="20"/>
              <w:spacing w:after="0"/>
              <w:rPr>
                <w:sz w:val="20"/>
                <w:szCs w:val="20"/>
                <w:color w:val="auto"/>
              </w:rPr>
            </w:pPr>
            <w:r>
              <w:rPr>
                <w:rFonts w:ascii="Arial" w:cs="Arial" w:eastAsia="Arial" w:hAnsi="Arial"/>
                <w:sz w:val="14"/>
                <w:szCs w:val="14"/>
                <w:color w:val="auto"/>
              </w:rPr>
              <w:t>Revenue Share" line</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Manufacturing cost is</w:t>
            </w:r>
          </w:p>
        </w:tc>
        <w:tc>
          <w:tcPr>
            <w:tcW w:w="1900" w:type="dxa"/>
            <w:vAlign w:val="bottom"/>
            <w:tcBorders>
              <w:right w:val="single" w:sz="8" w:color="auto"/>
            </w:tcBorders>
            <w:vMerge w:val="continue"/>
            <w:shd w:val="clear" w:color="auto" w:fill="BEBEB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580" w:type="dxa"/>
            <w:vAlign w:val="bottom"/>
            <w:tcBorders>
              <w:right w:val="single" w:sz="8" w:color="auto"/>
            </w:tcBorders>
            <w:gridSpan w:val="3"/>
            <w:vMerge w:val="restart"/>
          </w:tcPr>
          <w:p>
            <w:pPr>
              <w:spacing w:after="0" w:line="180" w:lineRule="exact"/>
              <w:rPr>
                <w:sz w:val="20"/>
                <w:szCs w:val="20"/>
                <w:color w:val="auto"/>
              </w:rPr>
            </w:pPr>
            <w:r>
              <w:rPr>
                <w:rFonts w:ascii="Arial" w:cs="Arial" w:eastAsia="Arial" w:hAnsi="Arial"/>
                <w:sz w:val="16"/>
                <w:szCs w:val="16"/>
                <w:b w:val="1"/>
                <w:bCs w:val="1"/>
                <w:color w:val="4B4B4B"/>
                <w:w w:val="92"/>
              </w:rPr>
              <w:t>EXCLUSIVE DESIGNS</w:t>
            </w:r>
          </w:p>
        </w:tc>
        <w:tc>
          <w:tcPr>
            <w:tcW w:w="190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shd w:val="clear" w:color="auto" w:fill="BEBEB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shd w:val="clear" w:color="auto" w:fill="BEBEB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Borders>
              <w:right w:val="single" w:sz="8" w:color="auto"/>
            </w:tcBorders>
            <w:gridSpan w:val="3"/>
            <w:vMerge w:val="continue"/>
          </w:tcPr>
          <w:p>
            <w:pPr>
              <w:spacing w:after="0"/>
              <w:rPr>
                <w:sz w:val="15"/>
                <w:szCs w:val="15"/>
                <w:color w:val="auto"/>
              </w:rPr>
            </w:pP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We manufacture through</w:t>
            </w:r>
          </w:p>
        </w:tc>
        <w:tc>
          <w:tcPr>
            <w:tcW w:w="1900" w:type="dxa"/>
            <w:vAlign w:val="bottom"/>
            <w:tcBorders>
              <w:right w:val="single" w:sz="8" w:color="auto"/>
            </w:tcBorders>
            <w:shd w:val="clear" w:color="auto" w:fill="BEBEBE"/>
          </w:tcPr>
          <w:p>
            <w:pPr>
              <w:spacing w:after="0"/>
              <w:rPr>
                <w:sz w:val="15"/>
                <w:szCs w:val="15"/>
                <w:color w:val="auto"/>
              </w:rPr>
            </w:pPr>
          </w:p>
        </w:tc>
        <w:tc>
          <w:tcPr>
            <w:tcW w:w="190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capitalized as "Rental</w:t>
            </w:r>
          </w:p>
        </w:tc>
        <w:tc>
          <w:tcPr>
            <w:tcW w:w="1900" w:type="dxa"/>
            <w:vAlign w:val="bottom"/>
            <w:tcBorders>
              <w:right w:val="single" w:sz="8" w:color="auto"/>
            </w:tcBorders>
            <w:shd w:val="clear" w:color="auto" w:fill="BEBEBE"/>
          </w:tcPr>
          <w:p>
            <w:pPr>
              <w:spacing w:after="0" w:line="149" w:lineRule="exact"/>
              <w:rPr>
                <w:sz w:val="20"/>
                <w:szCs w:val="20"/>
                <w:color w:val="auto"/>
              </w:rPr>
            </w:pPr>
            <w:r>
              <w:rPr>
                <w:rFonts w:ascii="Arial" w:cs="Arial" w:eastAsia="Arial" w:hAnsi="Arial"/>
                <w:sz w:val="14"/>
                <w:szCs w:val="14"/>
                <w:color w:val="auto"/>
              </w:rPr>
              <w:t>Manufacturing cost is</w:t>
            </w:r>
          </w:p>
        </w:tc>
        <w:tc>
          <w:tcPr>
            <w:tcW w:w="1900" w:type="dxa"/>
            <w:vAlign w:val="bottom"/>
          </w:tcPr>
          <w:p>
            <w:pPr>
              <w:jc w:val="right"/>
              <w:ind w:right="729"/>
              <w:spacing w:after="0" w:line="149" w:lineRule="exact"/>
              <w:rPr>
                <w:sz w:val="20"/>
                <w:szCs w:val="20"/>
                <w:color w:val="auto"/>
              </w:rPr>
            </w:pPr>
            <w:r>
              <w:rPr>
                <w:rFonts w:ascii="Arial" w:cs="Arial" w:eastAsia="Arial" w:hAnsi="Arial"/>
                <w:sz w:val="14"/>
                <w:szCs w:val="14"/>
                <w:color w:val="auto"/>
              </w:rPr>
              <w:t>31% / 22% / 18%</w:t>
            </w:r>
          </w:p>
        </w:tc>
        <w:tc>
          <w:tcPr>
            <w:tcW w:w="0" w:type="dxa"/>
            <w:vAlign w:val="bottom"/>
          </w:tcPr>
          <w:p>
            <w:pPr>
              <w:spacing w:after="0"/>
              <w:rPr>
                <w:sz w:val="1"/>
                <w:szCs w:val="1"/>
                <w:color w:val="auto"/>
              </w:rPr>
            </w:pPr>
          </w:p>
        </w:tc>
      </w:tr>
      <w:tr>
        <w:trPr>
          <w:trHeight w:val="28"/>
        </w:trPr>
        <w:tc>
          <w:tcPr>
            <w:tcW w:w="40" w:type="dxa"/>
            <w:vAlign w:val="bottom"/>
          </w:tcPr>
          <w:p>
            <w:pPr>
              <w:spacing w:after="0"/>
              <w:rPr>
                <w:sz w:val="2"/>
                <w:szCs w:val="2"/>
                <w:color w:val="auto"/>
              </w:rPr>
            </w:pPr>
          </w:p>
        </w:tc>
        <w:tc>
          <w:tcPr>
            <w:tcW w:w="20" w:type="dxa"/>
            <w:vAlign w:val="bottom"/>
            <w:tcBorders>
              <w:top w:val="single" w:sz="8" w:color="4B4B4B"/>
            </w:tcBorders>
          </w:tcPr>
          <w:p>
            <w:pPr>
              <w:spacing w:after="0"/>
              <w:rPr>
                <w:sz w:val="2"/>
                <w:szCs w:val="2"/>
                <w:color w:val="auto"/>
              </w:rPr>
            </w:pPr>
          </w:p>
        </w:tc>
        <w:tc>
          <w:tcPr>
            <w:tcW w:w="80" w:type="dxa"/>
            <w:vAlign w:val="bottom"/>
          </w:tcPr>
          <w:p>
            <w:pPr>
              <w:jc w:val="right"/>
              <w:ind w:right="3"/>
              <w:spacing w:after="0" w:line="29" w:lineRule="exact"/>
              <w:rPr>
                <w:sz w:val="20"/>
                <w:szCs w:val="20"/>
                <w:color w:val="auto"/>
              </w:rPr>
            </w:pPr>
            <w:r>
              <w:rPr>
                <w:rFonts w:ascii="Arial" w:cs="Arial" w:eastAsia="Arial" w:hAnsi="Arial"/>
                <w:sz w:val="3"/>
                <w:szCs w:val="3"/>
                <w:b w:val="1"/>
                <w:bCs w:val="1"/>
                <w:color w:val="4B4B4B"/>
              </w:rPr>
              <w:t>²</w:t>
            </w:r>
          </w:p>
        </w:tc>
        <w:tc>
          <w:tcPr>
            <w:tcW w:w="60" w:type="dxa"/>
            <w:vAlign w:val="bottom"/>
            <w:tcBorders>
              <w:top w:val="single" w:sz="8" w:color="4B4B4B"/>
            </w:tcBorders>
          </w:tcPr>
          <w:p>
            <w:pPr>
              <w:spacing w:after="0"/>
              <w:rPr>
                <w:sz w:val="2"/>
                <w:szCs w:val="2"/>
                <w:color w:val="auto"/>
              </w:rPr>
            </w:pPr>
          </w:p>
        </w:tc>
        <w:tc>
          <w:tcPr>
            <w:tcW w:w="60" w:type="dxa"/>
            <w:vAlign w:val="bottom"/>
          </w:tcPr>
          <w:p>
            <w:pPr>
              <w:spacing w:after="0" w:line="29" w:lineRule="exact"/>
              <w:rPr>
                <w:sz w:val="20"/>
                <w:szCs w:val="20"/>
                <w:color w:val="auto"/>
              </w:rPr>
            </w:pPr>
            <w:r>
              <w:rPr>
                <w:rFonts w:ascii="Arial" w:cs="Arial" w:eastAsia="Arial" w:hAnsi="Arial"/>
                <w:sz w:val="3"/>
                <w:szCs w:val="3"/>
                <w:b w:val="1"/>
                <w:bCs w:val="1"/>
                <w:color w:val="4B4B4B"/>
              </w:rPr>
              <w:t>³</w:t>
            </w:r>
          </w:p>
        </w:tc>
        <w:tc>
          <w:tcPr>
            <w:tcW w:w="40" w:type="dxa"/>
            <w:vAlign w:val="bottom"/>
            <w:tcBorders>
              <w:top w:val="single" w:sz="8" w:color="4B4B4B"/>
            </w:tcBorders>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restart"/>
          </w:tcPr>
          <w:p>
            <w:pPr>
              <w:ind w:left="20"/>
              <w:spacing w:after="0" w:line="141" w:lineRule="exact"/>
              <w:rPr>
                <w:sz w:val="20"/>
                <w:szCs w:val="20"/>
                <w:color w:val="auto"/>
              </w:rPr>
            </w:pPr>
            <w:r>
              <w:rPr>
                <w:rFonts w:ascii="Arial" w:cs="Arial" w:eastAsia="Arial" w:hAnsi="Arial"/>
                <w:sz w:val="14"/>
                <w:szCs w:val="14"/>
                <w:color w:val="auto"/>
              </w:rPr>
              <w:t>third-party partners and pay</w:t>
            </w:r>
          </w:p>
        </w:tc>
        <w:tc>
          <w:tcPr>
            <w:tcW w:w="1900" w:type="dxa"/>
            <w:vAlign w:val="bottom"/>
            <w:tcBorders>
              <w:top w:val="single" w:sz="8" w:color="BEBEBE"/>
              <w:right w:val="single" w:sz="8" w:color="auto"/>
            </w:tcBorders>
            <w:shd w:val="clear" w:color="auto" w:fill="BEBEBE"/>
          </w:tcPr>
          <w:p>
            <w:pPr>
              <w:ind w:left="20"/>
              <w:spacing w:after="0" w:line="29" w:lineRule="exact"/>
              <w:rPr>
                <w:sz w:val="20"/>
                <w:szCs w:val="20"/>
                <w:color w:val="auto"/>
              </w:rPr>
            </w:pPr>
            <w:r>
              <w:rPr>
                <w:rFonts w:ascii="Arial" w:cs="Arial" w:eastAsia="Arial" w:hAnsi="Arial"/>
                <w:sz w:val="3"/>
                <w:szCs w:val="3"/>
                <w:color w:val="auto"/>
              </w:rPr>
              <w:t>Manufacturing cost is</w:t>
            </w:r>
          </w:p>
        </w:tc>
        <w:tc>
          <w:tcPr>
            <w:tcW w:w="1900" w:type="dxa"/>
            <w:vAlign w:val="bottom"/>
            <w:tcBorders>
              <w:right w:val="single" w:sz="8" w:color="auto"/>
            </w:tcBorders>
            <w:vMerge w:val="restart"/>
          </w:tcPr>
          <w:p>
            <w:pPr>
              <w:spacing w:after="0" w:line="147" w:lineRule="exact"/>
              <w:rPr>
                <w:sz w:val="20"/>
                <w:szCs w:val="20"/>
                <w:color w:val="auto"/>
              </w:rPr>
            </w:pPr>
            <w:r>
              <w:rPr>
                <w:rFonts w:ascii="Arial" w:cs="Arial" w:eastAsia="Arial" w:hAnsi="Arial"/>
                <w:sz w:val="14"/>
                <w:szCs w:val="14"/>
                <w:color w:val="auto"/>
              </w:rPr>
              <w:t>Products" in long-term assets</w:t>
            </w:r>
          </w:p>
        </w:tc>
        <w:tc>
          <w:tcPr>
            <w:tcW w:w="1900" w:type="dxa"/>
            <w:vAlign w:val="bottom"/>
            <w:tcBorders>
              <w:top w:val="single" w:sz="8" w:color="BEBEBE"/>
              <w:right w:val="single" w:sz="8" w:color="auto"/>
            </w:tcBorders>
            <w:vMerge w:val="restart"/>
            <w:shd w:val="clear" w:color="auto" w:fill="BEBEBE"/>
          </w:tcPr>
          <w:p>
            <w:pPr>
              <w:spacing w:after="0" w:line="141" w:lineRule="exact"/>
              <w:rPr>
                <w:sz w:val="20"/>
                <w:szCs w:val="20"/>
                <w:color w:val="auto"/>
              </w:rPr>
            </w:pPr>
            <w:r>
              <w:rPr>
                <w:rFonts w:ascii="Arial" w:cs="Arial" w:eastAsia="Arial" w:hAnsi="Arial"/>
                <w:sz w:val="14"/>
                <w:szCs w:val="14"/>
                <w:color w:val="auto"/>
              </w:rPr>
              <w:t>recognized as a capital</w:t>
            </w: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shd w:val="clear" w:color="auto" w:fill="BEBEBE"/>
          </w:tcPr>
          <w:p>
            <w:pPr>
              <w:ind w:left="20"/>
              <w:spacing w:after="0" w:line="138" w:lineRule="exact"/>
              <w:rPr>
                <w:sz w:val="20"/>
                <w:szCs w:val="20"/>
                <w:color w:val="auto"/>
              </w:rPr>
            </w:pPr>
            <w:r>
              <w:rPr>
                <w:rFonts w:ascii="Arial" w:cs="Arial" w:eastAsia="Arial" w:hAnsi="Arial"/>
                <w:sz w:val="14"/>
                <w:szCs w:val="14"/>
                <w:color w:val="auto"/>
              </w:rPr>
              <w:t>recognized through straight-</w:t>
            </w:r>
          </w:p>
        </w:tc>
        <w:tc>
          <w:tcPr>
            <w:tcW w:w="19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shd w:val="clear" w:color="auto" w:fill="BEBEBE"/>
          </w:tcPr>
          <w:p>
            <w:pPr>
              <w:spacing w:after="0"/>
              <w:rPr>
                <w:sz w:val="11"/>
                <w:szCs w:val="11"/>
                <w:color w:val="auto"/>
              </w:rPr>
            </w:pPr>
          </w:p>
        </w:tc>
        <w:tc>
          <w:tcPr>
            <w:tcW w:w="1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the brand partner an upfront</w:t>
            </w:r>
          </w:p>
        </w:tc>
        <w:tc>
          <w:tcPr>
            <w:tcW w:w="1900" w:type="dxa"/>
            <w:vAlign w:val="bottom"/>
            <w:tcBorders>
              <w:right w:val="single" w:sz="8" w:color="auto"/>
            </w:tcBorders>
            <w:shd w:val="clear" w:color="auto" w:fill="BEBEBE"/>
          </w:tcPr>
          <w:p>
            <w:pPr>
              <w:ind w:left="20"/>
              <w:spacing w:after="0" w:line="149" w:lineRule="exact"/>
              <w:rPr>
                <w:sz w:val="20"/>
                <w:szCs w:val="20"/>
                <w:color w:val="auto"/>
              </w:rPr>
            </w:pPr>
            <w:r>
              <w:rPr>
                <w:rFonts w:ascii="Arial" w:cs="Arial" w:eastAsia="Arial" w:hAnsi="Arial"/>
                <w:sz w:val="14"/>
                <w:szCs w:val="14"/>
                <w:color w:val="auto"/>
              </w:rPr>
              <w:t>line depreciation, with a</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spacing w:after="0" w:line="149" w:lineRule="exact"/>
              <w:rPr>
                <w:sz w:val="20"/>
                <w:szCs w:val="20"/>
                <w:color w:val="auto"/>
              </w:rPr>
            </w:pPr>
            <w:r>
              <w:rPr>
                <w:rFonts w:ascii="Arial" w:cs="Arial" w:eastAsia="Arial" w:hAnsi="Arial"/>
                <w:sz w:val="14"/>
                <w:szCs w:val="14"/>
                <w:color w:val="auto"/>
              </w:rPr>
              <w:t>expenditure ("Purchases of</w:t>
            </w: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ind w:left="20"/>
              <w:spacing w:after="0" w:line="65" w:lineRule="exact"/>
              <w:rPr>
                <w:sz w:val="20"/>
                <w:szCs w:val="20"/>
                <w:color w:val="auto"/>
              </w:rPr>
            </w:pPr>
            <w:r>
              <w:rPr>
                <w:rFonts w:ascii="Arial" w:cs="Arial" w:eastAsia="Arial" w:hAnsi="Arial"/>
                <w:sz w:val="7"/>
                <w:szCs w:val="7"/>
                <w:color w:val="auto"/>
              </w:rPr>
              <w:t>fee and minimal revenue</w:t>
            </w:r>
          </w:p>
        </w:tc>
        <w:tc>
          <w:tcPr>
            <w:tcW w:w="1900" w:type="dxa"/>
            <w:vAlign w:val="bottom"/>
            <w:tcBorders>
              <w:right w:val="single" w:sz="8" w:color="auto"/>
            </w:tcBorders>
            <w:vMerge w:val="restart"/>
            <w:shd w:val="clear" w:color="auto" w:fill="BEBEBE"/>
          </w:tcPr>
          <w:p>
            <w:pPr>
              <w:ind w:left="20"/>
              <w:spacing w:after="0" w:line="138" w:lineRule="exact"/>
              <w:rPr>
                <w:sz w:val="20"/>
                <w:szCs w:val="20"/>
                <w:color w:val="auto"/>
              </w:rPr>
            </w:pPr>
            <w:r>
              <w:rPr>
                <w:rFonts w:ascii="Arial" w:cs="Arial" w:eastAsia="Arial" w:hAnsi="Arial"/>
                <w:sz w:val="14"/>
                <w:szCs w:val="14"/>
                <w:color w:val="auto"/>
              </w:rPr>
              <w:t>three-year useful life and</w:t>
            </w:r>
          </w:p>
        </w:tc>
        <w:tc>
          <w:tcPr>
            <w:tcW w:w="190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shd w:val="clear" w:color="auto" w:fill="BEBEBE"/>
          </w:tcPr>
          <w:p>
            <w:pPr>
              <w:spacing w:after="0" w:line="65" w:lineRule="exact"/>
              <w:rPr>
                <w:sz w:val="20"/>
                <w:szCs w:val="20"/>
                <w:color w:val="auto"/>
              </w:rPr>
            </w:pPr>
            <w:r>
              <w:rPr>
                <w:rFonts w:ascii="Arial" w:cs="Arial" w:eastAsia="Arial" w:hAnsi="Arial"/>
                <w:sz w:val="7"/>
                <w:szCs w:val="7"/>
                <w:color w:val="auto"/>
              </w:rPr>
              <w:t>Rental Product") at time of</w:t>
            </w: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share payments</w:t>
            </w:r>
          </w:p>
        </w:tc>
        <w:tc>
          <w:tcPr>
            <w:tcW w:w="1900" w:type="dxa"/>
            <w:vAlign w:val="bottom"/>
            <w:tcBorders>
              <w:right w:val="single" w:sz="8" w:color="auto"/>
            </w:tcBorders>
            <w:vMerge w:val="continue"/>
            <w:shd w:val="clear" w:color="auto" w:fill="BEBEBE"/>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vMerge w:val="restart"/>
            <w:shd w:val="clear" w:color="auto" w:fill="BEBEBE"/>
          </w:tcPr>
          <w:p>
            <w:pPr>
              <w:spacing w:after="0"/>
              <w:rPr>
                <w:sz w:val="20"/>
                <w:szCs w:val="20"/>
                <w:color w:val="auto"/>
              </w:rPr>
            </w:pPr>
            <w:r>
              <w:rPr>
                <w:rFonts w:ascii="Arial" w:cs="Arial" w:eastAsia="Arial" w:hAnsi="Arial"/>
                <w:sz w:val="14"/>
                <w:szCs w:val="14"/>
                <w:color w:val="auto"/>
              </w:rPr>
              <w:t>acquisition</w:t>
            </w: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shd w:val="clear" w:color="auto" w:fill="BEBEBE"/>
          </w:tcPr>
          <w:p>
            <w:pPr>
              <w:ind w:left="20"/>
              <w:spacing w:after="0" w:line="145" w:lineRule="exact"/>
              <w:rPr>
                <w:sz w:val="20"/>
                <w:szCs w:val="20"/>
                <w:color w:val="auto"/>
              </w:rPr>
            </w:pPr>
            <w:r>
              <w:rPr>
                <w:rFonts w:ascii="Arial" w:cs="Arial" w:eastAsia="Arial" w:hAnsi="Arial"/>
                <w:sz w:val="14"/>
                <w:szCs w:val="14"/>
                <w:color w:val="auto"/>
              </w:rPr>
              <w:t>20% salvage value, in the</w:t>
            </w:r>
          </w:p>
        </w:tc>
        <w:tc>
          <w:tcPr>
            <w:tcW w:w="190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shd w:val="clear" w:color="auto" w:fill="BEBEBE"/>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continue"/>
            <w:shd w:val="clear" w:color="auto" w:fill="BEBEB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shd w:val="clear" w:color="auto" w:fill="BEBEBE"/>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ind w:left="20"/>
              <w:spacing w:after="0" w:line="142" w:lineRule="exact"/>
              <w:rPr>
                <w:sz w:val="20"/>
                <w:szCs w:val="20"/>
                <w:color w:val="auto"/>
              </w:rPr>
            </w:pPr>
            <w:r>
              <w:rPr>
                <w:rFonts w:ascii="Arial" w:cs="Arial" w:eastAsia="Arial" w:hAnsi="Arial"/>
                <w:sz w:val="14"/>
                <w:szCs w:val="14"/>
                <w:color w:val="auto"/>
              </w:rPr>
              <w:t>"Rental Product Depreciation</w:t>
            </w:r>
          </w:p>
        </w:tc>
        <w:tc>
          <w:tcPr>
            <w:tcW w:w="190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shd w:val="clear" w:color="auto" w:fill="BEBEBE"/>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BEBEBE"/>
          </w:tcPr>
          <w:p>
            <w:pPr>
              <w:ind w:left="20"/>
              <w:spacing w:after="0" w:line="161" w:lineRule="exact"/>
              <w:rPr>
                <w:sz w:val="20"/>
                <w:szCs w:val="20"/>
                <w:color w:val="auto"/>
              </w:rPr>
            </w:pPr>
            <w:r>
              <w:rPr>
                <w:rFonts w:ascii="Arial" w:cs="Arial" w:eastAsia="Arial" w:hAnsi="Arial"/>
                <w:sz w:val="14"/>
                <w:szCs w:val="14"/>
                <w:color w:val="auto"/>
              </w:rPr>
              <w:t xml:space="preserve">and Revenue Share" line </w:t>
            </w: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p>
        </w:tc>
        <w:tc>
          <w:tcPr>
            <w:tcW w:w="190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shd w:val="clear" w:color="auto" w:fill="BEBEBE"/>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560705</wp:posOffset>
            </wp:positionV>
            <wp:extent cx="7155180" cy="2223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180" cy="2223135"/>
                    </a:xfrm>
                    <a:prstGeom prst="rect">
                      <a:avLst/>
                    </a:prstGeom>
                    <a:noFill/>
                  </pic:spPr>
                </pic:pic>
              </a:graphicData>
            </a:graphic>
          </wp:anchor>
        </w:drawing>
        <w:t>For additional details, refer to the section titled "Business - Our Unique Brand Partner Approach."</w:t>
      </w:r>
    </w:p>
    <w:p>
      <w:pPr>
        <w:spacing w:after="0" w:line="17" w:lineRule="exact"/>
        <w:rPr>
          <w:sz w:val="20"/>
          <w:szCs w:val="20"/>
          <w:color w:val="auto"/>
        </w:rPr>
      </w:pPr>
    </w:p>
    <w:p>
      <w:pPr>
        <w:ind w:left="40" w:right="40"/>
        <w:spacing w:after="0" w:line="16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¹</w:t>
      </w:r>
      <w:r>
        <w:rPr>
          <w:rFonts w:ascii="MS PGothic" w:cs="MS PGothic" w:eastAsia="MS PGothic" w:hAnsi="MS PGothic"/>
          <w:sz w:val="14"/>
          <w:szCs w:val="14"/>
          <w:color w:val="auto"/>
        </w:rPr>
        <w:t>⁾</w:t>
      </w:r>
      <w:r>
        <w:rPr>
          <w:rFonts w:ascii="Arial" w:cs="Arial" w:eastAsia="Arial" w:hAnsi="Arial"/>
          <w:sz w:val="14"/>
          <w:szCs w:val="14"/>
          <w:color w:val="auto"/>
        </w:rPr>
        <w:t xml:space="preserve"> The cost of accessory items, which made up less than 10% of the gross book value of rental product as of January 31, 2023, is recognized through straight-line depreciation with two-year useful life and 30% salvage value.</w:t>
      </w:r>
    </w:p>
    <w:p>
      <w:pPr>
        <w:ind w:left="40" w:right="40"/>
        <w:spacing w:after="0" w:line="15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²</w:t>
      </w:r>
      <w:r>
        <w:rPr>
          <w:rFonts w:ascii="MS PGothic" w:cs="MS PGothic" w:eastAsia="MS PGothic" w:hAnsi="MS PGothic"/>
          <w:sz w:val="14"/>
          <w:szCs w:val="14"/>
          <w:color w:val="auto"/>
        </w:rPr>
        <w:t>⁾</w:t>
      </w:r>
      <w:r>
        <w:rPr>
          <w:rFonts w:ascii="Arial" w:cs="Arial" w:eastAsia="Arial" w:hAnsi="Arial"/>
          <w:sz w:val="14"/>
          <w:szCs w:val="14"/>
          <w:color w:val="auto"/>
        </w:rPr>
        <w:t xml:space="preserve"> For both Share by RTR and Exclusive Designs, the Company shares a percentage of revenue less a logistics fee with the brand. This revenue includes (i) revenue attributable to each item in connection with one-time reserve rentals; (ii) revenue attributable to each item from Subscription (this is based on the number of days at home during a subscription</w:t>
      </w:r>
    </w:p>
    <w:p>
      <w:pPr>
        <w:spacing w:after="0" w:line="1" w:lineRule="exact"/>
        <w:rPr>
          <w:sz w:val="20"/>
          <w:szCs w:val="20"/>
          <w:color w:val="auto"/>
        </w:rPr>
      </w:pPr>
    </w:p>
    <w:p>
      <w:pPr>
        <w:ind w:left="40" w:right="180"/>
        <w:spacing w:after="0" w:line="230" w:lineRule="auto"/>
        <w:rPr>
          <w:sz w:val="20"/>
          <w:szCs w:val="20"/>
          <w:color w:val="auto"/>
        </w:rPr>
      </w:pPr>
      <w:r>
        <w:rPr>
          <w:rFonts w:ascii="Arial" w:cs="Arial" w:eastAsia="Arial" w:hAnsi="Arial"/>
          <w:sz w:val="14"/>
          <w:szCs w:val="14"/>
          <w:color w:val="auto"/>
        </w:rPr>
        <w:t>period); and (iii) revenue attributable to each item in connection with Resale of such items, less any liquidation costs. Both the percentage of revenue, and the logistics fees, can vary depending on the brand partner. Most Share by RTR items earn revenue until a cap has been reached, at which point, title generally passes from the brand to the Company.</w:t>
      </w:r>
    </w:p>
    <w:p>
      <w:pPr>
        <w:spacing w:after="0" w:line="1" w:lineRule="exact"/>
        <w:rPr>
          <w:sz w:val="20"/>
          <w:szCs w:val="20"/>
          <w:color w:val="auto"/>
        </w:rPr>
      </w:pPr>
    </w:p>
    <w:p>
      <w:pPr>
        <w:ind w:left="40" w:right="140"/>
        <w:spacing w:after="0" w:line="159"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³</w:t>
      </w:r>
      <w:r>
        <w:rPr>
          <w:rFonts w:ascii="MS PGothic" w:cs="MS PGothic" w:eastAsia="MS PGothic" w:hAnsi="MS PGothic"/>
          <w:sz w:val="14"/>
          <w:szCs w:val="14"/>
          <w:color w:val="auto"/>
        </w:rPr>
        <w:t>⁾</w:t>
      </w:r>
      <w:r>
        <w:rPr>
          <w:rFonts w:ascii="Arial" w:cs="Arial" w:eastAsia="Arial" w:hAnsi="Arial"/>
          <w:sz w:val="14"/>
          <w:szCs w:val="14"/>
          <w:color w:val="auto"/>
        </w:rPr>
        <w:t xml:space="preserve"> Also includes a small number of products bearing our trademarks, which are non-Exclusive Designs produced by third-party partners, or our owned brands. These products are purchased at a significantly lower average cost than Wholesale.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Part I, Item 1, “Business”.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and Our Attractive Cohort Trends. </w:t>
      </w:r>
      <w:r>
        <w:rPr>
          <w:rFonts w:ascii="Arial" w:cs="Arial" w:eastAsia="Arial" w:hAnsi="Arial"/>
          <w:sz w:val="14"/>
          <w:szCs w:val="14"/>
          <w:color w:val="auto"/>
        </w:rPr>
        <w:t>We believe that we have a significant market opportunity to increase our base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subscribers and customers, and our long-term growth depends in large part on our continued ability to acquire and retain subscribers and customers.</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Our strategies in fiscal year 2023 are focused on investing in and improving the customer experience to drive growth. In particular, we believe that improving retention in the first 90 days of a subscription, which is when the majority of subscriber churn typically occurs, can increase loyalty and subscriber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6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880" w:h="15480" w:orient="portrait"/>
          <w:cols w:equalWidth="0" w:num="1">
            <w:col w:w="11280"/>
          </w:cols>
          <w:pgMar w:left="300" w:top="862" w:right="299" w:bottom="0" w:gutter="0" w:footer="0" w:header="0"/>
          <w:type w:val="continuous"/>
        </w:sectPr>
      </w:pPr>
    </w:p>
    <w:bookmarkStart w:id="76" w:name="page77"/>
    <w:bookmarkEnd w:id="76"/>
    <w:p>
      <w:pPr>
        <w:jc w:val="both"/>
        <w:ind w:right="200"/>
        <w:spacing w:after="0" w:line="271" w:lineRule="auto"/>
        <w:rPr>
          <w:sz w:val="20"/>
          <w:szCs w:val="20"/>
          <w:color w:val="auto"/>
        </w:rPr>
      </w:pPr>
      <w:r>
        <w:rPr>
          <w:rFonts w:ascii="Arial" w:cs="Arial" w:eastAsia="Arial" w:hAnsi="Arial"/>
          <w:sz w:val="14"/>
          <w:szCs w:val="14"/>
          <w:color w:val="auto"/>
        </w:rPr>
        <w:t>We partly assess the health of our business by analyzing the performance of our historical customer cohorts over time. We place customers in cohorts based on the fiscal year in which they first transacted with RTR. A significant portion of our total revenue in each fiscal year is generated from customers acquired in previous years. For example, over one-third of our revenue in fiscal year 2022 was generated by customers who placed their first order with us in fiscal year 2017 or prior.</w:t>
      </w:r>
    </w:p>
    <w:p>
      <w:pPr>
        <w:spacing w:after="0" w:line="155"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color w:val="auto"/>
        </w:rPr>
        <w:t>We also assess the productivity of our historical customer cohorts by measuring the revenue and profit we generate from all new customers over their lifetime (“LTV”) against customer acquisition costs (“CAC”). We define LTV as cumulative total revenue generated across all of our product offerings (which includes Subscription and Reserve Rental Revenue and Other Revenue) by current or previous subscribers or customers, minus fulfillment expenses, rental product depreciation and revenue share expenses, credit card fees and customer service personnel and related expenses incurred to generate such revenue divided by the number of new customers acquired during that period. Any LTV generated by a customer is assigned to the original cohort year that the customer first joined. We define CAC as total marketing expense, excluding marketing personnel and related costs incurred in a fiscal year divided by the number of new customers acquired in that period. We acquire customers efficiently as evidenced by over 80% of our lifetime customers having joined organically.</w:t>
      </w:r>
    </w:p>
    <w:p>
      <w:pPr>
        <w:spacing w:after="0" w:line="163" w:lineRule="exact"/>
        <w:rPr>
          <w:sz w:val="20"/>
          <w:szCs w:val="20"/>
          <w:color w:val="auto"/>
        </w:rPr>
      </w:pPr>
    </w:p>
    <w:p>
      <w:pPr>
        <w:ind w:right="320"/>
        <w:spacing w:after="0" w:line="260" w:lineRule="auto"/>
        <w:rPr>
          <w:sz w:val="20"/>
          <w:szCs w:val="20"/>
          <w:color w:val="auto"/>
        </w:rPr>
      </w:pPr>
      <w:r>
        <w:rPr>
          <w:rFonts w:ascii="Arial" w:cs="Arial" w:eastAsia="Arial" w:hAnsi="Arial"/>
          <w:sz w:val="14"/>
          <w:szCs w:val="14"/>
          <w:color w:val="auto"/>
        </w:rPr>
        <w:t>As seen in the table below, our LTV to CAC ratio has remained relatively consistent for our fiscal year 2018 through fiscal year 2022 customer cohorts, with the exception of our fiscal year 2020 cohort which was impacted by the COVID-19 pandemic. The fiscal year 2021 cohort, which benefited from strong loyalty post-recovery from the pandemic, exhibited an LTV to CAC ratio of 0.7x in its first six months and 1.3x in its first twelve months, implying that we recovered our customer acquisition cost between six months and twelve months for this cohort. Our fiscal year 2022 cohort thus far is exhibiting an LTV to CAC ratio of 0.6x in its first six months. We anticipate that the recent change in our subscription programs and our efforts to improve customer experience in fiscal year 2023 will benefit the retention and lifetime value of our customer cohorts. Cohorts have continued to grow over time as our most loyal customers continued to spend with us, as demonstrated by the strength in the FY 2018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3597910" cy="8553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97910"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134" w:lineRule="exact"/>
        <w:rPr>
          <w:sz w:val="20"/>
          <w:szCs w:val="20"/>
          <w:color w:val="auto"/>
        </w:rPr>
      </w:pPr>
    </w:p>
    <w:p>
      <w:pPr>
        <w:spacing w:after="0" w:line="258" w:lineRule="auto"/>
        <w:rPr>
          <w:sz w:val="20"/>
          <w:szCs w:val="20"/>
          <w:color w:val="auto"/>
        </w:rPr>
      </w:pPr>
      <w:r>
        <w:rPr>
          <w:rFonts w:ascii="Arial" w:cs="Arial" w:eastAsia="Arial" w:hAnsi="Arial"/>
          <w:sz w:val="14"/>
          <w:szCs w:val="14"/>
          <w:b w:val="1"/>
          <w:bCs w:val="1"/>
          <w:i w:val="1"/>
          <w:iCs w:val="1"/>
          <w:color w:val="auto"/>
        </w:rPr>
        <w:t xml:space="preserve">Ability to Acquire and Monetize Products Efficiently. </w:t>
      </w:r>
      <w:r>
        <w:rPr>
          <w:rFonts w:ascii="Arial" w:cs="Arial" w:eastAsia="Arial" w:hAnsi="Arial"/>
          <w:sz w:val="14"/>
          <w:szCs w:val="14"/>
          <w:color w:val="auto"/>
        </w:rPr>
        <w:t>Our ability to deliver an elevated experience for our subscribers and customers that keeps them loyal to RTR depends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having the right assortment. Due to our deep partnerships with brands, flexibility in our buying timelines and ability to react to advantageous retail purchasing environments, we can acquire products directly from brands in multiple cost effective ways. Additionally, during the third quarter of fiscal year 2022, we launched a pilot to sell our brand new Exclusive Design products wholesale to a third-party retailer, which we believe highlights the potential of the RTR platform and our data and consumer appeal.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In fiscal year 2022, approximately 58% of new items were acquired through our more capital efficient non-Wholesale channels, compared to 55% in fiscal year 2021 and 54% in fiscal year 2020. We plan to further increase the percentage of units acquired through Exclusive Designs and Share by RTR in fiscal year 2023. We continuously evaluate our product acquisition mix to maximize our strategic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641350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8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ectPr>
          <w:pgSz w:w="11880" w:h="15480" w:orient="portrait"/>
          <w:cols w:equalWidth="0" w:num="1">
            <w:col w:w="11260"/>
          </w:cols>
          <w:pgMar w:left="300" w:top="886" w:right="319" w:bottom="0" w:gutter="0" w:footer="0" w:header="0"/>
          <w:type w:val="continuous"/>
        </w:sectPr>
      </w:pPr>
    </w:p>
    <w:bookmarkStart w:id="77" w:name="page78"/>
    <w:bookmarkEnd w:id="77"/>
    <w:p>
      <w:pPr>
        <w:ind w:right="40"/>
        <w:spacing w:after="0" w:line="260"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2022 was 21% as compared to 15% in fiscal year 2021 and 35% in fiscal year 2020. We anticipate this percentage to stay relatively consistent with the fiscal year 2022 percentage in the near term. Due to seasonality factors, we track our progress on purchases of rental product as a percentage of revenue on a full year basis, as quarterly costs are not necessarily reflective of full year trends.</w:t>
      </w:r>
    </w:p>
    <w:p>
      <w:pPr>
        <w:spacing w:after="0" w:line="163"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September 2022, we announced a restructuring plan to reduce costs, streamline our organizational structure and drive long-term operational efficiencies, primarily in headcount, related expenses, and in technology and general and administrative expenses, which we expect to reduce operating expenses by approximately $25 million in fiscal year 2023 compared to the annualized run rate for the second quarter of fiscal year 2022. Though we anticipate quarterly fluctuations in operating leverage, with these reductions we expect our fixed costs to decrease as a percentage of total revenue in fiscal year 2023, and over time we anticipate that our operating costs will grow more slowly than our total revenue on an annual basis.</w:t>
      </w:r>
    </w:p>
    <w:p>
      <w:pPr>
        <w:spacing w:after="0" w:line="16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grow and scale our business.</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14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2022 Amended Temasek Facility reduces our cash interest payments over the next two fiscal years which we expect to improve our overall liquidity.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9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We experience seasonality in our business, which has been impacted and may in the future change due to the effects of the COVID-19 pandemic and the macro environment.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onset of COVID-19. In fiscal year 2022, our active subscriber count increased sequentially in the first and third quarters and decreased sequentially in the second and fourth quarters. The third quarter increase and the fourth quarter decrease are generally consistent with more recent historical seasonality. Our second quarter typically sees a moderate increase in active subscriber count compared to the first quarter (except in fiscal year 2021 which saw a significant increase post-Omicron variant), however the second quarter active subscriber count of fiscal year 2022 was further impacted by the price increase of our Subscription programs in April 2022.</w:t>
      </w:r>
    </w:p>
    <w:p>
      <w:pPr>
        <w:spacing w:after="0" w:line="164"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Our seasonality trends have seen effects from COVID-19 and the macro environment generally and may continue to do so in the future. For example, subscriber trends and revenue have been impacted by fewer large-scale holiday and special events compared to pre-COVID-19, especially those typically occurring in the third and fourth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546735</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759"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880" w:h="15480" w:orient="portrait"/>
          <w:cols w:equalWidth="0" w:num="1">
            <w:col w:w="11280"/>
          </w:cols>
          <w:pgMar w:left="300" w:top="759" w:right="299" w:bottom="0" w:gutter="0" w:footer="0" w:header="0"/>
          <w:type w:val="continuous"/>
        </w:sectPr>
      </w:pPr>
    </w:p>
    <w:bookmarkStart w:id="78" w:name="page79"/>
    <w:bookmarkEnd w:id="78"/>
    <w:p>
      <w:pPr>
        <w:spacing w:after="0" w:line="265"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higher service levels, such as more costly and expedited shipping, and competition during holidays. Our most significant product capital expenditures typically occur in the first fiscal quarter and the third fiscal quarter, when we acquire product for the upcoming fall and spring seasons. However, the impact on cash is typically dependent on timing of receipt of product.</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of Part I, Item 1A, “Risk Factors — Risks Relating To Our Business and Industry — Our business is affected by seasonality.”</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Macro and Consumer Environment on Our Business</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inflationary pressures, potential risk of recession, ongoing industry-wide supply chain issues, instability in the financial system, the war in Ukraine and the COVID-19 pandemic. These factors have impacted, and are expected to continue to impact, consumer discretionary spending and purchasing behavior, price sensitivity, wage rates, transportation costs, and other costs associated with our business.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COVID-19 pandemic materially adversely affected our fiscal year 2020 and 2021 operating and financial results. In addition, we believe that our customers live, work, socialize and travel differently than they did prior to the COVID-19 pandemic and this influences what they wear. We continue to learn how these types of changes in customer behavior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particularly in the second quarter of fiscal year 2022, and may continue to be impacted by these factors in the future. In addition, based on performance and additional data in the third and fourth quarters of fiscal year 2022, we believe that the April price increase was a significant negative contributor to subscriber pause and retention levels and, to a lesser extent, subscriber acquisition in the second quarter of fiscal year 2022. In the third quarter of fiscal year 2022, our subscriber acquisition, pause and retention levels improved relative to the second quarter of fiscal year 2022; however, we experienced a seasonal decline in Active Subscribers in the fourth quarter of fiscal year 2022, consistent with seasonality trends.</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throughout fiscal year 2022 to attract and retain talent at our fulfillment centers and we expect to continue to be impacted by rising labor costs in fiscal year 2023. We also expect transportation costs to continue to increase in fiscal year 2023, and therefore are focused on continuing to diversify our transportation network to mitigate these rising costs and service delays. Examples of these mitigation efforts include optimizing carrier mix such as through increasing volumes with regional and last-mile carriers and consolidating shipments through our at-home pickup service in certain markets and improving contractual terms. Although we continue to face a challenging environment, we plan to invest in our customers, manage our staffing and further diversify our transportation network in order to drive growth and efficiencies in our business.</w:t>
      </w:r>
    </w:p>
    <w:p>
      <w:pPr>
        <w:spacing w:after="0" w:line="16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the uncertainty, we cannot estimate the financial impact of the macro environment and COVID-19 pandemic on our future results of operations, cash flows, or financial condition. For additional details, see Part I, Item 1A, “Risk Factors”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433705</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5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71</w:t>
      </w:r>
    </w:p>
    <w:p>
      <w:pPr>
        <w:sectPr>
          <w:pgSz w:w="11880" w:h="15480" w:orient="portrait"/>
          <w:cols w:equalWidth="0" w:num="1">
            <w:col w:w="11260"/>
          </w:cols>
          <w:pgMar w:left="300" w:top="759" w:right="319" w:bottom="0" w:gutter="0" w:footer="0" w:header="0"/>
          <w:type w:val="continuous"/>
        </w:sectPr>
      </w:pPr>
    </w:p>
    <w:bookmarkStart w:id="79" w:name="page80"/>
    <w:bookmarkEnd w:id="79"/>
    <w:p>
      <w:pPr>
        <w:ind w:left="5"/>
        <w:spacing w:after="0"/>
        <w:rPr>
          <w:sz w:val="20"/>
          <w:szCs w:val="20"/>
          <w:color w:val="auto"/>
        </w:rPr>
      </w:pPr>
      <w:r>
        <w:rPr>
          <w:rFonts w:ascii="Arial" w:cs="Arial" w:eastAsia="Arial" w:hAnsi="Arial"/>
          <w:sz w:val="14"/>
          <w:szCs w:val="14"/>
          <w:b w:val="1"/>
          <w:bCs w:val="1"/>
          <w:color w:val="auto"/>
        </w:rPr>
        <w:t>Key Business and Financial Metrics</w:t>
      </w:r>
    </w:p>
    <w:p>
      <w:pPr>
        <w:spacing w:after="0" w:line="136" w:lineRule="exact"/>
        <w:rPr>
          <w:sz w:val="20"/>
          <w:szCs w:val="20"/>
          <w:color w:val="auto"/>
        </w:rPr>
      </w:pPr>
    </w:p>
    <w:p>
      <w:pPr>
        <w:ind w:left="5" w:right="100"/>
        <w:spacing w:after="0" w:line="260" w:lineRule="auto"/>
        <w:rPr>
          <w:sz w:val="20"/>
          <w:szCs w:val="20"/>
          <w:color w:val="auto"/>
        </w:rPr>
      </w:pPr>
      <w:r>
        <w:rPr>
          <w:rFonts w:ascii="Arial" w:cs="Arial" w:eastAsia="Arial" w:hAnsi="Arial"/>
          <w:sz w:val="14"/>
          <w:szCs w:val="14"/>
          <w:color w:val="auto"/>
        </w:rPr>
        <w:t>In addition to the measures presented in our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GAAP and should be considered in conjunction with other metrics and components of our results of operations, such as each of the other key business and financial metrics, and our revenue and net loss.</w:t>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6"/>
              </w:rPr>
              <w:t>Years Ended January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60"/>
        </w:trPr>
        <w:tc>
          <w:tcPr>
            <w:tcW w:w="5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2021</w:t>
            </w:r>
          </w:p>
        </w:tc>
      </w:tr>
      <w:tr>
        <w:trPr>
          <w:trHeight w:val="150"/>
        </w:trPr>
        <w:tc>
          <w:tcPr>
            <w:tcW w:w="5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5580" w:type="dxa"/>
            <w:vAlign w:val="bottom"/>
            <w:shd w:val="clear" w:color="auto" w:fill="DDDDDD"/>
          </w:tcPr>
          <w:p>
            <w:pPr>
              <w:spacing w:after="0"/>
              <w:rPr>
                <w:sz w:val="20"/>
                <w:szCs w:val="20"/>
                <w:color w:val="auto"/>
              </w:rPr>
            </w:pPr>
            <w:r>
              <w:rPr>
                <w:rFonts w:ascii="Arial" w:cs="Arial" w:eastAsia="Arial" w:hAnsi="Arial"/>
                <w:sz w:val="14"/>
                <w:szCs w:val="14"/>
                <w:color w:val="auto"/>
              </w:rPr>
              <w:t>Active Subscribers</w:t>
            </w:r>
          </w:p>
        </w:tc>
        <w:tc>
          <w:tcPr>
            <w:tcW w:w="300" w:type="dxa"/>
            <w:vAlign w:val="bottom"/>
            <w:shd w:val="clear" w:color="auto" w:fill="DDDDDD"/>
          </w:tcPr>
          <w:p>
            <w:pPr>
              <w:spacing w:after="0"/>
              <w:rPr>
                <w:sz w:val="15"/>
                <w:szCs w:val="15"/>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126,712</w:t>
            </w:r>
          </w:p>
        </w:tc>
        <w:tc>
          <w:tcPr>
            <w:tcW w:w="4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115,240</w:t>
            </w: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54,797</w:t>
            </w:r>
          </w:p>
        </w:tc>
      </w:tr>
      <w:tr>
        <w:trPr>
          <w:trHeight w:val="180"/>
        </w:trPr>
        <w:tc>
          <w:tcPr>
            <w:tcW w:w="5580" w:type="dxa"/>
            <w:vAlign w:val="bottom"/>
          </w:tcPr>
          <w:p>
            <w:pPr>
              <w:spacing w:after="0"/>
              <w:rPr>
                <w:sz w:val="20"/>
                <w:szCs w:val="20"/>
                <w:color w:val="auto"/>
              </w:rPr>
            </w:pPr>
            <w:r>
              <w:rPr>
                <w:rFonts w:ascii="Arial" w:cs="Arial" w:eastAsia="Arial" w:hAnsi="Arial"/>
                <w:sz w:val="14"/>
                <w:szCs w:val="14"/>
                <w:color w:val="auto"/>
              </w:rPr>
              <w:t>Average Active Subscribers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128,586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93,371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66,711</w:t>
            </w:r>
          </w:p>
        </w:tc>
      </w:tr>
      <w:tr>
        <w:trPr>
          <w:trHeight w:val="180"/>
        </w:trPr>
        <w:tc>
          <w:tcPr>
            <w:tcW w:w="5580" w:type="dxa"/>
            <w:vAlign w:val="bottom"/>
            <w:shd w:val="clear" w:color="auto" w:fill="DDDDDD"/>
          </w:tcPr>
          <w:p>
            <w:pPr>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DDDDDD"/>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120.0</w:t>
            </w:r>
          </w:p>
        </w:tc>
        <w:tc>
          <w:tcPr>
            <w:tcW w:w="420" w:type="dxa"/>
            <w:vAlign w:val="bottom"/>
            <w:gridSpan w:val="3"/>
            <w:shd w:val="clear" w:color="auto" w:fill="DDDDDD"/>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69.7</w:t>
            </w:r>
          </w:p>
        </w:tc>
        <w:tc>
          <w:tcPr>
            <w:tcW w:w="8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15.5</w:t>
            </w:r>
          </w:p>
        </w:tc>
      </w:tr>
      <w:tr>
        <w:trPr>
          <w:trHeight w:val="186"/>
        </w:trPr>
        <w:tc>
          <w:tcPr>
            <w:tcW w:w="5580" w:type="dxa"/>
            <w:vAlign w:val="bottom"/>
          </w:tcPr>
          <w:p>
            <w:pPr>
              <w:spacing w:after="0"/>
              <w:rPr>
                <w:sz w:val="20"/>
                <w:szCs w:val="20"/>
                <w:color w:val="auto"/>
              </w:rPr>
            </w:pPr>
            <w:r>
              <w:rPr>
                <w:rFonts w:ascii="Arial" w:cs="Arial" w:eastAsia="Arial" w:hAnsi="Arial"/>
                <w:sz w:val="14"/>
                <w:szCs w:val="14"/>
                <w:color w:val="auto"/>
              </w:rPr>
              <w:t>Adjusted EBITDA (1)</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6.7</w:t>
            </w:r>
          </w:p>
        </w:tc>
        <w:tc>
          <w:tcPr>
            <w:tcW w:w="4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(20.3)</w:t>
            </w:r>
          </w:p>
        </w:tc>
      </w:tr>
    </w:tbl>
    <w:p>
      <w:pPr>
        <w:spacing w:after="0" w:line="51" w:lineRule="exact"/>
        <w:rPr>
          <w:sz w:val="20"/>
          <w:szCs w:val="20"/>
          <w:color w:val="auto"/>
        </w:rPr>
      </w:pPr>
    </w:p>
    <w:p>
      <w:pPr>
        <w:ind w:left="5"/>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45" w:hanging="245"/>
        <w:spacing w:after="0" w:line="268" w:lineRule="auto"/>
        <w:tabs>
          <w:tab w:leader="none" w:pos="235" w:val="left"/>
        </w:tabs>
        <w:numPr>
          <w:ilvl w:val="0"/>
          <w:numId w:val="51"/>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GAAP financial measure, net loss, and why we consider Adjusted EBITDA to be a useful metric, see “—Non-GAAP Financial Metrics” below.</w:t>
      </w:r>
    </w:p>
    <w:p>
      <w:pPr>
        <w:spacing w:after="0" w:line="327" w:lineRule="exact"/>
        <w:rPr>
          <w:sz w:val="20"/>
          <w:szCs w:val="20"/>
          <w:color w:val="auto"/>
        </w:rPr>
      </w:pPr>
    </w:p>
    <w:p>
      <w:pPr>
        <w:ind w:left="5"/>
        <w:spacing w:after="0" w:line="262"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January 31, 2023, we had 126,712 Active Subscribers, up 10% year-over-year. Our active subscriber count growth rate slowed year over year as the second, third and fourth quarters of fiscal year 2022 saw a lower ending Active Subscriber count compared with the end of the first quarter of fiscal year 2022. We believe Active Subscriber levels were likely impacted by seasonality, macro environment factors and the reaction to our April 2022 price increase, as discussed above in the Key Factors Affecting Our Performance in Seasonality and Impact of Macro and Consumer Environment on Our Business.</w:t>
      </w:r>
    </w:p>
    <w:p>
      <w:pPr>
        <w:spacing w:after="0" w:line="161" w:lineRule="exact"/>
        <w:rPr>
          <w:sz w:val="20"/>
          <w:szCs w:val="20"/>
          <w:color w:val="auto"/>
        </w:rPr>
      </w:pPr>
    </w:p>
    <w:p>
      <w:pPr>
        <w:ind w:left="5" w:right="40"/>
        <w:spacing w:after="0" w:line="265"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January 31, 2023, we had 128,586 Average Active Subscribers, up from 93,371 as of January 31, 2022 or a 38% increase year-over-year. Average Active Subscribers align to revenue levels in the period, while Active Subscribers are measured as of a specific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436245</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185"/>
          </w:cols>
          <w:pgMar w:left="295" w:top="101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4"/>
        <w:spacing w:after="0"/>
        <w:rPr>
          <w:sz w:val="20"/>
          <w:szCs w:val="20"/>
          <w:color w:val="auto"/>
        </w:rPr>
      </w:pPr>
      <w:r>
        <w:rPr>
          <w:rFonts w:ascii="Arial" w:cs="Arial" w:eastAsia="Arial" w:hAnsi="Arial"/>
          <w:sz w:val="20"/>
          <w:szCs w:val="20"/>
          <w:color w:val="auto"/>
        </w:rPr>
        <w:t>72</w:t>
      </w:r>
    </w:p>
    <w:p>
      <w:pPr>
        <w:sectPr>
          <w:pgSz w:w="11880" w:h="15480" w:orient="portrait"/>
          <w:cols w:equalWidth="0" w:num="1">
            <w:col w:w="11185"/>
          </w:cols>
          <w:pgMar w:left="295" w:top="1013" w:right="399" w:bottom="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fulfillment and rental product depreciation and revenue share, respectively, on the consolidated statement of operations. We depreciate owned apparel assets over three years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owned accessory assets over two years net of 20% and 30% salvage values, respectively, and recognize the depreciation on a straight-line basis and remaining cost of items when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sold or retired on our consolidated statement of operations. Rental product depreciation expense is time-based and reflects all rental product items we own. We use Gross Profit</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and Gross Profit as a percentage of revenue, or Gross Margin, to measure the continued efficiency of our business after the cost of our products and fulfillment costs are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included. Gross Profit was $120.0 million for the year ended January 31, 2023 compared to $69.7 million for the year ended January 31, 2022 representing Gross Margins of 40.5%</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and 34.3%, respectively. The significant increase in Gross Profit and Gross Margin for the year ended January 31, 2023 was driven by higher revenue per shipment than prior year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due to both the price increase and higher add-on activity, lower shipments per average subscriber, and lower rental product depreciation as a percentage of total revenue than in the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prior period. These benefits more than offset higher fulfillment costs which are primarily driven by increases in fulfillment related transportation costs for the year ended January 31,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2023 and a larger number of shipments for the year ended January 31, 2023. Rental product depreciation decreased due to the lower proportion of Wholesale items relative to prior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year. We anticipate that our Gross Margin may be lower in fiscal year 2023 compared to fiscal year 2022 due to the March 2023 launch of extra items in our subscription plans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due to the anticipated decrease in our Reserve business. We will seek to continue to drive fulfillment and operational efficiency gains over time and strategically evolve our mix of</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product acquisition to offset cost increases and/or higher units processed per shipment.</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rental product assets, certain non-recurring or one-time costs (see below footnotes to the reconciliation table), restructuring charges, loss on asset impairment related to restructuring, income taxes, warrant liability revaluation gains / losses, debt extinguishment gains / losses, other income and expense, and other gains / losses. We define Adjusted EBITDA Margin as Adjusted EBITDA as a percentage of total revenue, net for a period. Adjusted EBITDA was $6.7 million for the year ended January 31, 2023 compared to $(19.2) million for the year ended January 31, 2022, representing margins of 2.3% and (9.4)%, respectively. Adjusted EBITDA Margin significantly improved for the year ended January 31, 2023 due to the improvement in Gross Profit and Gross Margin and improved operating leverage across technology, marketing and general and administrative expenses even with additional strategic investments. In the third quarter of fiscal year 2022, we launched a two-pronged pilot with Amazon to (1) sell our brand new Exclusive Design products wholesale and (2) launch a new liquidation partnership, which together contributed $5.1 million to Adjusted EBITDA in fiscal year 2022.</w:t>
      </w:r>
    </w:p>
    <w:p>
      <w:pPr>
        <w:spacing w:after="0" w:line="167" w:lineRule="exact"/>
        <w:rPr>
          <w:sz w:val="20"/>
          <w:szCs w:val="20"/>
          <w:color w:val="auto"/>
        </w:rPr>
      </w:pPr>
    </w:p>
    <w:p>
      <w:pPr>
        <w:jc w:val="both"/>
        <w:ind w:right="480"/>
        <w:spacing w:after="0" w:line="271" w:lineRule="auto"/>
        <w:rPr>
          <w:sz w:val="20"/>
          <w:szCs w:val="20"/>
          <w:color w:val="auto"/>
        </w:rPr>
      </w:pPr>
      <w:r>
        <w:rPr>
          <w:rFonts w:ascii="Arial" w:cs="Arial" w:eastAsia="Arial" w:hAnsi="Arial"/>
          <w:sz w:val="14"/>
          <w:szCs w:val="14"/>
          <w:color w:val="auto"/>
        </w:rPr>
        <w:t>We have the opportunity to improve Adjusted EBITDA and offset cost increases and/or higher units processed per shipment as we increase revenue and drive fulfillment and operational efficiency gains and operating expense leverage. In particular, we expect our restructuring plan to significantly reduce fixed costs and improve operating expense leverage in fiscal year 2023 compared to fiscal year 2022.</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21"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Our total revenue, net consists of Subscription and Reserve rental revenue and Other revenue. Total revenue is presented net of promotional discounts, credits and refunds and taxes. In fiscal year 2022, our revenue growth rate benefited from COVID recovery and the April 2022 price increase compared to fiscal year 2021. While we anticipate our total revenue and our Active Subscriber growth rate to increase in fiscal year 2023, we anticipate our total revenue growth rate to decelerate due to an anticipated lower growth rate of Average Active Subscribers in fiscal year 2023 relative to fiscal year 2022 and in part due to an anticipated decrease in Reserve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8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ectPr>
          <w:pgSz w:w="11880" w:h="15480" w:orient="portrait"/>
          <w:cols w:equalWidth="0" w:num="1">
            <w:col w:w="11260"/>
          </w:cols>
          <w:pgMar w:left="300" w:top="886" w:right="319" w:bottom="0" w:gutter="0" w:footer="0" w:header="0"/>
          <w:type w:val="continuous"/>
        </w:sectPr>
      </w:pPr>
    </w:p>
    <w:bookmarkStart w:id="81" w:name="page82"/>
    <w:bookmarkEnd w:id="81"/>
    <w:p>
      <w:pPr>
        <w:ind w:right="120"/>
        <w:spacing w:after="0" w:line="260"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We recognize subscription fees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 unrecognized portion of the subscription period is deferred to the following fiscal period. We announced a price increase in April 2022 for our subscription plans, which has since increased revenue per subscriber. We recognize Reserve fees over the rental period, which starts on the date of delivery of the product to the customer. Reserve orders can be placed up to four months prior to the rental start date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99"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 For example, Other revenue and Other revenue as a percentage of Total revenue was lower in the fourth quarter than the third quarter of fiscal year 2022 due to the pilot to sell brand new Exclusive Design products wholesale to a third party retailer in the third quarter of fiscal year 2022.</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We expect fulfillment costs to increase as order volume increases. In fiscal years 2021 and 2022 costs to ship orders increased due to increasing prices in the transportation market. Fulfillment expense may fluctuate due to various factors including commercial terms and market trends. Fulfillment expense may also increase due to competitive pressures in the labor market which could lead to continued higher wage rates. We increased warehouse wage rates during fiscal years 2021 and 2022 and expect to continue to be impacted by rising wage rates in the future. For fiscal year 2023, we anticipate our fulfillment expense may increase as a percentage of revenue compared to fiscal year 2022 due to the March 2023 launch of extra items in our subscription plans and due to the anticipated decrease in our Reserve business. We expect to continue to invest in automation and other process improvements to support and drive efficiencies in our operations. To the extent we are successful in becoming more efficient in fulfilling orders, and at a magnitude that is able to offset increasing shipping costs, wage rates and cleaning/packing supply price increases, we would expect these expenses to decrease as a percentage of total revenue over the longer term.</w:t>
      </w:r>
    </w:p>
    <w:p>
      <w:pPr>
        <w:spacing w:after="0" w:line="105" w:lineRule="exact"/>
        <w:rPr>
          <w:sz w:val="20"/>
          <w:szCs w:val="20"/>
          <w:color w:val="auto"/>
        </w:rPr>
      </w:pPr>
    </w:p>
    <w:p>
      <w:pPr>
        <w:ind w:right="260"/>
        <w:spacing w:after="0" w:line="260"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We expect these expenses to decrease in dollars and as a percentage of total revenue as a result of our cost reduction plan. Over the medium to long term, these expenses may increase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We expect marketing expenses to increase as we intend to increase marketing spend to drive the growth of our business and increase our brand awareness. The trend and timing of our marketing expenses will depend in part on the timing of marketing campaigns.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434340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8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sectPr>
          <w:pgSz w:w="11880" w:h="15480" w:orient="portrait"/>
          <w:cols w:equalWidth="0" w:num="1">
            <w:col w:w="11260"/>
          </w:cols>
          <w:pgMar w:left="300" w:top="886" w:right="319" w:bottom="0" w:gutter="0" w:footer="0" w:header="0"/>
          <w:type w:val="continuous"/>
        </w:sectPr>
      </w:pPr>
    </w:p>
    <w:bookmarkStart w:id="82" w:name="page83"/>
    <w:bookmarkEnd w:id="82"/>
    <w:p>
      <w:pPr>
        <w:spacing w:after="0" w:line="259"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In the short term, we expect these expenses to decrease significantly in dollars and as a percentage of total revenue as a result of our restructuring plan while over the medium to long term, we expect these expenses to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99"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99" w:lineRule="exact"/>
        <w:rPr>
          <w:sz w:val="20"/>
          <w:szCs w:val="20"/>
          <w:color w:val="auto"/>
        </w:rPr>
      </w:pPr>
    </w:p>
    <w:p>
      <w:pPr>
        <w:ind w:right="48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September 2022 restructuring plan.</w:t>
      </w:r>
    </w:p>
    <w:p>
      <w:pPr>
        <w:spacing w:after="0" w:line="20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consists of asset impairment charges related to discontinuing warehouse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operations projects in connection with the September 2022 restructuring plan.</w:t>
      </w:r>
    </w:p>
    <w:p>
      <w:pPr>
        <w:spacing w:after="0" w:line="78"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b w:val="1"/>
          <w:bCs w:val="1"/>
          <w:i w:val="1"/>
          <w:iCs w:val="1"/>
          <w:color w:val="auto"/>
        </w:rPr>
        <w:t>Interest Income / (Expense).</w:t>
      </w:r>
      <w:r>
        <w:rPr>
          <w:sz w:val="20"/>
          <w:szCs w:val="20"/>
          <w:color w:val="auto"/>
        </w:rPr>
        <w:t xml:space="preserve"> </w:t>
      </w:r>
      <w:r>
        <w:rPr>
          <w:rFonts w:ascii="Arial" w:cs="Arial" w:eastAsia="Arial" w:hAnsi="Arial"/>
          <w:sz w:val="14"/>
          <w:szCs w:val="14"/>
          <w:color w:val="auto"/>
        </w:rPr>
        <w:t>Interest income / (expense) consists primarily of accrued paid-in-kind interest, cash and cash equivalents interest and debt issuance cost amortization associated with our 2022 Amended Temasek Facility going forward.</w:t>
      </w:r>
    </w:p>
    <w:p>
      <w:pPr>
        <w:spacing w:after="0" w:line="141"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is associated with revaluing liability classified warrants to the respective fair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value at period end or prior to conversion. As of January 31, 2023, all outstanding warrants are equity classified and therefore do not require remeasurement going forward.</w:t>
      </w:r>
    </w:p>
    <w:p>
      <w:pPr>
        <w:spacing w:after="0" w:line="7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b w:val="1"/>
          <w:bCs w:val="1"/>
          <w:i w:val="1"/>
          <w:iCs w:val="1"/>
          <w:color w:val="auto"/>
        </w:rPr>
        <w:t xml:space="preserve">Gain / (Loss) on Debt Extinguishment, Net. </w:t>
      </w:r>
      <w:r>
        <w:rPr>
          <w:rFonts w:ascii="Arial" w:cs="Arial" w:eastAsia="Arial" w:hAnsi="Arial"/>
          <w:sz w:val="14"/>
          <w:szCs w:val="14"/>
          <w:color w:val="auto"/>
        </w:rPr>
        <w:t>Gain / (loss) on debt extinguishment is associated with debt extinguishment including the write off of the unamortized debt issuance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These are primarily non-cash and are associated with debt payment transactions which are non-recurring.</w:t>
      </w:r>
    </w:p>
    <w:p>
      <w:pPr>
        <w:spacing w:after="0" w:line="78"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previous insurance claims and proceeds from monetizing tax credits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growth.</w:t>
      </w:r>
    </w:p>
    <w:p>
      <w:pPr>
        <w:spacing w:after="0" w:line="7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taxes and Irish refundable tax credits. We have established a valuation allowance for our U.S.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federal and state 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433705</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886"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75</w:t>
      </w:r>
    </w:p>
    <w:p>
      <w:pPr>
        <w:sectPr>
          <w:pgSz w:w="11880" w:h="15480" w:orient="portrait"/>
          <w:cols w:equalWidth="0" w:num="1">
            <w:col w:w="11260"/>
          </w:cols>
          <w:pgMar w:left="300" w:top="886" w:right="319" w:bottom="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Results of Operations</w:t>
      </w:r>
    </w:p>
    <w:p>
      <w:pPr>
        <w:spacing w:after="0" w:line="179"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consolidated financial statements and notes included elsewhere in this Annual Report on Form 10-K. The following tables set forth our results of operations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rPr>
              <w:t>Years Ended January 31,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55"/>
        </w:trPr>
        <w:tc>
          <w:tcPr>
            <w:tcW w:w="67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91"/>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50"/>
        </w:trPr>
        <w:tc>
          <w:tcPr>
            <w:tcW w:w="6740" w:type="dxa"/>
            <w:vAlign w:val="bottom"/>
            <w:tcBorders>
              <w:bottom w:val="single" w:sz="8" w:color="DDDDDD"/>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62"/>
        </w:trPr>
        <w:tc>
          <w:tcPr>
            <w:tcW w:w="6740" w:type="dxa"/>
            <w:vAlign w:val="bottom"/>
            <w:shd w:val="clear" w:color="auto" w:fill="DDDDDD"/>
          </w:tcPr>
          <w:p>
            <w:pPr>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DDDDDD"/>
          </w:tcPr>
          <w:p>
            <w:pPr>
              <w:spacing w:after="0"/>
              <w:rPr>
                <w:sz w:val="14"/>
                <w:szCs w:val="14"/>
                <w:color w:val="auto"/>
              </w:rPr>
            </w:pPr>
          </w:p>
        </w:tc>
        <w:tc>
          <w:tcPr>
            <w:tcW w:w="54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2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1120" w:type="dxa"/>
            <w:vAlign w:val="bottom"/>
            <w:shd w:val="clear" w:color="auto" w:fill="DDDDDD"/>
          </w:tcPr>
          <w:p>
            <w:pPr>
              <w:spacing w:after="0"/>
              <w:rPr>
                <w:sz w:val="14"/>
                <w:szCs w:val="14"/>
                <w:color w:val="auto"/>
              </w:rPr>
            </w:pPr>
          </w:p>
        </w:tc>
      </w:tr>
      <w:tr>
        <w:trPr>
          <w:trHeight w:val="180"/>
        </w:trPr>
        <w:tc>
          <w:tcPr>
            <w:tcW w:w="6740" w:type="dxa"/>
            <w:vAlign w:val="bottom"/>
          </w:tcPr>
          <w:p>
            <w:pPr>
              <w:ind w:left="260"/>
              <w:spacing w:after="0"/>
              <w:rPr>
                <w:sz w:val="20"/>
                <w:szCs w:val="20"/>
                <w:color w:val="auto"/>
              </w:rPr>
            </w:pPr>
            <w:r>
              <w:rPr>
                <w:rFonts w:ascii="Arial" w:cs="Arial" w:eastAsia="Arial" w:hAnsi="Arial"/>
                <w:sz w:val="14"/>
                <w:szCs w:val="14"/>
                <w:color w:val="auto"/>
              </w:rPr>
              <w:t>Subscription and Reserve rental revenue</w:t>
            </w:r>
          </w:p>
        </w:tc>
        <w:tc>
          <w:tcPr>
            <w:tcW w:w="920" w:type="dxa"/>
            <w:vAlign w:val="bottom"/>
          </w:tcPr>
          <w:p>
            <w:pPr>
              <w:jc w:val="right"/>
              <w:ind w:right="754"/>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5"/>
                <w:szCs w:val="15"/>
                <w:color w:val="auto"/>
              </w:rPr>
            </w:pPr>
          </w:p>
        </w:tc>
        <w:tc>
          <w:tcPr>
            <w:tcW w:w="260" w:type="dxa"/>
            <w:vAlign w:val="bottom"/>
          </w:tcPr>
          <w:p>
            <w:pPr>
              <w:jc w:val="right"/>
              <w:ind w:right="94"/>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185.8</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135.9</w:t>
            </w:r>
          </w:p>
        </w:tc>
      </w:tr>
      <w:tr>
        <w:trPr>
          <w:trHeight w:val="180"/>
        </w:trPr>
        <w:tc>
          <w:tcPr>
            <w:tcW w:w="6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Other revenue</w:t>
            </w:r>
          </w:p>
        </w:tc>
        <w:tc>
          <w:tcPr>
            <w:tcW w:w="920" w:type="dxa"/>
            <w:vAlign w:val="bottom"/>
            <w:tcBorders>
              <w:bottom w:val="single" w:sz="8" w:color="auto"/>
            </w:tcBorders>
            <w:shd w:val="clear" w:color="auto" w:fill="DDDDDD"/>
          </w:tcPr>
          <w:p>
            <w:pPr>
              <w:spacing w:after="0"/>
              <w:rPr>
                <w:sz w:val="15"/>
                <w:szCs w:val="15"/>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27.8</w:t>
            </w:r>
          </w:p>
        </w:tc>
        <w:tc>
          <w:tcPr>
            <w:tcW w:w="8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17.5</w:t>
            </w:r>
          </w:p>
        </w:tc>
        <w:tc>
          <w:tcPr>
            <w:tcW w:w="8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21.6</w:t>
            </w:r>
          </w:p>
        </w:tc>
      </w:tr>
      <w:tr>
        <w:trPr>
          <w:trHeight w:val="171"/>
        </w:trPr>
        <w:tc>
          <w:tcPr>
            <w:tcW w:w="674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296.4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157.5</w:t>
            </w:r>
          </w:p>
        </w:tc>
      </w:tr>
      <w:tr>
        <w:trPr>
          <w:trHeight w:val="180"/>
        </w:trPr>
        <w:tc>
          <w:tcPr>
            <w:tcW w:w="6740" w:type="dxa"/>
            <w:vAlign w:val="bottom"/>
            <w:shd w:val="clear" w:color="auto" w:fill="DDDDDD"/>
          </w:tcPr>
          <w:p>
            <w:pPr>
              <w:spacing w:after="0"/>
              <w:rPr>
                <w:sz w:val="20"/>
                <w:szCs w:val="20"/>
                <w:color w:val="auto"/>
              </w:rPr>
            </w:pPr>
            <w:r>
              <w:rPr>
                <w:rFonts w:ascii="Arial" w:cs="Arial" w:eastAsia="Arial" w:hAnsi="Arial"/>
                <w:sz w:val="14"/>
                <w:szCs w:val="14"/>
                <w:color w:val="auto"/>
              </w:rPr>
              <w:t>Costs and expenses:</w:t>
            </w:r>
          </w:p>
        </w:tc>
        <w:tc>
          <w:tcPr>
            <w:tcW w:w="920" w:type="dxa"/>
            <w:vAlign w:val="bottom"/>
            <w:shd w:val="clear" w:color="auto" w:fill="DDDDDD"/>
          </w:tcPr>
          <w:p>
            <w:pPr>
              <w:spacing w:after="0"/>
              <w:rPr>
                <w:sz w:val="15"/>
                <w:szCs w:val="15"/>
                <w:color w:val="auto"/>
              </w:rPr>
            </w:pPr>
          </w:p>
        </w:tc>
        <w:tc>
          <w:tcPr>
            <w:tcW w:w="54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spacing w:after="0"/>
              <w:rPr>
                <w:sz w:val="15"/>
                <w:szCs w:val="15"/>
                <w:color w:val="auto"/>
              </w:rPr>
            </w:pPr>
          </w:p>
        </w:tc>
      </w:tr>
      <w:tr>
        <w:trPr>
          <w:trHeight w:val="180"/>
        </w:trPr>
        <w:tc>
          <w:tcPr>
            <w:tcW w:w="6740" w:type="dxa"/>
            <w:vAlign w:val="bottom"/>
          </w:tcPr>
          <w:p>
            <w:pPr>
              <w:ind w:left="260"/>
              <w:spacing w:after="0"/>
              <w:rPr>
                <w:sz w:val="20"/>
                <w:szCs w:val="20"/>
                <w:color w:val="auto"/>
              </w:rPr>
            </w:pPr>
            <w:r>
              <w:rPr>
                <w:rFonts w:ascii="Arial" w:cs="Arial" w:eastAsia="Arial" w:hAnsi="Arial"/>
                <w:sz w:val="14"/>
                <w:szCs w:val="14"/>
                <w:color w:val="auto"/>
              </w:rPr>
              <w:t>Fulfillment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53.0</w:t>
            </w:r>
          </w:p>
        </w:tc>
      </w:tr>
      <w:tr>
        <w:trPr>
          <w:trHeight w:val="180"/>
        </w:trPr>
        <w:tc>
          <w:tcPr>
            <w:tcW w:w="6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Technology</w:t>
            </w:r>
          </w:p>
        </w:tc>
        <w:tc>
          <w:tcPr>
            <w:tcW w:w="920" w:type="dxa"/>
            <w:vAlign w:val="bottom"/>
            <w:shd w:val="clear" w:color="auto" w:fill="DDDDDD"/>
          </w:tcPr>
          <w:p>
            <w:pPr>
              <w:spacing w:after="0"/>
              <w:rPr>
                <w:sz w:val="15"/>
                <w:szCs w:val="15"/>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55.4</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37.7</w:t>
            </w:r>
          </w:p>
        </w:tc>
      </w:tr>
      <w:tr>
        <w:trPr>
          <w:trHeight w:val="180"/>
        </w:trPr>
        <w:tc>
          <w:tcPr>
            <w:tcW w:w="6740" w:type="dxa"/>
            <w:vAlign w:val="bottom"/>
          </w:tcPr>
          <w:p>
            <w:pPr>
              <w:ind w:left="260"/>
              <w:spacing w:after="0"/>
              <w:rPr>
                <w:sz w:val="20"/>
                <w:szCs w:val="20"/>
                <w:color w:val="auto"/>
              </w:rPr>
            </w:pPr>
            <w:r>
              <w:rPr>
                <w:rFonts w:ascii="Arial" w:cs="Arial" w:eastAsia="Arial" w:hAnsi="Arial"/>
                <w:sz w:val="14"/>
                <w:szCs w:val="14"/>
                <w:color w:val="auto"/>
              </w:rPr>
              <w:t>Marketing</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0"/>
        </w:trPr>
        <w:tc>
          <w:tcPr>
            <w:tcW w:w="6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DDDDDD"/>
          </w:tcPr>
          <w:p>
            <w:pPr>
              <w:spacing w:after="0"/>
              <w:rPr>
                <w:sz w:val="15"/>
                <w:szCs w:val="15"/>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109.0</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104.4</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77.2</w:t>
            </w:r>
          </w:p>
        </w:tc>
      </w:tr>
      <w:tr>
        <w:trPr>
          <w:trHeight w:val="180"/>
        </w:trPr>
        <w:tc>
          <w:tcPr>
            <w:tcW w:w="6740" w:type="dxa"/>
            <w:vAlign w:val="bottom"/>
          </w:tcPr>
          <w:p>
            <w:pPr>
              <w:ind w:left="260"/>
              <w:spacing w:after="0"/>
              <w:rPr>
                <w:sz w:val="20"/>
                <w:szCs w:val="20"/>
                <w:color w:val="auto"/>
              </w:rPr>
            </w:pPr>
            <w:r>
              <w:rPr>
                <w:rFonts w:ascii="Arial" w:cs="Arial" w:eastAsia="Arial" w:hAnsi="Arial"/>
                <w:sz w:val="14"/>
                <w:szCs w:val="14"/>
                <w:color w:val="auto"/>
              </w:rPr>
              <w:t>Rental product depreciation and revenue share</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84.2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89.0</w:t>
            </w:r>
          </w:p>
        </w:tc>
      </w:tr>
      <w:tr>
        <w:trPr>
          <w:trHeight w:val="180"/>
        </w:trPr>
        <w:tc>
          <w:tcPr>
            <w:tcW w:w="6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Other depreciation and amortization</w:t>
            </w:r>
          </w:p>
        </w:tc>
        <w:tc>
          <w:tcPr>
            <w:tcW w:w="920" w:type="dxa"/>
            <w:vAlign w:val="bottom"/>
            <w:shd w:val="clear" w:color="auto" w:fill="DDDDDD"/>
          </w:tcPr>
          <w:p>
            <w:pPr>
              <w:spacing w:after="0"/>
              <w:rPr>
                <w:sz w:val="15"/>
                <w:szCs w:val="15"/>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23.0</w:t>
            </w:r>
          </w:p>
        </w:tc>
      </w:tr>
      <w:tr>
        <w:trPr>
          <w:trHeight w:val="180"/>
        </w:trPr>
        <w:tc>
          <w:tcPr>
            <w:tcW w:w="6740" w:type="dxa"/>
            <w:vAlign w:val="bottom"/>
          </w:tcPr>
          <w:p>
            <w:pPr>
              <w:ind w:left="260"/>
              <w:spacing w:after="0"/>
              <w:rPr>
                <w:sz w:val="20"/>
                <w:szCs w:val="20"/>
                <w:color w:val="auto"/>
              </w:rPr>
            </w:pPr>
            <w:r>
              <w:rPr>
                <w:rFonts w:ascii="Arial" w:cs="Arial" w:eastAsia="Arial" w:hAnsi="Arial"/>
                <w:sz w:val="14"/>
                <w:szCs w:val="14"/>
                <w:color w:val="auto"/>
              </w:rPr>
              <w:t>Restructuring charges</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740" w:type="dxa"/>
            <w:vAlign w:val="bottom"/>
            <w:shd w:val="clear" w:color="auto" w:fill="DDDDDD"/>
          </w:tcPr>
          <w:p>
            <w:pPr>
              <w:ind w:left="260"/>
              <w:spacing w:after="0"/>
              <w:rPr>
                <w:sz w:val="20"/>
                <w:szCs w:val="20"/>
                <w:color w:val="auto"/>
              </w:rPr>
            </w:pPr>
            <w:r>
              <w:rPr>
                <w:rFonts w:ascii="Arial" w:cs="Arial" w:eastAsia="Arial" w:hAnsi="Arial"/>
                <w:sz w:val="14"/>
                <w:szCs w:val="14"/>
                <w:color w:val="auto"/>
              </w:rPr>
              <w:t>Loss on asset impairment related to restructuring</w:t>
            </w:r>
          </w:p>
        </w:tc>
        <w:tc>
          <w:tcPr>
            <w:tcW w:w="920" w:type="dxa"/>
            <w:vAlign w:val="bottom"/>
            <w:shd w:val="clear" w:color="auto" w:fill="DDDDDD"/>
          </w:tcPr>
          <w:p>
            <w:pPr>
              <w:spacing w:after="0"/>
              <w:rPr>
                <w:sz w:val="15"/>
                <w:szCs w:val="15"/>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8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40" w:type="dxa"/>
            <w:vAlign w:val="bottom"/>
            <w:tcBorders>
              <w:bottom w:val="single" w:sz="8" w:color="DDDDDD"/>
            </w:tcBorders>
          </w:tcPr>
          <w:p>
            <w:pPr>
              <w:ind w:left="520"/>
              <w:spacing w:after="0"/>
              <w:rPr>
                <w:sz w:val="20"/>
                <w:szCs w:val="20"/>
                <w:color w:val="auto"/>
              </w:rPr>
            </w:pPr>
            <w:r>
              <w:rPr>
                <w:rFonts w:ascii="Arial" w:cs="Arial" w:eastAsia="Arial" w:hAnsi="Arial"/>
                <w:sz w:val="14"/>
                <w:szCs w:val="14"/>
                <w:color w:val="auto"/>
              </w:rPr>
              <w:t>Total costs and expenses</w:t>
            </w:r>
          </w:p>
        </w:tc>
        <w:tc>
          <w:tcPr>
            <w:tcW w:w="92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Borders>
              <w:bottom w:val="single" w:sz="8" w:color="DDDDDD"/>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80" w:type="dxa"/>
            <w:vAlign w:val="bottom"/>
            <w:tcBorders>
              <w:bottom w:val="single" w:sz="8" w:color="DDDDD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288.0</w:t>
            </w:r>
          </w:p>
        </w:tc>
      </w:tr>
      <w:tr>
        <w:trPr>
          <w:trHeight w:val="171"/>
        </w:trPr>
        <w:tc>
          <w:tcPr>
            <w:tcW w:w="6740" w:type="dxa"/>
            <w:vAlign w:val="bottom"/>
            <w:shd w:val="clear" w:color="auto" w:fill="DDDDDD"/>
          </w:tcPr>
          <w:p>
            <w:pPr>
              <w:ind w:left="780"/>
              <w:spacing w:after="0"/>
              <w:rPr>
                <w:sz w:val="20"/>
                <w:szCs w:val="20"/>
                <w:color w:val="auto"/>
              </w:rPr>
            </w:pPr>
            <w:r>
              <w:rPr>
                <w:rFonts w:ascii="Arial" w:cs="Arial" w:eastAsia="Arial" w:hAnsi="Arial"/>
                <w:sz w:val="14"/>
                <w:szCs w:val="14"/>
                <w:color w:val="auto"/>
              </w:rPr>
              <w:t>Operating loss</w:t>
            </w:r>
          </w:p>
        </w:tc>
        <w:tc>
          <w:tcPr>
            <w:tcW w:w="920" w:type="dxa"/>
            <w:vAlign w:val="bottom"/>
            <w:shd w:val="clear" w:color="auto" w:fill="DDDDDD"/>
          </w:tcPr>
          <w:p>
            <w:pPr>
              <w:spacing w:after="0"/>
              <w:rPr>
                <w:sz w:val="14"/>
                <w:szCs w:val="14"/>
                <w:color w:val="auto"/>
              </w:rPr>
            </w:pPr>
          </w:p>
        </w:tc>
        <w:tc>
          <w:tcPr>
            <w:tcW w:w="5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(130.5)</w:t>
            </w:r>
          </w:p>
        </w:tc>
      </w:tr>
      <w:tr>
        <w:trPr>
          <w:trHeight w:val="180"/>
        </w:trPr>
        <w:tc>
          <w:tcPr>
            <w:tcW w:w="6740" w:type="dxa"/>
            <w:vAlign w:val="bottom"/>
          </w:tcPr>
          <w:p>
            <w:pPr>
              <w:spacing w:after="0"/>
              <w:rPr>
                <w:sz w:val="20"/>
                <w:szCs w:val="20"/>
                <w:color w:val="auto"/>
              </w:rPr>
            </w:pPr>
            <w:r>
              <w:rPr>
                <w:rFonts w:ascii="Arial" w:cs="Arial" w:eastAsia="Arial" w:hAnsi="Arial"/>
                <w:sz w:val="14"/>
                <w:szCs w:val="14"/>
                <w:color w:val="auto"/>
              </w:rPr>
              <w:t>Interest income / (expense), net</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(46.6)</w:t>
            </w:r>
          </w:p>
        </w:tc>
      </w:tr>
      <w:tr>
        <w:trPr>
          <w:trHeight w:val="180"/>
        </w:trPr>
        <w:tc>
          <w:tcPr>
            <w:tcW w:w="6740" w:type="dxa"/>
            <w:vAlign w:val="bottom"/>
            <w:shd w:val="clear" w:color="auto" w:fill="DDDDDD"/>
          </w:tcPr>
          <w:p>
            <w:pPr>
              <w:spacing w:after="0"/>
              <w:rPr>
                <w:sz w:val="20"/>
                <w:szCs w:val="20"/>
                <w:color w:val="auto"/>
              </w:rPr>
            </w:pPr>
            <w:r>
              <w:rPr>
                <w:rFonts w:ascii="Arial" w:cs="Arial" w:eastAsia="Arial" w:hAnsi="Arial"/>
                <w:sz w:val="14"/>
                <w:szCs w:val="14"/>
                <w:color w:val="auto"/>
              </w:rPr>
              <w:t>Gain / (loss) on warrant liability revaluation, net</w:t>
            </w:r>
          </w:p>
        </w:tc>
        <w:tc>
          <w:tcPr>
            <w:tcW w:w="920" w:type="dxa"/>
            <w:vAlign w:val="bottom"/>
            <w:shd w:val="clear" w:color="auto" w:fill="DDDDDD"/>
          </w:tcPr>
          <w:p>
            <w:pPr>
              <w:spacing w:after="0"/>
              <w:rPr>
                <w:sz w:val="15"/>
                <w:szCs w:val="15"/>
                <w:color w:val="auto"/>
              </w:rPr>
            </w:pPr>
          </w:p>
        </w:tc>
        <w:tc>
          <w:tcPr>
            <w:tcW w:w="6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DDDDDD"/>
          </w:tcPr>
          <w:p>
            <w:pPr>
              <w:spacing w:after="0"/>
              <w:rPr>
                <w:sz w:val="15"/>
                <w:szCs w:val="15"/>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0.4</w:t>
            </w:r>
          </w:p>
        </w:tc>
      </w:tr>
      <w:tr>
        <w:trPr>
          <w:trHeight w:val="211"/>
        </w:trPr>
        <w:tc>
          <w:tcPr>
            <w:tcW w:w="6740" w:type="dxa"/>
            <w:vAlign w:val="bottom"/>
          </w:tcPr>
          <w:p>
            <w:pPr>
              <w:spacing w:after="0"/>
              <w:rPr>
                <w:sz w:val="20"/>
                <w:szCs w:val="20"/>
                <w:color w:val="auto"/>
              </w:rPr>
            </w:pPr>
            <w:r>
              <w:rPr>
                <w:rFonts w:ascii="Arial" w:cs="Arial" w:eastAsia="Arial" w:hAnsi="Arial"/>
                <w:sz w:val="14"/>
                <w:szCs w:val="14"/>
                <w:color w:val="auto"/>
              </w:rPr>
              <w:t>Gain / (loss) on debt extinguishment, net</w:t>
            </w:r>
          </w:p>
        </w:tc>
        <w:tc>
          <w:tcPr>
            <w:tcW w:w="9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1"/>
        </w:trPr>
        <w:tc>
          <w:tcPr>
            <w:tcW w:w="6740" w:type="dxa"/>
            <w:vAlign w:val="bottom"/>
            <w:shd w:val="clear" w:color="auto" w:fill="DDDDDD"/>
          </w:tcPr>
          <w:p>
            <w:pPr>
              <w:spacing w:after="0"/>
              <w:rPr>
                <w:sz w:val="20"/>
                <w:szCs w:val="20"/>
                <w:color w:val="auto"/>
              </w:rPr>
            </w:pPr>
            <w:r>
              <w:rPr>
                <w:rFonts w:ascii="Arial" w:cs="Arial" w:eastAsia="Arial" w:hAnsi="Arial"/>
                <w:sz w:val="14"/>
                <w:szCs w:val="14"/>
                <w:color w:val="auto"/>
              </w:rPr>
              <w:t>Other income / (expense), net</w:t>
            </w:r>
          </w:p>
        </w:tc>
        <w:tc>
          <w:tcPr>
            <w:tcW w:w="920" w:type="dxa"/>
            <w:vAlign w:val="bottom"/>
            <w:tcBorders>
              <w:bottom w:val="single" w:sz="8" w:color="auto"/>
            </w:tcBorders>
            <w:shd w:val="clear" w:color="auto" w:fill="DDDDDD"/>
          </w:tcPr>
          <w:p>
            <w:pPr>
              <w:spacing w:after="0"/>
              <w:rPr>
                <w:sz w:val="15"/>
                <w:szCs w:val="15"/>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6.2</w:t>
            </w:r>
          </w:p>
        </w:tc>
      </w:tr>
      <w:tr>
        <w:trPr>
          <w:trHeight w:val="171"/>
        </w:trPr>
        <w:tc>
          <w:tcPr>
            <w:tcW w:w="6740" w:type="dxa"/>
            <w:vAlign w:val="bottom"/>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(171.1)</w:t>
            </w:r>
          </w:p>
        </w:tc>
      </w:tr>
      <w:tr>
        <w:trPr>
          <w:trHeight w:val="180"/>
        </w:trPr>
        <w:tc>
          <w:tcPr>
            <w:tcW w:w="6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tax benefit / (expense)</w:t>
            </w:r>
          </w:p>
        </w:tc>
        <w:tc>
          <w:tcPr>
            <w:tcW w:w="920" w:type="dxa"/>
            <w:vAlign w:val="bottom"/>
            <w:tcBorders>
              <w:bottom w:val="single" w:sz="8" w:color="auto"/>
            </w:tcBorders>
            <w:shd w:val="clear" w:color="auto" w:fill="DDDDDD"/>
          </w:tcPr>
          <w:p>
            <w:pPr>
              <w:spacing w:after="0"/>
              <w:rPr>
                <w:sz w:val="15"/>
                <w:szCs w:val="15"/>
                <w:color w:val="auto"/>
              </w:rPr>
            </w:pPr>
          </w:p>
        </w:tc>
        <w:tc>
          <w:tcPr>
            <w:tcW w:w="5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spacing w:after="0"/>
              <w:rPr>
                <w:sz w:val="15"/>
                <w:szCs w:val="15"/>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740" w:type="dxa"/>
            <w:vAlign w:val="bottom"/>
          </w:tcPr>
          <w:p>
            <w:pPr>
              <w:ind w:left="78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years ended January 31, 2023 and 2022</w:t>
      </w:r>
    </w:p>
    <w:p>
      <w:pPr>
        <w:spacing w:after="0" w:line="177"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$296.4 million for the year ended January 31, 2023, an increase of $93.1 million, or 45.8%, compared to $203.3 million for the year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January 31, 2022. This increase was primarily driven by the increase in overall demand due to COVID recovery, including an increase in Active and Average Active Subscribers and an increase in revenue per subscriber, partly due to the April 2022 subscription price increase, compared to fiscal year 2021.</w:t>
      </w:r>
    </w:p>
    <w:p>
      <w:pPr>
        <w:spacing w:after="0" w:line="81" w:lineRule="exact"/>
        <w:rPr>
          <w:sz w:val="20"/>
          <w:szCs w:val="20"/>
          <w:color w:val="auto"/>
        </w:rPr>
      </w:pPr>
    </w:p>
    <w:p>
      <w:pPr>
        <w:ind w:right="160"/>
        <w:spacing w:after="0"/>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$268.6 million for the year ended January 31, 2023, an increase of $82.8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44.6%, compared to $185.8 million for the year ended January 31, 2022. This increase was primarily driven by an increase in Average Active Subscribers year-over-year and an increase in revenue per subscriber which partly resulted from the price increase announced in April 2022.</w:t>
      </w:r>
    </w:p>
    <w:p>
      <w:pPr>
        <w:spacing w:after="0" w:line="90"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i w:val="1"/>
          <w:iCs w:val="1"/>
          <w:color w:val="auto"/>
        </w:rPr>
        <w:t>Other Revenue.</w:t>
      </w:r>
      <w:r>
        <w:rPr>
          <w:sz w:val="20"/>
          <w:szCs w:val="20"/>
          <w:color w:val="auto"/>
        </w:rPr>
        <w:tab/>
      </w:r>
      <w:r>
        <w:rPr>
          <w:rFonts w:ascii="Arial" w:cs="Arial" w:eastAsia="Arial" w:hAnsi="Arial"/>
          <w:sz w:val="14"/>
          <w:szCs w:val="14"/>
          <w:color w:val="auto"/>
        </w:rPr>
        <w:t>Other revenue was $27.8 million for the year ended January 31, 2023, an increase of $10.3 million, or 58.9%, compared to $17.5 million for the year ended</w:t>
      </w:r>
    </w:p>
    <w:p>
      <w:pPr>
        <w:spacing w:after="0" w:line="12"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January 31, 2022. This increase was primarily driven by an increase in active subscribers which resulted in increased purchases of resale items. Other revenue represented 9.4% of total revenue, up from 8.6% in the same period of fiscal year 2021, primarily due to increased purchases of resale items by our subscribers during fiscal year 2022 and also due to $2.3 million of revenue recognized from a pilot to sell our brand new Exclusive Design products wholesale to a third party retailer.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446405</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880" w:h="15480" w:orient="portrait"/>
          <w:cols w:equalWidth="0" w:num="1">
            <w:col w:w="11280"/>
          </w:cols>
          <w:pgMar w:left="300" w:top="1013" w:right="299" w:bottom="0" w:gutter="0" w:footer="0" w:header="0"/>
          <w:type w:val="continuous"/>
        </w:sectPr>
      </w:pPr>
    </w:p>
    <w:bookmarkStart w:id="84" w:name="page85"/>
    <w:bookmarkEnd w:id="84"/>
    <w:p>
      <w:pPr>
        <w:ind w:right="120"/>
        <w:spacing w:after="0" w:line="262"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$400.0 million for the year ended January 31, 2023, an increase of $70.8 million, or 21.5%, compared to $329.2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January 31, 2022. This increase was primarily driven by an increase in fulfillment, technology, paid marketing and G&amp;A expenses to support our growth, public company costs and charges related to the September 2022 restructuring plan. These increases were partially offset by cost savings from the September 2022 restructuring plan which reduced costs for the fourth quarter and part of the third quarter of fiscal year 2022. Fiscal year 2021 also included costs incurred for one-time IPO-related RSU vesting events and one-time costs associated with public company readiness.</w:t>
      </w:r>
    </w:p>
    <w:p>
      <w:pPr>
        <w:spacing w:after="0" w:line="97" w:lineRule="exact"/>
        <w:rPr>
          <w:sz w:val="20"/>
          <w:szCs w:val="20"/>
          <w:color w:val="auto"/>
        </w:rPr>
      </w:pPr>
    </w:p>
    <w:p>
      <w:pPr>
        <w:jc w:val="both"/>
        <w:ind w:right="26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$92.2 million for the year ended January 31, 2023, an increase of $30.3 million, or 48.9%, representing 31.1% of revenue, compared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$61.9 million for the year ended January 31, 2022, representing 30.4% of revenue. The increase in fulfillment dollars and as a percentage of revenue was primarily driven by an increase in shipments associated with higher revenue and an increase in transportation costs and wage rates, partially offset by fulfillment process improvements.</w:t>
      </w:r>
    </w:p>
    <w:p>
      <w:pPr>
        <w:spacing w:after="0" w:line="91"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$55.4 million for the year ended January 31, 2023, an increase of $10.1 million, or 22.3%, compared to $45.3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2022. This increase was primarily driven by an increase in strategic investments and personnel costs to support future growth initiatives, including back-end infrastructure and cloud investments that provide scaling and efficiency benefits and support our work to provide an enhanced search, fit and discovery experience for the consumer. Technology expenses were 18.7% of revenue for the year ended January 31, 2023 compared to 22.3% last year as we saw increased operating leverage with higher revenue. Technology related share-based compensation expense was $5.9 million for the year ended January 31, 2023 and was $4.2 million for the same period last year.</w:t>
      </w:r>
    </w:p>
    <w:p>
      <w:pPr>
        <w:spacing w:after="0" w:line="97"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$35.1 million for the year ended January 31, 2023, an increase of $8.6 million, or 32.5%, compared to $26.5 million for the year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January 31, 2022. This increase was driven by increased marketing initiatives as compared to last year when we reduced paid and brand marketing spend during the first and second quarters of fiscal year 2021 related to the COVID-19 pandemic. Marketing expenses unrelated to personnel costs were $30.7 million in the year ended January 31, 2023 and 10.3% of revenue, compared to $20.6 million last year and 10.1% of total revenue.</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$109.0 million for the year ended January 31, 2023, an increase of $4.6 million, or 4.4%,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$104.4 million for the year ended January 31, 2022. This increase was primarily driven by the increase in personnel costs required to support our growth as a public company as well as other costs associated with revenue growth. These increases were partially offset by cost savings from the September 2022 restructuring plan recognized in the third and fourth quarters of fiscal year 2022. The prior year period also included costs incurred for one-time IPO-related RSU vesting events and one-time costs associated with public company readiness. In addition, we recognized proceeds from a new liquidation partnership with Amazon which positively impacted G&amp;A expenses by $2.3 million in the third and fourth quarters of fiscal year 2022. G&amp;A expenses as a percentage of revenue were 36.8%, compared to 51.4% last year as we saw increased operating leverage with higher</w:t>
      </w:r>
    </w:p>
    <w:p>
      <w:pPr>
        <w:spacing w:after="0" w:line="3" w:lineRule="exact"/>
        <w:rPr>
          <w:sz w:val="20"/>
          <w:szCs w:val="20"/>
          <w:color w:val="auto"/>
        </w:rPr>
      </w:pPr>
    </w:p>
    <w:p>
      <w:pPr>
        <w:ind w:right="200"/>
        <w:spacing w:after="0" w:line="229" w:lineRule="auto"/>
        <w:rPr>
          <w:sz w:val="20"/>
          <w:szCs w:val="20"/>
          <w:color w:val="auto"/>
        </w:rPr>
      </w:pPr>
      <w:r>
        <w:rPr>
          <w:rFonts w:ascii="Arial" w:cs="Arial" w:eastAsia="Arial" w:hAnsi="Arial"/>
          <w:sz w:val="14"/>
          <w:szCs w:val="14"/>
          <w:color w:val="auto"/>
        </w:rPr>
        <w:t>revenue and a lower cost base post-restructuring. G&amp;A related share-based compensation expense was $19.0 million for the year ended January 31, 2023 and was $21.4 million for the prior year. We generally expect these expenses to decrease in fiscal year 2023, compared with fiscal year 2022, as a result of the aforementioned restructuring; however,</w:t>
      </w:r>
    </w:p>
    <w:p>
      <w:pPr>
        <w:spacing w:after="0"/>
        <w:rPr>
          <w:sz w:val="20"/>
          <w:szCs w:val="20"/>
          <w:color w:val="auto"/>
        </w:rPr>
      </w:pPr>
      <w:r>
        <w:rPr>
          <w:rFonts w:ascii="Arial" w:cs="Arial" w:eastAsia="Arial" w:hAnsi="Arial"/>
          <w:sz w:val="14"/>
          <w:szCs w:val="14"/>
          <w:color w:val="auto"/>
        </w:rPr>
        <w:t>share-based compensation expense is expected to increase incrementally in fiscal year 2023.</w:t>
      </w:r>
    </w:p>
    <w:p>
      <w:pPr>
        <w:spacing w:after="0" w:line="122" w:lineRule="exact"/>
        <w:rPr>
          <w:sz w:val="20"/>
          <w:szCs w:val="20"/>
          <w:color w:val="auto"/>
        </w:rPr>
      </w:pPr>
    </w:p>
    <w:p>
      <w:pPr>
        <w:spacing w:after="0"/>
        <w:tabs>
          <w:tab w:leader="none" w:pos="3420" w:val="left"/>
        </w:tabs>
        <w:rPr>
          <w:sz w:val="20"/>
          <w:szCs w:val="20"/>
          <w:color w:val="auto"/>
        </w:rPr>
      </w:pPr>
      <w:r>
        <w:rPr>
          <w:rFonts w:ascii="Arial" w:cs="Arial" w:eastAsia="Arial" w:hAnsi="Arial"/>
          <w:sz w:val="14"/>
          <w:szCs w:val="14"/>
          <w:b w:val="1"/>
          <w:bCs w:val="1"/>
          <w:i w:val="1"/>
          <w:iCs w:val="1"/>
          <w:color w:val="auto"/>
        </w:rPr>
        <w:t>Rental Product Depreciation and Revenue Share.</w:t>
      </w:r>
      <w:r>
        <w:rPr>
          <w:sz w:val="20"/>
          <w:szCs w:val="20"/>
          <w:color w:val="auto"/>
        </w:rPr>
        <w:tab/>
      </w:r>
      <w:r>
        <w:rPr>
          <w:rFonts w:ascii="Arial" w:cs="Arial" w:eastAsia="Arial" w:hAnsi="Arial"/>
          <w:sz w:val="14"/>
          <w:szCs w:val="14"/>
          <w:color w:val="auto"/>
        </w:rPr>
        <w:t>Rental product depreciation and revenue share was $84.2 million for the year ended January 31, 2023, an increase of</w:t>
      </w:r>
    </w:p>
    <w:p>
      <w:pPr>
        <w:spacing w:after="0" w:line="23" w:lineRule="exact"/>
        <w:rPr>
          <w:sz w:val="20"/>
          <w:szCs w:val="20"/>
          <w:color w:val="auto"/>
        </w:rPr>
      </w:pPr>
    </w:p>
    <w:p>
      <w:pPr>
        <w:jc w:val="both"/>
        <w:ind w:right="60"/>
        <w:spacing w:after="0" w:line="261" w:lineRule="auto"/>
        <w:rPr>
          <w:sz w:val="20"/>
          <w:szCs w:val="20"/>
          <w:color w:val="auto"/>
        </w:rPr>
      </w:pPr>
      <w:r>
        <w:rPr>
          <w:rFonts w:ascii="Arial" w:cs="Arial" w:eastAsia="Arial" w:hAnsi="Arial"/>
          <w:sz w:val="14"/>
          <w:szCs w:val="14"/>
          <w:color w:val="auto"/>
        </w:rPr>
        <w:t>$12.5 million, or 17.4%, compared to $71.7 million for the year ended January 31, 2022. The increase is primarily a result of an increase in revenue share payments due to a higher proportion of Share by RTR items rented. Rental product depreciation and revenue share was 28.4% of revenue in the year ended January 31, 2023, down from 35.3% in the prior year primarily due to rental product depreciation decreasing as a percentage of revenue as costs were absorbed over a larger revenue base.</w:t>
      </w:r>
    </w:p>
    <w:p>
      <w:pPr>
        <w:spacing w:after="0" w:line="97"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$16.4 million for the year ended January 31, 2023, a decrease of $(3.0) million, or (15.5)%,</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$19.4 million for the year ended January 31, 2022. This decrease was primarily driven by lower depreciation associated with 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424815</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86"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880" w:h="15480" w:orient="portrait"/>
          <w:cols w:equalWidth="0" w:num="1">
            <w:col w:w="11280"/>
          </w:cols>
          <w:pgMar w:left="300" w:top="886" w:right="299" w:bottom="0" w:gutter="0" w:footer="0" w:header="0"/>
          <w:type w:val="continuous"/>
        </w:sectPr>
      </w:pPr>
    </w:p>
    <w:bookmarkStart w:id="85" w:name="page86"/>
    <w:bookmarkEnd w:id="85"/>
    <w:p>
      <w:pPr>
        <w:ind w:right="36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$2.4 million for the year ended January 31, 2023 for severance and related costs in connection with the September 2022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w:t>
      </w:r>
    </w:p>
    <w:p>
      <w:pPr>
        <w:spacing w:after="0" w:line="12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Loss on Asset Impairment Related to Restructuring</w:t>
      </w:r>
      <w:r>
        <w:rPr>
          <w:rFonts w:ascii="Arial" w:cs="Arial" w:eastAsia="Arial" w:hAnsi="Arial"/>
          <w:sz w:val="14"/>
          <w:szCs w:val="14"/>
          <w:color w:val="auto"/>
        </w:rPr>
        <w:t>. Loss on asset impairment related to restructuring was $5.3 million for the year ended January 31, 2023 and consists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 impairment charges related to discontinuing two warehouse operations projects in connection with the September 2022 restructuring plan.</w:t>
      </w:r>
    </w:p>
    <w:p>
      <w:pPr>
        <w:spacing w:after="0" w:line="78"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$(36.8) million for the year ended January 31, 2023, a decrease in expense of $16.2 million, or (30.6)%,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$(53.0) million for the year ended January 31, 2022. This decrease was driven by the accrued payment-in-kind interest related to the additional Ares debt entered in October 2020 that was paid down in full in October 2021 and also due to higher interest income in fiscal year 2022. Of the $(36.8) million total interest expense in the year ended</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January 31, 2023, $14.3 million was the accrual of paid-in kind (“PIK”) interest, $18.2 million was cash, financing lease interest and other interest and $4.3 million was debt discount amortization, compared to $38.8 million of PIK interest, $8.3 million of cash, financing lease interest and other interest and $5.9 million of debt discount amortization in the year ended January 31, 2022.</w:t>
      </w:r>
    </w:p>
    <w:p>
      <w:pPr>
        <w:spacing w:after="0" w:line="97"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b w:val="1"/>
          <w:bCs w:val="1"/>
          <w:i w:val="1"/>
          <w:iCs w:val="1"/>
          <w:color w:val="auto"/>
        </w:rPr>
        <w:t xml:space="preserve">Gain / (Loss) on Warrant Liability Revaluation, Net. </w:t>
      </w:r>
      <w:r>
        <w:rPr>
          <w:rFonts w:ascii="Arial" w:cs="Arial" w:eastAsia="Arial" w:hAnsi="Arial"/>
          <w:sz w:val="14"/>
          <w:szCs w:val="14"/>
          <w:color w:val="auto"/>
        </w:rPr>
        <w:t>Gain / (loss) on warrant liability revaluation, net was $(24.9) million for the year ended January 31, 2022. As of January 31,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2022, all of the Company’s outstanding warrants are equity-classified and, as such, did not require fair value remeasurement during the period.</w:t>
      </w:r>
    </w:p>
    <w:p>
      <w:pPr>
        <w:spacing w:after="0" w:line="78"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Gain / (Loss) on Debt Extinguishment, Net. </w:t>
      </w:r>
      <w:r>
        <w:rPr>
          <w:rFonts w:ascii="Arial" w:cs="Arial" w:eastAsia="Arial" w:hAnsi="Arial"/>
          <w:sz w:val="14"/>
          <w:szCs w:val="14"/>
          <w:color w:val="auto"/>
        </w:rPr>
        <w:t>Gain / (loss) on debt extinguishment, net was $(12.2) million for the year ended January 31, 2022. The costs were associated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fees and unamortized debt issuance costs related to the Ares debt paydown upon the IPO. These charges were primarily non-cash and are associated with debt paydown transactions which are non-recurring.</w:t>
      </w:r>
    </w:p>
    <w:p>
      <w:pPr>
        <w:spacing w:after="0" w:line="91" w:lineRule="exact"/>
        <w:rPr>
          <w:sz w:val="20"/>
          <w:szCs w:val="20"/>
          <w:color w:val="auto"/>
        </w:rPr>
      </w:pPr>
    </w:p>
    <w:p>
      <w:pPr>
        <w:ind w:right="220"/>
        <w:spacing w:after="0" w:line="308"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$1.5 million for the year ended January 31, 2023, a decrease of $(2.4) million, compared to $3.9 million for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year ended January 31, 2022. This decrease was primarily driven by $4.0 million of insurance claim proceeds, which were settled during the year ended January 31, 2022</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Annual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23"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Our Adjusted EBITDA margins have improved from (9.4)% in the year ended January 31, 2022 to 2.3% in the year ended January 31, 2023. The pilot to sell brand new Exclusive Design products wholesale to a third party retailer and launch of a new liquidation partnership together contributed $5.1 million to Adjusted EBITDA in the year ended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443230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28"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sectPr>
          <w:pgSz w:w="11880" w:h="15480" w:orient="portrait"/>
          <w:cols w:equalWidth="0" w:num="1">
            <w:col w:w="11260"/>
          </w:cols>
          <w:pgMar w:left="300" w:top="928" w:right="319" w:bottom="0" w:gutter="0" w:footer="0" w:header="0"/>
          <w:type w:val="continuous"/>
        </w:sectPr>
      </w:pPr>
    </w:p>
    <w:bookmarkStart w:id="86" w:name="page87"/>
    <w:bookmarkEnd w:id="86"/>
    <w:p>
      <w:pPr>
        <w:ind w:left="5"/>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29" w:lineRule="exact"/>
        <w:rPr>
          <w:sz w:val="20"/>
          <w:szCs w:val="20"/>
          <w:color w:val="auto"/>
        </w:rPr>
      </w:pPr>
    </w:p>
    <w:tbl>
      <w:tblPr>
        <w:tblLayout w:type="fixed"/>
        <w:tblInd w:w="5"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Years Ended January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55"/>
        </w:trPr>
        <w:tc>
          <w:tcPr>
            <w:tcW w:w="572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31"/>
              <w:spacing w:after="0"/>
              <w:rPr>
                <w:sz w:val="20"/>
                <w:szCs w:val="20"/>
                <w:color w:val="auto"/>
              </w:rPr>
            </w:pPr>
            <w:r>
              <w:rPr>
                <w:rFonts w:ascii="Arial" w:cs="Arial" w:eastAsia="Arial" w:hAnsi="Arial"/>
                <w:sz w:val="11"/>
                <w:szCs w:val="11"/>
                <w:b w:val="1"/>
                <w:bCs w:val="1"/>
                <w:color w:val="auto"/>
                <w:w w:val="97"/>
              </w:rPr>
              <w:t>2022</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2021</w:t>
            </w:r>
          </w:p>
        </w:tc>
      </w:tr>
      <w:tr>
        <w:trPr>
          <w:trHeight w:val="150"/>
        </w:trPr>
        <w:tc>
          <w:tcPr>
            <w:tcW w:w="5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 millions)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2"/>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DDDDDD"/>
          </w:tcPr>
          <w:p>
            <w:pPr>
              <w:jc w:val="right"/>
              <w:ind w:right="77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DDDDDD"/>
          </w:tcPr>
          <w:p>
            <w:pPr>
              <w:jc w:val="right"/>
              <w:ind w:right="89"/>
              <w:spacing w:after="0"/>
              <w:rPr>
                <w:sz w:val="20"/>
                <w:szCs w:val="20"/>
                <w:color w:val="auto"/>
              </w:rPr>
            </w:pPr>
            <w:r>
              <w:rPr>
                <w:rFonts w:ascii="Arial" w:cs="Arial" w:eastAsia="Arial" w:hAnsi="Arial"/>
                <w:sz w:val="14"/>
                <w:szCs w:val="14"/>
                <w:color w:val="auto"/>
              </w:rPr>
              <w:t>(138.7)</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DDDDDD"/>
          </w:tcPr>
          <w:p>
            <w:pPr>
              <w:jc w:val="right"/>
              <w:ind w:right="71"/>
              <w:spacing w:after="0"/>
              <w:rPr>
                <w:sz w:val="20"/>
                <w:szCs w:val="20"/>
                <w:color w:val="auto"/>
              </w:rPr>
            </w:pPr>
            <w:r>
              <w:rPr>
                <w:rFonts w:ascii="Arial" w:cs="Arial" w:eastAsia="Arial" w:hAnsi="Arial"/>
                <w:sz w:val="14"/>
                <w:szCs w:val="14"/>
                <w:color w:val="auto"/>
              </w:rPr>
              <w:t>(211.8)</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DDDDD"/>
          </w:tcPr>
          <w:p>
            <w:pPr>
              <w:jc w:val="right"/>
              <w:ind w:right="70"/>
              <w:spacing w:after="0"/>
              <w:rPr>
                <w:sz w:val="20"/>
                <w:szCs w:val="20"/>
                <w:color w:val="auto"/>
              </w:rPr>
            </w:pPr>
            <w:r>
              <w:rPr>
                <w:rFonts w:ascii="Arial" w:cs="Arial" w:eastAsia="Arial" w:hAnsi="Arial"/>
                <w:sz w:val="14"/>
                <w:szCs w:val="14"/>
                <w:color w:val="auto"/>
              </w:rPr>
              <w:t>(171.1)</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Interest (income) / expense, net (1)</w:t>
            </w:r>
          </w:p>
        </w:tc>
        <w:tc>
          <w:tcPr>
            <w:tcW w:w="920" w:type="dxa"/>
            <w:vAlign w:val="bottom"/>
          </w:tcPr>
          <w:p>
            <w:pPr>
              <w:spacing w:after="0"/>
              <w:rPr>
                <w:sz w:val="15"/>
                <w:szCs w:val="15"/>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46.6</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Rental product depreciation</w:t>
            </w:r>
          </w:p>
        </w:tc>
        <w:tc>
          <w:tcPr>
            <w:tcW w:w="920" w:type="dxa"/>
            <w:vAlign w:val="bottom"/>
            <w:shd w:val="clear" w:color="auto" w:fill="DDDDDD"/>
          </w:tcPr>
          <w:p>
            <w:pPr>
              <w:spacing w:after="0"/>
              <w:rPr>
                <w:sz w:val="15"/>
                <w:szCs w:val="15"/>
                <w:color w:val="auto"/>
              </w:rPr>
            </w:pPr>
          </w:p>
        </w:tc>
        <w:tc>
          <w:tcPr>
            <w:tcW w:w="64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52.9</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60" w:type="dxa"/>
            <w:vAlign w:val="bottom"/>
            <w:shd w:val="clear" w:color="auto" w:fill="DDDDDD"/>
          </w:tcPr>
          <w:p>
            <w:pPr>
              <w:jc w:val="right"/>
              <w:ind w:right="111"/>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69.9</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Other depreciation and amortization (2)</w:t>
            </w:r>
          </w:p>
        </w:tc>
        <w:tc>
          <w:tcPr>
            <w:tcW w:w="920" w:type="dxa"/>
            <w:vAlign w:val="bottom"/>
          </w:tcPr>
          <w:p>
            <w:pPr>
              <w:spacing w:after="0"/>
              <w:rPr>
                <w:sz w:val="15"/>
                <w:szCs w:val="15"/>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23.0</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Share-based compensation (3)</w:t>
            </w:r>
          </w:p>
        </w:tc>
        <w:tc>
          <w:tcPr>
            <w:tcW w:w="920" w:type="dxa"/>
            <w:vAlign w:val="bottom"/>
            <w:shd w:val="clear" w:color="auto" w:fill="DDDDDD"/>
          </w:tcPr>
          <w:p>
            <w:pPr>
              <w:spacing w:after="0"/>
              <w:rPr>
                <w:sz w:val="15"/>
                <w:szCs w:val="15"/>
                <w:color w:val="auto"/>
              </w:rPr>
            </w:pPr>
          </w:p>
        </w:tc>
        <w:tc>
          <w:tcPr>
            <w:tcW w:w="64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25.4</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60" w:type="dxa"/>
            <w:vAlign w:val="bottom"/>
            <w:shd w:val="clear" w:color="auto" w:fill="DDDDDD"/>
          </w:tcPr>
          <w:p>
            <w:pPr>
              <w:jc w:val="right"/>
              <w:ind w:right="111"/>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8.2</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Write-off of liquidated assets (4)</w:t>
            </w:r>
          </w:p>
        </w:tc>
        <w:tc>
          <w:tcPr>
            <w:tcW w:w="920" w:type="dxa"/>
            <w:vAlign w:val="bottom"/>
          </w:tcPr>
          <w:p>
            <w:pPr>
              <w:spacing w:after="0"/>
              <w:rPr>
                <w:sz w:val="15"/>
                <w:szCs w:val="15"/>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3.3</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Non-recurring adjustments (5)</w:t>
            </w:r>
          </w:p>
        </w:tc>
        <w:tc>
          <w:tcPr>
            <w:tcW w:w="920" w:type="dxa"/>
            <w:vAlign w:val="bottom"/>
            <w:shd w:val="clear" w:color="auto" w:fill="DDDDDD"/>
          </w:tcPr>
          <w:p>
            <w:pPr>
              <w:spacing w:after="0"/>
              <w:rPr>
                <w:sz w:val="15"/>
                <w:szCs w:val="15"/>
                <w:color w:val="auto"/>
              </w:rPr>
            </w:pPr>
          </w:p>
        </w:tc>
        <w:tc>
          <w:tcPr>
            <w:tcW w:w="64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1.3</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60" w:type="dxa"/>
            <w:vAlign w:val="bottom"/>
            <w:shd w:val="clear" w:color="auto" w:fill="DDDDDD"/>
          </w:tcPr>
          <w:p>
            <w:pPr>
              <w:jc w:val="right"/>
              <w:ind w:right="111"/>
              <w:spacing w:after="0"/>
              <w:rPr>
                <w:sz w:val="20"/>
                <w:szCs w:val="20"/>
                <w:color w:val="auto"/>
              </w:rPr>
            </w:pPr>
            <w:r>
              <w:rPr>
                <w:rFonts w:ascii="Arial" w:cs="Arial" w:eastAsia="Arial" w:hAnsi="Arial"/>
                <w:sz w:val="14"/>
                <w:szCs w:val="14"/>
                <w:color w:val="auto"/>
              </w:rPr>
              <w:t>5.3</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4.2</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Non-ordinary course legal fees (6)</w:t>
            </w:r>
          </w:p>
        </w:tc>
        <w:tc>
          <w:tcPr>
            <w:tcW w:w="920" w:type="dxa"/>
            <w:vAlign w:val="bottom"/>
          </w:tcPr>
          <w:p>
            <w:pPr>
              <w:spacing w:after="0"/>
              <w:rPr>
                <w:sz w:val="15"/>
                <w:szCs w:val="15"/>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Restructuring charges (7)</w:t>
            </w:r>
          </w:p>
        </w:tc>
        <w:tc>
          <w:tcPr>
            <w:tcW w:w="920" w:type="dxa"/>
            <w:vAlign w:val="bottom"/>
            <w:shd w:val="clear" w:color="auto" w:fill="DDDDDD"/>
          </w:tcPr>
          <w:p>
            <w:pPr>
              <w:spacing w:after="0"/>
              <w:rPr>
                <w:sz w:val="15"/>
                <w:szCs w:val="15"/>
                <w:color w:val="auto"/>
              </w:rPr>
            </w:pPr>
          </w:p>
        </w:tc>
        <w:tc>
          <w:tcPr>
            <w:tcW w:w="64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2.4</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56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Loss on asset impairment related to restructuring (8)</w:t>
            </w:r>
          </w:p>
        </w:tc>
        <w:tc>
          <w:tcPr>
            <w:tcW w:w="920" w:type="dxa"/>
            <w:vAlign w:val="bottom"/>
          </w:tcPr>
          <w:p>
            <w:pPr>
              <w:spacing w:after="0"/>
              <w:rPr>
                <w:sz w:val="15"/>
                <w:szCs w:val="15"/>
                <w:color w:val="auto"/>
              </w:rPr>
            </w:pPr>
          </w:p>
        </w:tc>
        <w:tc>
          <w:tcPr>
            <w:tcW w:w="640" w:type="dxa"/>
            <w:vAlign w:val="bottom"/>
          </w:tcPr>
          <w:p>
            <w:pPr>
              <w:jc w:val="right"/>
              <w:ind w:right="129"/>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Income tax (benefit) / expense</w:t>
            </w:r>
          </w:p>
        </w:tc>
        <w:tc>
          <w:tcPr>
            <w:tcW w:w="920" w:type="dxa"/>
            <w:vAlign w:val="bottom"/>
            <w:shd w:val="clear" w:color="auto" w:fill="DDDDDD"/>
          </w:tcPr>
          <w:p>
            <w:pPr>
              <w:spacing w:after="0"/>
              <w:rPr>
                <w:sz w:val="15"/>
                <w:szCs w:val="15"/>
                <w:color w:val="auto"/>
              </w:rPr>
            </w:pPr>
          </w:p>
        </w:tc>
        <w:tc>
          <w:tcPr>
            <w:tcW w:w="640" w:type="dxa"/>
            <w:vAlign w:val="bottom"/>
            <w:shd w:val="clear" w:color="auto" w:fill="DDDDDD"/>
          </w:tcPr>
          <w:p>
            <w:pPr>
              <w:jc w:val="right"/>
              <w:ind w:right="89"/>
              <w:spacing w:after="0"/>
              <w:rPr>
                <w:sz w:val="20"/>
                <w:szCs w:val="20"/>
                <w:color w:val="auto"/>
              </w:rPr>
            </w:pPr>
            <w:r>
              <w:rPr>
                <w:rFonts w:ascii="Arial" w:cs="Arial" w:eastAsia="Arial" w:hAnsi="Arial"/>
                <w:sz w:val="14"/>
                <w:szCs w:val="14"/>
                <w:color w:val="auto"/>
              </w:rPr>
              <w:t>(0.2)</w:t>
            </w:r>
          </w:p>
        </w:tc>
        <w:tc>
          <w:tcPr>
            <w:tcW w:w="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460" w:type="dxa"/>
            <w:vAlign w:val="bottom"/>
            <w:shd w:val="clear" w:color="auto" w:fill="DDDDDD"/>
          </w:tcPr>
          <w:p>
            <w:pPr>
              <w:jc w:val="right"/>
              <w:ind w:right="71"/>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(Gain) / loss on warrant liability revaluation, net (9)</w:t>
            </w:r>
          </w:p>
        </w:tc>
        <w:tc>
          <w:tcPr>
            <w:tcW w:w="920" w:type="dxa"/>
            <w:vAlign w:val="bottom"/>
          </w:tcPr>
          <w:p>
            <w:pPr>
              <w:spacing w:after="0"/>
              <w:rPr>
                <w:sz w:val="15"/>
                <w:szCs w:val="15"/>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ind w:right="111"/>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auto"/>
              </w:rPr>
              <w:t>(0.4)</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(Gain) / loss on debt extinguishment, net (10)</w:t>
            </w:r>
          </w:p>
        </w:tc>
        <w:tc>
          <w:tcPr>
            <w:tcW w:w="920" w:type="dxa"/>
            <w:vAlign w:val="bottom"/>
            <w:shd w:val="clear" w:color="auto" w:fill="DDDDDD"/>
          </w:tcPr>
          <w:p>
            <w:pPr>
              <w:spacing w:after="0"/>
              <w:rPr>
                <w:sz w:val="15"/>
                <w:szCs w:val="15"/>
                <w:color w:val="auto"/>
              </w:rPr>
            </w:pPr>
          </w:p>
        </w:tc>
        <w:tc>
          <w:tcPr>
            <w:tcW w:w="720" w:type="dxa"/>
            <w:vAlign w:val="bottom"/>
            <w:gridSpan w:val="2"/>
            <w:shd w:val="clear" w:color="auto" w:fill="DDDDDD"/>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5"/>
                <w:szCs w:val="15"/>
                <w:color w:val="auto"/>
              </w:rPr>
            </w:pPr>
          </w:p>
        </w:tc>
        <w:tc>
          <w:tcPr>
            <w:tcW w:w="1460" w:type="dxa"/>
            <w:vAlign w:val="bottom"/>
            <w:shd w:val="clear" w:color="auto" w:fill="DDDDDD"/>
          </w:tcPr>
          <w:p>
            <w:pPr>
              <w:jc w:val="right"/>
              <w:ind w:right="111"/>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jc w:val="right"/>
              <w:ind w:right="110"/>
              <w:spacing w:after="0"/>
              <w:rPr>
                <w:sz w:val="20"/>
                <w:szCs w:val="20"/>
                <w:color w:val="auto"/>
              </w:rPr>
            </w:pPr>
            <w:r>
              <w:rPr>
                <w:rFonts w:ascii="Arial" w:cs="Arial" w:eastAsia="Arial" w:hAnsi="Arial"/>
                <w:sz w:val="14"/>
                <w:szCs w:val="14"/>
                <w:color w:val="auto"/>
              </w:rPr>
              <w:t>0.6</w:t>
            </w:r>
          </w:p>
        </w:tc>
      </w:tr>
      <w:tr>
        <w:trPr>
          <w:trHeight w:val="180"/>
        </w:trPr>
        <w:tc>
          <w:tcPr>
            <w:tcW w:w="5720" w:type="dxa"/>
            <w:vAlign w:val="bottom"/>
          </w:tcPr>
          <w:p>
            <w:pPr>
              <w:spacing w:after="0"/>
              <w:rPr>
                <w:sz w:val="20"/>
                <w:szCs w:val="20"/>
                <w:color w:val="auto"/>
              </w:rPr>
            </w:pPr>
            <w:r>
              <w:rPr>
                <w:rFonts w:ascii="Arial" w:cs="Arial" w:eastAsia="Arial" w:hAnsi="Arial"/>
                <w:sz w:val="14"/>
                <w:szCs w:val="14"/>
                <w:color w:val="auto"/>
              </w:rPr>
              <w:t>Other (income) / expense, net (11)</w:t>
            </w:r>
          </w:p>
        </w:tc>
        <w:tc>
          <w:tcPr>
            <w:tcW w:w="920" w:type="dxa"/>
            <w:vAlign w:val="bottom"/>
          </w:tcPr>
          <w:p>
            <w:pPr>
              <w:spacing w:after="0"/>
              <w:rPr>
                <w:sz w:val="15"/>
                <w:szCs w:val="15"/>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70"/>
              <w:spacing w:after="0"/>
              <w:rPr>
                <w:sz w:val="20"/>
                <w:szCs w:val="20"/>
                <w:color w:val="auto"/>
              </w:rPr>
            </w:pPr>
            <w:r>
              <w:rPr>
                <w:rFonts w:ascii="Arial" w:cs="Arial" w:eastAsia="Arial" w:hAnsi="Arial"/>
                <w:sz w:val="14"/>
                <w:szCs w:val="14"/>
                <w:color w:val="auto"/>
              </w:rPr>
              <w:t>(6.2)</w:t>
            </w:r>
          </w:p>
        </w:tc>
      </w:tr>
      <w:tr>
        <w:trPr>
          <w:trHeight w:val="180"/>
        </w:trPr>
        <w:tc>
          <w:tcPr>
            <w:tcW w:w="5720" w:type="dxa"/>
            <w:vAlign w:val="bottom"/>
            <w:shd w:val="clear" w:color="auto" w:fill="DDDDDD"/>
          </w:tcPr>
          <w:p>
            <w:pPr>
              <w:spacing w:after="0"/>
              <w:rPr>
                <w:sz w:val="20"/>
                <w:szCs w:val="20"/>
                <w:color w:val="auto"/>
              </w:rPr>
            </w:pPr>
            <w:r>
              <w:rPr>
                <w:rFonts w:ascii="Arial" w:cs="Arial" w:eastAsia="Arial" w:hAnsi="Arial"/>
                <w:sz w:val="14"/>
                <w:szCs w:val="14"/>
                <w:color w:val="auto"/>
              </w:rPr>
              <w:t>Other (gains) / losses (12)</w:t>
            </w:r>
          </w:p>
        </w:tc>
        <w:tc>
          <w:tcPr>
            <w:tcW w:w="92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shd w:val="clear" w:color="auto" w:fill="DDDDDD"/>
          </w:tcPr>
          <w:p>
            <w:pPr>
              <w:jc w:val="right"/>
              <w:ind w:right="129"/>
              <w:spacing w:after="0"/>
              <w:rPr>
                <w:sz w:val="20"/>
                <w:szCs w:val="20"/>
                <w:color w:val="auto"/>
              </w:rPr>
            </w:pPr>
            <w:r>
              <w:rPr>
                <w:rFonts w:ascii="Arial" w:cs="Arial" w:eastAsia="Arial" w:hAnsi="Arial"/>
                <w:sz w:val="14"/>
                <w:szCs w:val="14"/>
                <w:color w:val="auto"/>
              </w:rPr>
              <w:t>0.7</w:t>
            </w:r>
          </w:p>
        </w:tc>
        <w:tc>
          <w:tcPr>
            <w:tcW w:w="80" w:type="dxa"/>
            <w:vAlign w:val="bottom"/>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ind w:right="111"/>
              <w:spacing w:after="0"/>
              <w:rPr>
                <w:sz w:val="20"/>
                <w:szCs w:val="20"/>
                <w:color w:val="auto"/>
              </w:rPr>
            </w:pPr>
            <w:r>
              <w:rPr>
                <w:rFonts w:ascii="Arial" w:cs="Arial" w:eastAsia="Arial" w:hAnsi="Arial"/>
                <w:sz w:val="14"/>
                <w:szCs w:val="14"/>
                <w:color w:val="auto"/>
              </w:rPr>
              <w:t>0.3</w:t>
            </w:r>
          </w:p>
        </w:tc>
        <w:tc>
          <w:tcPr>
            <w:tcW w:w="100" w:type="dxa"/>
            <w:vAlign w:val="bottom"/>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00" w:type="dxa"/>
            <w:vAlign w:val="bottom"/>
            <w:tcBorders>
              <w:bottom w:val="single" w:sz="8" w:color="auto"/>
            </w:tcBorders>
            <w:shd w:val="clear" w:color="auto" w:fill="DDDDDD"/>
          </w:tcPr>
          <w:p>
            <w:pPr>
              <w:jc w:val="right"/>
              <w:ind w:right="110"/>
              <w:spacing w:after="0"/>
              <w:rPr>
                <w:sz w:val="20"/>
                <w:szCs w:val="20"/>
                <w:color w:val="auto"/>
              </w:rPr>
            </w:pPr>
            <w:r>
              <w:rPr>
                <w:rFonts w:ascii="Arial" w:cs="Arial" w:eastAsia="Arial" w:hAnsi="Arial"/>
                <w:sz w:val="14"/>
                <w:szCs w:val="14"/>
                <w:color w:val="auto"/>
              </w:rPr>
              <w:t>1.6</w:t>
            </w:r>
          </w:p>
        </w:tc>
      </w:tr>
      <w:tr>
        <w:trPr>
          <w:trHeight w:val="171"/>
        </w:trPr>
        <w:tc>
          <w:tcPr>
            <w:tcW w:w="5720" w:type="dxa"/>
            <w:vAlign w:val="bottom"/>
          </w:tcPr>
          <w:p>
            <w:pPr>
              <w:spacing w:after="0"/>
              <w:rPr>
                <w:sz w:val="20"/>
                <w:szCs w:val="20"/>
                <w:color w:val="auto"/>
              </w:rPr>
            </w:pPr>
            <w:r>
              <w:rPr>
                <w:rFonts w:ascii="Arial" w:cs="Arial" w:eastAsia="Arial" w:hAnsi="Arial"/>
                <w:sz w:val="14"/>
                <w:szCs w:val="14"/>
                <w:color w:val="auto"/>
              </w:rPr>
              <w:t>Adjusted EBITDA</w:t>
            </w: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(20.3)</w:t>
            </w:r>
          </w:p>
        </w:tc>
      </w:tr>
      <w:tr>
        <w:trPr>
          <w:trHeight w:val="20"/>
        </w:trPr>
        <w:tc>
          <w:tcPr>
            <w:tcW w:w="5720" w:type="dxa"/>
            <w:vAlign w:val="bottom"/>
            <w:tcBorders>
              <w:bottom w:val="single" w:sz="8" w:color="DDDDDD"/>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8"/>
        </w:trPr>
        <w:tc>
          <w:tcPr>
            <w:tcW w:w="572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Adjusted EBITDA Margin (13)</w:t>
            </w:r>
          </w:p>
        </w:tc>
        <w:tc>
          <w:tcPr>
            <w:tcW w:w="920" w:type="dxa"/>
            <w:vAlign w:val="bottom"/>
            <w:tcBorders>
              <w:bottom w:val="single" w:sz="8" w:color="auto"/>
            </w:tcBorders>
            <w:shd w:val="clear" w:color="auto" w:fill="DDDDDD"/>
          </w:tcPr>
          <w:p>
            <w:pPr>
              <w:spacing w:after="0"/>
              <w:rPr>
                <w:sz w:val="15"/>
                <w:szCs w:val="15"/>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(12.9)%</w:t>
            </w:r>
          </w:p>
        </w:tc>
      </w:tr>
      <w:tr>
        <w:trPr>
          <w:trHeight w:val="20"/>
        </w:trPr>
        <w:tc>
          <w:tcPr>
            <w:tcW w:w="5720" w:type="dxa"/>
            <w:vAlign w:val="bottom"/>
            <w:tcBorders>
              <w:top w:val="single" w:sz="8" w:color="DDDDDD"/>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
        <w:spacing w:after="0"/>
        <w:rPr>
          <w:sz w:val="20"/>
          <w:szCs w:val="20"/>
          <w:color w:val="auto"/>
        </w:rPr>
      </w:pPr>
      <w:r>
        <w:rPr>
          <w:rFonts w:ascii="Arial" w:cs="Arial" w:eastAsia="Arial" w:hAnsi="Arial"/>
          <w:sz w:val="14"/>
          <w:szCs w:val="14"/>
          <w:color w:val="auto"/>
        </w:rPr>
        <w:t>__________</w:t>
      </w:r>
    </w:p>
    <w:p>
      <w:pPr>
        <w:ind w:left="245" w:hanging="245"/>
        <w:spacing w:after="0" w:line="231" w:lineRule="auto"/>
        <w:tabs>
          <w:tab w:leader="none" w:pos="245"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Includes debt discount amortization of $4.3 million in the year ended January 31, 2023, $5.9 million in the year ended January 31, 2022, and $5.0 million in the year ended January 31, 2021.</w:t>
      </w:r>
    </w:p>
    <w:p>
      <w:pPr>
        <w:spacing w:after="0" w:line="64" w:lineRule="exact"/>
        <w:rPr>
          <w:rFonts w:ascii="Arial" w:cs="Arial" w:eastAsia="Arial" w:hAnsi="Arial"/>
          <w:sz w:val="15"/>
          <w:szCs w:val="15"/>
          <w:i w:val="1"/>
          <w:iCs w:val="1"/>
          <w:color w:val="auto"/>
          <w:vertAlign w:val="superscript"/>
        </w:rPr>
      </w:pPr>
    </w:p>
    <w:p>
      <w:pPr>
        <w:ind w:left="245" w:hanging="245"/>
        <w:spacing w:after="0"/>
        <w:tabs>
          <w:tab w:leader="none" w:pos="245" w:val="left"/>
        </w:tabs>
        <w:numPr>
          <w:ilvl w:val="0"/>
          <w:numId w:val="52"/>
        </w:numPr>
        <w:rPr>
          <w:rFonts w:ascii="Arial" w:cs="Arial" w:eastAsia="Arial" w:hAnsi="Arial"/>
          <w:sz w:val="7"/>
          <w:szCs w:val="7"/>
          <w:i w:val="1"/>
          <w:iCs w:val="1"/>
          <w:color w:val="auto"/>
        </w:rPr>
      </w:pPr>
      <w:r>
        <w:rPr>
          <w:rFonts w:ascii="Arial" w:cs="Arial" w:eastAsia="Arial" w:hAnsi="Arial"/>
          <w:sz w:val="11"/>
          <w:szCs w:val="11"/>
          <w:color w:val="auto"/>
        </w:rPr>
        <w:t>Reflects non-rental product depreciation and capitalized software amortization.</w:t>
      </w:r>
    </w:p>
    <w:p>
      <w:pPr>
        <w:spacing w:after="0" w:line="96" w:lineRule="exact"/>
        <w:rPr>
          <w:rFonts w:ascii="Arial" w:cs="Arial" w:eastAsia="Arial" w:hAnsi="Arial"/>
          <w:sz w:val="7"/>
          <w:szCs w:val="7"/>
          <w:i w:val="1"/>
          <w:iCs w:val="1"/>
          <w:color w:val="auto"/>
        </w:rPr>
      </w:pPr>
    </w:p>
    <w:p>
      <w:pPr>
        <w:ind w:left="245" w:hanging="245"/>
        <w:spacing w:after="0"/>
        <w:tabs>
          <w:tab w:leader="none" w:pos="245" w:val="left"/>
        </w:tabs>
        <w:numPr>
          <w:ilvl w:val="0"/>
          <w:numId w:val="52"/>
        </w:numPr>
        <w:rPr>
          <w:rFonts w:ascii="Arial" w:cs="Arial" w:eastAsia="Arial" w:hAnsi="Arial"/>
          <w:sz w:val="7"/>
          <w:szCs w:val="7"/>
          <w:i w:val="1"/>
          <w:iCs w:val="1"/>
          <w:color w:val="auto"/>
        </w:rPr>
      </w:pPr>
      <w:r>
        <w:rPr>
          <w:rFonts w:ascii="Arial" w:cs="Arial" w:eastAsia="Arial" w:hAnsi="Arial"/>
          <w:sz w:val="11"/>
          <w:szCs w:val="11"/>
          <w:color w:val="auto"/>
        </w:rPr>
        <w:t>Reflects the non-cash expense for share-based compensation. The year ended January 31, 2022 includes $14.4 million of costs incurred for one-time IPO-related RSU vesting events.</w:t>
      </w:r>
    </w:p>
    <w:p>
      <w:pPr>
        <w:spacing w:after="0" w:line="72" w:lineRule="exact"/>
        <w:rPr>
          <w:rFonts w:ascii="Arial" w:cs="Arial" w:eastAsia="Arial" w:hAnsi="Arial"/>
          <w:sz w:val="7"/>
          <w:szCs w:val="7"/>
          <w:i w:val="1"/>
          <w:iCs w:val="1"/>
          <w:color w:val="auto"/>
        </w:rPr>
      </w:pPr>
    </w:p>
    <w:p>
      <w:pPr>
        <w:ind w:left="245" w:hanging="245"/>
        <w:spacing w:after="0"/>
        <w:tabs>
          <w:tab w:leader="none" w:pos="245"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74" w:lineRule="exact"/>
        <w:rPr>
          <w:rFonts w:ascii="Arial" w:cs="Arial" w:eastAsia="Arial" w:hAnsi="Arial"/>
          <w:sz w:val="15"/>
          <w:szCs w:val="15"/>
          <w:i w:val="1"/>
          <w:iCs w:val="1"/>
          <w:color w:val="auto"/>
          <w:vertAlign w:val="superscript"/>
        </w:rPr>
      </w:pPr>
    </w:p>
    <w:p>
      <w:pPr>
        <w:ind w:left="245" w:right="180" w:hanging="245"/>
        <w:spacing w:after="0" w:line="229" w:lineRule="auto"/>
        <w:tabs>
          <w:tab w:leader="none" w:pos="239"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Non-recurring adjustments for the year ended January 31, 2023 includes $1.3 million of costs related to public company SOX readiness and for the year ended January 31, 2022 includes $5.2 million of costs primarily associated with public readiness preparation.</w:t>
      </w:r>
    </w:p>
    <w:p>
      <w:pPr>
        <w:spacing w:after="0" w:line="64" w:lineRule="exact"/>
        <w:rPr>
          <w:rFonts w:ascii="Arial" w:cs="Arial" w:eastAsia="Arial" w:hAnsi="Arial"/>
          <w:sz w:val="15"/>
          <w:szCs w:val="15"/>
          <w:i w:val="1"/>
          <w:iCs w:val="1"/>
          <w:color w:val="auto"/>
          <w:vertAlign w:val="superscript"/>
        </w:rPr>
      </w:pPr>
    </w:p>
    <w:p>
      <w:pPr>
        <w:ind w:left="245" w:hanging="245"/>
        <w:spacing w:after="0"/>
        <w:tabs>
          <w:tab w:leader="none" w:pos="245" w:val="left"/>
        </w:tabs>
        <w:numPr>
          <w:ilvl w:val="0"/>
          <w:numId w:val="52"/>
        </w:numPr>
        <w:rPr>
          <w:rFonts w:ascii="Arial" w:cs="Arial" w:eastAsia="Arial" w:hAnsi="Arial"/>
          <w:sz w:val="7"/>
          <w:szCs w:val="7"/>
          <w:i w:val="1"/>
          <w:iCs w:val="1"/>
          <w:color w:val="auto"/>
        </w:rPr>
      </w:pPr>
      <w:r>
        <w:rPr>
          <w:rFonts w:ascii="Arial" w:cs="Arial" w:eastAsia="Arial" w:hAnsi="Arial"/>
          <w:sz w:val="11"/>
          <w:szCs w:val="11"/>
          <w:color w:val="auto"/>
        </w:rPr>
        <w:t>Non-ordinary course legal fees for the year ended January 31, 2023 includes $0.1 million of costs related to a class action lawsuit.</w:t>
      </w:r>
    </w:p>
    <w:p>
      <w:pPr>
        <w:spacing w:after="0" w:line="96" w:lineRule="exact"/>
        <w:rPr>
          <w:rFonts w:ascii="Arial" w:cs="Arial" w:eastAsia="Arial" w:hAnsi="Arial"/>
          <w:sz w:val="7"/>
          <w:szCs w:val="7"/>
          <w:i w:val="1"/>
          <w:iCs w:val="1"/>
          <w:color w:val="auto"/>
        </w:rPr>
      </w:pPr>
    </w:p>
    <w:p>
      <w:pPr>
        <w:ind w:left="245" w:hanging="245"/>
        <w:spacing w:after="0"/>
        <w:tabs>
          <w:tab w:leader="none" w:pos="245" w:val="left"/>
        </w:tabs>
        <w:numPr>
          <w:ilvl w:val="0"/>
          <w:numId w:val="52"/>
        </w:numPr>
        <w:rPr>
          <w:rFonts w:ascii="Arial" w:cs="Arial" w:eastAsia="Arial" w:hAnsi="Arial"/>
          <w:sz w:val="6"/>
          <w:szCs w:val="6"/>
          <w:i w:val="1"/>
          <w:iCs w:val="1"/>
          <w:color w:val="auto"/>
        </w:rPr>
      </w:pPr>
      <w:r>
        <w:rPr>
          <w:rFonts w:ascii="Arial" w:cs="Arial" w:eastAsia="Arial" w:hAnsi="Arial"/>
          <w:sz w:val="11"/>
          <w:szCs w:val="11"/>
          <w:color w:val="auto"/>
        </w:rPr>
        <w:t>Reflects restructuring charges for severance and related costs in connection with the September 2022 restructuring plan.</w:t>
      </w:r>
    </w:p>
    <w:p>
      <w:pPr>
        <w:spacing w:after="0" w:line="96" w:lineRule="exact"/>
        <w:rPr>
          <w:rFonts w:ascii="Arial" w:cs="Arial" w:eastAsia="Arial" w:hAnsi="Arial"/>
          <w:sz w:val="6"/>
          <w:szCs w:val="6"/>
          <w:i w:val="1"/>
          <w:iCs w:val="1"/>
          <w:color w:val="auto"/>
        </w:rPr>
      </w:pPr>
    </w:p>
    <w:p>
      <w:pPr>
        <w:ind w:left="245" w:hanging="245"/>
        <w:spacing w:after="0"/>
        <w:tabs>
          <w:tab w:leader="none" w:pos="245" w:val="left"/>
        </w:tabs>
        <w:numPr>
          <w:ilvl w:val="0"/>
          <w:numId w:val="52"/>
        </w:numPr>
        <w:rPr>
          <w:rFonts w:ascii="Arial" w:cs="Arial" w:eastAsia="Arial" w:hAnsi="Arial"/>
          <w:sz w:val="6"/>
          <w:szCs w:val="6"/>
          <w:i w:val="1"/>
          <w:iCs w:val="1"/>
          <w:color w:val="auto"/>
        </w:rPr>
      </w:pPr>
      <w:r>
        <w:rPr>
          <w:rFonts w:ascii="Arial" w:cs="Arial" w:eastAsia="Arial" w:hAnsi="Arial"/>
          <w:sz w:val="11"/>
          <w:szCs w:val="11"/>
          <w:color w:val="auto"/>
        </w:rPr>
        <w:t>Reflects the asset impairment charges related to discontinuing warehouse operations projects in connection with the September 2022 restructuring plan.</w:t>
      </w:r>
    </w:p>
    <w:p>
      <w:pPr>
        <w:spacing w:after="0" w:line="96" w:lineRule="exact"/>
        <w:rPr>
          <w:rFonts w:ascii="Arial" w:cs="Arial" w:eastAsia="Arial" w:hAnsi="Arial"/>
          <w:sz w:val="6"/>
          <w:szCs w:val="6"/>
          <w:i w:val="1"/>
          <w:iCs w:val="1"/>
          <w:color w:val="auto"/>
        </w:rPr>
      </w:pPr>
    </w:p>
    <w:p>
      <w:pPr>
        <w:ind w:left="245" w:hanging="245"/>
        <w:spacing w:after="0" w:line="229" w:lineRule="auto"/>
        <w:tabs>
          <w:tab w:leader="none" w:pos="239"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Reflects the expense associated with revaluing prior liability classified lender warrants to the respective fair value at period end, or prior to conversion. As of January 31, 2023, all outstanding warrants are equity classified and therefore do not require remeasurement going forward.</w:t>
      </w:r>
    </w:p>
    <w:p>
      <w:pPr>
        <w:spacing w:after="0" w:line="64" w:lineRule="exact"/>
        <w:rPr>
          <w:rFonts w:ascii="Arial" w:cs="Arial" w:eastAsia="Arial" w:hAnsi="Arial"/>
          <w:sz w:val="15"/>
          <w:szCs w:val="15"/>
          <w:i w:val="1"/>
          <w:iCs w:val="1"/>
          <w:color w:val="auto"/>
          <w:vertAlign w:val="superscript"/>
        </w:rPr>
      </w:pPr>
    </w:p>
    <w:p>
      <w:pPr>
        <w:ind w:left="245" w:hanging="245"/>
        <w:spacing w:after="0"/>
        <w:tabs>
          <w:tab w:leader="none" w:pos="245" w:val="left"/>
        </w:tabs>
        <w:numPr>
          <w:ilvl w:val="0"/>
          <w:numId w:val="52"/>
        </w:numPr>
        <w:rPr>
          <w:rFonts w:ascii="Arial" w:cs="Arial" w:eastAsia="Arial" w:hAnsi="Arial"/>
          <w:sz w:val="7"/>
          <w:szCs w:val="7"/>
          <w:i w:val="1"/>
          <w:iCs w:val="1"/>
          <w:color w:val="auto"/>
        </w:rPr>
      </w:pPr>
      <w:r>
        <w:rPr>
          <w:rFonts w:ascii="Arial" w:cs="Arial" w:eastAsia="Arial" w:hAnsi="Arial"/>
          <w:sz w:val="11"/>
          <w:szCs w:val="11"/>
          <w:color w:val="auto"/>
        </w:rPr>
        <w:t>Includes debt extinguishment costs related to debt paydown in the periods presented.</w:t>
      </w:r>
    </w:p>
    <w:p>
      <w:pPr>
        <w:spacing w:after="0" w:line="96" w:lineRule="exact"/>
        <w:rPr>
          <w:rFonts w:ascii="Arial" w:cs="Arial" w:eastAsia="Arial" w:hAnsi="Arial"/>
          <w:sz w:val="7"/>
          <w:szCs w:val="7"/>
          <w:i w:val="1"/>
          <w:iCs w:val="1"/>
          <w:color w:val="auto"/>
        </w:rPr>
      </w:pPr>
    </w:p>
    <w:p>
      <w:pPr>
        <w:ind w:left="245" w:hanging="245"/>
        <w:spacing w:after="0"/>
        <w:tabs>
          <w:tab w:leader="none" w:pos="245" w:val="left"/>
        </w:tabs>
        <w:numPr>
          <w:ilvl w:val="0"/>
          <w:numId w:val="52"/>
        </w:numPr>
        <w:rPr>
          <w:rFonts w:ascii="Arial" w:cs="Arial" w:eastAsia="Arial" w:hAnsi="Arial"/>
          <w:sz w:val="7"/>
          <w:szCs w:val="7"/>
          <w:i w:val="1"/>
          <w:iCs w:val="1"/>
          <w:color w:val="auto"/>
        </w:rPr>
      </w:pPr>
      <w:r>
        <w:rPr>
          <w:rFonts w:ascii="Arial" w:cs="Arial" w:eastAsia="Arial" w:hAnsi="Arial"/>
          <w:sz w:val="11"/>
          <w:szCs w:val="11"/>
          <w:color w:val="auto"/>
        </w:rPr>
        <w:t>Primarily includes $1.4 million of monetized tax credits for the year ended January 31, 2023 and $4.0 million of insurance claim proceeds for the year ended January 31, 2022.</w:t>
      </w:r>
    </w:p>
    <w:p>
      <w:pPr>
        <w:spacing w:after="0" w:line="96" w:lineRule="exact"/>
        <w:rPr>
          <w:rFonts w:ascii="Arial" w:cs="Arial" w:eastAsia="Arial" w:hAnsi="Arial"/>
          <w:sz w:val="7"/>
          <w:szCs w:val="7"/>
          <w:i w:val="1"/>
          <w:iCs w:val="1"/>
          <w:color w:val="auto"/>
        </w:rPr>
      </w:pPr>
    </w:p>
    <w:p>
      <w:pPr>
        <w:ind w:left="245" w:right="40" w:hanging="245"/>
        <w:spacing w:after="0" w:line="229" w:lineRule="auto"/>
        <w:tabs>
          <w:tab w:leader="none" w:pos="238"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Includes costs associated with the write-off of non-rental product asset disposals, operating lease termination and foreign exchange (see “Note 5 - Leases – Lessee Accounting” in the Notes to the Consolidated Financial Statements).</w:t>
      </w:r>
    </w:p>
    <w:p>
      <w:pPr>
        <w:spacing w:after="0" w:line="51" w:lineRule="exact"/>
        <w:rPr>
          <w:rFonts w:ascii="Arial" w:cs="Arial" w:eastAsia="Arial" w:hAnsi="Arial"/>
          <w:sz w:val="15"/>
          <w:szCs w:val="15"/>
          <w:i w:val="1"/>
          <w:iCs w:val="1"/>
          <w:color w:val="auto"/>
          <w:vertAlign w:val="superscript"/>
        </w:rPr>
      </w:pPr>
    </w:p>
    <w:p>
      <w:pPr>
        <w:ind w:left="245" w:hanging="245"/>
        <w:spacing w:after="0"/>
        <w:tabs>
          <w:tab w:leader="none" w:pos="245" w:val="left"/>
        </w:tabs>
        <w:numPr>
          <w:ilvl w:val="0"/>
          <w:numId w:val="52"/>
        </w:numPr>
        <w:rPr>
          <w:rFonts w:ascii="Arial" w:cs="Arial" w:eastAsia="Arial" w:hAnsi="Arial"/>
          <w:sz w:val="15"/>
          <w:szCs w:val="15"/>
          <w:i w:val="1"/>
          <w:iCs w:val="1"/>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5"/>
          </w:cols>
          <w:pgMar w:left="295" w:top="928"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84"/>
        <w:spacing w:after="0"/>
        <w:rPr>
          <w:sz w:val="20"/>
          <w:szCs w:val="20"/>
          <w:color w:val="auto"/>
        </w:rPr>
      </w:pPr>
      <w:r>
        <w:rPr>
          <w:rFonts w:ascii="Arial" w:cs="Arial" w:eastAsia="Arial" w:hAnsi="Arial"/>
          <w:sz w:val="20"/>
          <w:szCs w:val="20"/>
          <w:color w:val="auto"/>
        </w:rPr>
        <w:t>79</w:t>
      </w:r>
    </w:p>
    <w:p>
      <w:pPr>
        <w:sectPr>
          <w:pgSz w:w="11880" w:h="15480" w:orient="portrait"/>
          <w:cols w:equalWidth="0" w:num="1">
            <w:col w:w="11205"/>
          </w:cols>
          <w:pgMar w:left="295" w:top="928" w:right="379" w:bottom="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Since our founding, we have financed our operations primarily from net proceeds from the sale of redeemable preferred stock, common stock and debt financings. As of January 31, 2023, we had cash and cash equivalents of $154.5 million and restricted cash of $9.1 million ($3.1 million current and $6.0 million noncurrent), and an accumulated deficit of $(939.9) million.</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On October 29, 2021, we closed our IPO, in which we issued and sold 17,000,000 shares at a public offering price of $21.00 per share. We received net proceeds of $327.3 million after deducting underwriting discounts and commissions and offering expenses.</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Concurrent with our IPO, we paid down our senior secured term loan of $80.7 million (including accrued interest) with Ares Corporate Opportunities Fund V, L.P. (the “Ares Facility”) in full and $60.0 million of our Temasek Facility and refinanced the remaining Temasek Facility, resulting in a total debt repayment of $140.7 million. In January 2023, the Company entered into the 2022 Amended Temasek Facility. The 2022 Amended Temasek Facility extended the maturity date from October 2024 to October 2026, reduced cash interest payments by over $20 million in cash in the next two fiscal years while the total interest rate remains unchanged during this period, with subsequent increases thereafter. In connection with the 2022 Amended Temasek Facility, we also granted warrants to purchase two million shares of Class A Common Stock at an exercise price of $5.00 per share, along with other clarifications and updates. Our total indebtedness as of January 31, 2023 was $272.5 million. For a description of the terms of our current and prior credit agreements, see “Note 8 – Long-Term Debt” in the Notes to the Consolidated Financial Statements.</w:t>
      </w:r>
    </w:p>
    <w:p>
      <w:pPr>
        <w:spacing w:after="0" w:line="163"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expect that operating losses and negative cash flows from operations could continue in the foreseeable future as we continue to acquire products and increase other investments in our business. We believe our existing cash and cash equivalents, and cash generated from our operations, will be sufficient to sustain our business operations, to satisfy our debt service obligations and to comply with our amended debt covenants for at least the next twelve months from the date of this Annual Report. In September 2022, the Company announced a restructuring plan to reduce costs, streamline its organizational structure and drive operational efficiencies, which is expected to generate annual operating expense savings of approximately $25 million (relative to the second quarter of fiscal year 2022 run rate) in fiscal 2023.</w:t>
      </w:r>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future capital requirements will depend on many factors, including, but not limited to, growth in the number of customers and Active Subscribers and the timing of investments in technology and personnel to support the overall growth of our business. To the extent that current and anticipated future sources of liquidity are insufficient to fund our future business activities and requirements and service our debt obligations,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which could negatively affect our liquidity in the future. In the event that additional financing is required from outside sources, we may not be able to negotiate terms acceptable to us or at all.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440055</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01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sectPr>
          <w:pgSz w:w="11880" w:h="15480" w:orient="portrait"/>
          <w:cols w:equalWidth="0" w:num="1">
            <w:col w:w="11260"/>
          </w:cols>
          <w:pgMar w:left="300" w:top="1013" w:right="319" w:bottom="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04" w:lineRule="exact"/>
        <w:rPr>
          <w:sz w:val="20"/>
          <w:szCs w:val="20"/>
          <w:color w:val="auto"/>
        </w:rPr>
      </w:pPr>
    </w:p>
    <w:p>
      <w:pPr>
        <w:ind w:left="9080"/>
        <w:spacing w:after="0"/>
        <w:rPr>
          <w:sz w:val="20"/>
          <w:szCs w:val="20"/>
          <w:color w:val="auto"/>
        </w:rPr>
      </w:pPr>
      <w:r>
        <w:rPr>
          <w:rFonts w:ascii="Arial" w:cs="Arial" w:eastAsia="Arial" w:hAnsi="Arial"/>
          <w:sz w:val="13"/>
          <w:szCs w:val="13"/>
          <w:b w:val="1"/>
          <w:bCs w:val="1"/>
          <w:color w:val="auto"/>
        </w:rPr>
        <w:t>Years Ended</w:t>
      </w:r>
    </w:p>
    <w:p>
      <w:pPr>
        <w:ind w:left="9120"/>
        <w:spacing w:after="0"/>
        <w:rPr>
          <w:sz w:val="20"/>
          <w:szCs w:val="20"/>
          <w:color w:val="auto"/>
        </w:rPr>
      </w:pPr>
      <w:r>
        <w:rPr>
          <w:rFonts w:ascii="Arial" w:cs="Arial" w:eastAsia="Arial" w:hAnsi="Arial"/>
          <w:sz w:val="13"/>
          <w:szCs w:val="13"/>
          <w:b w:val="1"/>
          <w:bCs w:val="1"/>
          <w:color w:val="auto"/>
        </w:rPr>
        <w:t>January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66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2021</w:t>
            </w:r>
          </w:p>
        </w:tc>
      </w:tr>
      <w:tr>
        <w:trPr>
          <w:trHeight w:val="160"/>
        </w:trPr>
        <w:tc>
          <w:tcPr>
            <w:tcW w:w="7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80"/>
        </w:trPr>
        <w:tc>
          <w:tcPr>
            <w:tcW w:w="7660" w:type="dxa"/>
            <w:vAlign w:val="bottom"/>
            <w:shd w:val="clear" w:color="auto" w:fill="DDDDDD"/>
          </w:tcPr>
          <w:p>
            <w:pPr>
              <w:spacing w:after="0"/>
              <w:rPr>
                <w:sz w:val="20"/>
                <w:szCs w:val="20"/>
                <w:color w:val="auto"/>
              </w:rPr>
            </w:pPr>
            <w:r>
              <w:rPr>
                <w:rFonts w:ascii="Arial" w:cs="Arial" w:eastAsia="Arial" w:hAnsi="Arial"/>
                <w:sz w:val="14"/>
                <w:szCs w:val="14"/>
                <w:color w:val="auto"/>
              </w:rPr>
              <w:t>Net cash (used in) provided by operating activities</w:t>
            </w:r>
          </w:p>
        </w:tc>
        <w:tc>
          <w:tcPr>
            <w:tcW w:w="720" w:type="dxa"/>
            <w:vAlign w:val="bottom"/>
            <w:shd w:val="clear" w:color="auto" w:fill="DDDDDD"/>
          </w:tcPr>
          <w:p>
            <w:pPr>
              <w:jc w:val="right"/>
              <w:ind w:right="552"/>
              <w:spacing w:after="0"/>
              <w:rPr>
                <w:sz w:val="20"/>
                <w:szCs w:val="20"/>
                <w:color w:val="auto"/>
              </w:rPr>
            </w:pPr>
            <w:r>
              <w:rPr>
                <w:rFonts w:ascii="Arial" w:cs="Arial" w:eastAsia="Arial" w:hAnsi="Arial"/>
                <w:sz w:val="14"/>
                <w:szCs w:val="14"/>
                <w:color w:val="auto"/>
              </w:rPr>
              <w:t>$</w:t>
            </w:r>
          </w:p>
        </w:tc>
        <w:tc>
          <w:tcPr>
            <w:tcW w:w="4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(47.7)</w:t>
            </w:r>
          </w:p>
        </w:tc>
        <w:tc>
          <w:tcPr>
            <w:tcW w:w="80" w:type="dxa"/>
            <w:vAlign w:val="bottom"/>
            <w:shd w:val="clear" w:color="auto" w:fill="DDDDDD"/>
          </w:tcPr>
          <w:p>
            <w:pPr>
              <w:spacing w:after="0"/>
              <w:rPr>
                <w:sz w:val="15"/>
                <w:szCs w:val="15"/>
                <w:color w:val="auto"/>
              </w:rPr>
            </w:pPr>
          </w:p>
        </w:tc>
        <w:tc>
          <w:tcPr>
            <w:tcW w:w="160" w:type="dxa"/>
            <w:vAlign w:val="bottom"/>
            <w:shd w:val="clear" w:color="auto" w:fill="DDDDDD"/>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(42.3)</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(42.8)</w:t>
            </w:r>
          </w:p>
        </w:tc>
      </w:tr>
      <w:tr>
        <w:trPr>
          <w:trHeight w:val="180"/>
        </w:trPr>
        <w:tc>
          <w:tcPr>
            <w:tcW w:w="7660" w:type="dxa"/>
            <w:vAlign w:val="bottom"/>
          </w:tcPr>
          <w:p>
            <w:pPr>
              <w:spacing w:after="0"/>
              <w:rPr>
                <w:sz w:val="20"/>
                <w:szCs w:val="20"/>
                <w:color w:val="auto"/>
              </w:rPr>
            </w:pPr>
            <w:r>
              <w:rPr>
                <w:rFonts w:ascii="Arial" w:cs="Arial" w:eastAsia="Arial" w:hAnsi="Arial"/>
                <w:sz w:val="14"/>
                <w:szCs w:val="14"/>
                <w:color w:val="auto"/>
              </w:rPr>
              <w:t>Net cash (used in) provided by investing activities</w:t>
            </w:r>
          </w:p>
        </w:tc>
        <w:tc>
          <w:tcPr>
            <w:tcW w:w="7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(58.4)</w:t>
            </w:r>
          </w:p>
        </w:tc>
      </w:tr>
      <w:tr>
        <w:trPr>
          <w:trHeight w:val="180"/>
        </w:trPr>
        <w:tc>
          <w:tcPr>
            <w:tcW w:w="7660" w:type="dxa"/>
            <w:vAlign w:val="bottom"/>
            <w:shd w:val="clear" w:color="auto" w:fill="DDDDDD"/>
          </w:tcPr>
          <w:p>
            <w:pPr>
              <w:spacing w:after="0"/>
              <w:rPr>
                <w:sz w:val="20"/>
                <w:szCs w:val="20"/>
                <w:color w:val="auto"/>
              </w:rPr>
            </w:pPr>
            <w:r>
              <w:rPr>
                <w:rFonts w:ascii="Arial" w:cs="Arial" w:eastAsia="Arial" w:hAnsi="Arial"/>
                <w:sz w:val="14"/>
                <w:szCs w:val="14"/>
                <w:color w:val="auto"/>
              </w:rPr>
              <w:t>Net cash (used in) provided by financing activities</w:t>
            </w:r>
          </w:p>
        </w:tc>
        <w:tc>
          <w:tcPr>
            <w:tcW w:w="720" w:type="dxa"/>
            <w:vAlign w:val="bottom"/>
            <w:tcBorders>
              <w:bottom w:val="single" w:sz="8" w:color="auto"/>
            </w:tcBorders>
            <w:shd w:val="clear" w:color="auto" w:fill="DDDDDD"/>
          </w:tcPr>
          <w:p>
            <w:pPr>
              <w:spacing w:after="0"/>
              <w:rPr>
                <w:sz w:val="15"/>
                <w:szCs w:val="15"/>
                <w:color w:val="auto"/>
              </w:rPr>
            </w:pPr>
          </w:p>
        </w:tc>
        <w:tc>
          <w:tcPr>
            <w:tcW w:w="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215.2</w:t>
            </w:r>
          </w:p>
        </w:tc>
        <w:tc>
          <w:tcPr>
            <w:tcW w:w="8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168.5</w:t>
            </w:r>
          </w:p>
        </w:tc>
      </w:tr>
      <w:tr>
        <w:trPr>
          <w:trHeight w:val="171"/>
        </w:trPr>
        <w:tc>
          <w:tcPr>
            <w:tcW w:w="7660" w:type="dxa"/>
            <w:vAlign w:val="bottom"/>
          </w:tcPr>
          <w:p>
            <w:pPr>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(96.0)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150.4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67.3</w:t>
            </w:r>
          </w:p>
        </w:tc>
      </w:tr>
      <w:tr>
        <w:trPr>
          <w:trHeight w:val="180"/>
        </w:trPr>
        <w:tc>
          <w:tcPr>
            <w:tcW w:w="7660" w:type="dxa"/>
            <w:vAlign w:val="bottom"/>
            <w:shd w:val="clear" w:color="auto" w:fill="DDDDDD"/>
          </w:tcPr>
          <w:p>
            <w:pPr>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720" w:type="dxa"/>
            <w:vAlign w:val="bottom"/>
            <w:tcBorders>
              <w:bottom w:val="single" w:sz="8" w:color="auto"/>
            </w:tcBorders>
            <w:shd w:val="clear" w:color="auto" w:fill="DDDDDD"/>
          </w:tcPr>
          <w:p>
            <w:pPr>
              <w:spacing w:after="0"/>
              <w:rPr>
                <w:sz w:val="15"/>
                <w:szCs w:val="15"/>
                <w:color w:val="auto"/>
              </w:rPr>
            </w:pPr>
          </w:p>
        </w:tc>
        <w:tc>
          <w:tcPr>
            <w:tcW w:w="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259.6</w:t>
            </w:r>
          </w:p>
        </w:tc>
        <w:tc>
          <w:tcPr>
            <w:tcW w:w="80" w:type="dxa"/>
            <w:vAlign w:val="bottom"/>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109.2</w:t>
            </w:r>
          </w:p>
        </w:tc>
        <w:tc>
          <w:tcPr>
            <w:tcW w:w="8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41.9</w:t>
            </w:r>
          </w:p>
        </w:tc>
      </w:tr>
      <w:tr>
        <w:trPr>
          <w:trHeight w:val="171"/>
        </w:trPr>
        <w:tc>
          <w:tcPr>
            <w:tcW w:w="7660" w:type="dxa"/>
            <w:vAlign w:val="bottom"/>
          </w:tcPr>
          <w:p>
            <w:pPr>
              <w:spacing w:after="0"/>
              <w:rPr>
                <w:sz w:val="20"/>
                <w:szCs w:val="20"/>
                <w:color w:val="auto"/>
              </w:rPr>
            </w:pPr>
            <w:r>
              <w:rPr>
                <w:rFonts w:ascii="Arial" w:cs="Arial" w:eastAsia="Arial" w:hAnsi="Arial"/>
                <w:sz w:val="14"/>
                <w:szCs w:val="14"/>
                <w:color w:val="auto"/>
              </w:rPr>
              <w:t>Cash and cash equivalents and restricted cash at end of period</w:t>
            </w:r>
          </w:p>
        </w:tc>
        <w:tc>
          <w:tcPr>
            <w:tcW w:w="7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163.6</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right="100"/>
        <w:spacing w:after="0" w:line="260"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$(92.0) million for the year ended January 31, 2023 and $(64.8) million for the year ended January 31, 2022. The cash consumption of the business was higher in fiscal year 2022 compared with the same period of fiscal year 2021 primarily due to higher investments in rental product spend and growth initiatives and overall growth of the business compared to the prior year. We also opportunistically pulled forward spend of rental product from fiscal year 2023 to take advantage of attractive pricing in the current environment, which we intend to continue to do from time to time. The sum of net cash used in operating activities and net cash used in investing activities, as a percentage of revenue, was (31.0)% for the year ended January 31, 2023 and (31.9)% for the year ended January 31, 2022.</w:t>
      </w:r>
    </w:p>
    <w:p>
      <w:pPr>
        <w:spacing w:after="0" w:line="153"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year ended January 31, 2023, net cash used in operating activities was $(47.7) million, which consisted of a net</w:t>
      </w:r>
      <w:r>
        <w:rPr>
          <w:rFonts w:ascii="Arial" w:cs="Arial" w:eastAsia="Arial" w:hAnsi="Arial"/>
          <w:sz w:val="14"/>
          <w:szCs w:val="14"/>
          <w:b w:val="1"/>
          <w:bCs w:val="1"/>
          <w:color w:val="auto"/>
        </w:rPr>
        <w:t xml:space="preserve"> </w:t>
      </w:r>
      <w:r>
        <w:rPr>
          <w:rFonts w:ascii="Arial" w:cs="Arial" w:eastAsia="Arial" w:hAnsi="Arial"/>
          <w:sz w:val="14"/>
          <w:szCs w:val="14"/>
          <w:color w:val="auto"/>
        </w:rPr>
        <w:t>loss of $(138.7) million, partially offset by non-cash charges of $116.1 million, reclassification of the proceeds from the sale of rental product of $17.9 million and a net change of</w:t>
      </w:r>
    </w:p>
    <w:p>
      <w:pPr>
        <w:spacing w:after="0" w:line="1" w:lineRule="exact"/>
        <w:rPr>
          <w:sz w:val="20"/>
          <w:szCs w:val="20"/>
          <w:color w:val="auto"/>
        </w:rPr>
      </w:pPr>
    </w:p>
    <w:p>
      <w:pPr>
        <w:ind w:right="300"/>
        <w:spacing w:after="0" w:line="229" w:lineRule="auto"/>
        <w:rPr>
          <w:sz w:val="20"/>
          <w:szCs w:val="20"/>
          <w:color w:val="auto"/>
        </w:rPr>
      </w:pPr>
      <w:r>
        <w:rPr>
          <w:rFonts w:ascii="Arial" w:cs="Arial" w:eastAsia="Arial" w:hAnsi="Arial"/>
          <w:sz w:val="14"/>
          <w:szCs w:val="14"/>
          <w:color w:val="auto"/>
        </w:rPr>
        <w:t>$(7.2) million in our operating assets and liabilities. The non-cash charges were primarily comprised of $50.2 million of rental product depreciation and write-off expenses, $14.3 million of payment-in-kind interest, $25.4 million of share-based compensation, $4.3 million of debt discount amortization, $17.0 million of other fixed and intangible asset</w:t>
      </w:r>
    </w:p>
    <w:p>
      <w:pPr>
        <w:ind w:right="100"/>
        <w:spacing w:after="0" w:line="242" w:lineRule="auto"/>
        <w:rPr>
          <w:sz w:val="20"/>
          <w:szCs w:val="20"/>
          <w:color w:val="auto"/>
        </w:rPr>
      </w:pPr>
      <w:r>
        <w:rPr>
          <w:rFonts w:ascii="Arial" w:cs="Arial" w:eastAsia="Arial" w:hAnsi="Arial"/>
          <w:sz w:val="14"/>
          <w:szCs w:val="14"/>
          <w:color w:val="auto"/>
        </w:rPr>
        <w:t>depreciation and the loss on the surrender of fixed asset write-offs related to the partial termination of the lease of the corporate headquarters (see “Note 5 - Leases – Lessee Accounting” in the Notes to the Consolidated Financial Statements) and $5.3 million consisting of asset impairment charges related to discontinuing warehouse operations projects in connection with the September 2022 restructuring plan, of which $0.4 million is included in accrued expenses related to the asset impairment (see the Supplemental Cash Flow Information in Part II, Item 8. “Financial Statements and Supplementary Data”).</w:t>
      </w:r>
    </w:p>
    <w:p>
      <w:pPr>
        <w:spacing w:after="0" w:line="15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For the year ended January 31, 2022, net cash used in operating activities was $(42.3) million, which consisted of a net loss of $(211.8) million, partially offset by non-cash charges of $171.3 million, reclassification of the proceeds from the sale of rental product of $12.9 million and a net change of $11.1 million in our operating assets and liabilities. The non-cash charges were primarily comprised of $49.7 million of rental product depreciation and write-off expenses, $38.8 million of payment-in-kind interest, $24.9 million loss on remeasurement of warrant liability, $26.6 million of share-based compensation, $5.9 million of debt discount amortization, $12.2 million loss on debt extinguishment (primarily non-cash), $19.5 million of other fixed and intangible asset depreciation and amortization, and $(6.3) million of previously accrued PIK interest was settled in the period in connection with the Ares debt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438785</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880" w:h="15480" w:orient="portrait"/>
          <w:cols w:equalWidth="0" w:num="1">
            <w:col w:w="11280"/>
          </w:cols>
          <w:pgMar w:left="300" w:top="1015" w:right="299" w:bottom="0" w:gutter="0" w:footer="0" w:header="0"/>
          <w:type w:val="continuous"/>
        </w:sectPr>
      </w:pPr>
    </w:p>
    <w:bookmarkStart w:id="89" w:name="page90"/>
    <w:bookmarkEnd w:id="89"/>
    <w:p>
      <w:pPr>
        <w:spacing w:after="0"/>
        <w:tabs>
          <w:tab w:leader="none" w:pos="3540" w:val="left"/>
        </w:tabs>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sz w:val="20"/>
          <w:szCs w:val="20"/>
          <w:color w:val="auto"/>
        </w:rPr>
        <w:tab/>
      </w:r>
      <w:r>
        <w:rPr>
          <w:rFonts w:ascii="Arial" w:cs="Arial" w:eastAsia="Arial" w:hAnsi="Arial"/>
          <w:sz w:val="14"/>
          <w:szCs w:val="14"/>
          <w:color w:val="auto"/>
        </w:rPr>
        <w:t>For the year ended January 31, 2023, net cash used in investing activities was $(44.3) million, primarily consisting of</w:t>
      </w:r>
    </w:p>
    <w:p>
      <w:pPr>
        <w:spacing w:after="0" w:line="2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$(62.1) million of purchases of rental product incurred in the period and $(8.9) million of purchases of fixed and intangible assets. The investment in rental product does not include an additional $5.4 million of cost for units received in the current period but not yet paid for, but does include $(6.5) million of cost for units paid for in the current period but received in the prior period (see the Supplemental Cash Flow Information in Part II, Item 8. “Financial Statements and Supplementary Data”). The investment in rental product was to support our growth in customer demand. The majority of the investment in fixed and intangible assets was related to investments in automation assets, additional processing machinery and equipment for our Secaucus and Arlington warehouses. The cash used in investing activities was partially offset by $17.9 million of proceeds from the sale of owned rental product and $8.8 million of proceeds from the liquidation of rental product.</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For the year ended January 31, 2022, net cash used in investing activities was $(22.5) million, primarily consisting of $(30.8) million of purchases of rental product and $(10.3) million of purchases of fixed and intangible assets. The investment in rental product did not include the additional $6.5 million of cost for units received in the current period but not yet paid for but did include $(3.6) million of cost for units paid for in the current period but received in the prior period (see Supplemental Cash Flow Information in Part II, Item 8. “Financial Statements and Supplementary Data”). The investment in rental product was to support growth in customer demand as a result of the COVID-19 recovery. The majority of the investment in fixed and intangible assets was related to investments in automation assets, additional processing machinery and equipment for the Secaucus and Arlington warehouses, reusable bags and capitalized technology labor. The cash used in investing activities was partially offset by $12.9 million of proceeds from sales of owned rental products and $5.7 million of proceeds from the liquidation of rental product.</w:t>
      </w:r>
    </w:p>
    <w:p>
      <w:pPr>
        <w:spacing w:after="0" w:line="142"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year ended January 31, 2023, net cash used in financing activities was $(4.0)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41"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During the year ended January 31, 2022, net cash provided by financing activities was $215.2 million, consisting primarily of $327.3 million from the sale of Class A common stock in our IPO which is net of underwriting discounts of $(24.1) million and deferred equity issuance costs of $(5.6) million, $21.2 million from the issuance of redeemable preferred stock, $3.3 million from the exercise of options and $3.1 million of net proceeds from short term financing agreements and other financing payments. The cash from financing activities was partially offset by $(139.7) million in debt payments including deferred financing costs and extinguishment costs.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7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October 2021, we paid down outstanding principal and accrued interest of our Ares Facility in full and a portion of our then-current Temasek facility and entered into the Amended Temasek Facility. In January 2023, we entered into the 2022 Amended Temasek Facility, which extended the maturity date and reduced cash interest payments over the next two years. As of January 31, 2023, we had approximately $272.5 million of total debt outstanding, none of which is payable within the next 12 months. See “Note 8 — Long-Term Debt” in the Notes to the Consolidated Financial Statements for more information.</w:t>
      </w:r>
    </w:p>
    <w:p>
      <w:pPr>
        <w:spacing w:after="0" w:line="15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See “Note 5 – Leases – Lessee Accounting” in the Notes to the Consolidated Financial Statements for our minimum fixed lease obligations under existing lease agreements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425450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928"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sectPr>
          <w:pgSz w:w="11880" w:h="15480" w:orient="portrait"/>
          <w:cols w:equalWidth="0" w:num="1">
            <w:col w:w="11260"/>
          </w:cols>
          <w:pgMar w:left="300" w:top="928" w:right="319" w:bottom="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Management’s discussion and analysis of our financial condition and results of operations is based on our consolidated financial statements, which have been prepared in accordance with GAAP. The preparation of our financial statements requires us to make estimates using assumptions that affect the reported amounts of assets and liabilities at the date of the financial statements, as well as the reported revenue generated and expenses incurred during the reporting periods, as well as related disclosures. Our estimates are based on our historical experience and on various other factors that we believe are reasonable under the circumstances, the results of which form the basis for making judgments about the carrying value of assets and liabilities and the amount of revenue and expenses that are not readily apparent from other sources. Actual results may differ from these estimates under different assumptions or conditions, and any such differences may be material. We believe that the accounting estimates discussed below are critical to understanding our historical and future performance, as these policies relate to the more significant areas involving management’s judgments and estimates.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Rental Product</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consider rental product to be a long-term productive asset and, as such, classify it as a noncurrent asset on the consolidated balance sheets. Rental product is stated at cost, less accumulated depreciation. We depreciate rental product, less salvage value, over the useful lives of the assets using the straight-line method. Depreciation on rental products is an estimate based on the following assumptions:</w:t>
      </w:r>
    </w:p>
    <w:p>
      <w:pPr>
        <w:spacing w:after="0" w:line="2" w:lineRule="exact"/>
        <w:rPr>
          <w:sz w:val="20"/>
          <w:szCs w:val="20"/>
          <w:color w:val="auto"/>
        </w:rPr>
      </w:pPr>
    </w:p>
    <w:p>
      <w:pPr>
        <w:ind w:left="500" w:hanging="251"/>
        <w:spacing w:after="0"/>
        <w:tabs>
          <w:tab w:leader="none" w:pos="5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Useful life: our projection of the period over which we can monetize our rental products through our Subscription or Reserve rental offerings</w:t>
      </w:r>
    </w:p>
    <w:p>
      <w:pPr>
        <w:spacing w:after="0" w:line="8" w:lineRule="exact"/>
        <w:rPr>
          <w:rFonts w:ascii="Arial" w:cs="Arial" w:eastAsia="Arial" w:hAnsi="Arial"/>
          <w:sz w:val="14"/>
          <w:szCs w:val="14"/>
          <w:color w:val="auto"/>
        </w:rPr>
      </w:pPr>
    </w:p>
    <w:p>
      <w:pPr>
        <w:ind w:left="500" w:right="40" w:hanging="251"/>
        <w:spacing w:after="0" w:line="269" w:lineRule="auto"/>
        <w:tabs>
          <w:tab w:leader="none" w:pos="496" w:val="left"/>
        </w:tabs>
        <w:numPr>
          <w:ilvl w:val="0"/>
          <w:numId w:val="53"/>
        </w:numPr>
        <w:rPr>
          <w:rFonts w:ascii="Arial" w:cs="Arial" w:eastAsia="Arial" w:hAnsi="Arial"/>
          <w:sz w:val="14"/>
          <w:szCs w:val="14"/>
          <w:color w:val="auto"/>
        </w:rPr>
      </w:pPr>
      <w:r>
        <w:rPr>
          <w:rFonts w:ascii="Arial" w:cs="Arial" w:eastAsia="Arial" w:hAnsi="Arial"/>
          <w:sz w:val="14"/>
          <w:szCs w:val="14"/>
          <w:color w:val="auto"/>
        </w:rPr>
        <w:t>Salvage value: our projection of the proceeds that can be expected to be generated from rental product once it is no longer considered rentable, expressed as a percentage of the acquisition cost</w:t>
      </w:r>
    </w:p>
    <w:p>
      <w:pPr>
        <w:spacing w:after="0" w:line="156"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 useful life is determined based on historical trends and an assessment of any future changes. The salvage value considers the historical trends and projected liquidation proceeds for the assets. A change in the assumption used for useful life or salvage value would either increase or decrease accumulated depreciation and depreciation expense reflected on our consolidated balance sheets within rental product, net and on our consolidated statements of operations within rental product depreciation and revenue share, respectively. Our historical results continue to support the use of these assumptions.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Right-of-Use Assets and Lease Liabilities</w:t>
      </w:r>
    </w:p>
    <w:p>
      <w:pPr>
        <w:spacing w:after="0" w:line="92"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Right-of-use (“ROU”) assets and lease liabilities are measured and recognized at the lease commencement date or lease modification date based on the present value of fixed lease payments over the expected lease term. Because the majority of our leases do not include an implicit discount rate, we use an estimated incremental borrowing rate (“IBR”), to determine the present value of future minimum lease payments. The sensitivity of the estimate is due to the judgement used in the determination of the synthetic credit rating and the development of the related benchmark yield curves.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92"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We measure share-based compensation expense for all equity classified awards based on the estimated fair value of the awards on the date of grant. The fair value of stock options is recognized as compensation expense on a straight-line basis over the requisite service period of the award. We estimate grant date fair value of stock options using the Black-Scholes option pricing model, which requires the input of subjective assumptions, including the following:</w:t>
      </w:r>
    </w:p>
    <w:p>
      <w:pPr>
        <w:spacing w:after="0" w:line="134" w:lineRule="exact"/>
        <w:rPr>
          <w:sz w:val="20"/>
          <w:szCs w:val="20"/>
          <w:color w:val="auto"/>
        </w:rPr>
      </w:pPr>
    </w:p>
    <w:p>
      <w:pPr>
        <w:ind w:left="500" w:right="20" w:hanging="251"/>
        <w:spacing w:after="0" w:line="260" w:lineRule="auto"/>
        <w:tabs>
          <w:tab w:leader="none" w:pos="496" w:val="left"/>
        </w:tabs>
        <w:numPr>
          <w:ilvl w:val="0"/>
          <w:numId w:val="5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Fair value of common stock. </w:t>
      </w:r>
      <w:r>
        <w:rPr>
          <w:rFonts w:ascii="Arial" w:cs="Arial" w:eastAsia="Arial" w:hAnsi="Arial"/>
          <w:sz w:val="14"/>
          <w:szCs w:val="14"/>
          <w:color w:val="auto"/>
        </w:rPr>
        <w:t>Following the closing of our IPO, the fair market value of our common stock is based on the closing price as reported on the date of grant 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Nasdaq Stock Market, on which the Company’s stock is traded. Prior to the close of our IPO, because our common stock was not yet publicly traded, we were required to estimate the fair value of its common stock. The fair value of the shares of common stock underlying the stock options was historically determined by a third-party valuation firm and approved by our board of directors. The fair value of our common stock was determined by considering a number of objective and subjective factors, including: the valuation of comparable companies, sales of preferred stock to unrelated third parties, our operating and financial performance, the lack of liquidity of common stock and general and industry specific economic outlook,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880" w:h="15480" w:orient="portrait"/>
          <w:cols w:equalWidth="0" w:num="1">
            <w:col w:w="11280"/>
          </w:cols>
          <w:pgMar w:left="300" w:top="1013" w:right="299" w:bottom="0" w:gutter="0" w:footer="0" w:header="0"/>
          <w:type w:val="continuous"/>
        </w:sectPr>
      </w:pPr>
    </w:p>
    <w:bookmarkStart w:id="91" w:name="page92"/>
    <w:bookmarkEnd w:id="91"/>
    <w:p>
      <w:pPr>
        <w:ind w:left="500" w:right="40" w:hanging="251"/>
        <w:spacing w:after="0" w:line="265"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volatility. </w:t>
      </w:r>
      <w:r>
        <w:rPr>
          <w:rFonts w:ascii="Arial" w:cs="Arial" w:eastAsia="Arial" w:hAnsi="Arial"/>
          <w:sz w:val="14"/>
          <w:szCs w:val="14"/>
          <w:color w:val="auto"/>
        </w:rPr>
        <w:t>As a result of the lack of historical and implied volatility data of our common stock, the expected stock price volatility has been estimated based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historical volatilities of a specified group of companies in our industry for a period equal to the expected life of the option. We selected companies with comparable characteristics, including enterprise value, risk profiles, and position within the industry, and with historical share price information sufficient to meet the expected term of the stock options. The historical volatility data has been computed using the daily closing prices for the selected companies.</w:t>
      </w:r>
    </w:p>
    <w:p>
      <w:pPr>
        <w:spacing w:after="0" w:line="52" w:lineRule="exact"/>
        <w:rPr>
          <w:rFonts w:ascii="Arial" w:cs="Arial" w:eastAsia="Arial" w:hAnsi="Arial"/>
          <w:sz w:val="14"/>
          <w:szCs w:val="14"/>
          <w:color w:val="auto"/>
        </w:rPr>
      </w:pPr>
    </w:p>
    <w:p>
      <w:pPr>
        <w:ind w:left="500" w:right="160" w:hanging="250"/>
        <w:spacing w:after="0" w:line="290"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term. </w:t>
      </w:r>
      <w:r>
        <w:rPr>
          <w:rFonts w:ascii="Arial" w:cs="Arial" w:eastAsia="Arial" w:hAnsi="Arial"/>
          <w:sz w:val="14"/>
          <w:szCs w:val="14"/>
          <w:color w:val="auto"/>
        </w:rPr>
        <w:t>The expected term of stock options represents the weighted-average period the stock options are expected to remain outstanding and is estimated under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simplified method using the vesting and contractual terms.</w:t>
      </w:r>
    </w:p>
    <w:p>
      <w:pPr>
        <w:spacing w:after="0" w:line="35" w:lineRule="exact"/>
        <w:rPr>
          <w:rFonts w:ascii="Arial" w:cs="Arial" w:eastAsia="Arial" w:hAnsi="Arial"/>
          <w:sz w:val="14"/>
          <w:szCs w:val="14"/>
          <w:color w:val="auto"/>
        </w:rPr>
      </w:pPr>
    </w:p>
    <w:p>
      <w:pPr>
        <w:ind w:left="500" w:right="300" w:hanging="250"/>
        <w:spacing w:after="0" w:line="290"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Risk-free interest rate. </w:t>
      </w:r>
      <w:r>
        <w:rPr>
          <w:rFonts w:ascii="Arial" w:cs="Arial" w:eastAsia="Arial" w:hAnsi="Arial"/>
          <w:sz w:val="14"/>
          <w:szCs w:val="14"/>
          <w:color w:val="auto"/>
        </w:rPr>
        <w:t>The expected risk-free rate assumption is based on the U.S. Treasury instruments whose term is consistent with the expected term of the stock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options.</w:t>
      </w:r>
    </w:p>
    <w:p>
      <w:pPr>
        <w:spacing w:after="0" w:line="35" w:lineRule="exact"/>
        <w:rPr>
          <w:rFonts w:ascii="Arial" w:cs="Arial" w:eastAsia="Arial" w:hAnsi="Arial"/>
          <w:sz w:val="14"/>
          <w:szCs w:val="14"/>
          <w:color w:val="auto"/>
        </w:rPr>
      </w:pPr>
    </w:p>
    <w:p>
      <w:pPr>
        <w:ind w:left="500" w:right="20" w:hanging="250"/>
        <w:spacing w:after="0" w:line="290" w:lineRule="auto"/>
        <w:tabs>
          <w:tab w:leader="none" w:pos="496" w:val="left"/>
        </w:tabs>
        <w:numPr>
          <w:ilvl w:val="0"/>
          <w:numId w:val="5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Expected dividend yield. </w:t>
      </w:r>
      <w:r>
        <w:rPr>
          <w:rFonts w:ascii="Arial" w:cs="Arial" w:eastAsia="Arial" w:hAnsi="Arial"/>
          <w:sz w:val="14"/>
          <w:szCs w:val="14"/>
          <w:color w:val="auto"/>
        </w:rPr>
        <w:t>The expected dividend assumption is based on our history and expectation of dividend. We have not paid dividends and do not expect to do so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foreseeable future.</w:t>
      </w:r>
    </w:p>
    <w:p>
      <w:pPr>
        <w:spacing w:after="0" w:line="141" w:lineRule="exact"/>
        <w:rPr>
          <w:sz w:val="20"/>
          <w:szCs w:val="20"/>
          <w:color w:val="auto"/>
        </w:rPr>
      </w:pPr>
    </w:p>
    <w:p>
      <w:pPr>
        <w:ind w:right="560"/>
        <w:spacing w:after="0" w:line="290" w:lineRule="auto"/>
        <w:rPr>
          <w:sz w:val="20"/>
          <w:szCs w:val="20"/>
          <w:color w:val="auto"/>
        </w:rPr>
      </w:pPr>
      <w:r>
        <w:rPr>
          <w:rFonts w:ascii="Arial" w:cs="Arial" w:eastAsia="Arial" w:hAnsi="Arial"/>
          <w:sz w:val="14"/>
          <w:szCs w:val="14"/>
          <w:color w:val="auto"/>
        </w:rPr>
        <w:t>Upon grant of awards, we also estimate an amount of forfeitures that will occur prior to vesting. We estimate forfeitures based on the dynamic forfeiture model based on our historical forfeitures of stock options adjusted to reflect future changes in facts and circumstances, if any.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Warrants held prior to the IPO which did not meet the criteria for equity treatment were recorded as liabilities. Accordingly, we classified the warrants as liabilities at their fair value and adjusted the warrants to fair value at each previous reporting period. The liabilities were subject to re-measurement at each balance sheet date until exercised, and any change in fair value was recognized in our consolidated statements of operations. The warrants were valued using the Black-Scholes option pricing model. The assumptions used in preparing the model include estimates such as fair value of the underlying shares, expected volatility, expected term, risk-free interest rate and expected dividend yield. The valuation model used unobservable market share price input on a recurring basis, and therefore the liability was classified as Level 3. As of January 31, 2023 and January 31, 2022, the Company had no outstanding warrants classified as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79"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179"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Market risk represents the risk of loss that may impact our financial position because of adverse changes in financial market prices and rates. Our market risk exposure is primarily a result of exposure resulting from potential changes in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546735</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843"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880" w:h="15480" w:orient="portrait"/>
          <w:cols w:equalWidth="0" w:num="1">
            <w:col w:w="11280"/>
          </w:cols>
          <w:pgMar w:left="300" w:top="843" w:right="299" w:bottom="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Interest Rate Risk</w:t>
      </w:r>
    </w:p>
    <w:p>
      <w:pPr>
        <w:spacing w:after="0" w:line="2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As of January 31, 2023, we had cash and cash equivalents of $154.5 million and $272.5 million of debt outstanding under the Temasek Facility. Cash and cash equivalents consist primarily of cash held in financial institutions within the United States and Ireland and cash in transit from third-party credit card providers. Borrowings under the Temasek Facility bear interest at fixed rates. We have minimal exposure to market risk relating to changes in interest rates as they can affect the amount of interest income we earn on our cash. We do not enter into investments for trading or speculative purposes and have not used any derivative financial instruments to manage our interest rate risk exposure. As of January 31, 2023, a hypothetical 10% change in interest rates would not have resulted in a material impact on our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23"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net revenue is denominated in U.S. dollars and a portion of our operating expenses are incurred outside the United States, denominated in foreign currencies. Accordingly, our results of operations are subject to fluctuations due to changes in foreign currency exchange rates, particularly changes in the euro. Additionally, fluctuations in foreign currency exchange rates may cause us to recognize transaction gains and losses in our consolidated statements of operations. As the impact of foreign currency exchange rates has not been material to our historical results of operations, we have not entered into derivative or hedging transactions, but we may do so in the future if our exposure to foreign currency becomes more significant. As of January 31, 2023, a hypothetical 10% change in the relative value of the U.S. dollar to other currencies would not have had a material effect on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94"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In recent months, inflation has continued to increase significantly in the United States and overseas resulting in rising transportation, wages, rental product and other costs. For a discussion of recent wage increases and transportation costs related, in part, to inflationary pressures, see “Impact of Macro and Consumer Environment on Our Business” in Part II, Item 7. “Management’s Discussion and Analysis of Financial Condition and Results of Operations.” If our costs become subject to significant inflationary pressures, we may not be able to fully offset such higher costs with increased revenue. Our inability or failure to do so could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436245</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758"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ectPr>
          <w:pgSz w:w="11880" w:h="15480" w:orient="portrait"/>
          <w:cols w:equalWidth="0" w:num="1">
            <w:col w:w="11260"/>
          </w:cols>
          <w:pgMar w:left="300" w:top="758" w:right="319"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94"/>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5"/>
        </w:trPr>
        <w:tc>
          <w:tcPr>
            <w:tcW w:w="9100" w:type="dxa"/>
            <w:vAlign w:val="bottom"/>
            <w:gridSpan w:val="3"/>
            <w:vMerge w:val="restart"/>
          </w:tcPr>
          <w:p>
            <w:pPr>
              <w:spacing w:after="0"/>
              <w:rPr>
                <w:sz w:val="20"/>
                <w:szCs w:val="20"/>
                <w:color w:val="auto"/>
              </w:rPr>
            </w:pPr>
            <w:r>
              <w:rPr>
                <w:rFonts w:ascii="Arial" w:cs="Arial" w:eastAsia="Arial" w:hAnsi="Arial"/>
                <w:sz w:val="14"/>
                <w:szCs w:val="14"/>
                <w:color w:val="auto"/>
              </w:rPr>
              <w:t>Report of Independent Registered Public Accounting Firm (PCAOB ID 238)</w:t>
            </w:r>
          </w:p>
        </w:tc>
        <w:tc>
          <w:tcPr>
            <w:tcW w:w="13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4"/>
        </w:trPr>
        <w:tc>
          <w:tcPr>
            <w:tcW w:w="9100" w:type="dxa"/>
            <w:vAlign w:val="bottom"/>
            <w:gridSpan w:val="3"/>
            <w:vMerge w:val="continue"/>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0"/>
        </w:trPr>
        <w:tc>
          <w:tcPr>
            <w:tcW w:w="9100" w:type="dxa"/>
            <w:vAlign w:val="bottom"/>
            <w:gridSpan w:val="3"/>
          </w:tcPr>
          <w:p>
            <w:pPr>
              <w:spacing w:after="0"/>
              <w:rPr>
                <w:sz w:val="20"/>
                <w:szCs w:val="20"/>
                <w:color w:val="auto"/>
              </w:rPr>
            </w:pPr>
            <w:r>
              <w:rPr>
                <w:rFonts w:ascii="Arial" w:cs="Arial" w:eastAsia="Arial" w:hAnsi="Arial"/>
                <w:sz w:val="14"/>
                <w:szCs w:val="14"/>
                <w:color w:val="auto"/>
              </w:rPr>
              <w:t>Consolidated Balance Sheets as of January 31, 2023 and 2022</w:t>
            </w:r>
          </w:p>
        </w:tc>
        <w:tc>
          <w:tcPr>
            <w:tcW w:w="138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0"/>
        </w:trPr>
        <w:tc>
          <w:tcPr>
            <w:tcW w:w="9100" w:type="dxa"/>
            <w:vAlign w:val="bottom"/>
            <w:gridSpan w:val="3"/>
          </w:tcPr>
          <w:p>
            <w:pPr>
              <w:spacing w:after="0"/>
              <w:rPr>
                <w:sz w:val="20"/>
                <w:szCs w:val="20"/>
                <w:color w:val="auto"/>
              </w:rPr>
            </w:pPr>
            <w:r>
              <w:rPr>
                <w:rFonts w:ascii="Arial" w:cs="Arial" w:eastAsia="Arial" w:hAnsi="Arial"/>
                <w:sz w:val="14"/>
                <w:szCs w:val="14"/>
                <w:color w:val="auto"/>
              </w:rPr>
              <w:t>Consolidated Statements of Operations for the Years ended January 31, 2023, 2022 and 2021</w:t>
            </w:r>
          </w:p>
        </w:tc>
        <w:tc>
          <w:tcPr>
            <w:tcW w:w="138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2"/>
        </w:trPr>
        <w:tc>
          <w:tcPr>
            <w:tcW w:w="9100" w:type="dxa"/>
            <w:vAlign w:val="bottom"/>
            <w:gridSpan w:val="3"/>
          </w:tcPr>
          <w:p>
            <w:pPr>
              <w:spacing w:after="0" w:line="142" w:lineRule="exact"/>
              <w:rPr>
                <w:sz w:val="20"/>
                <w:szCs w:val="20"/>
                <w:color w:val="auto"/>
              </w:rPr>
            </w:pPr>
            <w:r>
              <w:rPr>
                <w:rFonts w:ascii="Arial" w:cs="Arial" w:eastAsia="Arial" w:hAnsi="Arial"/>
                <w:sz w:val="14"/>
                <w:szCs w:val="14"/>
                <w:color w:val="auto"/>
              </w:rPr>
              <w:t>Consolidated Statements of Changes in Redeemable Preferred Stock and Stockholders’ Equity (Deficit) for the Years ended January 31, 2023,</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7"/>
        </w:trPr>
        <w:tc>
          <w:tcPr>
            <w:tcW w:w="9100" w:type="dxa"/>
            <w:vAlign w:val="bottom"/>
            <w:gridSpan w:val="3"/>
          </w:tcPr>
          <w:p>
            <w:pPr>
              <w:spacing w:after="0"/>
              <w:rPr>
                <w:sz w:val="20"/>
                <w:szCs w:val="20"/>
                <w:color w:val="auto"/>
              </w:rPr>
            </w:pPr>
            <w:r>
              <w:rPr>
                <w:rFonts w:ascii="Arial" w:cs="Arial" w:eastAsia="Arial" w:hAnsi="Arial"/>
                <w:sz w:val="14"/>
                <w:szCs w:val="14"/>
                <w:color w:val="auto"/>
              </w:rPr>
              <w:t>2022 and 2021</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9100" w:type="dxa"/>
            <w:vAlign w:val="bottom"/>
            <w:gridSpan w:val="3"/>
          </w:tcPr>
          <w:p>
            <w:pPr>
              <w:spacing w:after="0"/>
              <w:rPr>
                <w:sz w:val="20"/>
                <w:szCs w:val="20"/>
                <w:color w:val="auto"/>
              </w:rPr>
            </w:pPr>
            <w:r>
              <w:rPr>
                <w:rFonts w:ascii="Arial" w:cs="Arial" w:eastAsia="Arial" w:hAnsi="Arial"/>
                <w:sz w:val="14"/>
                <w:szCs w:val="14"/>
                <w:color w:val="auto"/>
              </w:rPr>
              <w:t>Consolidated Statements of Cash Flows for the Years ended January 31, 2023, 2022, and 2021</w:t>
            </w:r>
          </w:p>
        </w:tc>
        <w:tc>
          <w:tcPr>
            <w:tcW w:w="13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0"/>
        </w:trPr>
        <w:tc>
          <w:tcPr>
            <w:tcW w:w="9100" w:type="dxa"/>
            <w:vAlign w:val="bottom"/>
            <w:gridSpan w:val="3"/>
          </w:tcPr>
          <w:p>
            <w:pPr>
              <w:spacing w:after="0"/>
              <w:rPr>
                <w:sz w:val="20"/>
                <w:szCs w:val="20"/>
                <w:color w:val="auto"/>
              </w:rPr>
            </w:pPr>
            <w:r>
              <w:rPr>
                <w:rFonts w:ascii="Arial" w:cs="Arial" w:eastAsia="Arial" w:hAnsi="Arial"/>
                <w:sz w:val="14"/>
                <w:szCs w:val="14"/>
                <w:b w:val="1"/>
                <w:bCs w:val="1"/>
                <w:color w:val="auto"/>
              </w:rPr>
              <w:t>Notes to Consolidated Financial Statements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1.</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Business</w:t>
            </w:r>
          </w:p>
        </w:tc>
        <w:tc>
          <w:tcPr>
            <w:tcW w:w="13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2.</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Summary of Significant Accounting Policies</w:t>
            </w:r>
          </w:p>
        </w:tc>
        <w:tc>
          <w:tcPr>
            <w:tcW w:w="138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3.</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Liquidity</w:t>
            </w: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4.</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Restructuring and Related Charges</w:t>
            </w: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5.</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Leases- Lessee Accounting</w:t>
            </w:r>
          </w:p>
        </w:tc>
        <w:tc>
          <w:tcPr>
            <w:tcW w:w="138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6.</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Rental Product, Net</w:t>
            </w:r>
          </w:p>
        </w:tc>
        <w:tc>
          <w:tcPr>
            <w:tcW w:w="138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7.</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Fixed and Intangible Assets, Net</w:t>
            </w:r>
          </w:p>
        </w:tc>
        <w:tc>
          <w:tcPr>
            <w:tcW w:w="13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8.</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Long-Term Debt</w:t>
            </w:r>
          </w:p>
        </w:tc>
        <w:tc>
          <w:tcPr>
            <w:tcW w:w="138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0"/>
        </w:trPr>
        <w:tc>
          <w:tcPr>
            <w:tcW w:w="240" w:type="dxa"/>
            <w:vAlign w:val="bottom"/>
          </w:tcPr>
          <w:p>
            <w:pPr>
              <w:ind w:left="100"/>
              <w:spacing w:after="0"/>
              <w:rPr>
                <w:sz w:val="20"/>
                <w:szCs w:val="20"/>
                <w:color w:val="auto"/>
              </w:rPr>
            </w:pPr>
            <w:r>
              <w:rPr>
                <w:rFonts w:ascii="Arial" w:cs="Arial" w:eastAsia="Arial" w:hAnsi="Arial"/>
                <w:sz w:val="14"/>
                <w:szCs w:val="14"/>
                <w:color w:val="auto"/>
              </w:rPr>
              <w:t>9.</w:t>
            </w:r>
          </w:p>
        </w:tc>
        <w:tc>
          <w:tcPr>
            <w:tcW w:w="8860" w:type="dxa"/>
            <w:vAlign w:val="bottom"/>
            <w:gridSpan w:val="2"/>
          </w:tcPr>
          <w:p>
            <w:pPr>
              <w:ind w:left="20"/>
              <w:spacing w:after="0"/>
              <w:rPr>
                <w:sz w:val="20"/>
                <w:szCs w:val="20"/>
                <w:color w:val="auto"/>
              </w:rPr>
            </w:pPr>
            <w:r>
              <w:rPr>
                <w:rFonts w:ascii="Arial" w:cs="Arial" w:eastAsia="Arial" w:hAnsi="Arial"/>
                <w:sz w:val="14"/>
                <w:szCs w:val="14"/>
                <w:color w:val="auto"/>
              </w:rPr>
              <w:t>Income Taxes</w:t>
            </w:r>
          </w:p>
        </w:tc>
        <w:tc>
          <w:tcPr>
            <w:tcW w:w="13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0"/>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10.</w:t>
            </w:r>
          </w:p>
        </w:tc>
        <w:tc>
          <w:tcPr>
            <w:tcW w:w="8780" w:type="dxa"/>
            <w:vAlign w:val="bottom"/>
          </w:tcPr>
          <w:p>
            <w:pPr>
              <w:spacing w:after="0"/>
              <w:rPr>
                <w:sz w:val="20"/>
                <w:szCs w:val="20"/>
                <w:color w:val="auto"/>
              </w:rPr>
            </w:pPr>
            <w:r>
              <w:rPr>
                <w:rFonts w:ascii="Arial" w:cs="Arial" w:eastAsia="Arial" w:hAnsi="Arial"/>
                <w:sz w:val="14"/>
                <w:szCs w:val="14"/>
                <w:color w:val="auto"/>
              </w:rPr>
              <w:t>Accrued Expenses and Other Current Liabilities</w:t>
            </w: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0"/>
        </w:trPr>
        <w:tc>
          <w:tcPr>
            <w:tcW w:w="9100" w:type="dxa"/>
            <w:vAlign w:val="bottom"/>
            <w:gridSpan w:val="3"/>
          </w:tcPr>
          <w:p>
            <w:pPr>
              <w:ind w:left="100"/>
              <w:spacing w:after="0"/>
              <w:rPr>
                <w:sz w:val="20"/>
                <w:szCs w:val="20"/>
                <w:color w:val="auto"/>
              </w:rPr>
            </w:pPr>
            <w:r>
              <w:rPr>
                <w:rFonts w:ascii="Arial" w:cs="Arial" w:eastAsia="Arial" w:hAnsi="Arial"/>
                <w:sz w:val="14"/>
                <w:szCs w:val="14"/>
                <w:color w:val="auto"/>
              </w:rPr>
              <w:t>11. Fair Value Measurements</w:t>
            </w:r>
          </w:p>
        </w:tc>
        <w:tc>
          <w:tcPr>
            <w:tcW w:w="13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80"/>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12.</w:t>
            </w:r>
          </w:p>
        </w:tc>
        <w:tc>
          <w:tcPr>
            <w:tcW w:w="8780" w:type="dxa"/>
            <w:vAlign w:val="bottom"/>
          </w:tcPr>
          <w:p>
            <w:pPr>
              <w:spacing w:after="0"/>
              <w:rPr>
                <w:sz w:val="20"/>
                <w:szCs w:val="20"/>
                <w:color w:val="auto"/>
              </w:rPr>
            </w:pPr>
            <w:r>
              <w:rPr>
                <w:rFonts w:ascii="Arial" w:cs="Arial" w:eastAsia="Arial" w:hAnsi="Arial"/>
                <w:sz w:val="14"/>
                <w:szCs w:val="14"/>
                <w:color w:val="auto"/>
              </w:rPr>
              <w:t>Redeemable Preferred Stock</w:t>
            </w:r>
          </w:p>
        </w:tc>
        <w:tc>
          <w:tcPr>
            <w:tcW w:w="13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13.</w:t>
            </w:r>
          </w:p>
        </w:tc>
        <w:tc>
          <w:tcPr>
            <w:tcW w:w="8780" w:type="dxa"/>
            <w:vAlign w:val="bottom"/>
          </w:tcPr>
          <w:p>
            <w:pPr>
              <w:spacing w:after="0"/>
              <w:rPr>
                <w:sz w:val="20"/>
                <w:szCs w:val="20"/>
                <w:color w:val="auto"/>
              </w:rPr>
            </w:pPr>
            <w:r>
              <w:rPr>
                <w:rFonts w:ascii="Arial" w:cs="Arial" w:eastAsia="Arial" w:hAnsi="Arial"/>
                <w:sz w:val="14"/>
                <w:szCs w:val="14"/>
                <w:color w:val="auto"/>
              </w:rPr>
              <w:t>Stockholders’ Equity</w:t>
            </w:r>
          </w:p>
        </w:tc>
        <w:tc>
          <w:tcPr>
            <w:tcW w:w="13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14.</w:t>
            </w:r>
          </w:p>
        </w:tc>
        <w:tc>
          <w:tcPr>
            <w:tcW w:w="8780" w:type="dxa"/>
            <w:vAlign w:val="bottom"/>
          </w:tcPr>
          <w:p>
            <w:pPr>
              <w:spacing w:after="0"/>
              <w:rPr>
                <w:sz w:val="20"/>
                <w:szCs w:val="20"/>
                <w:color w:val="auto"/>
              </w:rPr>
            </w:pPr>
            <w:r>
              <w:rPr>
                <w:rFonts w:ascii="Arial" w:cs="Arial" w:eastAsia="Arial" w:hAnsi="Arial"/>
                <w:sz w:val="14"/>
                <w:szCs w:val="14"/>
                <w:color w:val="auto"/>
              </w:rPr>
              <w:t>Share-based Compensation Plans</w:t>
            </w:r>
          </w:p>
        </w:tc>
        <w:tc>
          <w:tcPr>
            <w:tcW w:w="138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0"/>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15.</w:t>
            </w:r>
          </w:p>
        </w:tc>
        <w:tc>
          <w:tcPr>
            <w:tcW w:w="8780" w:type="dxa"/>
            <w:vAlign w:val="bottom"/>
          </w:tcPr>
          <w:p>
            <w:pPr>
              <w:spacing w:after="0"/>
              <w:rPr>
                <w:sz w:val="20"/>
                <w:szCs w:val="20"/>
                <w:color w:val="auto"/>
              </w:rPr>
            </w:pPr>
            <w:r>
              <w:rPr>
                <w:rFonts w:ascii="Arial" w:cs="Arial" w:eastAsia="Arial" w:hAnsi="Arial"/>
                <w:sz w:val="14"/>
                <w:szCs w:val="14"/>
                <w:color w:val="auto"/>
              </w:rPr>
              <w:t>Net Loss per Share Attributable to Common Stockholders</w:t>
            </w:r>
          </w:p>
        </w:tc>
        <w:tc>
          <w:tcPr>
            <w:tcW w:w="13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86"/>
        </w:trPr>
        <w:tc>
          <w:tcPr>
            <w:tcW w:w="320" w:type="dxa"/>
            <w:vAlign w:val="bottom"/>
            <w:gridSpan w:val="2"/>
          </w:tcPr>
          <w:p>
            <w:pPr>
              <w:ind w:left="100"/>
              <w:spacing w:after="0"/>
              <w:rPr>
                <w:sz w:val="20"/>
                <w:szCs w:val="20"/>
                <w:color w:val="auto"/>
              </w:rPr>
            </w:pPr>
            <w:r>
              <w:rPr>
                <w:rFonts w:ascii="Arial" w:cs="Arial" w:eastAsia="Arial" w:hAnsi="Arial"/>
                <w:sz w:val="14"/>
                <w:szCs w:val="14"/>
                <w:color w:val="auto"/>
              </w:rPr>
              <w:t>16.</w:t>
            </w:r>
          </w:p>
        </w:tc>
        <w:tc>
          <w:tcPr>
            <w:tcW w:w="878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380" w:type="dxa"/>
            <w:vAlign w:val="bottom"/>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493395</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480"/>
          </w:cols>
          <w:pgMar w:left="300" w:top="1013" w:right="10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86</w:t>
      </w:r>
    </w:p>
    <w:p>
      <w:pPr>
        <w:sectPr>
          <w:pgSz w:w="11880" w:h="15480" w:orient="portrait"/>
          <w:cols w:equalWidth="0" w:num="1">
            <w:col w:w="10480"/>
          </w:cols>
          <w:pgMar w:left="300" w:top="1013" w:right="1099" w:bottom="0" w:gutter="0" w:footer="0" w:header="0"/>
          <w:type w:val="continuous"/>
        </w:sectPr>
      </w:pPr>
    </w:p>
    <w:bookmarkStart w:id="94" w:name="page95"/>
    <w:bookmarkEnd w:id="94"/>
    <w:p>
      <w:pPr>
        <w:ind w:left="3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Rent the Runway, Inc.</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8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have audited the accompanying consolidated balance sheets of Rent the Runway, Inc. and its subsidiary (the “Company”) as of January 31, 2023 and 2022, and the related consolidated statements of operations, of changes in redeemable preferred stock and stockholders’ equity (deficit) and of cash flows for each of the three years in the period ended January 31, 2023, including the related notes (collectively referred to as the “consolidated financial statements”). In our opinion, the consolidated financial statements present fairly,</w:t>
      </w:r>
    </w:p>
    <w:p>
      <w:pPr>
        <w:ind w:right="40"/>
        <w:spacing w:after="0" w:line="238" w:lineRule="auto"/>
        <w:rPr>
          <w:sz w:val="20"/>
          <w:szCs w:val="20"/>
          <w:color w:val="auto"/>
        </w:rPr>
      </w:pPr>
      <w:r>
        <w:rPr>
          <w:rFonts w:ascii="Arial" w:cs="Arial" w:eastAsia="Arial" w:hAnsi="Arial"/>
          <w:sz w:val="14"/>
          <w:szCs w:val="14"/>
          <w:color w:val="auto"/>
        </w:rPr>
        <w:t>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87" w:lineRule="exact"/>
        <w:rPr>
          <w:sz w:val="20"/>
          <w:szCs w:val="20"/>
          <w:color w:val="auto"/>
        </w:rPr>
      </w:pPr>
    </w:p>
    <w:p>
      <w:pPr>
        <w:jc w:val="both"/>
        <w:ind w:right="80"/>
        <w:spacing w:after="0" w:line="249"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w:t>
      </w:r>
    </w:p>
    <w:p>
      <w:pPr>
        <w:spacing w:after="0" w:line="12"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w:t>
      </w:r>
    </w:p>
    <w:p>
      <w:pPr>
        <w:spacing w:after="0"/>
        <w:rPr>
          <w:sz w:val="20"/>
          <w:szCs w:val="20"/>
          <w:color w:val="auto"/>
        </w:rPr>
      </w:pPr>
      <w:r>
        <w:rPr>
          <w:rFonts w:ascii="Arial" w:cs="Arial" w:eastAsia="Arial" w:hAnsi="Arial"/>
          <w:sz w:val="14"/>
          <w:szCs w:val="14"/>
          <w:color w:val="auto"/>
        </w:rPr>
        <w:t>consolidated financial statements. We believe that our audits provide a reasonable basis for our opinion.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April 13, 2023</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583565</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1193"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87</w:t>
      </w:r>
    </w:p>
    <w:p>
      <w:pPr>
        <w:sectPr>
          <w:pgSz w:w="11880" w:h="15480" w:orient="portrait"/>
          <w:cols w:equalWidth="0" w:num="1">
            <w:col w:w="11220"/>
          </w:cols>
          <w:pgMar w:left="300" w:top="1193" w:right="359" w:bottom="0" w:gutter="0" w:footer="0" w:header="0"/>
          <w:type w:val="continuous"/>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January 31,</w:t>
            </w:r>
          </w:p>
        </w:tc>
      </w:tr>
      <w:tr>
        <w:trPr>
          <w:trHeight w:val="155"/>
        </w:trPr>
        <w:tc>
          <w:tcPr>
            <w:tcW w:w="8200" w:type="dxa"/>
            <w:vAlign w:val="bottom"/>
            <w:tcBorders>
              <w:bottom w:val="single" w:sz="8" w:color="DDDDDD"/>
            </w:tcBorders>
          </w:tcPr>
          <w:p>
            <w:pPr>
              <w:spacing w:after="0"/>
              <w:rPr>
                <w:sz w:val="13"/>
                <w:szCs w:val="13"/>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2023</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r>
      <w:tr>
        <w:trPr>
          <w:trHeight w:val="162"/>
        </w:trPr>
        <w:tc>
          <w:tcPr>
            <w:tcW w:w="8200" w:type="dxa"/>
            <w:vAlign w:val="bottom"/>
            <w:shd w:val="clear" w:color="auto" w:fill="DDDDDD"/>
          </w:tcPr>
          <w:p>
            <w:pPr>
              <w:spacing w:after="0"/>
              <w:rPr>
                <w:sz w:val="20"/>
                <w:szCs w:val="20"/>
                <w:color w:val="auto"/>
              </w:rPr>
            </w:pPr>
            <w:r>
              <w:rPr>
                <w:rFonts w:ascii="Arial" w:cs="Arial" w:eastAsia="Arial" w:hAnsi="Arial"/>
                <w:sz w:val="11"/>
                <w:szCs w:val="11"/>
                <w:b w:val="1"/>
                <w:bCs w:val="1"/>
                <w:color w:val="auto"/>
              </w:rPr>
              <w:t>Assets</w:t>
            </w:r>
          </w:p>
        </w:tc>
        <w:tc>
          <w:tcPr>
            <w:tcW w:w="1080" w:type="dxa"/>
            <w:vAlign w:val="bottom"/>
            <w:shd w:val="clear" w:color="auto" w:fill="DDDDDD"/>
          </w:tcPr>
          <w:p>
            <w:pPr>
              <w:spacing w:after="0"/>
              <w:rPr>
                <w:sz w:val="14"/>
                <w:szCs w:val="14"/>
                <w:color w:val="auto"/>
              </w:rPr>
            </w:pPr>
          </w:p>
        </w:tc>
        <w:tc>
          <w:tcPr>
            <w:tcW w:w="40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240" w:type="dxa"/>
            <w:vAlign w:val="bottom"/>
            <w:shd w:val="clear" w:color="auto" w:fill="DDDDDD"/>
          </w:tcPr>
          <w:p>
            <w:pPr>
              <w:spacing w:after="0"/>
              <w:rPr>
                <w:sz w:val="14"/>
                <w:szCs w:val="14"/>
                <w:color w:val="auto"/>
              </w:rPr>
            </w:pPr>
          </w:p>
        </w:tc>
      </w:tr>
      <w:tr>
        <w:trPr>
          <w:trHeight w:val="160"/>
        </w:trPr>
        <w:tc>
          <w:tcPr>
            <w:tcW w:w="8200" w:type="dxa"/>
            <w:vAlign w:val="bottom"/>
          </w:tcPr>
          <w:p>
            <w:pPr>
              <w:spacing w:after="0"/>
              <w:rPr>
                <w:sz w:val="20"/>
                <w:szCs w:val="20"/>
                <w:color w:val="auto"/>
              </w:rPr>
            </w:pPr>
            <w:r>
              <w:rPr>
                <w:rFonts w:ascii="Arial" w:cs="Arial" w:eastAsia="Arial" w:hAnsi="Arial"/>
                <w:sz w:val="11"/>
                <w:szCs w:val="11"/>
                <w:color w:val="auto"/>
              </w:rPr>
              <w:t>Current assets:</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8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60"/>
        </w:trPr>
        <w:tc>
          <w:tcPr>
            <w:tcW w:w="82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1"/>
                <w:szCs w:val="11"/>
                <w:color w:val="auto"/>
              </w:rPr>
              <w:t>Cash and cash equivalents</w:t>
            </w:r>
          </w:p>
        </w:tc>
        <w:tc>
          <w:tcPr>
            <w:tcW w:w="1080" w:type="dxa"/>
            <w:vAlign w:val="bottom"/>
            <w:tcBorders>
              <w:bottom w:val="single" w:sz="8" w:color="DDDDDD"/>
            </w:tcBorders>
            <w:shd w:val="clear" w:color="auto" w:fill="DDDDDD"/>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154.5</w:t>
            </w:r>
          </w:p>
        </w:tc>
        <w:tc>
          <w:tcPr>
            <w:tcW w:w="80" w:type="dxa"/>
            <w:vAlign w:val="bottom"/>
            <w:tcBorders>
              <w:bottom w:val="single" w:sz="8" w:color="DDDDDD"/>
            </w:tcBorders>
            <w:shd w:val="clear" w:color="auto" w:fill="DDDDDD"/>
          </w:tcPr>
          <w:p>
            <w:pPr>
              <w:spacing w:after="0"/>
              <w:rPr>
                <w:sz w:val="13"/>
                <w:szCs w:val="13"/>
                <w:color w:val="auto"/>
              </w:rPr>
            </w:pPr>
          </w:p>
        </w:tc>
        <w:tc>
          <w:tcPr>
            <w:tcW w:w="260" w:type="dxa"/>
            <w:vAlign w:val="bottom"/>
            <w:tcBorders>
              <w:bottom w:val="single" w:sz="8" w:color="DDDDDD"/>
            </w:tcBorders>
            <w:shd w:val="clear" w:color="auto" w:fill="DDDDDD"/>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247.6</w:t>
            </w:r>
          </w:p>
        </w:tc>
      </w:tr>
      <w:tr>
        <w:trPr>
          <w:trHeight w:val="160"/>
        </w:trPr>
        <w:tc>
          <w:tcPr>
            <w:tcW w:w="8200" w:type="dxa"/>
            <w:vAlign w:val="bottom"/>
          </w:tcPr>
          <w:p>
            <w:pPr>
              <w:ind w:left="260"/>
              <w:spacing w:after="0"/>
              <w:rPr>
                <w:sz w:val="20"/>
                <w:szCs w:val="20"/>
                <w:color w:val="auto"/>
              </w:rPr>
            </w:pPr>
            <w:r>
              <w:rPr>
                <w:rFonts w:ascii="Arial" w:cs="Arial" w:eastAsia="Arial" w:hAnsi="Arial"/>
                <w:sz w:val="11"/>
                <w:szCs w:val="11"/>
                <w:color w:val="auto"/>
              </w:rPr>
              <w:t>Restricted cash, current</w:t>
            </w:r>
          </w:p>
        </w:tc>
        <w:tc>
          <w:tcPr>
            <w:tcW w:w="108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5.4</w:t>
            </w:r>
          </w:p>
        </w:tc>
      </w:tr>
      <w:tr>
        <w:trPr>
          <w:trHeight w:val="20"/>
        </w:trPr>
        <w:tc>
          <w:tcPr>
            <w:tcW w:w="8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82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1"/>
                <w:szCs w:val="11"/>
                <w:color w:val="auto"/>
              </w:rPr>
              <w:t>Prepaid expenses and other current assets</w:t>
            </w:r>
          </w:p>
        </w:tc>
        <w:tc>
          <w:tcPr>
            <w:tcW w:w="108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14.5</w:t>
            </w:r>
          </w:p>
        </w:tc>
        <w:tc>
          <w:tcPr>
            <w:tcW w:w="8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124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11.7</w:t>
            </w:r>
          </w:p>
        </w:tc>
      </w:tr>
      <w:tr>
        <w:trPr>
          <w:trHeight w:val="166"/>
        </w:trPr>
        <w:tc>
          <w:tcPr>
            <w:tcW w:w="820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172.1</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264.7</w:t>
            </w:r>
          </w:p>
        </w:tc>
      </w:tr>
      <w:tr>
        <w:trPr>
          <w:trHeight w:val="185"/>
        </w:trPr>
        <w:tc>
          <w:tcPr>
            <w:tcW w:w="8200" w:type="dxa"/>
            <w:vAlign w:val="bottom"/>
            <w:shd w:val="clear" w:color="auto" w:fill="DDDDDD"/>
          </w:tcPr>
          <w:p>
            <w:pPr>
              <w:spacing w:after="0"/>
              <w:rPr>
                <w:sz w:val="20"/>
                <w:szCs w:val="20"/>
                <w:color w:val="auto"/>
              </w:rPr>
            </w:pPr>
            <w:r>
              <w:rPr>
                <w:rFonts w:ascii="Arial" w:cs="Arial" w:eastAsia="Arial" w:hAnsi="Arial"/>
                <w:sz w:val="11"/>
                <w:szCs w:val="11"/>
                <w:color w:val="auto"/>
              </w:rPr>
              <w:t>Restricted cash</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6.6</w:t>
            </w:r>
          </w:p>
        </w:tc>
      </w:tr>
      <w:tr>
        <w:trPr>
          <w:trHeight w:val="176"/>
        </w:trPr>
        <w:tc>
          <w:tcPr>
            <w:tcW w:w="8200" w:type="dxa"/>
            <w:vAlign w:val="bottom"/>
          </w:tcPr>
          <w:p>
            <w:pPr>
              <w:spacing w:after="0"/>
              <w:rPr>
                <w:sz w:val="20"/>
                <w:szCs w:val="20"/>
                <w:color w:val="auto"/>
              </w:rPr>
            </w:pPr>
            <w:r>
              <w:rPr>
                <w:rFonts w:ascii="Arial" w:cs="Arial" w:eastAsia="Arial" w:hAnsi="Arial"/>
                <w:sz w:val="11"/>
                <w:szCs w:val="11"/>
                <w:color w:val="auto"/>
              </w:rPr>
              <w:t>Rental product, net</w:t>
            </w:r>
          </w:p>
        </w:tc>
        <w:tc>
          <w:tcPr>
            <w:tcW w:w="1080" w:type="dxa"/>
            <w:vAlign w:val="bottom"/>
          </w:tcPr>
          <w:p>
            <w:pPr>
              <w:spacing w:after="0"/>
              <w:rPr>
                <w:sz w:val="15"/>
                <w:szCs w:val="15"/>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78.7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76.3</w:t>
            </w:r>
          </w:p>
        </w:tc>
      </w:tr>
      <w:tr>
        <w:trPr>
          <w:trHeight w:val="185"/>
        </w:trPr>
        <w:tc>
          <w:tcPr>
            <w:tcW w:w="8200" w:type="dxa"/>
            <w:vAlign w:val="bottom"/>
            <w:shd w:val="clear" w:color="auto" w:fill="DDDDDD"/>
          </w:tcPr>
          <w:p>
            <w:pPr>
              <w:spacing w:after="0"/>
              <w:rPr>
                <w:sz w:val="20"/>
                <w:szCs w:val="20"/>
                <w:color w:val="auto"/>
              </w:rPr>
            </w:pPr>
            <w:r>
              <w:rPr>
                <w:rFonts w:ascii="Arial" w:cs="Arial" w:eastAsia="Arial" w:hAnsi="Arial"/>
                <w:sz w:val="11"/>
                <w:szCs w:val="11"/>
                <w:color w:val="auto"/>
              </w:rPr>
              <w:t>Fixed assets, net</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44.7</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57.2</w:t>
            </w:r>
          </w:p>
        </w:tc>
      </w:tr>
      <w:tr>
        <w:trPr>
          <w:trHeight w:val="176"/>
        </w:trPr>
        <w:tc>
          <w:tcPr>
            <w:tcW w:w="8200" w:type="dxa"/>
            <w:vAlign w:val="bottom"/>
          </w:tcPr>
          <w:p>
            <w:pPr>
              <w:spacing w:after="0"/>
              <w:rPr>
                <w:sz w:val="20"/>
                <w:szCs w:val="20"/>
                <w:color w:val="auto"/>
              </w:rPr>
            </w:pPr>
            <w:r>
              <w:rPr>
                <w:rFonts w:ascii="Arial" w:cs="Arial" w:eastAsia="Arial" w:hAnsi="Arial"/>
                <w:sz w:val="11"/>
                <w:szCs w:val="11"/>
                <w:color w:val="auto"/>
              </w:rPr>
              <w:t>Intangible assets, net</w:t>
            </w:r>
          </w:p>
        </w:tc>
        <w:tc>
          <w:tcPr>
            <w:tcW w:w="1080" w:type="dxa"/>
            <w:vAlign w:val="bottom"/>
          </w:tcPr>
          <w:p>
            <w:pPr>
              <w:spacing w:after="0"/>
              <w:rPr>
                <w:sz w:val="15"/>
                <w:szCs w:val="15"/>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6.4</w:t>
            </w:r>
          </w:p>
        </w:tc>
      </w:tr>
      <w:tr>
        <w:trPr>
          <w:trHeight w:val="185"/>
        </w:trPr>
        <w:tc>
          <w:tcPr>
            <w:tcW w:w="8200" w:type="dxa"/>
            <w:vAlign w:val="bottom"/>
            <w:shd w:val="clear" w:color="auto" w:fill="DDDDDD"/>
          </w:tcPr>
          <w:p>
            <w:pPr>
              <w:spacing w:after="0"/>
              <w:rPr>
                <w:sz w:val="20"/>
                <w:szCs w:val="20"/>
                <w:color w:val="auto"/>
              </w:rPr>
            </w:pPr>
            <w:r>
              <w:rPr>
                <w:rFonts w:ascii="Arial" w:cs="Arial" w:eastAsia="Arial" w:hAnsi="Arial"/>
                <w:sz w:val="11"/>
                <w:szCs w:val="11"/>
                <w:color w:val="auto"/>
              </w:rPr>
              <w:t>Operating lease right-of-use assets</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26.7</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31.5</w:t>
            </w:r>
          </w:p>
        </w:tc>
      </w:tr>
      <w:tr>
        <w:trPr>
          <w:trHeight w:val="176"/>
        </w:trPr>
        <w:tc>
          <w:tcPr>
            <w:tcW w:w="8200" w:type="dxa"/>
            <w:vAlign w:val="bottom"/>
            <w:tcBorders>
              <w:bottom w:val="single" w:sz="8" w:color="DDDDDD"/>
            </w:tcBorders>
          </w:tcPr>
          <w:p>
            <w:pPr>
              <w:spacing w:after="0"/>
              <w:rPr>
                <w:sz w:val="20"/>
                <w:szCs w:val="20"/>
                <w:color w:val="auto"/>
              </w:rPr>
            </w:pPr>
            <w:r>
              <w:rPr>
                <w:rFonts w:ascii="Arial" w:cs="Arial" w:eastAsia="Arial" w:hAnsi="Arial"/>
                <w:sz w:val="11"/>
                <w:szCs w:val="11"/>
                <w:color w:val="auto"/>
              </w:rPr>
              <w:t>Other assets</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4.8</w:t>
            </w:r>
          </w:p>
        </w:tc>
      </w:tr>
      <w:tr>
        <w:trPr>
          <w:trHeight w:val="216"/>
        </w:trPr>
        <w:tc>
          <w:tcPr>
            <w:tcW w:w="8200" w:type="dxa"/>
            <w:vAlign w:val="bottom"/>
            <w:tcBorders>
              <w:bottom w:val="single" w:sz="8" w:color="DDDDDD"/>
            </w:tcBorders>
            <w:shd w:val="clear" w:color="auto" w:fill="DDDDDD"/>
          </w:tcPr>
          <w:p>
            <w:pPr>
              <w:ind w:left="520"/>
              <w:spacing w:after="0"/>
              <w:rPr>
                <w:sz w:val="20"/>
                <w:szCs w:val="20"/>
                <w:color w:val="auto"/>
              </w:rPr>
            </w:pPr>
            <w:r>
              <w:rPr>
                <w:rFonts w:ascii="Arial" w:cs="Arial" w:eastAsia="Arial" w:hAnsi="Arial"/>
                <w:sz w:val="11"/>
                <w:szCs w:val="11"/>
                <w:color w:val="auto"/>
              </w:rPr>
              <w:t>Total assets</w:t>
            </w:r>
          </w:p>
        </w:tc>
        <w:tc>
          <w:tcPr>
            <w:tcW w:w="1080" w:type="dxa"/>
            <w:vAlign w:val="bottom"/>
            <w:tcBorders>
              <w:bottom w:val="single" w:sz="8" w:color="auto"/>
            </w:tcBorders>
            <w:shd w:val="clear" w:color="auto" w:fill="DDDDDD"/>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336.2</w:t>
            </w:r>
          </w:p>
        </w:tc>
        <w:tc>
          <w:tcPr>
            <w:tcW w:w="80" w:type="dxa"/>
            <w:vAlign w:val="bottom"/>
            <w:tcBorders>
              <w:bottom w:val="single" w:sz="8" w:color="DDDDDD"/>
            </w:tcBorders>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447.5</w:t>
            </w:r>
          </w:p>
        </w:tc>
      </w:tr>
      <w:tr>
        <w:trPr>
          <w:trHeight w:val="138"/>
        </w:trPr>
        <w:tc>
          <w:tcPr>
            <w:tcW w:w="8200" w:type="dxa"/>
            <w:vAlign w:val="bottom"/>
          </w:tcPr>
          <w:p>
            <w:pPr>
              <w:spacing w:after="0"/>
              <w:rPr>
                <w:sz w:val="20"/>
                <w:szCs w:val="20"/>
                <w:color w:val="auto"/>
              </w:rPr>
            </w:pPr>
            <w:r>
              <w:rPr>
                <w:rFonts w:ascii="Arial" w:cs="Arial" w:eastAsia="Arial" w:hAnsi="Arial"/>
                <w:sz w:val="11"/>
                <w:szCs w:val="11"/>
                <w:b w:val="1"/>
                <w:bCs w:val="1"/>
                <w:color w:val="auto"/>
              </w:rPr>
              <w:t>Liabilities and Stockholders’ Equity (Deficit)</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64"/>
        </w:trPr>
        <w:tc>
          <w:tcPr>
            <w:tcW w:w="82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1"/>
                <w:szCs w:val="11"/>
                <w:color w:val="auto"/>
              </w:rPr>
              <w:t>Current liabilities:</w:t>
            </w:r>
          </w:p>
        </w:tc>
        <w:tc>
          <w:tcPr>
            <w:tcW w:w="1080" w:type="dxa"/>
            <w:vAlign w:val="bottom"/>
            <w:tcBorders>
              <w:bottom w:val="single" w:sz="8" w:color="DDDDDD"/>
            </w:tcBorders>
            <w:shd w:val="clear" w:color="auto" w:fill="DDDDDD"/>
          </w:tcPr>
          <w:p>
            <w:pPr>
              <w:spacing w:after="0"/>
              <w:rPr>
                <w:sz w:val="14"/>
                <w:szCs w:val="14"/>
                <w:color w:val="auto"/>
              </w:rPr>
            </w:pPr>
          </w:p>
        </w:tc>
        <w:tc>
          <w:tcPr>
            <w:tcW w:w="400" w:type="dxa"/>
            <w:vAlign w:val="bottom"/>
            <w:tcBorders>
              <w:bottom w:val="single" w:sz="8" w:color="DDDDDD"/>
            </w:tcBorders>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260" w:type="dxa"/>
            <w:vAlign w:val="bottom"/>
            <w:tcBorders>
              <w:bottom w:val="single" w:sz="8" w:color="DDDDDD"/>
            </w:tcBorders>
            <w:shd w:val="clear" w:color="auto" w:fill="DDDDDD"/>
          </w:tcPr>
          <w:p>
            <w:pPr>
              <w:spacing w:after="0"/>
              <w:rPr>
                <w:sz w:val="14"/>
                <w:szCs w:val="14"/>
                <w:color w:val="auto"/>
              </w:rPr>
            </w:pPr>
          </w:p>
        </w:tc>
        <w:tc>
          <w:tcPr>
            <w:tcW w:w="1240" w:type="dxa"/>
            <w:vAlign w:val="bottom"/>
            <w:tcBorders>
              <w:bottom w:val="single" w:sz="8" w:color="DDDDDD"/>
            </w:tcBorders>
            <w:shd w:val="clear" w:color="auto" w:fill="DDDDDD"/>
          </w:tcPr>
          <w:p>
            <w:pPr>
              <w:spacing w:after="0"/>
              <w:rPr>
                <w:sz w:val="14"/>
                <w:szCs w:val="14"/>
                <w:color w:val="auto"/>
              </w:rPr>
            </w:pPr>
          </w:p>
        </w:tc>
      </w:tr>
      <w:tr>
        <w:trPr>
          <w:trHeight w:val="160"/>
        </w:trPr>
        <w:tc>
          <w:tcPr>
            <w:tcW w:w="8200" w:type="dxa"/>
            <w:vAlign w:val="bottom"/>
          </w:tcPr>
          <w:p>
            <w:pPr>
              <w:ind w:left="260"/>
              <w:spacing w:after="0"/>
              <w:rPr>
                <w:sz w:val="20"/>
                <w:szCs w:val="20"/>
                <w:color w:val="auto"/>
              </w:rPr>
            </w:pPr>
            <w:r>
              <w:rPr>
                <w:rFonts w:ascii="Arial" w:cs="Arial" w:eastAsia="Arial" w:hAnsi="Arial"/>
                <w:sz w:val="11"/>
                <w:szCs w:val="11"/>
                <w:color w:val="auto"/>
              </w:rPr>
              <w:t>Accounts payable</w:t>
            </w:r>
          </w:p>
        </w:tc>
        <w:tc>
          <w:tcPr>
            <w:tcW w:w="1080" w:type="dxa"/>
            <w:vAlign w:val="bottom"/>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12.4</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15.9</w:t>
            </w:r>
          </w:p>
        </w:tc>
      </w:tr>
      <w:tr>
        <w:trPr>
          <w:trHeight w:val="20"/>
        </w:trPr>
        <w:tc>
          <w:tcPr>
            <w:tcW w:w="8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0"/>
        </w:trPr>
        <w:tc>
          <w:tcPr>
            <w:tcW w:w="8200" w:type="dxa"/>
            <w:vAlign w:val="bottom"/>
            <w:shd w:val="clear" w:color="auto" w:fill="DDDDDD"/>
          </w:tcPr>
          <w:p>
            <w:pPr>
              <w:ind w:left="260"/>
              <w:spacing w:after="0"/>
              <w:rPr>
                <w:sz w:val="20"/>
                <w:szCs w:val="20"/>
                <w:color w:val="auto"/>
              </w:rPr>
            </w:pPr>
            <w:r>
              <w:rPr>
                <w:rFonts w:ascii="Arial" w:cs="Arial" w:eastAsia="Arial" w:hAnsi="Arial"/>
                <w:sz w:val="11"/>
                <w:szCs w:val="11"/>
                <w:color w:val="auto"/>
              </w:rPr>
              <w:t>Accrued expenses and other current liabilities</w:t>
            </w:r>
          </w:p>
        </w:tc>
        <w:tc>
          <w:tcPr>
            <w:tcW w:w="1080" w:type="dxa"/>
            <w:vAlign w:val="bottom"/>
            <w:shd w:val="clear" w:color="auto" w:fill="DDDDDD"/>
          </w:tcPr>
          <w:p>
            <w:pPr>
              <w:spacing w:after="0"/>
              <w:rPr>
                <w:sz w:val="15"/>
                <w:szCs w:val="15"/>
                <w:color w:val="auto"/>
              </w:rPr>
            </w:pPr>
          </w:p>
        </w:tc>
        <w:tc>
          <w:tcPr>
            <w:tcW w:w="40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24.4</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30.0</w:t>
            </w:r>
          </w:p>
        </w:tc>
      </w:tr>
      <w:tr>
        <w:trPr>
          <w:trHeight w:val="170"/>
        </w:trPr>
        <w:tc>
          <w:tcPr>
            <w:tcW w:w="8200" w:type="dxa"/>
            <w:vAlign w:val="bottom"/>
          </w:tcPr>
          <w:p>
            <w:pPr>
              <w:ind w:left="260"/>
              <w:spacing w:after="0"/>
              <w:rPr>
                <w:sz w:val="20"/>
                <w:szCs w:val="20"/>
                <w:color w:val="auto"/>
              </w:rPr>
            </w:pPr>
            <w:r>
              <w:rPr>
                <w:rFonts w:ascii="Arial" w:cs="Arial" w:eastAsia="Arial" w:hAnsi="Arial"/>
                <w:sz w:val="11"/>
                <w:szCs w:val="11"/>
                <w:color w:val="auto"/>
              </w:rPr>
              <w:t>Deferred revenue</w:t>
            </w:r>
          </w:p>
        </w:tc>
        <w:tc>
          <w:tcPr>
            <w:tcW w:w="1080" w:type="dxa"/>
            <w:vAlign w:val="bottom"/>
          </w:tcPr>
          <w:p>
            <w:pPr>
              <w:spacing w:after="0"/>
              <w:rPr>
                <w:sz w:val="14"/>
                <w:szCs w:val="14"/>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10.4</w:t>
            </w:r>
          </w:p>
        </w:tc>
      </w:tr>
      <w:tr>
        <w:trPr>
          <w:trHeight w:val="190"/>
        </w:trPr>
        <w:tc>
          <w:tcPr>
            <w:tcW w:w="8200" w:type="dxa"/>
            <w:vAlign w:val="bottom"/>
            <w:shd w:val="clear" w:color="auto" w:fill="DDDDDD"/>
          </w:tcPr>
          <w:p>
            <w:pPr>
              <w:ind w:left="260"/>
              <w:spacing w:after="0"/>
              <w:rPr>
                <w:sz w:val="20"/>
                <w:szCs w:val="20"/>
                <w:color w:val="auto"/>
              </w:rPr>
            </w:pPr>
            <w:r>
              <w:rPr>
                <w:rFonts w:ascii="Arial" w:cs="Arial" w:eastAsia="Arial" w:hAnsi="Arial"/>
                <w:sz w:val="11"/>
                <w:szCs w:val="11"/>
                <w:color w:val="auto"/>
              </w:rPr>
              <w:t>Customer credit liabilities</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6.8</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6.9</w:t>
            </w:r>
          </w:p>
        </w:tc>
      </w:tr>
      <w:tr>
        <w:trPr>
          <w:trHeight w:val="171"/>
        </w:trPr>
        <w:tc>
          <w:tcPr>
            <w:tcW w:w="8200" w:type="dxa"/>
            <w:vAlign w:val="bottom"/>
            <w:tcBorders>
              <w:bottom w:val="single" w:sz="8" w:color="DDDDDD"/>
            </w:tcBorders>
          </w:tcPr>
          <w:p>
            <w:pPr>
              <w:ind w:left="260"/>
              <w:spacing w:after="0"/>
              <w:rPr>
                <w:sz w:val="20"/>
                <w:szCs w:val="20"/>
                <w:color w:val="auto"/>
              </w:rPr>
            </w:pPr>
            <w:r>
              <w:rPr>
                <w:rFonts w:ascii="Arial" w:cs="Arial" w:eastAsia="Arial" w:hAnsi="Arial"/>
                <w:sz w:val="11"/>
                <w:szCs w:val="11"/>
                <w:color w:val="auto"/>
              </w:rPr>
              <w:t>Operating lease liabilities</w:t>
            </w: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DDDDD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w:t>
            </w:r>
          </w:p>
        </w:tc>
      </w:tr>
      <w:tr>
        <w:trPr>
          <w:trHeight w:val="180"/>
        </w:trPr>
        <w:tc>
          <w:tcPr>
            <w:tcW w:w="8200" w:type="dxa"/>
            <w:vAlign w:val="bottom"/>
            <w:shd w:val="clear" w:color="auto" w:fill="DDDDDD"/>
          </w:tcPr>
          <w:p>
            <w:pPr>
              <w:ind w:left="520"/>
              <w:spacing w:after="0"/>
              <w:rPr>
                <w:sz w:val="20"/>
                <w:szCs w:val="20"/>
                <w:color w:val="auto"/>
              </w:rPr>
            </w:pPr>
            <w:r>
              <w:rPr>
                <w:rFonts w:ascii="Arial" w:cs="Arial" w:eastAsia="Arial" w:hAnsi="Arial"/>
                <w:sz w:val="11"/>
                <w:szCs w:val="11"/>
                <w:color w:val="auto"/>
              </w:rPr>
              <w:t>Total current liabilities</w:t>
            </w:r>
          </w:p>
        </w:tc>
        <w:tc>
          <w:tcPr>
            <w:tcW w:w="1080" w:type="dxa"/>
            <w:vAlign w:val="bottom"/>
            <w:shd w:val="clear" w:color="auto" w:fill="DDDDDD"/>
          </w:tcPr>
          <w:p>
            <w:pPr>
              <w:spacing w:after="0"/>
              <w:rPr>
                <w:sz w:val="15"/>
                <w:szCs w:val="15"/>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1"/>
                <w:szCs w:val="11"/>
                <w:color w:val="auto"/>
              </w:rPr>
              <w:t>60.0</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68.8</w:t>
            </w:r>
          </w:p>
        </w:tc>
      </w:tr>
      <w:tr>
        <w:trPr>
          <w:trHeight w:val="170"/>
        </w:trPr>
        <w:tc>
          <w:tcPr>
            <w:tcW w:w="8200" w:type="dxa"/>
            <w:vAlign w:val="bottom"/>
          </w:tcPr>
          <w:p>
            <w:pPr>
              <w:spacing w:after="0"/>
              <w:rPr>
                <w:sz w:val="20"/>
                <w:szCs w:val="20"/>
                <w:color w:val="auto"/>
              </w:rPr>
            </w:pPr>
            <w:r>
              <w:rPr>
                <w:rFonts w:ascii="Arial" w:cs="Arial" w:eastAsia="Arial" w:hAnsi="Arial"/>
                <w:sz w:val="11"/>
                <w:szCs w:val="11"/>
                <w:color w:val="auto"/>
              </w:rPr>
              <w:t>Long-term debt, net</w:t>
            </w:r>
          </w:p>
        </w:tc>
        <w:tc>
          <w:tcPr>
            <w:tcW w:w="1080" w:type="dxa"/>
            <w:vAlign w:val="bottom"/>
          </w:tcPr>
          <w:p>
            <w:pPr>
              <w:spacing w:after="0"/>
              <w:rPr>
                <w:sz w:val="14"/>
                <w:szCs w:val="14"/>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272.5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260.8</w:t>
            </w:r>
          </w:p>
        </w:tc>
      </w:tr>
      <w:tr>
        <w:trPr>
          <w:trHeight w:val="190"/>
        </w:trPr>
        <w:tc>
          <w:tcPr>
            <w:tcW w:w="8200" w:type="dxa"/>
            <w:vAlign w:val="bottom"/>
            <w:shd w:val="clear" w:color="auto" w:fill="DDDDDD"/>
          </w:tcPr>
          <w:p>
            <w:pPr>
              <w:spacing w:after="0"/>
              <w:rPr>
                <w:sz w:val="20"/>
                <w:szCs w:val="20"/>
                <w:color w:val="auto"/>
              </w:rPr>
            </w:pPr>
            <w:r>
              <w:rPr>
                <w:rFonts w:ascii="Arial" w:cs="Arial" w:eastAsia="Arial" w:hAnsi="Arial"/>
                <w:sz w:val="11"/>
                <w:szCs w:val="11"/>
                <w:color w:val="auto"/>
              </w:rPr>
              <w:t>Operating lease liabilities</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1"/>
                <w:szCs w:val="11"/>
                <w:color w:val="auto"/>
              </w:rPr>
              <w:t>38.3</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46.4</w:t>
            </w:r>
          </w:p>
        </w:tc>
      </w:tr>
      <w:tr>
        <w:trPr>
          <w:trHeight w:val="171"/>
        </w:trPr>
        <w:tc>
          <w:tcPr>
            <w:tcW w:w="8200" w:type="dxa"/>
            <w:vAlign w:val="bottom"/>
            <w:tcBorders>
              <w:bottom w:val="single" w:sz="8" w:color="DDDDDD"/>
            </w:tcBorders>
          </w:tcPr>
          <w:p>
            <w:pPr>
              <w:spacing w:after="0"/>
              <w:rPr>
                <w:sz w:val="20"/>
                <w:szCs w:val="20"/>
                <w:color w:val="auto"/>
              </w:rPr>
            </w:pPr>
            <w:r>
              <w:rPr>
                <w:rFonts w:ascii="Arial" w:cs="Arial" w:eastAsia="Arial" w:hAnsi="Arial"/>
                <w:sz w:val="11"/>
                <w:szCs w:val="11"/>
                <w:color w:val="auto"/>
              </w:rPr>
              <w:t>Other liabilities</w:t>
            </w: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c>
          <w:tcPr>
            <w:tcW w:w="80" w:type="dxa"/>
            <w:vAlign w:val="bottom"/>
            <w:tcBorders>
              <w:bottom w:val="single" w:sz="8" w:color="DDDDD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0.4</w:t>
            </w:r>
          </w:p>
        </w:tc>
      </w:tr>
      <w:tr>
        <w:trPr>
          <w:trHeight w:val="190"/>
        </w:trPr>
        <w:tc>
          <w:tcPr>
            <w:tcW w:w="8200" w:type="dxa"/>
            <w:vAlign w:val="bottom"/>
            <w:tcBorders>
              <w:bottom w:val="single" w:sz="8" w:color="DDDDDD"/>
            </w:tcBorders>
            <w:shd w:val="clear" w:color="auto" w:fill="DDDDDD"/>
          </w:tcPr>
          <w:p>
            <w:pPr>
              <w:ind w:left="520"/>
              <w:spacing w:after="0"/>
              <w:rPr>
                <w:sz w:val="20"/>
                <w:szCs w:val="20"/>
                <w:color w:val="auto"/>
              </w:rPr>
            </w:pPr>
            <w:r>
              <w:rPr>
                <w:rFonts w:ascii="Arial" w:cs="Arial" w:eastAsia="Arial" w:hAnsi="Arial"/>
                <w:sz w:val="11"/>
                <w:szCs w:val="11"/>
                <w:color w:val="auto"/>
              </w:rPr>
              <w:t>Total liabilities</w:t>
            </w:r>
          </w:p>
        </w:tc>
        <w:tc>
          <w:tcPr>
            <w:tcW w:w="1080" w:type="dxa"/>
            <w:vAlign w:val="bottom"/>
            <w:tcBorders>
              <w:bottom w:val="single" w:sz="8" w:color="auto"/>
            </w:tcBorders>
            <w:shd w:val="clear" w:color="auto" w:fill="DDDDDD"/>
          </w:tcPr>
          <w:p>
            <w:pPr>
              <w:spacing w:after="0"/>
              <w:rPr>
                <w:sz w:val="16"/>
                <w:szCs w:val="16"/>
                <w:color w:val="auto"/>
              </w:rPr>
            </w:pPr>
          </w:p>
        </w:tc>
        <w:tc>
          <w:tcPr>
            <w:tcW w:w="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371.5</w:t>
            </w: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2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376.4</w:t>
            </w:r>
          </w:p>
        </w:tc>
      </w:tr>
      <w:tr>
        <w:trPr>
          <w:trHeight w:val="145"/>
        </w:trPr>
        <w:tc>
          <w:tcPr>
            <w:tcW w:w="8200" w:type="dxa"/>
            <w:vAlign w:val="bottom"/>
          </w:tcPr>
          <w:p>
            <w:pPr>
              <w:ind w:left="20"/>
              <w:spacing w:after="0"/>
              <w:rPr>
                <w:sz w:val="20"/>
                <w:szCs w:val="20"/>
                <w:color w:val="auto"/>
              </w:rPr>
            </w:pPr>
            <w:r>
              <w:rPr>
                <w:rFonts w:ascii="Arial" w:cs="Arial" w:eastAsia="Arial" w:hAnsi="Arial"/>
                <w:sz w:val="11"/>
                <w:szCs w:val="11"/>
                <w:color w:val="auto"/>
              </w:rPr>
              <w:t>Commitments and Contingencies (Note 16)</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5"/>
        </w:trPr>
        <w:tc>
          <w:tcPr>
            <w:tcW w:w="8200" w:type="dxa"/>
            <w:vAlign w:val="bottom"/>
            <w:shd w:val="clear" w:color="auto" w:fill="DDDDDD"/>
          </w:tcPr>
          <w:p>
            <w:pPr>
              <w:ind w:left="20"/>
              <w:spacing w:after="0"/>
              <w:rPr>
                <w:sz w:val="20"/>
                <w:szCs w:val="20"/>
                <w:color w:val="auto"/>
              </w:rPr>
            </w:pPr>
            <w:r>
              <w:rPr>
                <w:rFonts w:ascii="Arial" w:cs="Arial" w:eastAsia="Arial" w:hAnsi="Arial"/>
                <w:sz w:val="11"/>
                <w:szCs w:val="11"/>
                <w:color w:val="auto"/>
              </w:rPr>
              <w:t>Stockholders’ equity (deficit)</w:t>
            </w:r>
          </w:p>
        </w:tc>
        <w:tc>
          <w:tcPr>
            <w:tcW w:w="10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240" w:type="dxa"/>
            <w:vAlign w:val="bottom"/>
            <w:shd w:val="clear" w:color="auto" w:fill="DDDDDD"/>
          </w:tcPr>
          <w:p>
            <w:pPr>
              <w:spacing w:after="0"/>
              <w:rPr>
                <w:sz w:val="16"/>
                <w:szCs w:val="16"/>
                <w:color w:val="auto"/>
              </w:rPr>
            </w:pPr>
          </w:p>
        </w:tc>
      </w:tr>
      <w:tr>
        <w:trPr>
          <w:trHeight w:val="118"/>
        </w:trPr>
        <w:tc>
          <w:tcPr>
            <w:tcW w:w="8200" w:type="dxa"/>
            <w:vAlign w:val="bottom"/>
          </w:tcPr>
          <w:p>
            <w:pPr>
              <w:ind w:left="260"/>
              <w:spacing w:after="0" w:line="118" w:lineRule="exact"/>
              <w:rPr>
                <w:sz w:val="20"/>
                <w:szCs w:val="20"/>
                <w:color w:val="auto"/>
              </w:rPr>
            </w:pPr>
            <w:r>
              <w:rPr>
                <w:rFonts w:ascii="Arial" w:cs="Arial" w:eastAsia="Arial" w:hAnsi="Arial"/>
                <w:sz w:val="11"/>
                <w:szCs w:val="11"/>
                <w:color w:val="auto"/>
              </w:rPr>
              <w:t>Class A common stock, $0.001 par value; 300,000,000 shares authorized as of January 31, 2023 and 2022; 61,956,536 and 60,104,058 shares issued and</w:t>
            </w:r>
          </w:p>
        </w:tc>
        <w:tc>
          <w:tcPr>
            <w:tcW w:w="1080" w:type="dxa"/>
            <w:vAlign w:val="bottom"/>
          </w:tcPr>
          <w:p>
            <w:pPr>
              <w:spacing w:after="0"/>
              <w:rPr>
                <w:sz w:val="10"/>
                <w:szCs w:val="10"/>
                <w:color w:val="auto"/>
              </w:rPr>
            </w:pPr>
          </w:p>
        </w:tc>
        <w:tc>
          <w:tcPr>
            <w:tcW w:w="400" w:type="dxa"/>
            <w:vAlign w:val="bottom"/>
          </w:tcPr>
          <w:p>
            <w:pPr>
              <w:jc w:val="right"/>
              <w:spacing w:after="0" w:line="118" w:lineRule="exact"/>
              <w:rPr>
                <w:sz w:val="20"/>
                <w:szCs w:val="20"/>
                <w:color w:val="auto"/>
              </w:rPr>
            </w:pPr>
            <w:r>
              <w:rPr>
                <w:rFonts w:ascii="Arial" w:cs="Arial" w:eastAsia="Arial" w:hAnsi="Arial"/>
                <w:sz w:val="11"/>
                <w:szCs w:val="11"/>
                <w:color w:val="auto"/>
              </w:rPr>
              <w:t>0.1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3"/>
              <w:spacing w:after="0" w:line="118" w:lineRule="exact"/>
              <w:rPr>
                <w:sz w:val="20"/>
                <w:szCs w:val="20"/>
                <w:color w:val="auto"/>
              </w:rPr>
            </w:pPr>
            <w:r>
              <w:rPr>
                <w:rFonts w:ascii="Arial" w:cs="Arial" w:eastAsia="Arial" w:hAnsi="Arial"/>
                <w:sz w:val="11"/>
                <w:szCs w:val="11"/>
                <w:color w:val="auto"/>
              </w:rPr>
              <w:t>0.1</w:t>
            </w:r>
          </w:p>
        </w:tc>
      </w:tr>
      <w:tr>
        <w:trPr>
          <w:trHeight w:val="147"/>
        </w:trPr>
        <w:tc>
          <w:tcPr>
            <w:tcW w:w="8200" w:type="dxa"/>
            <w:vAlign w:val="bottom"/>
          </w:tcPr>
          <w:p>
            <w:pPr>
              <w:ind w:left="400"/>
              <w:spacing w:after="0"/>
              <w:rPr>
                <w:sz w:val="20"/>
                <w:szCs w:val="20"/>
                <w:color w:val="auto"/>
              </w:rPr>
            </w:pPr>
            <w:r>
              <w:rPr>
                <w:rFonts w:ascii="Arial" w:cs="Arial" w:eastAsia="Arial" w:hAnsi="Arial"/>
                <w:sz w:val="11"/>
                <w:szCs w:val="11"/>
                <w:color w:val="auto"/>
              </w:rPr>
              <w:t>outstanding as of January 31, 2023 and 2022, respectively</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18"/>
        </w:trPr>
        <w:tc>
          <w:tcPr>
            <w:tcW w:w="8200" w:type="dxa"/>
            <w:vAlign w:val="bottom"/>
            <w:shd w:val="clear" w:color="auto" w:fill="DDDDDD"/>
          </w:tcPr>
          <w:p>
            <w:pPr>
              <w:ind w:left="260"/>
              <w:spacing w:after="0" w:line="118" w:lineRule="exact"/>
              <w:rPr>
                <w:sz w:val="20"/>
                <w:szCs w:val="20"/>
                <w:color w:val="auto"/>
              </w:rPr>
            </w:pPr>
            <w:r>
              <w:rPr>
                <w:rFonts w:ascii="Arial" w:cs="Arial" w:eastAsia="Arial" w:hAnsi="Arial"/>
                <w:sz w:val="11"/>
                <w:szCs w:val="11"/>
                <w:color w:val="auto"/>
              </w:rPr>
              <w:t>Class B common stock, $0.001 par value; 50,000,000 shares authorized as of January 31, 2023 and 2022; 3,066,251 and 2,932,739 shares issued and</w:t>
            </w:r>
          </w:p>
        </w:tc>
        <w:tc>
          <w:tcPr>
            <w:tcW w:w="1080" w:type="dxa"/>
            <w:vAlign w:val="bottom"/>
            <w:shd w:val="clear" w:color="auto" w:fill="DDDDDD"/>
          </w:tcPr>
          <w:p>
            <w:pPr>
              <w:spacing w:after="0"/>
              <w:rPr>
                <w:sz w:val="10"/>
                <w:szCs w:val="10"/>
                <w:color w:val="auto"/>
              </w:rPr>
            </w:pPr>
          </w:p>
        </w:tc>
        <w:tc>
          <w:tcPr>
            <w:tcW w:w="480" w:type="dxa"/>
            <w:vAlign w:val="bottom"/>
            <w:gridSpan w:val="2"/>
            <w:shd w:val="clear" w:color="auto" w:fill="DDDDDD"/>
          </w:tcPr>
          <w:p>
            <w:pPr>
              <w:jc w:val="right"/>
              <w:ind w:right="120"/>
              <w:spacing w:after="0" w:line="118" w:lineRule="exact"/>
              <w:rPr>
                <w:sz w:val="20"/>
                <w:szCs w:val="20"/>
                <w:color w:val="auto"/>
              </w:rPr>
            </w:pPr>
            <w:r>
              <w:rPr>
                <w:rFonts w:ascii="Arial" w:cs="Arial" w:eastAsia="Arial" w:hAnsi="Arial"/>
                <w:sz w:val="11"/>
                <w:szCs w:val="11"/>
                <w:color w:val="auto"/>
              </w:rPr>
              <w:t>—</w:t>
            </w:r>
          </w:p>
        </w:tc>
        <w:tc>
          <w:tcPr>
            <w:tcW w:w="260" w:type="dxa"/>
            <w:vAlign w:val="bottom"/>
            <w:shd w:val="clear" w:color="auto" w:fill="DDDDDD"/>
          </w:tcPr>
          <w:p>
            <w:pPr>
              <w:spacing w:after="0"/>
              <w:rPr>
                <w:sz w:val="10"/>
                <w:szCs w:val="10"/>
                <w:color w:val="auto"/>
              </w:rPr>
            </w:pPr>
          </w:p>
        </w:tc>
        <w:tc>
          <w:tcPr>
            <w:tcW w:w="1240" w:type="dxa"/>
            <w:vAlign w:val="bottom"/>
            <w:shd w:val="clear" w:color="auto" w:fill="DDDDDD"/>
          </w:tcPr>
          <w:p>
            <w:pPr>
              <w:jc w:val="right"/>
              <w:ind w:right="3"/>
              <w:spacing w:after="0" w:line="118" w:lineRule="exact"/>
              <w:rPr>
                <w:sz w:val="20"/>
                <w:szCs w:val="20"/>
                <w:color w:val="auto"/>
              </w:rPr>
            </w:pPr>
            <w:r>
              <w:rPr>
                <w:rFonts w:ascii="Arial" w:cs="Arial" w:eastAsia="Arial" w:hAnsi="Arial"/>
                <w:sz w:val="11"/>
                <w:szCs w:val="11"/>
                <w:color w:val="auto"/>
              </w:rPr>
              <w:t>—</w:t>
            </w:r>
          </w:p>
        </w:tc>
      </w:tr>
      <w:tr>
        <w:trPr>
          <w:trHeight w:val="147"/>
        </w:trPr>
        <w:tc>
          <w:tcPr>
            <w:tcW w:w="8200" w:type="dxa"/>
            <w:vAlign w:val="bottom"/>
            <w:shd w:val="clear" w:color="auto" w:fill="DDDDDD"/>
          </w:tcPr>
          <w:p>
            <w:pPr>
              <w:ind w:left="400"/>
              <w:spacing w:after="0"/>
              <w:rPr>
                <w:sz w:val="20"/>
                <w:szCs w:val="20"/>
                <w:color w:val="auto"/>
              </w:rPr>
            </w:pPr>
            <w:r>
              <w:rPr>
                <w:rFonts w:ascii="Arial" w:cs="Arial" w:eastAsia="Arial" w:hAnsi="Arial"/>
                <w:sz w:val="11"/>
                <w:szCs w:val="11"/>
                <w:color w:val="auto"/>
              </w:rPr>
              <w:t>outstanding as of January 31, 2023 and 2022, respectively</w:t>
            </w:r>
          </w:p>
        </w:tc>
        <w:tc>
          <w:tcPr>
            <w:tcW w:w="1080" w:type="dxa"/>
            <w:vAlign w:val="bottom"/>
            <w:shd w:val="clear" w:color="auto" w:fill="DDDDDD"/>
          </w:tcPr>
          <w:p>
            <w:pPr>
              <w:spacing w:after="0"/>
              <w:rPr>
                <w:sz w:val="12"/>
                <w:szCs w:val="12"/>
                <w:color w:val="auto"/>
              </w:rPr>
            </w:pPr>
          </w:p>
        </w:tc>
        <w:tc>
          <w:tcPr>
            <w:tcW w:w="400" w:type="dxa"/>
            <w:vAlign w:val="bottom"/>
            <w:shd w:val="clear" w:color="auto" w:fill="DDDDDD"/>
          </w:tcPr>
          <w:p>
            <w:pPr>
              <w:spacing w:after="0"/>
              <w:rPr>
                <w:sz w:val="12"/>
                <w:szCs w:val="12"/>
                <w:color w:val="auto"/>
              </w:rPr>
            </w:pPr>
          </w:p>
        </w:tc>
        <w:tc>
          <w:tcPr>
            <w:tcW w:w="8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240" w:type="dxa"/>
            <w:vAlign w:val="bottom"/>
            <w:shd w:val="clear" w:color="auto" w:fill="DDDDDD"/>
          </w:tcPr>
          <w:p>
            <w:pPr>
              <w:spacing w:after="0"/>
              <w:rPr>
                <w:sz w:val="12"/>
                <w:szCs w:val="12"/>
                <w:color w:val="auto"/>
              </w:rPr>
            </w:pPr>
          </w:p>
        </w:tc>
      </w:tr>
      <w:tr>
        <w:trPr>
          <w:trHeight w:val="118"/>
        </w:trPr>
        <w:tc>
          <w:tcPr>
            <w:tcW w:w="8200" w:type="dxa"/>
            <w:vAlign w:val="bottom"/>
          </w:tcPr>
          <w:p>
            <w:pPr>
              <w:ind w:left="260"/>
              <w:spacing w:after="0" w:line="118" w:lineRule="exact"/>
              <w:rPr>
                <w:sz w:val="20"/>
                <w:szCs w:val="20"/>
                <w:color w:val="auto"/>
              </w:rPr>
            </w:pPr>
            <w:r>
              <w:rPr>
                <w:rFonts w:ascii="Arial" w:cs="Arial" w:eastAsia="Arial" w:hAnsi="Arial"/>
                <w:sz w:val="11"/>
                <w:szCs w:val="11"/>
                <w:color w:val="auto"/>
              </w:rPr>
              <w:t>Preferred stock, $0.001 par value; 10,000,000 shares authorized as of January 31, 2023 and 2022; 0 shares issued and outstanding as of January 31, 2023</w:t>
            </w:r>
          </w:p>
        </w:tc>
        <w:tc>
          <w:tcPr>
            <w:tcW w:w="1080" w:type="dxa"/>
            <w:vAlign w:val="bottom"/>
          </w:tcPr>
          <w:p>
            <w:pPr>
              <w:spacing w:after="0"/>
              <w:rPr>
                <w:sz w:val="10"/>
                <w:szCs w:val="10"/>
                <w:color w:val="auto"/>
              </w:rPr>
            </w:pPr>
          </w:p>
        </w:tc>
        <w:tc>
          <w:tcPr>
            <w:tcW w:w="480" w:type="dxa"/>
            <w:vAlign w:val="bottom"/>
            <w:gridSpan w:val="2"/>
          </w:tcPr>
          <w:p>
            <w:pPr>
              <w:jc w:val="right"/>
              <w:ind w:right="120"/>
              <w:spacing w:after="0" w:line="118" w:lineRule="exact"/>
              <w:rPr>
                <w:sz w:val="20"/>
                <w:szCs w:val="20"/>
                <w:color w:val="auto"/>
              </w:rPr>
            </w:pPr>
            <w:r>
              <w:rPr>
                <w:rFonts w:ascii="Arial" w:cs="Arial" w:eastAsia="Arial" w:hAnsi="Arial"/>
                <w:sz w:val="11"/>
                <w:szCs w:val="11"/>
                <w:color w:val="auto"/>
              </w:rPr>
              <w:t>—</w:t>
            </w:r>
          </w:p>
        </w:tc>
        <w:tc>
          <w:tcPr>
            <w:tcW w:w="260" w:type="dxa"/>
            <w:vAlign w:val="bottom"/>
          </w:tcPr>
          <w:p>
            <w:pPr>
              <w:spacing w:after="0"/>
              <w:rPr>
                <w:sz w:val="10"/>
                <w:szCs w:val="10"/>
                <w:color w:val="auto"/>
              </w:rPr>
            </w:pPr>
          </w:p>
        </w:tc>
        <w:tc>
          <w:tcPr>
            <w:tcW w:w="1240" w:type="dxa"/>
            <w:vAlign w:val="bottom"/>
          </w:tcPr>
          <w:p>
            <w:pPr>
              <w:jc w:val="right"/>
              <w:ind w:right="3"/>
              <w:spacing w:after="0" w:line="118" w:lineRule="exact"/>
              <w:rPr>
                <w:sz w:val="20"/>
                <w:szCs w:val="20"/>
                <w:color w:val="auto"/>
              </w:rPr>
            </w:pPr>
            <w:r>
              <w:rPr>
                <w:rFonts w:ascii="Arial" w:cs="Arial" w:eastAsia="Arial" w:hAnsi="Arial"/>
                <w:sz w:val="11"/>
                <w:szCs w:val="11"/>
                <w:color w:val="auto"/>
              </w:rPr>
              <w:t>—</w:t>
            </w:r>
          </w:p>
        </w:tc>
      </w:tr>
      <w:tr>
        <w:trPr>
          <w:trHeight w:val="148"/>
        </w:trPr>
        <w:tc>
          <w:tcPr>
            <w:tcW w:w="8200" w:type="dxa"/>
            <w:vAlign w:val="bottom"/>
          </w:tcPr>
          <w:p>
            <w:pPr>
              <w:ind w:left="400"/>
              <w:spacing w:after="0"/>
              <w:rPr>
                <w:sz w:val="20"/>
                <w:szCs w:val="20"/>
                <w:color w:val="auto"/>
              </w:rPr>
            </w:pPr>
            <w:r>
              <w:rPr>
                <w:rFonts w:ascii="Arial" w:cs="Arial" w:eastAsia="Arial" w:hAnsi="Arial"/>
                <w:sz w:val="11"/>
                <w:szCs w:val="11"/>
                <w:color w:val="auto"/>
              </w:rPr>
              <w:t>and 2022</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8200" w:type="dxa"/>
            <w:vAlign w:val="bottom"/>
            <w:shd w:val="clear" w:color="auto" w:fill="DDDDDD"/>
          </w:tcPr>
          <w:p>
            <w:pPr>
              <w:ind w:left="260"/>
              <w:spacing w:after="0"/>
              <w:rPr>
                <w:sz w:val="20"/>
                <w:szCs w:val="20"/>
                <w:color w:val="auto"/>
              </w:rPr>
            </w:pPr>
            <w:r>
              <w:rPr>
                <w:rFonts w:ascii="Arial" w:cs="Arial" w:eastAsia="Arial" w:hAnsi="Arial"/>
                <w:sz w:val="11"/>
                <w:szCs w:val="11"/>
                <w:color w:val="auto"/>
              </w:rPr>
              <w:t>Additional paid-in capital</w:t>
            </w:r>
          </w:p>
        </w:tc>
        <w:tc>
          <w:tcPr>
            <w:tcW w:w="1080" w:type="dxa"/>
            <w:vAlign w:val="bottom"/>
            <w:shd w:val="clear" w:color="auto" w:fill="DDDDDD"/>
          </w:tcPr>
          <w:p>
            <w:pPr>
              <w:spacing w:after="0"/>
              <w:rPr>
                <w:sz w:val="15"/>
                <w:szCs w:val="15"/>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1"/>
                <w:szCs w:val="11"/>
                <w:color w:val="auto"/>
              </w:rPr>
              <w:t>904.5</w:t>
            </w:r>
          </w:p>
        </w:tc>
        <w:tc>
          <w:tcPr>
            <w:tcW w:w="8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24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872.2</w:t>
            </w:r>
          </w:p>
        </w:tc>
      </w:tr>
      <w:tr>
        <w:trPr>
          <w:trHeight w:val="176"/>
        </w:trPr>
        <w:tc>
          <w:tcPr>
            <w:tcW w:w="8200" w:type="dxa"/>
            <w:vAlign w:val="bottom"/>
            <w:tcBorders>
              <w:bottom w:val="single" w:sz="8" w:color="DDDDDD"/>
            </w:tcBorders>
          </w:tcPr>
          <w:p>
            <w:pPr>
              <w:ind w:left="260"/>
              <w:spacing w:after="0"/>
              <w:rPr>
                <w:sz w:val="20"/>
                <w:szCs w:val="20"/>
                <w:color w:val="auto"/>
              </w:rPr>
            </w:pPr>
            <w:r>
              <w:rPr>
                <w:rFonts w:ascii="Arial" w:cs="Arial" w:eastAsia="Arial" w:hAnsi="Arial"/>
                <w:sz w:val="11"/>
                <w:szCs w:val="11"/>
                <w:color w:val="auto"/>
              </w:rPr>
              <w:t>Accumulated deficit</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(939.9)</w:t>
            </w:r>
          </w:p>
        </w:tc>
        <w:tc>
          <w:tcPr>
            <w:tcW w:w="8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(801.2)</w:t>
            </w:r>
          </w:p>
        </w:tc>
      </w:tr>
      <w:tr>
        <w:trPr>
          <w:trHeight w:val="166"/>
        </w:trPr>
        <w:tc>
          <w:tcPr>
            <w:tcW w:w="8200" w:type="dxa"/>
            <w:vAlign w:val="bottom"/>
            <w:shd w:val="clear" w:color="auto" w:fill="DDDDDD"/>
          </w:tcPr>
          <w:p>
            <w:pPr>
              <w:ind w:left="20"/>
              <w:spacing w:after="0"/>
              <w:rPr>
                <w:sz w:val="20"/>
                <w:szCs w:val="20"/>
                <w:color w:val="auto"/>
              </w:rPr>
            </w:pPr>
            <w:r>
              <w:rPr>
                <w:rFonts w:ascii="Arial" w:cs="Arial" w:eastAsia="Arial" w:hAnsi="Arial"/>
                <w:sz w:val="11"/>
                <w:szCs w:val="11"/>
                <w:color w:val="auto"/>
              </w:rPr>
              <w:t>Total stockholders’ equity (deficit)</w:t>
            </w:r>
          </w:p>
        </w:tc>
        <w:tc>
          <w:tcPr>
            <w:tcW w:w="1080" w:type="dxa"/>
            <w:vAlign w:val="bottom"/>
            <w:tcBorders>
              <w:bottom w:val="single" w:sz="8" w:color="auto"/>
            </w:tcBorders>
            <w:shd w:val="clear" w:color="auto" w:fill="DDDDDD"/>
          </w:tcPr>
          <w:p>
            <w:pPr>
              <w:spacing w:after="0"/>
              <w:rPr>
                <w:sz w:val="14"/>
                <w:szCs w:val="14"/>
                <w:color w:val="auto"/>
              </w:rPr>
            </w:pPr>
          </w:p>
        </w:tc>
        <w:tc>
          <w:tcPr>
            <w:tcW w:w="4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(35.3)</w:t>
            </w:r>
          </w:p>
        </w:tc>
        <w:tc>
          <w:tcPr>
            <w:tcW w:w="80" w:type="dxa"/>
            <w:vAlign w:val="bottom"/>
            <w:shd w:val="clear" w:color="auto" w:fill="DDDDDD"/>
          </w:tcPr>
          <w:p>
            <w:pPr>
              <w:spacing w:after="0"/>
              <w:rPr>
                <w:sz w:val="14"/>
                <w:szCs w:val="14"/>
                <w:color w:val="auto"/>
              </w:rPr>
            </w:pPr>
          </w:p>
        </w:tc>
        <w:tc>
          <w:tcPr>
            <w:tcW w:w="260" w:type="dxa"/>
            <w:vAlign w:val="bottom"/>
            <w:tcBorders>
              <w:bottom w:val="single" w:sz="8" w:color="auto"/>
            </w:tcBorders>
            <w:shd w:val="clear" w:color="auto" w:fill="DDDDDD"/>
          </w:tcPr>
          <w:p>
            <w:pPr>
              <w:spacing w:after="0"/>
              <w:rPr>
                <w:sz w:val="14"/>
                <w:szCs w:val="14"/>
                <w:color w:val="auto"/>
              </w:rPr>
            </w:pPr>
          </w:p>
        </w:tc>
        <w:tc>
          <w:tcPr>
            <w:tcW w:w="124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71.1</w:t>
            </w:r>
          </w:p>
        </w:tc>
      </w:tr>
      <w:tr>
        <w:trPr>
          <w:trHeight w:val="180"/>
        </w:trPr>
        <w:tc>
          <w:tcPr>
            <w:tcW w:w="820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1080" w:type="dxa"/>
            <w:vAlign w:val="bottom"/>
            <w:tcBorders>
              <w:bottom w:val="single" w:sz="8" w:color="auto"/>
            </w:tcBorders>
          </w:tcPr>
          <w:p>
            <w:pPr>
              <w:jc w:val="right"/>
              <w:ind w:right="94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336.2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447.5</w:t>
            </w:r>
          </w:p>
        </w:tc>
      </w:tr>
      <w:tr>
        <w:trPr>
          <w:trHeight w:val="20"/>
        </w:trPr>
        <w:tc>
          <w:tcPr>
            <w:tcW w:w="8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1250"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sectPr>
          <w:pgSz w:w="11880" w:h="15480" w:orient="portrait"/>
          <w:cols w:equalWidth="0" w:num="1">
            <w:col w:w="11260"/>
          </w:cols>
          <w:pgMar w:left="300" w:top="1250" w:right="319" w:bottom="0" w:gutter="0" w:footer="0" w:header="0"/>
          <w:type w:val="continuous"/>
        </w:sectPr>
      </w:pPr>
    </w:p>
    <w:bookmarkStart w:id="96" w:name="page97"/>
    <w:bookmarkEnd w:id="96"/>
    <w:p>
      <w:pPr>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tcBorders>
              <w:bottom w:val="single" w:sz="8" w:color="DDDDD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DDDD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DDDD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9"/>
        </w:trPr>
        <w:tc>
          <w:tcPr>
            <w:tcW w:w="66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Revenue:</w:t>
            </w:r>
          </w:p>
        </w:tc>
        <w:tc>
          <w:tcPr>
            <w:tcW w:w="36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00" w:type="dxa"/>
            <w:vAlign w:val="bottom"/>
          </w:tcPr>
          <w:p>
            <w:pPr>
              <w:ind w:left="260"/>
              <w:spacing w:after="0"/>
              <w:rPr>
                <w:sz w:val="20"/>
                <w:szCs w:val="20"/>
                <w:color w:val="auto"/>
              </w:rPr>
            </w:pPr>
            <w:r>
              <w:rPr>
                <w:rFonts w:ascii="Arial" w:cs="Arial" w:eastAsia="Arial" w:hAnsi="Arial"/>
                <w:sz w:val="14"/>
                <w:szCs w:val="14"/>
                <w:color w:val="auto"/>
              </w:rPr>
              <w:t>Subscription and Reserve rental revenue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268.6</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185.8</w:t>
            </w:r>
          </w:p>
        </w:tc>
        <w:tc>
          <w:tcPr>
            <w:tcW w:w="80" w:type="dxa"/>
            <w:vAlign w:val="bottom"/>
          </w:tcPr>
          <w:p>
            <w:pPr>
              <w:spacing w:after="0"/>
              <w:rPr>
                <w:sz w:val="18"/>
                <w:szCs w:val="18"/>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ind w:right="10"/>
              <w:spacing w:after="0"/>
              <w:rPr>
                <w:sz w:val="20"/>
                <w:szCs w:val="20"/>
                <w:color w:val="auto"/>
              </w:rPr>
            </w:pPr>
            <w:r>
              <w:rPr>
                <w:rFonts w:ascii="Arial" w:cs="Arial" w:eastAsia="Arial" w:hAnsi="Arial"/>
                <w:sz w:val="14"/>
                <w:szCs w:val="14"/>
                <w:color w:val="auto"/>
              </w:rPr>
              <w:t>27.8</w:t>
            </w:r>
          </w:p>
        </w:tc>
        <w:tc>
          <w:tcPr>
            <w:tcW w:w="8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71"/>
        </w:trPr>
        <w:tc>
          <w:tcPr>
            <w:tcW w:w="6600" w:type="dxa"/>
            <w:vAlign w:val="bottom"/>
            <w:tcBorders>
              <w:top w:val="single" w:sz="8" w:color="DDDDDD"/>
              <w:bottom w:val="single" w:sz="8" w:color="DDDDDD"/>
            </w:tcBorders>
          </w:tcPr>
          <w:p>
            <w:pPr>
              <w:ind w:left="520"/>
              <w:spacing w:after="0"/>
              <w:rPr>
                <w:sz w:val="20"/>
                <w:szCs w:val="20"/>
                <w:color w:val="auto"/>
              </w:rPr>
            </w:pPr>
            <w:r>
              <w:rPr>
                <w:rFonts w:ascii="Arial" w:cs="Arial" w:eastAsia="Arial" w:hAnsi="Arial"/>
                <w:sz w:val="14"/>
                <w:szCs w:val="14"/>
                <w:color w:val="auto"/>
              </w:rPr>
              <w:t>Total revenue, net</w:t>
            </w: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296.4</w:t>
            </w:r>
          </w:p>
        </w:tc>
        <w:tc>
          <w:tcPr>
            <w:tcW w:w="80" w:type="dxa"/>
            <w:vAlign w:val="bottom"/>
            <w:tcBorders>
              <w:top w:val="single" w:sz="8" w:color="DDDDDD"/>
              <w:bottom w:val="single" w:sz="8" w:color="DDDDDD"/>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203.3</w:t>
            </w:r>
          </w:p>
        </w:tc>
        <w:tc>
          <w:tcPr>
            <w:tcW w:w="80" w:type="dxa"/>
            <w:vAlign w:val="bottom"/>
            <w:tcBorders>
              <w:top w:val="single" w:sz="8" w:color="DDDDDD"/>
              <w:bottom w:val="single" w:sz="8" w:color="DDDDD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73"/>
        </w:trPr>
        <w:tc>
          <w:tcPr>
            <w:tcW w:w="66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Costs and expenses:</w:t>
            </w:r>
          </w:p>
        </w:tc>
        <w:tc>
          <w:tcPr>
            <w:tcW w:w="36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DDDDDD"/>
            </w:tcBorders>
            <w:shd w:val="clear" w:color="auto" w:fill="DDDDDD"/>
          </w:tcPr>
          <w:p>
            <w:pPr>
              <w:spacing w:after="0"/>
              <w:rPr>
                <w:sz w:val="15"/>
                <w:szCs w:val="15"/>
                <w:color w:val="auto"/>
              </w:rPr>
            </w:pPr>
          </w:p>
        </w:tc>
        <w:tc>
          <w:tcPr>
            <w:tcW w:w="1140" w:type="dxa"/>
            <w:vAlign w:val="bottom"/>
            <w:tcBorders>
              <w:bottom w:val="single" w:sz="8" w:color="DDDDDD"/>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60"/>
              <w:spacing w:after="0"/>
              <w:rPr>
                <w:sz w:val="20"/>
                <w:szCs w:val="20"/>
                <w:color w:val="auto"/>
              </w:rPr>
            </w:pPr>
            <w:r>
              <w:rPr>
                <w:rFonts w:ascii="Arial" w:cs="Arial" w:eastAsia="Arial" w:hAnsi="Arial"/>
                <w:sz w:val="14"/>
                <w:szCs w:val="14"/>
                <w:color w:val="auto"/>
              </w:rPr>
              <w:t>Fulfillment</w:t>
            </w:r>
          </w:p>
        </w:tc>
        <w:tc>
          <w:tcPr>
            <w:tcW w:w="360" w:type="dxa"/>
            <w:vAlign w:val="bottom"/>
          </w:tcPr>
          <w:p>
            <w:pPr>
              <w:spacing w:after="0"/>
              <w:rPr>
                <w:sz w:val="16"/>
                <w:szCs w:val="16"/>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61.9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Technology</w:t>
            </w: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ind w:right="10"/>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45.3</w:t>
            </w:r>
          </w:p>
        </w:tc>
        <w:tc>
          <w:tcPr>
            <w:tcW w:w="8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189"/>
        </w:trPr>
        <w:tc>
          <w:tcPr>
            <w:tcW w:w="6600" w:type="dxa"/>
            <w:vAlign w:val="bottom"/>
          </w:tcPr>
          <w:p>
            <w:pPr>
              <w:ind w:left="260"/>
              <w:spacing w:after="0"/>
              <w:rPr>
                <w:sz w:val="20"/>
                <w:szCs w:val="20"/>
                <w:color w:val="auto"/>
              </w:rPr>
            </w:pPr>
            <w:r>
              <w:rPr>
                <w:rFonts w:ascii="Arial" w:cs="Arial" w:eastAsia="Arial" w:hAnsi="Arial"/>
                <w:sz w:val="14"/>
                <w:szCs w:val="14"/>
                <w:color w:val="auto"/>
              </w:rPr>
              <w:t>Marketing</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109.0</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89"/>
        </w:trPr>
        <w:tc>
          <w:tcPr>
            <w:tcW w:w="6600" w:type="dxa"/>
            <w:vAlign w:val="bottom"/>
          </w:tcPr>
          <w:p>
            <w:pPr>
              <w:ind w:left="260"/>
              <w:spacing w:after="0"/>
              <w:rPr>
                <w:sz w:val="20"/>
                <w:szCs w:val="20"/>
                <w:color w:val="auto"/>
              </w:rPr>
            </w:pPr>
            <w:r>
              <w:rPr>
                <w:rFonts w:ascii="Arial" w:cs="Arial" w:eastAsia="Arial" w:hAnsi="Arial"/>
                <w:sz w:val="14"/>
                <w:szCs w:val="14"/>
                <w:color w:val="auto"/>
              </w:rPr>
              <w:t>Rental product depreciation and revenue share</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Other depreciation and amortization</w:t>
            </w: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DDDDDD"/>
            </w:tcBorders>
            <w:shd w:val="clear" w:color="auto" w:fill="DDDDDD"/>
          </w:tcPr>
          <w:p>
            <w:pPr>
              <w:spacing w:after="0"/>
              <w:rPr>
                <w:sz w:val="16"/>
                <w:szCs w:val="16"/>
                <w:color w:val="auto"/>
              </w:rPr>
            </w:pPr>
          </w:p>
        </w:tc>
        <w:tc>
          <w:tcPr>
            <w:tcW w:w="100" w:type="dxa"/>
            <w:vAlign w:val="bottom"/>
            <w:tcBorders>
              <w:bottom w:val="single" w:sz="8" w:color="DDDDDD"/>
            </w:tcBorders>
            <w:shd w:val="clear" w:color="auto" w:fill="DDDDDD"/>
          </w:tcPr>
          <w:p>
            <w:pPr>
              <w:spacing w:after="0"/>
              <w:rPr>
                <w:sz w:val="16"/>
                <w:szCs w:val="16"/>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19.4</w:t>
            </w:r>
          </w:p>
        </w:tc>
        <w:tc>
          <w:tcPr>
            <w:tcW w:w="8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89"/>
        </w:trPr>
        <w:tc>
          <w:tcPr>
            <w:tcW w:w="6600" w:type="dxa"/>
            <w:vAlign w:val="bottom"/>
          </w:tcPr>
          <w:p>
            <w:pPr>
              <w:ind w:left="260"/>
              <w:spacing w:after="0"/>
              <w:rPr>
                <w:sz w:val="20"/>
                <w:szCs w:val="20"/>
                <w:color w:val="auto"/>
              </w:rPr>
            </w:pPr>
            <w:r>
              <w:rPr>
                <w:rFonts w:ascii="Arial" w:cs="Arial" w:eastAsia="Arial" w:hAnsi="Arial"/>
                <w:sz w:val="14"/>
                <w:szCs w:val="14"/>
                <w:color w:val="auto"/>
              </w:rPr>
              <w:t>Restructuring charges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Loss on asset impairment related to restructuring</w:t>
            </w:r>
          </w:p>
        </w:tc>
        <w:tc>
          <w:tcPr>
            <w:tcW w:w="36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5.3</w:t>
            </w:r>
          </w:p>
        </w:tc>
        <w:tc>
          <w:tcPr>
            <w:tcW w:w="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600" w:type="dxa"/>
            <w:vAlign w:val="bottom"/>
            <w:tcBorders>
              <w:bottom w:val="single" w:sz="8" w:color="DDDDDD"/>
            </w:tcBorders>
          </w:tcPr>
          <w:p>
            <w:pPr>
              <w:ind w:left="520"/>
              <w:spacing w:after="0"/>
              <w:rPr>
                <w:sz w:val="20"/>
                <w:szCs w:val="20"/>
                <w:color w:val="auto"/>
              </w:rPr>
            </w:pPr>
            <w:r>
              <w:rPr>
                <w:rFonts w:ascii="Arial" w:cs="Arial" w:eastAsia="Arial" w:hAnsi="Arial"/>
                <w:sz w:val="14"/>
                <w:szCs w:val="14"/>
                <w:color w:val="auto"/>
              </w:rPr>
              <w:t>Total costs and expenses</w:t>
            </w: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80" w:type="dxa"/>
            <w:vAlign w:val="bottom"/>
            <w:tcBorders>
              <w:bottom w:val="single" w:sz="8" w:color="DDDDDD"/>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329.2</w:t>
            </w:r>
          </w:p>
        </w:tc>
        <w:tc>
          <w:tcPr>
            <w:tcW w:w="80" w:type="dxa"/>
            <w:vAlign w:val="bottom"/>
            <w:tcBorders>
              <w:bottom w:val="single" w:sz="8" w:color="DDDDDD"/>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93"/>
        </w:trPr>
        <w:tc>
          <w:tcPr>
            <w:tcW w:w="6600" w:type="dxa"/>
            <w:vAlign w:val="bottom"/>
            <w:shd w:val="clear" w:color="auto" w:fill="DDDDDD"/>
          </w:tcPr>
          <w:p>
            <w:pPr>
              <w:ind w:left="780"/>
              <w:spacing w:after="0"/>
              <w:rPr>
                <w:sz w:val="20"/>
                <w:szCs w:val="20"/>
                <w:color w:val="auto"/>
              </w:rPr>
            </w:pPr>
            <w:r>
              <w:rPr>
                <w:rFonts w:ascii="Arial" w:cs="Arial" w:eastAsia="Arial" w:hAnsi="Arial"/>
                <w:sz w:val="14"/>
                <w:szCs w:val="14"/>
                <w:color w:val="auto"/>
              </w:rPr>
              <w:t>Operating loss</w:t>
            </w:r>
          </w:p>
        </w:tc>
        <w:tc>
          <w:tcPr>
            <w:tcW w:w="36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(103.6)</w:t>
            </w: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(125.9)</w:t>
            </w: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(130.5)</w:t>
            </w:r>
          </w:p>
        </w:tc>
        <w:tc>
          <w:tcPr>
            <w:tcW w:w="0" w:type="dxa"/>
            <w:vAlign w:val="bottom"/>
          </w:tcPr>
          <w:p>
            <w:pPr>
              <w:spacing w:after="0"/>
              <w:rPr>
                <w:sz w:val="1"/>
                <w:szCs w:val="1"/>
                <w:color w:val="auto"/>
              </w:rPr>
            </w:pPr>
          </w:p>
        </w:tc>
      </w:tr>
      <w:tr>
        <w:trPr>
          <w:trHeight w:val="188"/>
        </w:trPr>
        <w:tc>
          <w:tcPr>
            <w:tcW w:w="6600" w:type="dxa"/>
            <w:vAlign w:val="bottom"/>
          </w:tcPr>
          <w:p>
            <w:pPr>
              <w:spacing w:after="0"/>
              <w:rPr>
                <w:sz w:val="20"/>
                <w:szCs w:val="20"/>
                <w:color w:val="auto"/>
              </w:rPr>
            </w:pPr>
            <w:r>
              <w:rPr>
                <w:rFonts w:ascii="Arial" w:cs="Arial" w:eastAsia="Arial" w:hAnsi="Arial"/>
                <w:sz w:val="14"/>
                <w:szCs w:val="14"/>
                <w:color w:val="auto"/>
              </w:rPr>
              <w:t>Interest income / (expense), net</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60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Gain / (loss) on warrant liability revaluation, net</w:t>
            </w:r>
          </w:p>
        </w:tc>
        <w:tc>
          <w:tcPr>
            <w:tcW w:w="360" w:type="dxa"/>
            <w:vAlign w:val="bottom"/>
            <w:tcBorders>
              <w:bottom w:val="single" w:sz="8" w:color="DDDDDD"/>
            </w:tcBorders>
            <w:shd w:val="clear" w:color="auto" w:fill="DDDDDD"/>
          </w:tcPr>
          <w:p>
            <w:pPr>
              <w:spacing w:after="0"/>
              <w:rPr>
                <w:sz w:val="16"/>
                <w:szCs w:val="16"/>
                <w:color w:val="auto"/>
              </w:rPr>
            </w:pPr>
          </w:p>
        </w:tc>
        <w:tc>
          <w:tcPr>
            <w:tcW w:w="122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DDDDD"/>
            </w:tcBorders>
            <w:shd w:val="clear" w:color="auto" w:fill="DDDDDD"/>
          </w:tcPr>
          <w:p>
            <w:pPr>
              <w:spacing w:after="0"/>
              <w:rPr>
                <w:sz w:val="16"/>
                <w:szCs w:val="16"/>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(24.9)</w:t>
            </w:r>
          </w:p>
        </w:tc>
        <w:tc>
          <w:tcPr>
            <w:tcW w:w="80" w:type="dxa"/>
            <w:vAlign w:val="bottom"/>
            <w:tcBorders>
              <w:bottom w:val="single" w:sz="8" w:color="DDDDDD"/>
            </w:tcBorders>
            <w:shd w:val="clear" w:color="auto" w:fill="DDDDDD"/>
          </w:tcPr>
          <w:p>
            <w:pPr>
              <w:spacing w:after="0"/>
              <w:rPr>
                <w:sz w:val="16"/>
                <w:szCs w:val="16"/>
                <w:color w:val="auto"/>
              </w:rPr>
            </w:pPr>
          </w:p>
        </w:tc>
        <w:tc>
          <w:tcPr>
            <w:tcW w:w="36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8"/>
        </w:trPr>
        <w:tc>
          <w:tcPr>
            <w:tcW w:w="6600" w:type="dxa"/>
            <w:vAlign w:val="bottom"/>
          </w:tcPr>
          <w:p>
            <w:pPr>
              <w:spacing w:after="0"/>
              <w:rPr>
                <w:sz w:val="20"/>
                <w:szCs w:val="20"/>
                <w:color w:val="auto"/>
              </w:rPr>
            </w:pPr>
            <w:r>
              <w:rPr>
                <w:rFonts w:ascii="Arial" w:cs="Arial" w:eastAsia="Arial" w:hAnsi="Arial"/>
                <w:sz w:val="14"/>
                <w:szCs w:val="14"/>
                <w:color w:val="auto"/>
              </w:rPr>
              <w:t>Gain / (loss) on debt extinguishment, net</w:t>
            </w: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Other income / (expense), net</w:t>
            </w:r>
          </w:p>
        </w:tc>
        <w:tc>
          <w:tcPr>
            <w:tcW w:w="36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3.9</w:t>
            </w:r>
          </w:p>
        </w:tc>
        <w:tc>
          <w:tcPr>
            <w:tcW w:w="8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1"/>
        </w:trPr>
        <w:tc>
          <w:tcPr>
            <w:tcW w:w="6600" w:type="dxa"/>
            <w:vAlign w:val="bottom"/>
          </w:tcPr>
          <w:p>
            <w:pPr>
              <w:ind w:left="680"/>
              <w:spacing w:after="0"/>
              <w:rPr>
                <w:sz w:val="20"/>
                <w:szCs w:val="20"/>
                <w:color w:val="auto"/>
              </w:rPr>
            </w:pPr>
            <w:r>
              <w:rPr>
                <w:rFonts w:ascii="Arial" w:cs="Arial" w:eastAsia="Arial" w:hAnsi="Arial"/>
                <w:sz w:val="14"/>
                <w:szCs w:val="14"/>
                <w:color w:val="auto"/>
              </w:rPr>
              <w:t>Net loss before income tax benefit / (expense)</w:t>
            </w: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(138.9)</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39"/>
        </w:trPr>
        <w:tc>
          <w:tcPr>
            <w:tcW w:w="6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Income tax benefit / (expense)</w:t>
            </w:r>
          </w:p>
        </w:tc>
        <w:tc>
          <w:tcPr>
            <w:tcW w:w="3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0.2</w:t>
            </w:r>
          </w:p>
        </w:tc>
        <w:tc>
          <w:tcPr>
            <w:tcW w:w="8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3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0.3</w:t>
            </w:r>
          </w:p>
        </w:tc>
        <w:tc>
          <w:tcPr>
            <w:tcW w:w="80" w:type="dxa"/>
            <w:vAlign w:val="bottom"/>
            <w:tcBorders>
              <w:bottom w:val="single" w:sz="8" w:color="DDDDDD"/>
            </w:tcBorders>
            <w:shd w:val="clear" w:color="auto" w:fill="DDDDDD"/>
          </w:tcPr>
          <w:p>
            <w:pPr>
              <w:spacing w:after="0"/>
              <w:rPr>
                <w:sz w:val="20"/>
                <w:szCs w:val="20"/>
                <w:color w:val="auto"/>
              </w:rPr>
            </w:pPr>
          </w:p>
        </w:tc>
        <w:tc>
          <w:tcPr>
            <w:tcW w:w="360" w:type="dxa"/>
            <w:vAlign w:val="bottom"/>
            <w:tcBorders>
              <w:bottom w:val="single" w:sz="8" w:color="DDDDDD"/>
            </w:tcBorders>
            <w:shd w:val="clear" w:color="auto" w:fill="DDDDDD"/>
          </w:tcPr>
          <w:p>
            <w:pPr>
              <w:spacing w:after="0"/>
              <w:rPr>
                <w:sz w:val="20"/>
                <w:szCs w:val="20"/>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6600" w:type="dxa"/>
            <w:vAlign w:val="bottom"/>
            <w:tcBorders>
              <w:top w:val="single" w:sz="8" w:color="DDDDDD"/>
            </w:tcBorders>
          </w:tcPr>
          <w:p>
            <w:pPr>
              <w:ind w:left="780"/>
              <w:spacing w:after="0" w:line="151" w:lineRule="exact"/>
              <w:rPr>
                <w:sz w:val="20"/>
                <w:szCs w:val="20"/>
                <w:color w:val="auto"/>
              </w:rPr>
            </w:pPr>
            <w:r>
              <w:rPr>
                <w:rFonts w:ascii="Arial" w:cs="Arial" w:eastAsia="Arial" w:hAnsi="Arial"/>
                <w:sz w:val="14"/>
                <w:szCs w:val="14"/>
                <w:color w:val="auto"/>
              </w:rPr>
              <w:t>Net loss</w:t>
            </w:r>
          </w:p>
        </w:tc>
        <w:tc>
          <w:tcPr>
            <w:tcW w:w="360" w:type="dxa"/>
            <w:vAlign w:val="bottom"/>
            <w:tcBorders>
              <w:top w:val="single" w:sz="8" w:color="auto"/>
              <w:bottom w:val="single" w:sz="8" w:color="auto"/>
            </w:tcBorders>
          </w:tcPr>
          <w:p>
            <w:pPr>
              <w:jc w:val="right"/>
              <w:ind w:right="189"/>
              <w:spacing w:after="0" w:line="151"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(138.7)</w:t>
            </w:r>
          </w:p>
        </w:tc>
        <w:tc>
          <w:tcPr>
            <w:tcW w:w="80" w:type="dxa"/>
            <w:vAlign w:val="bottom"/>
            <w:tcBorders>
              <w:top w:val="single" w:sz="8" w:color="DDDDDD"/>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(211.8)</w:t>
            </w:r>
          </w:p>
        </w:tc>
        <w:tc>
          <w:tcPr>
            <w:tcW w:w="80" w:type="dxa"/>
            <w:vAlign w:val="bottom"/>
            <w:tcBorders>
              <w:top w:val="single" w:sz="8" w:color="DDDDDD"/>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189"/>
              <w:spacing w:after="0" w:line="151"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DDDDD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6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60" w:type="dxa"/>
            <w:vAlign w:val="bottom"/>
            <w:tcBorders>
              <w:bottom w:val="single" w:sz="8" w:color="auto"/>
            </w:tcBorders>
            <w:shd w:val="clear" w:color="auto" w:fill="DDDDDD"/>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(2.16)</w:t>
            </w:r>
          </w:p>
        </w:tc>
        <w:tc>
          <w:tcPr>
            <w:tcW w:w="8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(8.51)</w:t>
            </w:r>
          </w:p>
        </w:tc>
        <w:tc>
          <w:tcPr>
            <w:tcW w:w="80" w:type="dxa"/>
            <w:vAlign w:val="bottom"/>
            <w:tcBorders>
              <w:bottom w:val="single" w:sz="8" w:color="DDDDDD"/>
            </w:tcBorders>
            <w:shd w:val="clear" w:color="auto" w:fill="DDDDDD"/>
          </w:tcPr>
          <w:p>
            <w:pPr>
              <w:spacing w:after="0"/>
              <w:rPr>
                <w:sz w:val="18"/>
                <w:szCs w:val="18"/>
                <w:color w:val="auto"/>
              </w:rPr>
            </w:pPr>
          </w:p>
        </w:tc>
        <w:tc>
          <w:tcPr>
            <w:tcW w:w="360" w:type="dxa"/>
            <w:vAlign w:val="bottom"/>
            <w:tcBorders>
              <w:bottom w:val="single" w:sz="8" w:color="auto"/>
            </w:tcBorders>
            <w:shd w:val="clear" w:color="auto" w:fill="DDDDDD"/>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20"/>
        </w:trPr>
        <w:tc>
          <w:tcPr>
            <w:tcW w:w="6600" w:type="dxa"/>
            <w:vAlign w:val="bottom"/>
            <w:tcBorders>
              <w:top w:val="single" w:sz="8" w:color="DDDDDD"/>
              <w:bottom w:val="single" w:sz="8" w:color="DDDDDD"/>
            </w:tcBorders>
            <w:vMerge w:val="restart"/>
          </w:tcPr>
          <w:p>
            <w:pPr>
              <w:ind w:left="20"/>
              <w:spacing w:after="0" w:line="155" w:lineRule="exact"/>
              <w:rPr>
                <w:sz w:val="20"/>
                <w:szCs w:val="20"/>
                <w:color w:val="auto"/>
              </w:rPr>
            </w:pPr>
            <w:r>
              <w:rPr>
                <w:rFonts w:ascii="Arial" w:cs="Arial" w:eastAsia="Arial" w:hAnsi="Arial"/>
                <w:sz w:val="14"/>
                <w:szCs w:val="14"/>
                <w:color w:val="auto"/>
              </w:rPr>
              <w:t>Weighted-average shares used in computing net loss per share attributable to common stockholders,</w:t>
            </w: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6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64,254,930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24,874,061</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11,138,851</w:t>
            </w:r>
          </w:p>
        </w:tc>
        <w:tc>
          <w:tcPr>
            <w:tcW w:w="0" w:type="dxa"/>
            <w:vAlign w:val="bottom"/>
          </w:tcPr>
          <w:p>
            <w:pPr>
              <w:spacing w:after="0"/>
              <w:rPr>
                <w:sz w:val="1"/>
                <w:szCs w:val="1"/>
                <w:color w:val="auto"/>
              </w:rPr>
            </w:pPr>
          </w:p>
        </w:tc>
      </w:tr>
      <w:tr>
        <w:trPr>
          <w:trHeight w:val="188"/>
        </w:trPr>
        <w:tc>
          <w:tcPr>
            <w:tcW w:w="66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105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89</w:t>
      </w:r>
    </w:p>
    <w:p>
      <w:pPr>
        <w:sectPr>
          <w:pgSz w:w="11880" w:h="15480" w:orient="portrait"/>
          <w:cols w:equalWidth="0" w:num="1">
            <w:col w:w="11240"/>
          </w:cols>
          <w:pgMar w:left="300" w:top="1059" w:right="339" w:bottom="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Changes in Redeemable Preferred Stock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60" w:type="dxa"/>
            <w:vAlign w:val="bottom"/>
          </w:tcPr>
          <w:p>
            <w:pPr>
              <w:spacing w:after="0"/>
              <w:rPr>
                <w:sz w:val="18"/>
                <w:szCs w:val="18"/>
                <w:color w:val="auto"/>
              </w:rPr>
            </w:pPr>
          </w:p>
        </w:tc>
        <w:tc>
          <w:tcPr>
            <w:tcW w:w="2080" w:type="dxa"/>
            <w:vAlign w:val="bottom"/>
            <w:tcBorders>
              <w:right w:val="single" w:sz="8" w:color="auto"/>
            </w:tcBorders>
            <w:gridSpan w:val="4"/>
          </w:tcPr>
          <w:p>
            <w:pPr>
              <w:jc w:val="right"/>
              <w:ind w:right="636"/>
              <w:spacing w:after="0"/>
              <w:rPr>
                <w:sz w:val="20"/>
                <w:szCs w:val="20"/>
                <w:color w:val="auto"/>
              </w:rPr>
            </w:pPr>
            <w:r>
              <w:rPr>
                <w:rFonts w:ascii="Arial" w:cs="Arial" w:eastAsia="Arial" w:hAnsi="Arial"/>
                <w:sz w:val="13"/>
                <w:szCs w:val="13"/>
                <w:b w:val="1"/>
                <w:bCs w:val="1"/>
                <w:color w:val="auto"/>
              </w:rPr>
              <w:t>Redeemable</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restart"/>
          </w:tcPr>
          <w:p>
            <w:pPr>
              <w:jc w:val="center"/>
              <w:ind w:right="16"/>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2080" w:type="dxa"/>
            <w:vAlign w:val="bottom"/>
            <w:tcBorders>
              <w:right w:val="single" w:sz="8" w:color="auto"/>
            </w:tcBorders>
            <w:gridSpan w:val="4"/>
            <w:vMerge w:val="restart"/>
          </w:tcPr>
          <w:p>
            <w:pPr>
              <w:jc w:val="right"/>
              <w:ind w:right="536"/>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4"/>
                <w:szCs w:val="4"/>
                <w:color w:val="auto"/>
              </w:rPr>
            </w:pPr>
          </w:p>
        </w:tc>
        <w:tc>
          <w:tcPr>
            <w:tcW w:w="2020" w:type="dxa"/>
            <w:vAlign w:val="bottom"/>
            <w:gridSpan w:val="4"/>
            <w:vMerge w:val="restart"/>
          </w:tcPr>
          <w:p>
            <w:pPr>
              <w:jc w:val="right"/>
              <w:ind w:right="476"/>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3560" w:type="dxa"/>
            <w:vAlign w:val="bottom"/>
          </w:tcPr>
          <w:p>
            <w:pPr>
              <w:spacing w:after="0"/>
              <w:rPr>
                <w:sz w:val="10"/>
                <w:szCs w:val="10"/>
                <w:color w:val="auto"/>
              </w:rPr>
            </w:pPr>
          </w:p>
        </w:tc>
        <w:tc>
          <w:tcPr>
            <w:tcW w:w="2080" w:type="dxa"/>
            <w:vAlign w:val="bottom"/>
            <w:tcBorders>
              <w:bottom w:val="single" w:sz="8" w:color="auto"/>
              <w:right w:val="single" w:sz="8" w:color="auto"/>
            </w:tcBorders>
            <w:gridSpan w:val="4"/>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tcBorders>
              <w:bottom w:val="single" w:sz="8" w:color="auto"/>
            </w:tcBorders>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0"/>
                <w:szCs w:val="10"/>
                <w:color w:val="auto"/>
              </w:rPr>
            </w:pPr>
          </w:p>
        </w:tc>
        <w:tc>
          <w:tcPr>
            <w:tcW w:w="106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1020" w:type="dxa"/>
            <w:vAlign w:val="bottom"/>
          </w:tcPr>
          <w:p>
            <w:pPr>
              <w:jc w:val="center"/>
              <w:ind w:right="36"/>
              <w:spacing w:after="0" w:line="120"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840" w:type="dxa"/>
            <w:vAlign w:val="bottom"/>
            <w:tcBorders>
              <w:right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040" w:type="dxa"/>
            <w:vAlign w:val="bottom"/>
          </w:tcPr>
          <w:p>
            <w:pPr>
              <w:jc w:val="right"/>
              <w:ind w:right="236"/>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20" w:type="dxa"/>
            <w:vAlign w:val="bottom"/>
          </w:tcPr>
          <w:p>
            <w:pPr>
              <w:jc w:val="center"/>
              <w:ind w:right="16"/>
              <w:spacing w:after="0"/>
              <w:rPr>
                <w:sz w:val="20"/>
                <w:szCs w:val="20"/>
                <w:color w:val="auto"/>
              </w:rPr>
            </w:pPr>
            <w:r>
              <w:rPr>
                <w:rFonts w:ascii="Arial" w:cs="Arial" w:eastAsia="Arial" w:hAnsi="Arial"/>
                <w:sz w:val="13"/>
                <w:szCs w:val="13"/>
                <w:b w:val="1"/>
                <w:bCs w:val="1"/>
                <w:color w:val="auto"/>
                <w:w w:val="98"/>
              </w:rPr>
              <w:t>Equity (Deficit)</w:t>
            </w:r>
          </w:p>
        </w:tc>
        <w:tc>
          <w:tcPr>
            <w:tcW w:w="0" w:type="dxa"/>
            <w:vAlign w:val="bottom"/>
          </w:tcPr>
          <w:p>
            <w:pPr>
              <w:spacing w:after="0"/>
              <w:rPr>
                <w:sz w:val="1"/>
                <w:szCs w:val="1"/>
                <w:color w:val="auto"/>
              </w:rPr>
            </w:pPr>
          </w:p>
        </w:tc>
      </w:tr>
      <w:tr>
        <w:trPr>
          <w:trHeight w:val="160"/>
        </w:trPr>
        <w:tc>
          <w:tcPr>
            <w:tcW w:w="356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3"/>
                <w:szCs w:val="13"/>
                <w:color w:val="auto"/>
              </w:rPr>
              <w:t>Balances as of January 31, 2020</w:t>
            </w: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26,992,271</w:t>
            </w:r>
          </w:p>
        </w:tc>
        <w:tc>
          <w:tcPr>
            <w:tcW w:w="60" w:type="dxa"/>
            <w:vAlign w:val="bottom"/>
            <w:tcBorders>
              <w:top w:val="single" w:sz="8" w:color="DDDDDD"/>
            </w:tcBorders>
            <w:shd w:val="clear" w:color="auto" w:fill="DDDDDD"/>
          </w:tcPr>
          <w:p>
            <w:pPr>
              <w:spacing w:after="0"/>
              <w:rPr>
                <w:sz w:val="13"/>
                <w:szCs w:val="13"/>
                <w:color w:val="auto"/>
              </w:rPr>
            </w:pPr>
          </w:p>
        </w:tc>
        <w:tc>
          <w:tcPr>
            <w:tcW w:w="1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330.5</w:t>
            </w:r>
          </w:p>
        </w:tc>
        <w:tc>
          <w:tcPr>
            <w:tcW w:w="40" w:type="dxa"/>
            <w:vAlign w:val="bottom"/>
            <w:tcBorders>
              <w:top w:val="single" w:sz="8" w:color="DDDDDD"/>
            </w:tcBorders>
            <w:shd w:val="clear" w:color="auto" w:fill="DDDDDD"/>
          </w:tcPr>
          <w:p>
            <w:pPr>
              <w:spacing w:after="0"/>
              <w:rPr>
                <w:sz w:val="13"/>
                <w:szCs w:val="13"/>
                <w:color w:val="auto"/>
              </w:rPr>
            </w:pPr>
          </w:p>
        </w:tc>
        <w:tc>
          <w:tcPr>
            <w:tcW w:w="104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10,371,636</w:t>
            </w:r>
          </w:p>
        </w:tc>
        <w:tc>
          <w:tcPr>
            <w:tcW w:w="60" w:type="dxa"/>
            <w:vAlign w:val="bottom"/>
            <w:tcBorders>
              <w:top w:val="single" w:sz="8" w:color="DDDDDD"/>
            </w:tcBorders>
            <w:shd w:val="clear" w:color="auto" w:fill="DDDDDD"/>
          </w:tcPr>
          <w:p>
            <w:pPr>
              <w:spacing w:after="0"/>
              <w:rPr>
                <w:sz w:val="13"/>
                <w:szCs w:val="13"/>
                <w:color w:val="auto"/>
              </w:rPr>
            </w:pPr>
          </w:p>
        </w:tc>
        <w:tc>
          <w:tcPr>
            <w:tcW w:w="160" w:type="dxa"/>
            <w:vAlign w:val="bottom"/>
            <w:tcBorders>
              <w:top w:val="single" w:sz="8" w:color="auto"/>
            </w:tcBorders>
            <w:shd w:val="clear" w:color="auto" w:fill="DDDDDD"/>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DDDDDD"/>
            </w:tcBorders>
            <w:shd w:val="clear" w:color="auto" w:fill="DDDDDD"/>
          </w:tcPr>
          <w:p>
            <w:pPr>
              <w:spacing w:after="0"/>
              <w:rPr>
                <w:sz w:val="13"/>
                <w:szCs w:val="13"/>
                <w:color w:val="auto"/>
              </w:rPr>
            </w:pPr>
          </w:p>
        </w:tc>
        <w:tc>
          <w:tcPr>
            <w:tcW w:w="1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54.0</w:t>
            </w:r>
          </w:p>
        </w:tc>
        <w:tc>
          <w:tcPr>
            <w:tcW w:w="60" w:type="dxa"/>
            <w:vAlign w:val="bottom"/>
            <w:tcBorders>
              <w:top w:val="single" w:sz="8" w:color="DDDDDD"/>
            </w:tcBorders>
            <w:shd w:val="clear" w:color="auto" w:fill="DDDDDD"/>
          </w:tcPr>
          <w:p>
            <w:pPr>
              <w:spacing w:after="0"/>
              <w:rPr>
                <w:sz w:val="13"/>
                <w:szCs w:val="13"/>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(418.3)</w:t>
            </w:r>
          </w:p>
        </w:tc>
        <w:tc>
          <w:tcPr>
            <w:tcW w:w="60" w:type="dxa"/>
            <w:vAlign w:val="bottom"/>
            <w:tcBorders>
              <w:top w:val="single" w:sz="8" w:color="DDDDDD"/>
            </w:tcBorders>
            <w:shd w:val="clear" w:color="auto" w:fill="DDDDDD"/>
          </w:tcPr>
          <w:p>
            <w:pPr>
              <w:spacing w:after="0"/>
              <w:rPr>
                <w:sz w:val="13"/>
                <w:szCs w:val="13"/>
                <w:color w:val="auto"/>
              </w:rPr>
            </w:pPr>
          </w:p>
        </w:tc>
        <w:tc>
          <w:tcPr>
            <w:tcW w:w="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(364.3)</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Issuance of redeemable preferred stock</w:t>
            </w:r>
          </w:p>
        </w:tc>
        <w:tc>
          <w:tcPr>
            <w:tcW w:w="1040" w:type="dxa"/>
            <w:vAlign w:val="bottom"/>
          </w:tcPr>
          <w:p>
            <w:pPr>
              <w:jc w:val="right"/>
              <w:spacing w:after="0"/>
              <w:rPr>
                <w:sz w:val="20"/>
                <w:szCs w:val="20"/>
                <w:color w:val="auto"/>
              </w:rPr>
            </w:pPr>
            <w:r>
              <w:rPr>
                <w:rFonts w:ascii="Arial" w:cs="Arial" w:eastAsia="Arial" w:hAnsi="Arial"/>
                <w:sz w:val="13"/>
                <w:szCs w:val="13"/>
                <w:color w:val="auto"/>
              </w:rPr>
              <w:t>4,145,650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57.6</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84,885</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0.5</w:t>
            </w:r>
          </w:p>
        </w:tc>
        <w:tc>
          <w:tcPr>
            <w:tcW w:w="6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4"/>
                <w:szCs w:val="14"/>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(171.1)</w:t>
            </w:r>
          </w:p>
        </w:tc>
        <w:tc>
          <w:tcPr>
            <w:tcW w:w="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159"/>
        </w:trPr>
        <w:tc>
          <w:tcPr>
            <w:tcW w:w="3560" w:type="dxa"/>
            <w:vAlign w:val="bottom"/>
          </w:tcPr>
          <w:p>
            <w:pPr>
              <w:spacing w:after="0"/>
              <w:rPr>
                <w:sz w:val="20"/>
                <w:szCs w:val="20"/>
                <w:color w:val="auto"/>
              </w:rPr>
            </w:pPr>
            <w:r>
              <w:rPr>
                <w:rFonts w:ascii="Arial" w:cs="Arial" w:eastAsia="Arial" w:hAnsi="Arial"/>
                <w:sz w:val="13"/>
                <w:szCs w:val="13"/>
                <w:color w:val="auto"/>
              </w:rPr>
              <w:t>Balances as of January 31,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31,137,921</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3"/>
                <w:szCs w:val="13"/>
                <w:color w:val="auto"/>
              </w:rPr>
              <w:t>388.1</w:t>
            </w:r>
          </w:p>
        </w:tc>
        <w:tc>
          <w:tcPr>
            <w:tcW w:w="4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10,456,521</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(589.4)</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(526.7)</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Issuance of redeemable preferred stock</w:t>
            </w: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1,437,541</w:t>
            </w:r>
          </w:p>
        </w:tc>
        <w:tc>
          <w:tcPr>
            <w:tcW w:w="60" w:type="dxa"/>
            <w:vAlign w:val="bottom"/>
            <w:shd w:val="clear" w:color="auto" w:fill="DDDDDD"/>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21.2</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Conversion of redeemable preferred stock</w:t>
            </w:r>
          </w:p>
        </w:tc>
        <w:tc>
          <w:tcPr>
            <w:tcW w:w="1040" w:type="dxa"/>
            <w:vAlign w:val="bottom"/>
          </w:tcPr>
          <w:p>
            <w:pPr>
              <w:jc w:val="right"/>
              <w:spacing w:after="0"/>
              <w:rPr>
                <w:sz w:val="20"/>
                <w:szCs w:val="20"/>
                <w:color w:val="auto"/>
              </w:rPr>
            </w:pPr>
            <w:r>
              <w:rPr>
                <w:rFonts w:ascii="Arial" w:cs="Arial" w:eastAsia="Arial" w:hAnsi="Arial"/>
                <w:sz w:val="13"/>
                <w:szCs w:val="13"/>
                <w:color w:val="auto"/>
              </w:rPr>
              <w:t>(32,575,462)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color w:val="auto"/>
              </w:rPr>
              <w:t>(409.3)</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32,575,462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409.2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409.3</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583,439</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3.3</w:t>
            </w:r>
          </w:p>
        </w:tc>
        <w:tc>
          <w:tcPr>
            <w:tcW w:w="6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Stock issued as part of IPO, net of offering costs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17,000,000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327.3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327.3</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Issuance of warrants</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6.4</w:t>
            </w:r>
          </w:p>
        </w:tc>
        <w:tc>
          <w:tcPr>
            <w:tcW w:w="6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Exercise of warrants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2,421,375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Reclassification of warrants</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1.2</w:t>
            </w:r>
          </w:p>
        </w:tc>
        <w:tc>
          <w:tcPr>
            <w:tcW w:w="6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4"/>
                <w:szCs w:val="14"/>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(211.8)</w:t>
            </w:r>
          </w:p>
        </w:tc>
        <w:tc>
          <w:tcPr>
            <w:tcW w:w="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(211.8)</w:t>
            </w:r>
          </w:p>
        </w:tc>
        <w:tc>
          <w:tcPr>
            <w:tcW w:w="0" w:type="dxa"/>
            <w:vAlign w:val="bottom"/>
          </w:tcPr>
          <w:p>
            <w:pPr>
              <w:spacing w:after="0"/>
              <w:rPr>
                <w:sz w:val="1"/>
                <w:szCs w:val="1"/>
                <w:color w:val="auto"/>
              </w:rPr>
            </w:pPr>
          </w:p>
        </w:tc>
      </w:tr>
      <w:tr>
        <w:trPr>
          <w:trHeight w:val="159"/>
        </w:trPr>
        <w:tc>
          <w:tcPr>
            <w:tcW w:w="3560" w:type="dxa"/>
            <w:vAlign w:val="bottom"/>
          </w:tcPr>
          <w:p>
            <w:pPr>
              <w:spacing w:after="0"/>
              <w:rPr>
                <w:sz w:val="20"/>
                <w:szCs w:val="20"/>
                <w:color w:val="auto"/>
              </w:rPr>
            </w:pPr>
            <w:r>
              <w:rPr>
                <w:rFonts w:ascii="Arial" w:cs="Arial" w:eastAsia="Arial" w:hAnsi="Arial"/>
                <w:sz w:val="13"/>
                <w:szCs w:val="13"/>
                <w:color w:val="auto"/>
              </w:rPr>
              <w:t>Balances as of January 31, 2022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63,036,797</w:t>
            </w: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872.2</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(801.2)</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71.1</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Stock issued under stock incentive plan</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3"/>
                <w:szCs w:val="13"/>
                <w:color w:val="auto"/>
              </w:rPr>
              <w:t>1,985,990</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DDDDD"/>
            </w:tcBorders>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84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560" w:type="dxa"/>
            <w:vAlign w:val="bottom"/>
          </w:tcPr>
          <w:p>
            <w:pPr>
              <w:ind w:left="260"/>
              <w:spacing w:after="0" w:line="148" w:lineRule="exact"/>
              <w:rPr>
                <w:sz w:val="20"/>
                <w:szCs w:val="20"/>
                <w:color w:val="auto"/>
              </w:rPr>
            </w:pPr>
            <w:r>
              <w:rPr>
                <w:rFonts w:ascii="Arial" w:cs="Arial" w:eastAsia="Arial" w:hAnsi="Arial"/>
                <w:sz w:val="13"/>
                <w:szCs w:val="13"/>
                <w:color w:val="auto"/>
              </w:rPr>
              <w:t>Issuance of warrants</w:t>
            </w:r>
          </w:p>
        </w:tc>
        <w:tc>
          <w:tcPr>
            <w:tcW w:w="11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40" w:type="dxa"/>
            <w:vAlign w:val="bottom"/>
            <w:tcBorders>
              <w:right w:val="single" w:sz="8" w:color="auto"/>
            </w:tcBorders>
          </w:tcPr>
          <w:p>
            <w:pPr>
              <w:jc w:val="right"/>
              <w:ind w:right="76"/>
              <w:spacing w:after="0" w:line="14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3"/>
                <w:szCs w:val="13"/>
                <w:color w:val="auto"/>
              </w:rPr>
              <w:t>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8"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71"/>
        </w:trPr>
        <w:tc>
          <w:tcPr>
            <w:tcW w:w="3560" w:type="dxa"/>
            <w:vAlign w:val="bottom"/>
            <w:shd w:val="clear" w:color="auto" w:fill="DDDDDD"/>
          </w:tcPr>
          <w:p>
            <w:pPr>
              <w:ind w:left="260"/>
              <w:spacing w:after="0"/>
              <w:rPr>
                <w:sz w:val="20"/>
                <w:szCs w:val="20"/>
                <w:color w:val="auto"/>
              </w:rPr>
            </w:pPr>
            <w:r>
              <w:rPr>
                <w:rFonts w:ascii="Arial" w:cs="Arial" w:eastAsia="Arial" w:hAnsi="Arial"/>
                <w:sz w:val="13"/>
                <w:szCs w:val="13"/>
                <w:color w:val="auto"/>
              </w:rPr>
              <w:t>Share-based compensation expense</w:t>
            </w:r>
          </w:p>
        </w:tc>
        <w:tc>
          <w:tcPr>
            <w:tcW w:w="110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DDDDDD"/>
          </w:tcPr>
          <w:p>
            <w:pPr>
              <w:spacing w:after="0"/>
              <w:rPr>
                <w:sz w:val="14"/>
                <w:szCs w:val="14"/>
                <w:color w:val="auto"/>
              </w:rPr>
            </w:pPr>
          </w:p>
        </w:tc>
        <w:tc>
          <w:tcPr>
            <w:tcW w:w="840" w:type="dxa"/>
            <w:vAlign w:val="bottom"/>
            <w:tcBorders>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DDDDDD"/>
          </w:tcPr>
          <w:p>
            <w:pPr>
              <w:spacing w:after="0"/>
              <w:rPr>
                <w:sz w:val="14"/>
                <w:szCs w:val="14"/>
                <w:color w:val="auto"/>
              </w:rPr>
            </w:pPr>
          </w:p>
        </w:tc>
        <w:tc>
          <w:tcPr>
            <w:tcW w:w="160" w:type="dxa"/>
            <w:vAlign w:val="bottom"/>
            <w:shd w:val="clear" w:color="auto" w:fill="DDDDDD"/>
          </w:tcPr>
          <w:p>
            <w:pPr>
              <w:spacing w:after="0"/>
              <w:rPr>
                <w:sz w:val="14"/>
                <w:szCs w:val="14"/>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78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25.4</w:t>
            </w:r>
          </w:p>
        </w:tc>
        <w:tc>
          <w:tcPr>
            <w:tcW w:w="60" w:type="dxa"/>
            <w:vAlign w:val="bottom"/>
            <w:shd w:val="clear" w:color="auto" w:fill="DDDDDD"/>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060" w:type="dxa"/>
            <w:vAlign w:val="bottom"/>
            <w:gridSpan w:val="2"/>
            <w:shd w:val="clear" w:color="auto" w:fill="DDDDDD"/>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DDDDDD"/>
          </w:tcPr>
          <w:p>
            <w:pPr>
              <w:spacing w:after="0"/>
              <w:rPr>
                <w:sz w:val="14"/>
                <w:szCs w:val="14"/>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168"/>
        </w:trPr>
        <w:tc>
          <w:tcPr>
            <w:tcW w:w="35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tcBorders>
              <w:right w:val="single" w:sz="8" w:color="auto"/>
            </w:tcBorders>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(138.7)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(138.7)</w:t>
            </w:r>
          </w:p>
        </w:tc>
        <w:tc>
          <w:tcPr>
            <w:tcW w:w="0" w:type="dxa"/>
            <w:vAlign w:val="bottom"/>
          </w:tcPr>
          <w:p>
            <w:pPr>
              <w:spacing w:after="0"/>
              <w:rPr>
                <w:sz w:val="1"/>
                <w:szCs w:val="1"/>
                <w:color w:val="auto"/>
              </w:rPr>
            </w:pPr>
          </w:p>
        </w:tc>
      </w:tr>
      <w:tr>
        <w:trPr>
          <w:trHeight w:val="187"/>
        </w:trPr>
        <w:tc>
          <w:tcPr>
            <w:tcW w:w="3560" w:type="dxa"/>
            <w:vAlign w:val="bottom"/>
            <w:tcBorders>
              <w:top w:val="single" w:sz="8" w:color="DDDDDD"/>
              <w:bottom w:val="single" w:sz="8" w:color="DDDDDD"/>
            </w:tcBorders>
            <w:shd w:val="clear" w:color="auto" w:fill="DDDDDD"/>
          </w:tcPr>
          <w:p>
            <w:pPr>
              <w:spacing w:after="0"/>
              <w:rPr>
                <w:sz w:val="20"/>
                <w:szCs w:val="20"/>
                <w:color w:val="auto"/>
              </w:rPr>
            </w:pPr>
            <w:r>
              <w:rPr>
                <w:rFonts w:ascii="Arial" w:cs="Arial" w:eastAsia="Arial" w:hAnsi="Arial"/>
                <w:sz w:val="13"/>
                <w:szCs w:val="13"/>
                <w:color w:val="auto"/>
              </w:rPr>
              <w:t>Balances as of January 31, 2023</w:t>
            </w: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right w:val="single" w:sz="8" w:color="auto"/>
            </w:tcBorders>
            <w:shd w:val="clear" w:color="auto" w:fill="DDDDDD"/>
          </w:tcPr>
          <w:p>
            <w:pPr>
              <w:jc w:val="right"/>
              <w:ind w:right="76"/>
              <w:spacing w:after="0"/>
              <w:rPr>
                <w:sz w:val="20"/>
                <w:szCs w:val="20"/>
                <w:color w:val="auto"/>
              </w:rPr>
            </w:pPr>
            <w:r>
              <w:rPr>
                <w:rFonts w:ascii="Arial" w:cs="Arial" w:eastAsia="Arial" w:hAnsi="Arial"/>
                <w:sz w:val="13"/>
                <w:szCs w:val="13"/>
                <w:color w:val="auto"/>
              </w:rPr>
              <w:t>—</w:t>
            </w:r>
          </w:p>
        </w:tc>
        <w:tc>
          <w:tcPr>
            <w:tcW w:w="40" w:type="dxa"/>
            <w:vAlign w:val="bottom"/>
            <w:tcBorders>
              <w:top w:val="single" w:sz="8" w:color="DDDDDD"/>
              <w:bottom w:val="single" w:sz="8" w:color="DDDDDD"/>
            </w:tcBorders>
            <w:shd w:val="clear" w:color="auto" w:fill="DDDDDD"/>
          </w:tcPr>
          <w:p>
            <w:pPr>
              <w:spacing w:after="0"/>
              <w:rPr>
                <w:sz w:val="15"/>
                <w:szCs w:val="15"/>
                <w:color w:val="auto"/>
              </w:rPr>
            </w:pPr>
          </w:p>
        </w:tc>
        <w:tc>
          <w:tcPr>
            <w:tcW w:w="10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65,022,787</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jc w:val="right"/>
              <w:ind w:right="16"/>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DDDDDD"/>
              <w:bottom w:val="single" w:sz="8" w:color="DDDDDD"/>
            </w:tcBorders>
            <w:shd w:val="clear" w:color="auto" w:fill="DDDDDD"/>
          </w:tcPr>
          <w:p>
            <w:pPr>
              <w:spacing w:after="0"/>
              <w:rPr>
                <w:sz w:val="15"/>
                <w:szCs w:val="15"/>
                <w:color w:val="auto"/>
              </w:rPr>
            </w:pPr>
          </w:p>
        </w:tc>
        <w:tc>
          <w:tcPr>
            <w:tcW w:w="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904.5</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1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(939.9)</w:t>
            </w:r>
          </w:p>
        </w:tc>
        <w:tc>
          <w:tcPr>
            <w:tcW w:w="60" w:type="dxa"/>
            <w:vAlign w:val="bottom"/>
            <w:tcBorders>
              <w:top w:val="single" w:sz="8" w:color="DDDDDD"/>
              <w:bottom w:val="single" w:sz="8" w:color="DDDDDD"/>
            </w:tcBorders>
            <w:shd w:val="clear" w:color="auto" w:fill="DDDDDD"/>
          </w:tcPr>
          <w:p>
            <w:pPr>
              <w:spacing w:after="0"/>
              <w:rPr>
                <w:sz w:val="15"/>
                <w:szCs w:val="15"/>
                <w:color w:val="auto"/>
              </w:rPr>
            </w:pPr>
          </w:p>
        </w:tc>
        <w:tc>
          <w:tcPr>
            <w:tcW w:w="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3"/>
                <w:szCs w:val="13"/>
                <w:color w:val="auto"/>
              </w:rPr>
              <w:t>(35.3)</w:t>
            </w:r>
          </w:p>
        </w:tc>
        <w:tc>
          <w:tcPr>
            <w:tcW w:w="0" w:type="dxa"/>
            <w:vAlign w:val="bottom"/>
          </w:tcPr>
          <w:p>
            <w:pPr>
              <w:spacing w:after="0"/>
              <w:rPr>
                <w:sz w:val="1"/>
                <w:szCs w:val="1"/>
                <w:color w:val="auto"/>
              </w:rPr>
            </w:pPr>
          </w:p>
        </w:tc>
      </w:tr>
      <w:tr>
        <w:trPr>
          <w:trHeight w:val="20"/>
        </w:trPr>
        <w:tc>
          <w:tcPr>
            <w:tcW w:w="3560" w:type="dxa"/>
            <w:vAlign w:val="bottom"/>
            <w:tcBorders>
              <w:top w:val="single" w:sz="8" w:color="DDDDDD"/>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7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78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80" w:type="dxa"/>
            <w:vAlign w:val="bottom"/>
            <w:tcBorders>
              <w:top w:val="single" w:sz="8" w:color="DDDDDD"/>
              <w:bottom w:val="single" w:sz="8" w:color="auto"/>
            </w:tcBorders>
          </w:tcPr>
          <w:p>
            <w:pPr>
              <w:spacing w:after="0" w:line="20" w:lineRule="exact"/>
              <w:rPr>
                <w:sz w:val="1"/>
                <w:szCs w:val="1"/>
                <w:color w:val="auto"/>
              </w:rPr>
            </w:pPr>
          </w:p>
        </w:tc>
        <w:tc>
          <w:tcPr>
            <w:tcW w:w="10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00"/>
          </w:cols>
          <w:pgMar w:left="300" w:top="1059" w:right="5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90</w:t>
      </w:r>
    </w:p>
    <w:p>
      <w:pPr>
        <w:sectPr>
          <w:pgSz w:w="11880" w:h="15480" w:orient="portrait"/>
          <w:cols w:equalWidth="0" w:num="1">
            <w:col w:w="11000"/>
          </w:cols>
          <w:pgMar w:left="300" w:top="1059" w:right="579" w:bottom="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217"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Year Ended</w:t>
      </w:r>
    </w:p>
    <w:p>
      <w:pPr>
        <w:ind w:left="872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6985</wp:posOffset>
            </wp:positionV>
            <wp:extent cx="271526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15260" cy="6985"/>
                    </a:xfrm>
                    <a:prstGeom prst="rect">
                      <a:avLst/>
                    </a:prstGeom>
                    <a:noFill/>
                  </pic:spPr>
                </pic:pic>
              </a:graphicData>
            </a:graphic>
          </wp:anchor>
        </w:drawing>
      </w:r>
    </w:p>
    <w:p>
      <w:pPr>
        <w:spacing w:after="0" w:line="1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6800" w:type="dxa"/>
            <w:vAlign w:val="bottom"/>
            <w:tcBorders>
              <w:bottom w:val="single" w:sz="8" w:color="DDDDDD"/>
            </w:tcBorders>
          </w:tcPr>
          <w:p>
            <w:pPr>
              <w:spacing w:after="0"/>
              <w:rPr>
                <w:sz w:val="14"/>
                <w:szCs w:val="14"/>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2021</w:t>
            </w:r>
          </w:p>
        </w:tc>
      </w:tr>
      <w:tr>
        <w:trPr>
          <w:trHeight w:val="168"/>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900" w:type="dxa"/>
            <w:vAlign w:val="bottom"/>
            <w:shd w:val="clear" w:color="auto" w:fill="DDDDDD"/>
          </w:tcPr>
          <w:p>
            <w:pPr>
              <w:spacing w:after="0"/>
              <w:rPr>
                <w:sz w:val="14"/>
                <w:szCs w:val="14"/>
                <w:color w:val="auto"/>
              </w:rPr>
            </w:pPr>
          </w:p>
        </w:tc>
        <w:tc>
          <w:tcPr>
            <w:tcW w:w="4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106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1040" w:type="dxa"/>
            <w:vAlign w:val="bottom"/>
            <w:shd w:val="clear" w:color="auto" w:fill="DDDDDD"/>
          </w:tcPr>
          <w:p>
            <w:pPr>
              <w:spacing w:after="0"/>
              <w:rPr>
                <w:sz w:val="14"/>
                <w:szCs w:val="14"/>
                <w:color w:val="auto"/>
              </w:rPr>
            </w:pPr>
          </w:p>
        </w:tc>
      </w:tr>
      <w:tr>
        <w:trPr>
          <w:trHeight w:val="160"/>
        </w:trPr>
        <w:tc>
          <w:tcPr>
            <w:tcW w:w="6800" w:type="dxa"/>
            <w:vAlign w:val="bottom"/>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(138.7)</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(211.8)</w:t>
            </w:r>
          </w:p>
        </w:tc>
        <w:tc>
          <w:tcPr>
            <w:tcW w:w="8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(171.1)</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1"/>
                <w:szCs w:val="11"/>
                <w:color w:val="auto"/>
              </w:rPr>
              <w:t>Adjustments to reconcile net loss to net cash (used in) provided by operating activities:</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spacing w:after="0"/>
              <w:rPr>
                <w:sz w:val="13"/>
                <w:szCs w:val="13"/>
                <w:color w:val="auto"/>
              </w:rPr>
            </w:pP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spacing w:after="0"/>
              <w:rPr>
                <w:sz w:val="13"/>
                <w:szCs w:val="13"/>
                <w:color w:val="auto"/>
              </w:rPr>
            </w:pP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spacing w:after="0"/>
              <w:rPr>
                <w:sz w:val="13"/>
                <w:szCs w:val="13"/>
                <w:color w:val="auto"/>
              </w:rPr>
            </w:pPr>
          </w:p>
        </w:tc>
      </w:tr>
      <w:tr>
        <w:trPr>
          <w:trHeight w:val="160"/>
        </w:trPr>
        <w:tc>
          <w:tcPr>
            <w:tcW w:w="6800" w:type="dxa"/>
            <w:vAlign w:val="bottom"/>
          </w:tcPr>
          <w:p>
            <w:pPr>
              <w:ind w:left="260"/>
              <w:spacing w:after="0"/>
              <w:rPr>
                <w:sz w:val="20"/>
                <w:szCs w:val="20"/>
                <w:color w:val="auto"/>
              </w:rPr>
            </w:pPr>
            <w:r>
              <w:rPr>
                <w:rFonts w:ascii="Arial" w:cs="Arial" w:eastAsia="Arial" w:hAnsi="Arial"/>
                <w:sz w:val="11"/>
                <w:szCs w:val="11"/>
                <w:color w:val="auto"/>
              </w:rPr>
              <w:t>Rental product depreciation and write-offs</w:t>
            </w:r>
          </w:p>
        </w:tc>
        <w:tc>
          <w:tcPr>
            <w:tcW w:w="9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46.2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45.6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55.9</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1"/>
                <w:szCs w:val="11"/>
                <w:color w:val="auto"/>
              </w:rPr>
              <w:t>Write-off of rental product sold</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6.7</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14.0</w:t>
            </w:r>
          </w:p>
        </w:tc>
      </w:tr>
      <w:tr>
        <w:trPr>
          <w:trHeight w:val="160"/>
        </w:trPr>
        <w:tc>
          <w:tcPr>
            <w:tcW w:w="6800" w:type="dxa"/>
            <w:vAlign w:val="bottom"/>
          </w:tcPr>
          <w:p>
            <w:pPr>
              <w:ind w:left="260"/>
              <w:spacing w:after="0"/>
              <w:rPr>
                <w:sz w:val="20"/>
                <w:szCs w:val="20"/>
                <w:color w:val="auto"/>
              </w:rPr>
            </w:pPr>
            <w:r>
              <w:rPr>
                <w:rFonts w:ascii="Arial" w:cs="Arial" w:eastAsia="Arial" w:hAnsi="Arial"/>
                <w:sz w:val="11"/>
                <w:szCs w:val="11"/>
                <w:color w:val="auto"/>
              </w:rPr>
              <w:t>Other depreciation and amortization</w:t>
            </w:r>
          </w:p>
        </w:tc>
        <w:tc>
          <w:tcPr>
            <w:tcW w:w="9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24.1</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1"/>
                <w:szCs w:val="11"/>
                <w:color w:val="auto"/>
              </w:rPr>
              <w:t>(Gain) / loss from lease termination and write-off of fixed and intangible assets</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0.6</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1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6800" w:type="dxa"/>
            <w:vAlign w:val="bottom"/>
          </w:tcPr>
          <w:p>
            <w:pPr>
              <w:ind w:left="260"/>
              <w:spacing w:after="0"/>
              <w:rPr>
                <w:sz w:val="20"/>
                <w:szCs w:val="20"/>
                <w:color w:val="auto"/>
              </w:rPr>
            </w:pPr>
            <w:r>
              <w:rPr>
                <w:rFonts w:ascii="Arial" w:cs="Arial" w:eastAsia="Arial" w:hAnsi="Arial"/>
                <w:sz w:val="11"/>
                <w:szCs w:val="11"/>
                <w:color w:val="auto"/>
              </w:rPr>
              <w:t>Loss on asset impairment related to restructuring</w:t>
            </w:r>
          </w:p>
        </w:tc>
        <w:tc>
          <w:tcPr>
            <w:tcW w:w="90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1"/>
                <w:szCs w:val="11"/>
                <w:color w:val="auto"/>
              </w:rPr>
              <w:t>Proceeds from rental product sold</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(17.9)</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(12.9)</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(17.9)</w:t>
            </w:r>
          </w:p>
        </w:tc>
      </w:tr>
      <w:tr>
        <w:trPr>
          <w:trHeight w:val="160"/>
        </w:trPr>
        <w:tc>
          <w:tcPr>
            <w:tcW w:w="6800" w:type="dxa"/>
            <w:vAlign w:val="bottom"/>
          </w:tcPr>
          <w:p>
            <w:pPr>
              <w:ind w:left="280"/>
              <w:spacing w:after="0"/>
              <w:rPr>
                <w:sz w:val="20"/>
                <w:szCs w:val="20"/>
                <w:color w:val="auto"/>
              </w:rPr>
            </w:pPr>
            <w:r>
              <w:rPr>
                <w:rFonts w:ascii="Arial" w:cs="Arial" w:eastAsia="Arial" w:hAnsi="Arial"/>
                <w:sz w:val="11"/>
                <w:szCs w:val="11"/>
                <w:color w:val="auto"/>
              </w:rPr>
              <w:t>(Gain) / loss from liquidation of rental product</w:t>
            </w:r>
          </w:p>
        </w:tc>
        <w:tc>
          <w:tcPr>
            <w:tcW w:w="9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(0.6)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0.9</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80"/>
              <w:spacing w:after="0"/>
              <w:rPr>
                <w:sz w:val="20"/>
                <w:szCs w:val="20"/>
                <w:color w:val="auto"/>
              </w:rPr>
            </w:pPr>
            <w:r>
              <w:rPr>
                <w:rFonts w:ascii="Arial" w:cs="Arial" w:eastAsia="Arial" w:hAnsi="Arial"/>
                <w:sz w:val="11"/>
                <w:szCs w:val="11"/>
                <w:color w:val="auto"/>
              </w:rPr>
              <w:t>Accrual of paid-in-kind interest</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14.3</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38.8</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36.9</w:t>
            </w:r>
          </w:p>
        </w:tc>
      </w:tr>
      <w:tr>
        <w:trPr>
          <w:trHeight w:val="160"/>
        </w:trPr>
        <w:tc>
          <w:tcPr>
            <w:tcW w:w="6800" w:type="dxa"/>
            <w:vAlign w:val="bottom"/>
          </w:tcPr>
          <w:p>
            <w:pPr>
              <w:ind w:left="280"/>
              <w:spacing w:after="0"/>
              <w:rPr>
                <w:sz w:val="20"/>
                <w:szCs w:val="20"/>
                <w:color w:val="auto"/>
              </w:rPr>
            </w:pPr>
            <w:r>
              <w:rPr>
                <w:rFonts w:ascii="Arial" w:cs="Arial" w:eastAsia="Arial" w:hAnsi="Arial"/>
                <w:sz w:val="11"/>
                <w:szCs w:val="11"/>
                <w:color w:val="auto"/>
              </w:rPr>
              <w:t>Settlement of paid-in-kind interest</w:t>
            </w:r>
          </w:p>
        </w:tc>
        <w:tc>
          <w:tcPr>
            <w:tcW w:w="9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(6.3)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60"/>
        </w:trPr>
        <w:tc>
          <w:tcPr>
            <w:tcW w:w="6800" w:type="dxa"/>
            <w:vAlign w:val="bottom"/>
            <w:tcBorders>
              <w:bottom w:val="single" w:sz="8" w:color="DDDDDD"/>
            </w:tcBorders>
            <w:shd w:val="clear" w:color="auto" w:fill="DDDDDD"/>
          </w:tcPr>
          <w:p>
            <w:pPr>
              <w:ind w:left="280"/>
              <w:spacing w:after="0"/>
              <w:rPr>
                <w:sz w:val="20"/>
                <w:szCs w:val="20"/>
                <w:color w:val="auto"/>
              </w:rPr>
            </w:pPr>
            <w:r>
              <w:rPr>
                <w:rFonts w:ascii="Arial" w:cs="Arial" w:eastAsia="Arial" w:hAnsi="Arial"/>
                <w:sz w:val="11"/>
                <w:szCs w:val="11"/>
                <w:color w:val="auto"/>
              </w:rPr>
              <w:t>Amortization of debt discount</w:t>
            </w:r>
          </w:p>
        </w:tc>
        <w:tc>
          <w:tcPr>
            <w:tcW w:w="900" w:type="dxa"/>
            <w:vAlign w:val="bottom"/>
            <w:tcBorders>
              <w:bottom w:val="single" w:sz="8" w:color="DDDDDD"/>
            </w:tcBorders>
            <w:shd w:val="clear" w:color="auto" w:fill="DDDDDD"/>
          </w:tcPr>
          <w:p>
            <w:pPr>
              <w:spacing w:after="0"/>
              <w:rPr>
                <w:sz w:val="13"/>
                <w:szCs w:val="13"/>
                <w:color w:val="auto"/>
              </w:rPr>
            </w:pPr>
          </w:p>
        </w:tc>
        <w:tc>
          <w:tcPr>
            <w:tcW w:w="4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4.3</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5.9</w:t>
            </w:r>
          </w:p>
        </w:tc>
        <w:tc>
          <w:tcPr>
            <w:tcW w:w="80" w:type="dxa"/>
            <w:vAlign w:val="bottom"/>
            <w:tcBorders>
              <w:bottom w:val="single" w:sz="8" w:color="DDDDDD"/>
            </w:tcBorders>
            <w:shd w:val="clear" w:color="auto" w:fill="DDDDDD"/>
          </w:tcPr>
          <w:p>
            <w:pPr>
              <w:spacing w:after="0"/>
              <w:rPr>
                <w:sz w:val="13"/>
                <w:szCs w:val="13"/>
                <w:color w:val="auto"/>
              </w:rPr>
            </w:pPr>
          </w:p>
        </w:tc>
        <w:tc>
          <w:tcPr>
            <w:tcW w:w="320" w:type="dxa"/>
            <w:vAlign w:val="bottom"/>
            <w:tcBorders>
              <w:bottom w:val="single" w:sz="8" w:color="DDDDDD"/>
            </w:tcBorders>
            <w:shd w:val="clear" w:color="auto" w:fill="DDDDDD"/>
          </w:tcPr>
          <w:p>
            <w:pPr>
              <w:spacing w:after="0"/>
              <w:rPr>
                <w:sz w:val="13"/>
                <w:szCs w:val="13"/>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5.0</w:t>
            </w:r>
          </w:p>
        </w:tc>
      </w:tr>
      <w:tr>
        <w:trPr>
          <w:trHeight w:val="160"/>
        </w:trPr>
        <w:tc>
          <w:tcPr>
            <w:tcW w:w="6800" w:type="dxa"/>
            <w:vAlign w:val="bottom"/>
          </w:tcPr>
          <w:p>
            <w:pPr>
              <w:ind w:left="280"/>
              <w:spacing w:after="0"/>
              <w:rPr>
                <w:sz w:val="20"/>
                <w:szCs w:val="20"/>
                <w:color w:val="auto"/>
              </w:rPr>
            </w:pPr>
            <w:r>
              <w:rPr>
                <w:rFonts w:ascii="Arial" w:cs="Arial" w:eastAsia="Arial" w:hAnsi="Arial"/>
                <w:sz w:val="11"/>
                <w:szCs w:val="11"/>
                <w:color w:val="auto"/>
              </w:rPr>
              <w:t>Loss on debt extinguishment</w:t>
            </w:r>
          </w:p>
        </w:tc>
        <w:tc>
          <w:tcPr>
            <w:tcW w:w="9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12.2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20"/>
        </w:trPr>
        <w:tc>
          <w:tcPr>
            <w:tcW w:w="6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6800" w:type="dxa"/>
            <w:vAlign w:val="bottom"/>
            <w:shd w:val="clear" w:color="auto" w:fill="DDDDDD"/>
          </w:tcPr>
          <w:p>
            <w:pPr>
              <w:ind w:left="280"/>
              <w:spacing w:after="0"/>
              <w:rPr>
                <w:sz w:val="20"/>
                <w:szCs w:val="20"/>
                <w:color w:val="auto"/>
              </w:rPr>
            </w:pPr>
            <w:r>
              <w:rPr>
                <w:rFonts w:ascii="Arial" w:cs="Arial" w:eastAsia="Arial" w:hAnsi="Arial"/>
                <w:sz w:val="11"/>
                <w:szCs w:val="11"/>
                <w:color w:val="auto"/>
              </w:rPr>
              <w:t>Share-based compensation expense</w:t>
            </w:r>
          </w:p>
        </w:tc>
        <w:tc>
          <w:tcPr>
            <w:tcW w:w="900" w:type="dxa"/>
            <w:vAlign w:val="bottom"/>
            <w:shd w:val="clear" w:color="auto" w:fill="DDDDDD"/>
          </w:tcPr>
          <w:p>
            <w:pPr>
              <w:spacing w:after="0"/>
              <w:rPr>
                <w:sz w:val="15"/>
                <w:szCs w:val="15"/>
                <w:color w:val="auto"/>
              </w:rPr>
            </w:pPr>
          </w:p>
        </w:tc>
        <w:tc>
          <w:tcPr>
            <w:tcW w:w="4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25.4</w:t>
            </w: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26.6</w:t>
            </w: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8.2</w:t>
            </w:r>
          </w:p>
        </w:tc>
      </w:tr>
      <w:tr>
        <w:trPr>
          <w:trHeight w:val="170"/>
        </w:trPr>
        <w:tc>
          <w:tcPr>
            <w:tcW w:w="6800" w:type="dxa"/>
            <w:vAlign w:val="bottom"/>
          </w:tcPr>
          <w:p>
            <w:pPr>
              <w:ind w:left="280"/>
              <w:spacing w:after="0"/>
              <w:rPr>
                <w:sz w:val="20"/>
                <w:szCs w:val="20"/>
                <w:color w:val="auto"/>
              </w:rPr>
            </w:pPr>
            <w:r>
              <w:rPr>
                <w:rFonts w:ascii="Arial" w:cs="Arial" w:eastAsia="Arial" w:hAnsi="Arial"/>
                <w:sz w:val="11"/>
                <w:szCs w:val="11"/>
                <w:color w:val="auto"/>
              </w:rPr>
              <w:t>Remeasurement of warrant liability</w:t>
            </w:r>
          </w:p>
        </w:tc>
        <w:tc>
          <w:tcPr>
            <w:tcW w:w="9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24.9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(0.4)</w:t>
            </w:r>
          </w:p>
        </w:tc>
      </w:tr>
      <w:tr>
        <w:trPr>
          <w:trHeight w:val="190"/>
        </w:trPr>
        <w:tc>
          <w:tcPr>
            <w:tcW w:w="6800" w:type="dxa"/>
            <w:vAlign w:val="bottom"/>
            <w:shd w:val="clear" w:color="auto" w:fill="DDDDDD"/>
          </w:tcPr>
          <w:p>
            <w:pPr>
              <w:ind w:left="280"/>
              <w:spacing w:after="0"/>
              <w:rPr>
                <w:sz w:val="20"/>
                <w:szCs w:val="20"/>
                <w:color w:val="auto"/>
              </w:rPr>
            </w:pPr>
            <w:r>
              <w:rPr>
                <w:rFonts w:ascii="Arial" w:cs="Arial" w:eastAsia="Arial" w:hAnsi="Arial"/>
                <w:sz w:val="11"/>
                <w:szCs w:val="11"/>
                <w:color w:val="auto"/>
              </w:rPr>
              <w:t>Changes in operating assets and liabilities:</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r>
      <w:tr>
        <w:trPr>
          <w:trHeight w:val="170"/>
        </w:trPr>
        <w:tc>
          <w:tcPr>
            <w:tcW w:w="6800" w:type="dxa"/>
            <w:vAlign w:val="bottom"/>
          </w:tcPr>
          <w:p>
            <w:pPr>
              <w:ind w:left="520"/>
              <w:spacing w:after="0"/>
              <w:rPr>
                <w:sz w:val="20"/>
                <w:szCs w:val="20"/>
                <w:color w:val="auto"/>
              </w:rPr>
            </w:pPr>
            <w:r>
              <w:rPr>
                <w:rFonts w:ascii="Arial" w:cs="Arial" w:eastAsia="Arial" w:hAnsi="Arial"/>
                <w:sz w:val="11"/>
                <w:szCs w:val="11"/>
                <w:color w:val="auto"/>
              </w:rPr>
              <w:t>Prepaid expenses and other current assets</w:t>
            </w:r>
          </w:p>
        </w:tc>
        <w:tc>
          <w:tcPr>
            <w:tcW w:w="9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90"/>
        </w:trPr>
        <w:tc>
          <w:tcPr>
            <w:tcW w:w="6800" w:type="dxa"/>
            <w:vAlign w:val="bottom"/>
            <w:shd w:val="clear" w:color="auto" w:fill="DDDDDD"/>
          </w:tcPr>
          <w:p>
            <w:pPr>
              <w:ind w:left="520"/>
              <w:spacing w:after="0"/>
              <w:rPr>
                <w:sz w:val="20"/>
                <w:szCs w:val="20"/>
                <w:color w:val="auto"/>
              </w:rPr>
            </w:pPr>
            <w:r>
              <w:rPr>
                <w:rFonts w:ascii="Arial" w:cs="Arial" w:eastAsia="Arial" w:hAnsi="Arial"/>
                <w:sz w:val="11"/>
                <w:szCs w:val="11"/>
                <w:color w:val="auto"/>
              </w:rPr>
              <w:t>Operating lease right-of-use assets</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2.0</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3.4</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(0.4)</w:t>
            </w:r>
          </w:p>
        </w:tc>
      </w:tr>
      <w:tr>
        <w:trPr>
          <w:trHeight w:val="170"/>
        </w:trPr>
        <w:tc>
          <w:tcPr>
            <w:tcW w:w="6800" w:type="dxa"/>
            <w:vAlign w:val="bottom"/>
          </w:tcPr>
          <w:p>
            <w:pPr>
              <w:ind w:left="520"/>
              <w:spacing w:after="0"/>
              <w:rPr>
                <w:sz w:val="20"/>
                <w:szCs w:val="20"/>
                <w:color w:val="auto"/>
              </w:rPr>
            </w:pPr>
            <w:r>
              <w:rPr>
                <w:rFonts w:ascii="Arial" w:cs="Arial" w:eastAsia="Arial" w:hAnsi="Arial"/>
                <w:sz w:val="11"/>
                <w:szCs w:val="11"/>
                <w:color w:val="auto"/>
              </w:rPr>
              <w:t>Other assets</w:t>
            </w:r>
          </w:p>
        </w:tc>
        <w:tc>
          <w:tcPr>
            <w:tcW w:w="90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0.9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1.8</w:t>
            </w:r>
          </w:p>
        </w:tc>
      </w:tr>
      <w:tr>
        <w:trPr>
          <w:trHeight w:val="190"/>
        </w:trPr>
        <w:tc>
          <w:tcPr>
            <w:tcW w:w="6800" w:type="dxa"/>
            <w:vAlign w:val="bottom"/>
            <w:shd w:val="clear" w:color="auto" w:fill="DDDDDD"/>
          </w:tcPr>
          <w:p>
            <w:pPr>
              <w:ind w:left="520"/>
              <w:spacing w:after="0"/>
              <w:rPr>
                <w:sz w:val="20"/>
                <w:szCs w:val="20"/>
                <w:color w:val="auto"/>
              </w:rPr>
            </w:pPr>
            <w:r>
              <w:rPr>
                <w:rFonts w:ascii="Arial" w:cs="Arial" w:eastAsia="Arial" w:hAnsi="Arial"/>
                <w:sz w:val="11"/>
                <w:szCs w:val="11"/>
                <w:color w:val="auto"/>
              </w:rPr>
              <w:t>Accounts payable, accrued expenses and other current liabilities</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(3.9)</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18.4</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(4.5)</w:t>
            </w:r>
          </w:p>
        </w:tc>
      </w:tr>
      <w:tr>
        <w:trPr>
          <w:trHeight w:val="170"/>
        </w:trPr>
        <w:tc>
          <w:tcPr>
            <w:tcW w:w="6800" w:type="dxa"/>
            <w:vAlign w:val="bottom"/>
          </w:tcPr>
          <w:p>
            <w:pPr>
              <w:ind w:left="520"/>
              <w:spacing w:after="0"/>
              <w:rPr>
                <w:sz w:val="20"/>
                <w:szCs w:val="20"/>
                <w:color w:val="auto"/>
              </w:rPr>
            </w:pPr>
            <w:r>
              <w:rPr>
                <w:rFonts w:ascii="Arial" w:cs="Arial" w:eastAsia="Arial" w:hAnsi="Arial"/>
                <w:sz w:val="11"/>
                <w:szCs w:val="11"/>
                <w:color w:val="auto"/>
              </w:rPr>
              <w:t>Deferred revenue and customer credit liabilities</w:t>
            </w:r>
          </w:p>
        </w:tc>
        <w:tc>
          <w:tcPr>
            <w:tcW w:w="90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(7.3)</w:t>
            </w:r>
          </w:p>
        </w:tc>
      </w:tr>
      <w:tr>
        <w:trPr>
          <w:trHeight w:val="190"/>
        </w:trPr>
        <w:tc>
          <w:tcPr>
            <w:tcW w:w="6800" w:type="dxa"/>
            <w:vAlign w:val="bottom"/>
            <w:shd w:val="clear" w:color="auto" w:fill="DDDDDD"/>
          </w:tcPr>
          <w:p>
            <w:pPr>
              <w:ind w:left="520"/>
              <w:spacing w:after="0"/>
              <w:rPr>
                <w:sz w:val="20"/>
                <w:szCs w:val="20"/>
                <w:color w:val="auto"/>
              </w:rPr>
            </w:pPr>
            <w:r>
              <w:rPr>
                <w:rFonts w:ascii="Arial" w:cs="Arial" w:eastAsia="Arial" w:hAnsi="Arial"/>
                <w:sz w:val="11"/>
                <w:szCs w:val="11"/>
                <w:color w:val="auto"/>
              </w:rPr>
              <w:t>Operating lease liabilities</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(4.6)</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(6.2)</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11.4</w:t>
            </w:r>
          </w:p>
        </w:tc>
      </w:tr>
      <w:tr>
        <w:trPr>
          <w:trHeight w:val="171"/>
        </w:trPr>
        <w:tc>
          <w:tcPr>
            <w:tcW w:w="6800" w:type="dxa"/>
            <w:vAlign w:val="bottom"/>
            <w:tcBorders>
              <w:bottom w:val="single" w:sz="8" w:color="DDDDDD"/>
            </w:tcBorders>
          </w:tcPr>
          <w:p>
            <w:pPr>
              <w:ind w:left="520"/>
              <w:spacing w:after="0"/>
              <w:rPr>
                <w:sz w:val="20"/>
                <w:szCs w:val="20"/>
                <w:color w:val="auto"/>
              </w:rPr>
            </w:pPr>
            <w:r>
              <w:rPr>
                <w:rFonts w:ascii="Arial" w:cs="Arial" w:eastAsia="Arial" w:hAnsi="Arial"/>
                <w:sz w:val="11"/>
                <w:szCs w:val="11"/>
                <w:color w:val="auto"/>
              </w:rPr>
              <w:t>Other liabilities</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0.8</w:t>
            </w: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r>
      <w:tr>
        <w:trPr>
          <w:trHeight w:val="170"/>
        </w:trPr>
        <w:tc>
          <w:tcPr>
            <w:tcW w:w="6800" w:type="dxa"/>
            <w:vAlign w:val="bottom"/>
            <w:shd w:val="clear" w:color="auto" w:fill="DDDDDD"/>
          </w:tcPr>
          <w:p>
            <w:pPr>
              <w:ind w:left="780"/>
              <w:spacing w:after="0"/>
              <w:rPr>
                <w:sz w:val="20"/>
                <w:szCs w:val="20"/>
                <w:color w:val="auto"/>
              </w:rPr>
            </w:pPr>
            <w:r>
              <w:rPr>
                <w:rFonts w:ascii="Arial" w:cs="Arial" w:eastAsia="Arial" w:hAnsi="Arial"/>
                <w:sz w:val="11"/>
                <w:szCs w:val="11"/>
                <w:color w:val="auto"/>
              </w:rPr>
              <w:t>Net cash (used in) provided by operating activities</w:t>
            </w:r>
          </w:p>
        </w:tc>
        <w:tc>
          <w:tcPr>
            <w:tcW w:w="90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(47.7)</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(42.3)</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(42.8)</w:t>
            </w:r>
          </w:p>
        </w:tc>
      </w:tr>
      <w:tr>
        <w:trPr>
          <w:trHeight w:val="154"/>
        </w:trPr>
        <w:tc>
          <w:tcPr>
            <w:tcW w:w="680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7"/>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Purchases of rental product</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(62.1)</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(30.8)</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(54.9)</w:t>
            </w:r>
          </w:p>
        </w:tc>
      </w:tr>
      <w:tr>
        <w:trPr>
          <w:trHeight w:val="171"/>
        </w:trPr>
        <w:tc>
          <w:tcPr>
            <w:tcW w:w="6800" w:type="dxa"/>
            <w:vAlign w:val="bottom"/>
          </w:tcPr>
          <w:p>
            <w:pPr>
              <w:ind w:left="20"/>
              <w:spacing w:after="0"/>
              <w:rPr>
                <w:sz w:val="20"/>
                <w:szCs w:val="20"/>
                <w:color w:val="auto"/>
              </w:rPr>
            </w:pPr>
            <w:r>
              <w:rPr>
                <w:rFonts w:ascii="Arial" w:cs="Arial" w:eastAsia="Arial" w:hAnsi="Arial"/>
                <w:sz w:val="11"/>
                <w:szCs w:val="11"/>
                <w:color w:val="auto"/>
              </w:rPr>
              <w:t>Proceeds from liquidation of rental product</w:t>
            </w:r>
          </w:p>
        </w:tc>
        <w:tc>
          <w:tcPr>
            <w:tcW w:w="900" w:type="dxa"/>
            <w:vAlign w:val="bottom"/>
          </w:tcPr>
          <w:p>
            <w:pPr>
              <w:spacing w:after="0"/>
              <w:rPr>
                <w:sz w:val="14"/>
                <w:szCs w:val="14"/>
                <w:color w:val="auto"/>
              </w:rPr>
            </w:pPr>
          </w:p>
        </w:tc>
        <w:tc>
          <w:tcPr>
            <w:tcW w:w="460" w:type="dxa"/>
            <w:vAlign w:val="bottom"/>
          </w:tcPr>
          <w:p>
            <w:pPr>
              <w:jc w:val="right"/>
              <w:ind w:right="3"/>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5.7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90"/>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Proceeds from sale of rental product</w:t>
            </w:r>
          </w:p>
        </w:tc>
        <w:tc>
          <w:tcPr>
            <w:tcW w:w="900" w:type="dxa"/>
            <w:vAlign w:val="bottom"/>
            <w:shd w:val="clear" w:color="auto" w:fill="DDDDDD"/>
          </w:tcPr>
          <w:p>
            <w:pPr>
              <w:spacing w:after="0"/>
              <w:rPr>
                <w:sz w:val="16"/>
                <w:szCs w:val="16"/>
                <w:color w:val="auto"/>
              </w:rPr>
            </w:pPr>
          </w:p>
        </w:tc>
        <w:tc>
          <w:tcPr>
            <w:tcW w:w="4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17.9</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12.9</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17.9</w:t>
            </w:r>
          </w:p>
        </w:tc>
      </w:tr>
      <w:tr>
        <w:trPr>
          <w:trHeight w:val="171"/>
        </w:trPr>
        <w:tc>
          <w:tcPr>
            <w:tcW w:w="6800" w:type="dxa"/>
            <w:vAlign w:val="bottom"/>
            <w:tcBorders>
              <w:bottom w:val="single" w:sz="8" w:color="DDDDDD"/>
            </w:tcBorders>
          </w:tcPr>
          <w:p>
            <w:pPr>
              <w:ind w:left="20"/>
              <w:spacing w:after="0"/>
              <w:rPr>
                <w:sz w:val="20"/>
                <w:szCs w:val="20"/>
                <w:color w:val="auto"/>
              </w:rPr>
            </w:pPr>
            <w:r>
              <w:rPr>
                <w:rFonts w:ascii="Arial" w:cs="Arial" w:eastAsia="Arial" w:hAnsi="Arial"/>
                <w:sz w:val="11"/>
                <w:szCs w:val="11"/>
                <w:color w:val="auto"/>
              </w:rPr>
              <w:t>Purchases of fixed and intangible assets</w:t>
            </w:r>
          </w:p>
        </w:tc>
        <w:tc>
          <w:tcPr>
            <w:tcW w:w="9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w:t>
            </w: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80" w:type="dxa"/>
            <w:vAlign w:val="bottom"/>
            <w:tcBorders>
              <w:bottom w:val="single" w:sz="8" w:color="DDDDD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(23.8)</w:t>
            </w:r>
          </w:p>
        </w:tc>
      </w:tr>
      <w:tr>
        <w:trPr>
          <w:trHeight w:val="170"/>
        </w:trPr>
        <w:tc>
          <w:tcPr>
            <w:tcW w:w="6800" w:type="dxa"/>
            <w:vAlign w:val="bottom"/>
            <w:shd w:val="clear" w:color="auto" w:fill="DDDDDD"/>
          </w:tcPr>
          <w:p>
            <w:pPr>
              <w:ind w:left="780"/>
              <w:spacing w:after="0"/>
              <w:rPr>
                <w:sz w:val="20"/>
                <w:szCs w:val="20"/>
                <w:color w:val="auto"/>
              </w:rPr>
            </w:pPr>
            <w:r>
              <w:rPr>
                <w:rFonts w:ascii="Arial" w:cs="Arial" w:eastAsia="Arial" w:hAnsi="Arial"/>
                <w:sz w:val="11"/>
                <w:szCs w:val="11"/>
                <w:color w:val="auto"/>
              </w:rPr>
              <w:t>Net cash (used in) provided by investing activities</w:t>
            </w:r>
          </w:p>
        </w:tc>
        <w:tc>
          <w:tcPr>
            <w:tcW w:w="90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(44.3)</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(22.5)</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(58.4)</w:t>
            </w:r>
          </w:p>
        </w:tc>
      </w:tr>
      <w:tr>
        <w:trPr>
          <w:trHeight w:val="138"/>
        </w:trPr>
        <w:tc>
          <w:tcPr>
            <w:tcW w:w="680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2"/>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Proceeds from issuance of common stock upon IPO, net of offering costs</w:t>
            </w:r>
          </w:p>
        </w:tc>
        <w:tc>
          <w:tcPr>
            <w:tcW w:w="900" w:type="dxa"/>
            <w:vAlign w:val="bottom"/>
            <w:shd w:val="clear" w:color="auto" w:fill="DDDDDD"/>
          </w:tcPr>
          <w:p>
            <w:pPr>
              <w:spacing w:after="0"/>
              <w:rPr>
                <w:sz w:val="15"/>
                <w:szCs w:val="15"/>
                <w:color w:val="auto"/>
              </w:rPr>
            </w:pPr>
          </w:p>
        </w:tc>
        <w:tc>
          <w:tcPr>
            <w:tcW w:w="5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5"/>
                <w:szCs w:val="15"/>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327.3</w:t>
            </w:r>
          </w:p>
        </w:tc>
        <w:tc>
          <w:tcPr>
            <w:tcW w:w="80" w:type="dxa"/>
            <w:vAlign w:val="bottom"/>
            <w:shd w:val="clear" w:color="auto" w:fill="DDDDDD"/>
          </w:tcPr>
          <w:p>
            <w:pPr>
              <w:spacing w:after="0"/>
              <w:rPr>
                <w:sz w:val="15"/>
                <w:szCs w:val="15"/>
                <w:color w:val="auto"/>
              </w:rPr>
            </w:pPr>
          </w:p>
        </w:tc>
        <w:tc>
          <w:tcPr>
            <w:tcW w:w="320" w:type="dxa"/>
            <w:vAlign w:val="bottom"/>
            <w:shd w:val="clear" w:color="auto" w:fill="DDDDDD"/>
          </w:tcPr>
          <w:p>
            <w:pPr>
              <w:spacing w:after="0"/>
              <w:rPr>
                <w:sz w:val="15"/>
                <w:szCs w:val="15"/>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w:t>
            </w:r>
          </w:p>
        </w:tc>
      </w:tr>
      <w:tr>
        <w:trPr>
          <w:trHeight w:val="176"/>
        </w:trPr>
        <w:tc>
          <w:tcPr>
            <w:tcW w:w="6800" w:type="dxa"/>
            <w:vAlign w:val="bottom"/>
          </w:tcPr>
          <w:p>
            <w:pPr>
              <w:ind w:left="20"/>
              <w:spacing w:after="0"/>
              <w:rPr>
                <w:sz w:val="20"/>
                <w:szCs w:val="20"/>
                <w:color w:val="auto"/>
              </w:rPr>
            </w:pPr>
            <w:r>
              <w:rPr>
                <w:rFonts w:ascii="Arial" w:cs="Arial" w:eastAsia="Arial" w:hAnsi="Arial"/>
                <w:sz w:val="11"/>
                <w:szCs w:val="11"/>
                <w:color w:val="auto"/>
              </w:rPr>
              <w:t>Proceeds from issuance of redeemable preferred stock</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21.2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60.4</w:t>
            </w:r>
          </w:p>
        </w:tc>
      </w:tr>
      <w:tr>
        <w:trPr>
          <w:trHeight w:val="185"/>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Proceeds from exercise of stock options under stock incentive plan</w:t>
            </w:r>
          </w:p>
        </w:tc>
        <w:tc>
          <w:tcPr>
            <w:tcW w:w="900" w:type="dxa"/>
            <w:vAlign w:val="bottom"/>
            <w:shd w:val="clear" w:color="auto" w:fill="DDDDDD"/>
          </w:tcPr>
          <w:p>
            <w:pPr>
              <w:spacing w:after="0"/>
              <w:rPr>
                <w:sz w:val="16"/>
                <w:szCs w:val="16"/>
                <w:color w:val="auto"/>
              </w:rPr>
            </w:pPr>
          </w:p>
        </w:tc>
        <w:tc>
          <w:tcPr>
            <w:tcW w:w="5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0.5</w:t>
            </w:r>
          </w:p>
        </w:tc>
      </w:tr>
      <w:tr>
        <w:trPr>
          <w:trHeight w:val="175"/>
        </w:trPr>
        <w:tc>
          <w:tcPr>
            <w:tcW w:w="6800" w:type="dxa"/>
            <w:vAlign w:val="bottom"/>
          </w:tcPr>
          <w:p>
            <w:pPr>
              <w:ind w:left="20"/>
              <w:spacing w:after="0"/>
              <w:rPr>
                <w:sz w:val="20"/>
                <w:szCs w:val="20"/>
                <w:color w:val="auto"/>
              </w:rPr>
            </w:pPr>
            <w:r>
              <w:rPr>
                <w:rFonts w:ascii="Arial" w:cs="Arial" w:eastAsia="Arial" w:hAnsi="Arial"/>
                <w:sz w:val="11"/>
                <w:szCs w:val="11"/>
                <w:color w:val="auto"/>
              </w:rPr>
              <w:t>Proceeds from line of credit</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15.0</w:t>
            </w:r>
          </w:p>
        </w:tc>
      </w:tr>
      <w:tr>
        <w:trPr>
          <w:trHeight w:val="185"/>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Principal repayments on line of credit</w:t>
            </w:r>
          </w:p>
        </w:tc>
        <w:tc>
          <w:tcPr>
            <w:tcW w:w="900" w:type="dxa"/>
            <w:vAlign w:val="bottom"/>
            <w:shd w:val="clear" w:color="auto" w:fill="DDDDDD"/>
          </w:tcPr>
          <w:p>
            <w:pPr>
              <w:spacing w:after="0"/>
              <w:rPr>
                <w:sz w:val="16"/>
                <w:szCs w:val="16"/>
                <w:color w:val="auto"/>
              </w:rPr>
            </w:pPr>
          </w:p>
        </w:tc>
        <w:tc>
          <w:tcPr>
            <w:tcW w:w="5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6"/>
                <w:szCs w:val="16"/>
                <w:color w:val="auto"/>
              </w:rPr>
            </w:pPr>
          </w:p>
        </w:tc>
        <w:tc>
          <w:tcPr>
            <w:tcW w:w="11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(59.0)</w:t>
            </w:r>
          </w:p>
        </w:tc>
      </w:tr>
      <w:tr>
        <w:trPr>
          <w:trHeight w:val="176"/>
        </w:trPr>
        <w:tc>
          <w:tcPr>
            <w:tcW w:w="6800" w:type="dxa"/>
            <w:vAlign w:val="bottom"/>
          </w:tcPr>
          <w:p>
            <w:pPr>
              <w:ind w:left="20"/>
              <w:spacing w:after="0"/>
              <w:rPr>
                <w:sz w:val="20"/>
                <w:szCs w:val="20"/>
                <w:color w:val="auto"/>
              </w:rPr>
            </w:pPr>
            <w:r>
              <w:rPr>
                <w:rFonts w:ascii="Arial" w:cs="Arial" w:eastAsia="Arial" w:hAnsi="Arial"/>
                <w:sz w:val="11"/>
                <w:szCs w:val="11"/>
                <w:color w:val="auto"/>
              </w:rPr>
              <w:t>Proceeds from long-term debt</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155.0</w:t>
            </w:r>
          </w:p>
        </w:tc>
      </w:tr>
      <w:tr>
        <w:trPr>
          <w:trHeight w:val="185"/>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Principal repayments on long-term debt</w:t>
            </w:r>
          </w:p>
        </w:tc>
        <w:tc>
          <w:tcPr>
            <w:tcW w:w="900" w:type="dxa"/>
            <w:vAlign w:val="bottom"/>
            <w:shd w:val="clear" w:color="auto" w:fill="DDDDDD"/>
          </w:tcPr>
          <w:p>
            <w:pPr>
              <w:spacing w:after="0"/>
              <w:rPr>
                <w:sz w:val="16"/>
                <w:szCs w:val="16"/>
                <w:color w:val="auto"/>
              </w:rPr>
            </w:pPr>
          </w:p>
        </w:tc>
        <w:tc>
          <w:tcPr>
            <w:tcW w:w="5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6"/>
                <w:szCs w:val="16"/>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1"/>
                <w:szCs w:val="11"/>
                <w:color w:val="auto"/>
              </w:rPr>
              <w:t>(135.0)</w:t>
            </w:r>
          </w:p>
        </w:tc>
        <w:tc>
          <w:tcPr>
            <w:tcW w:w="8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w:t>
            </w:r>
          </w:p>
        </w:tc>
      </w:tr>
      <w:tr>
        <w:trPr>
          <w:trHeight w:val="176"/>
        </w:trPr>
        <w:tc>
          <w:tcPr>
            <w:tcW w:w="6800" w:type="dxa"/>
            <w:vAlign w:val="bottom"/>
          </w:tcPr>
          <w:p>
            <w:pPr>
              <w:ind w:left="20"/>
              <w:spacing w:after="0"/>
              <w:rPr>
                <w:sz w:val="20"/>
                <w:szCs w:val="20"/>
                <w:color w:val="auto"/>
              </w:rPr>
            </w:pPr>
            <w:r>
              <w:rPr>
                <w:rFonts w:ascii="Arial" w:cs="Arial" w:eastAsia="Arial" w:hAnsi="Arial"/>
                <w:sz w:val="11"/>
                <w:szCs w:val="11"/>
                <w:color w:val="auto"/>
              </w:rPr>
              <w:t>Debt extinguishment costs</w:t>
            </w:r>
          </w:p>
        </w:tc>
        <w:tc>
          <w:tcPr>
            <w:tcW w:w="90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Proceeds from short-term financing agreements</w:t>
            </w:r>
          </w:p>
        </w:tc>
        <w:tc>
          <w:tcPr>
            <w:tcW w:w="900" w:type="dxa"/>
            <w:vAlign w:val="bottom"/>
            <w:shd w:val="clear" w:color="auto" w:fill="DDDDDD"/>
          </w:tcPr>
          <w:p>
            <w:pPr>
              <w:spacing w:after="0"/>
              <w:rPr>
                <w:sz w:val="14"/>
                <w:szCs w:val="14"/>
                <w:color w:val="auto"/>
              </w:rPr>
            </w:pPr>
          </w:p>
        </w:tc>
        <w:tc>
          <w:tcPr>
            <w:tcW w:w="5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20" w:type="dxa"/>
            <w:vAlign w:val="bottom"/>
            <w:shd w:val="clear" w:color="auto" w:fill="DDDDDD"/>
          </w:tcPr>
          <w:p>
            <w:pPr>
              <w:spacing w:after="0"/>
              <w:rPr>
                <w:sz w:val="14"/>
                <w:szCs w:val="14"/>
                <w:color w:val="auto"/>
              </w:rPr>
            </w:pPr>
          </w:p>
        </w:tc>
        <w:tc>
          <w:tcPr>
            <w:tcW w:w="10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5.0</w:t>
            </w:r>
          </w:p>
        </w:tc>
        <w:tc>
          <w:tcPr>
            <w:tcW w:w="80" w:type="dxa"/>
            <w:vAlign w:val="bottom"/>
            <w:shd w:val="clear" w:color="auto" w:fill="DDDDDD"/>
          </w:tcPr>
          <w:p>
            <w:pPr>
              <w:spacing w:after="0"/>
              <w:rPr>
                <w:sz w:val="14"/>
                <w:szCs w:val="14"/>
                <w:color w:val="auto"/>
              </w:rPr>
            </w:pPr>
          </w:p>
        </w:tc>
        <w:tc>
          <w:tcPr>
            <w:tcW w:w="320" w:type="dxa"/>
            <w:vAlign w:val="bottom"/>
            <w:shd w:val="clear" w:color="auto" w:fill="DDDDDD"/>
          </w:tcPr>
          <w:p>
            <w:pPr>
              <w:spacing w:after="0"/>
              <w:rPr>
                <w:sz w:val="14"/>
                <w:szCs w:val="14"/>
                <w:color w:val="auto"/>
              </w:rPr>
            </w:pPr>
          </w:p>
        </w:tc>
        <w:tc>
          <w:tcPr>
            <w:tcW w:w="10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w:t>
            </w:r>
          </w:p>
        </w:tc>
      </w:tr>
      <w:tr>
        <w:trPr>
          <w:trHeight w:val="154"/>
        </w:trPr>
        <w:tc>
          <w:tcPr>
            <w:tcW w:w="6800" w:type="dxa"/>
            <w:vAlign w:val="bottom"/>
            <w:tcBorders>
              <w:bottom w:val="single" w:sz="8" w:color="DDDDDD"/>
            </w:tcBorders>
          </w:tcPr>
          <w:p>
            <w:pPr>
              <w:ind w:left="20"/>
              <w:spacing w:after="0"/>
              <w:rPr>
                <w:sz w:val="20"/>
                <w:szCs w:val="20"/>
                <w:color w:val="auto"/>
              </w:rPr>
            </w:pPr>
            <w:r>
              <w:rPr>
                <w:rFonts w:ascii="Arial" w:cs="Arial" w:eastAsia="Arial" w:hAnsi="Arial"/>
                <w:sz w:val="11"/>
                <w:szCs w:val="11"/>
                <w:color w:val="auto"/>
              </w:rPr>
              <w:t>Other financing payments</w:t>
            </w: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DDDDDD"/>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80" w:type="dxa"/>
            <w:vAlign w:val="bottom"/>
            <w:tcBorders>
              <w:bottom w:val="single" w:sz="8" w:color="DDDDDD"/>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r>
      <w:tr>
        <w:trPr>
          <w:trHeight w:val="170"/>
        </w:trPr>
        <w:tc>
          <w:tcPr>
            <w:tcW w:w="6800" w:type="dxa"/>
            <w:vAlign w:val="bottom"/>
            <w:tcBorders>
              <w:bottom w:val="single" w:sz="8" w:color="DDDDDD"/>
            </w:tcBorders>
            <w:shd w:val="clear" w:color="auto" w:fill="DDDDDD"/>
          </w:tcPr>
          <w:p>
            <w:pPr>
              <w:ind w:left="780"/>
              <w:spacing w:after="0"/>
              <w:rPr>
                <w:sz w:val="20"/>
                <w:szCs w:val="20"/>
                <w:color w:val="auto"/>
              </w:rPr>
            </w:pPr>
            <w:r>
              <w:rPr>
                <w:rFonts w:ascii="Arial" w:cs="Arial" w:eastAsia="Arial" w:hAnsi="Arial"/>
                <w:sz w:val="11"/>
                <w:szCs w:val="11"/>
                <w:color w:val="auto"/>
              </w:rPr>
              <w:t>Net cash (used in) provided by financing activities</w:t>
            </w:r>
          </w:p>
        </w:tc>
        <w:tc>
          <w:tcPr>
            <w:tcW w:w="90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(4.0)</w:t>
            </w:r>
          </w:p>
        </w:tc>
        <w:tc>
          <w:tcPr>
            <w:tcW w:w="80" w:type="dxa"/>
            <w:vAlign w:val="bottom"/>
            <w:tcBorders>
              <w:bottom w:val="single" w:sz="8" w:color="DDDDDD"/>
            </w:tcBorders>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215.2</w:t>
            </w:r>
          </w:p>
        </w:tc>
        <w:tc>
          <w:tcPr>
            <w:tcW w:w="80" w:type="dxa"/>
            <w:vAlign w:val="bottom"/>
            <w:tcBorders>
              <w:bottom w:val="single" w:sz="8" w:color="DDDDDD"/>
            </w:tcBorders>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168.5</w:t>
            </w:r>
          </w:p>
        </w:tc>
      </w:tr>
      <w:tr>
        <w:trPr>
          <w:trHeight w:val="130"/>
        </w:trPr>
        <w:tc>
          <w:tcPr>
            <w:tcW w:w="6800" w:type="dxa"/>
            <w:vAlign w:val="bottom"/>
          </w:tcPr>
          <w:p>
            <w:pPr>
              <w:ind w:left="20"/>
              <w:spacing w:after="0"/>
              <w:rPr>
                <w:sz w:val="20"/>
                <w:szCs w:val="20"/>
                <w:color w:val="auto"/>
              </w:rPr>
            </w:pPr>
            <w:r>
              <w:rPr>
                <w:rFonts w:ascii="Arial" w:cs="Arial" w:eastAsia="Arial" w:hAnsi="Arial"/>
                <w:sz w:val="11"/>
                <w:szCs w:val="11"/>
                <w:color w:val="auto"/>
              </w:rPr>
              <w:t>Net (decrease) increase in cash and cash equivalents and restricted cash</w:t>
            </w:r>
          </w:p>
        </w:tc>
        <w:tc>
          <w:tcPr>
            <w:tcW w:w="90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3"/>
              <w:spacing w:after="0"/>
              <w:rPr>
                <w:sz w:val="20"/>
                <w:szCs w:val="20"/>
                <w:color w:val="auto"/>
              </w:rPr>
            </w:pPr>
            <w:r>
              <w:rPr>
                <w:rFonts w:ascii="Arial" w:cs="Arial" w:eastAsia="Arial" w:hAnsi="Arial"/>
                <w:sz w:val="11"/>
                <w:szCs w:val="11"/>
                <w:color w:val="auto"/>
              </w:rPr>
              <w:t>150.4</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67.3</w:t>
            </w:r>
          </w:p>
        </w:tc>
      </w:tr>
      <w:tr>
        <w:trPr>
          <w:trHeight w:val="162"/>
        </w:trPr>
        <w:tc>
          <w:tcPr>
            <w:tcW w:w="6800" w:type="dxa"/>
            <w:vAlign w:val="bottom"/>
            <w:shd w:val="clear" w:color="auto" w:fill="DDDDDD"/>
          </w:tcPr>
          <w:p>
            <w:pPr>
              <w:ind w:left="20"/>
              <w:spacing w:after="0"/>
              <w:rPr>
                <w:sz w:val="20"/>
                <w:szCs w:val="20"/>
                <w:color w:val="auto"/>
              </w:rPr>
            </w:pPr>
            <w:r>
              <w:rPr>
                <w:rFonts w:ascii="Arial" w:cs="Arial" w:eastAsia="Arial" w:hAnsi="Arial"/>
                <w:sz w:val="11"/>
                <w:szCs w:val="11"/>
                <w:color w:val="auto"/>
              </w:rPr>
              <w:t>Cash and cash equivalents and restricted cash at beginning of period</w:t>
            </w:r>
          </w:p>
        </w:tc>
        <w:tc>
          <w:tcPr>
            <w:tcW w:w="900" w:type="dxa"/>
            <w:vAlign w:val="bottom"/>
            <w:tcBorders>
              <w:bottom w:val="single" w:sz="8" w:color="auto"/>
            </w:tcBorders>
            <w:shd w:val="clear" w:color="auto" w:fill="DDDDDD"/>
          </w:tcPr>
          <w:p>
            <w:pPr>
              <w:spacing w:after="0"/>
              <w:rPr>
                <w:sz w:val="14"/>
                <w:szCs w:val="14"/>
                <w:color w:val="auto"/>
              </w:rPr>
            </w:pPr>
          </w:p>
        </w:tc>
        <w:tc>
          <w:tcPr>
            <w:tcW w:w="4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259.6</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109.2</w:t>
            </w:r>
          </w:p>
        </w:tc>
        <w:tc>
          <w:tcPr>
            <w:tcW w:w="80" w:type="dxa"/>
            <w:vAlign w:val="bottom"/>
            <w:shd w:val="clear" w:color="auto" w:fill="DDDDDD"/>
          </w:tcPr>
          <w:p>
            <w:pPr>
              <w:spacing w:after="0"/>
              <w:rPr>
                <w:sz w:val="14"/>
                <w:szCs w:val="14"/>
                <w:color w:val="auto"/>
              </w:rPr>
            </w:pPr>
          </w:p>
        </w:tc>
        <w:tc>
          <w:tcPr>
            <w:tcW w:w="320" w:type="dxa"/>
            <w:vAlign w:val="bottom"/>
            <w:tcBorders>
              <w:bottom w:val="single" w:sz="8" w:color="auto"/>
            </w:tcBorders>
            <w:shd w:val="clear" w:color="auto" w:fill="DDDDDD"/>
          </w:tcPr>
          <w:p>
            <w:pPr>
              <w:spacing w:after="0"/>
              <w:rPr>
                <w:sz w:val="14"/>
                <w:szCs w:val="14"/>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41.9</w:t>
            </w:r>
          </w:p>
        </w:tc>
      </w:tr>
      <w:tr>
        <w:trPr>
          <w:trHeight w:val="152"/>
        </w:trPr>
        <w:tc>
          <w:tcPr>
            <w:tcW w:w="6800" w:type="dxa"/>
            <w:vAlign w:val="bottom"/>
          </w:tcPr>
          <w:p>
            <w:pPr>
              <w:ind w:left="20"/>
              <w:spacing w:after="0"/>
              <w:rPr>
                <w:sz w:val="20"/>
                <w:szCs w:val="20"/>
                <w:color w:val="auto"/>
              </w:rPr>
            </w:pPr>
            <w:r>
              <w:rPr>
                <w:rFonts w:ascii="Arial" w:cs="Arial" w:eastAsia="Arial" w:hAnsi="Arial"/>
                <w:sz w:val="11"/>
                <w:szCs w:val="11"/>
                <w:color w:val="auto"/>
              </w:rPr>
              <w:t>Cash and cash equivalents and restricted cash at end of period</w:t>
            </w:r>
          </w:p>
        </w:tc>
        <w:tc>
          <w:tcPr>
            <w:tcW w:w="900" w:type="dxa"/>
            <w:vAlign w:val="bottom"/>
            <w:tcBorders>
              <w:bottom w:val="single" w:sz="8" w:color="auto"/>
            </w:tcBorders>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163.6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259.6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109.2</w:t>
            </w: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160"/>
          </w:cols>
          <w:pgMar w:left="300" w:top="995"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91</w:t>
      </w:r>
    </w:p>
    <w:p>
      <w:pPr>
        <w:sectPr>
          <w:pgSz w:w="11880" w:h="15480" w:orient="portrait"/>
          <w:cols w:equalWidth="0" w:num="1">
            <w:col w:w="11160"/>
          </w:cols>
          <w:pgMar w:left="300" w:top="995" w:right="419" w:bottom="0" w:gutter="0" w:footer="0" w:header="0"/>
          <w:type w:val="continuous"/>
        </w:sectPr>
      </w:pPr>
    </w:p>
    <w:bookmarkStart w:id="99" w:name="page100"/>
    <w:bookmarkEnd w:id="99"/>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RENT THE RUNWAY, INC.</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21590</wp:posOffset>
            </wp:positionV>
            <wp:extent cx="708088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80885" cy="6985"/>
                    </a:xfrm>
                    <a:prstGeom prst="rect">
                      <a:avLst/>
                    </a:prstGeom>
                    <a:noFill/>
                  </pic:spPr>
                </pic:pic>
              </a:graphicData>
            </a:graphic>
          </wp:anchor>
        </w:drawing>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millions)</w:t>
      </w:r>
    </w:p>
    <w:p>
      <w:pPr>
        <w:spacing w:after="0" w:line="228" w:lineRule="exact"/>
        <w:rPr>
          <w:sz w:val="20"/>
          <w:szCs w:val="20"/>
          <w:color w:val="auto"/>
        </w:rPr>
      </w:pPr>
    </w:p>
    <w:p>
      <w:pPr>
        <w:ind w:left="8560"/>
        <w:spacing w:after="0"/>
        <w:rPr>
          <w:sz w:val="20"/>
          <w:szCs w:val="20"/>
          <w:color w:val="auto"/>
        </w:rPr>
      </w:pPr>
      <w:r>
        <w:rPr>
          <w:rFonts w:ascii="Arial" w:cs="Arial" w:eastAsia="Arial" w:hAnsi="Arial"/>
          <w:sz w:val="11"/>
          <w:szCs w:val="11"/>
          <w:b w:val="1"/>
          <w:bCs w:val="1"/>
          <w:color w:val="auto"/>
        </w:rPr>
        <w:t>Year Ended</w:t>
      </w:r>
    </w:p>
    <w:p>
      <w:pPr>
        <w:ind w:left="856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13970</wp:posOffset>
            </wp:positionV>
            <wp:extent cx="297815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97815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tcBorders>
              <w:bottom w:val="single" w:sz="8" w:color="DDDDDD"/>
            </w:tcBorders>
          </w:tcPr>
          <w:p>
            <w:pPr>
              <w:spacing w:after="0"/>
              <w:rPr>
                <w:sz w:val="14"/>
                <w:szCs w:val="14"/>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1"/>
                <w:szCs w:val="11"/>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DDDDD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DDDDD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8"/>
        </w:trPr>
        <w:tc>
          <w:tcPr>
            <w:tcW w:w="6540" w:type="dxa"/>
            <w:vAlign w:val="bottom"/>
            <w:shd w:val="clear" w:color="auto" w:fill="DDDDDD"/>
          </w:tcPr>
          <w:p>
            <w:pPr>
              <w:ind w:left="20"/>
              <w:spacing w:after="0"/>
              <w:rPr>
                <w:sz w:val="20"/>
                <w:szCs w:val="20"/>
                <w:color w:val="auto"/>
              </w:rPr>
            </w:pPr>
            <w:r>
              <w:rPr>
                <w:rFonts w:ascii="Arial" w:cs="Arial" w:eastAsia="Arial" w:hAnsi="Arial"/>
                <w:sz w:val="11"/>
                <w:szCs w:val="11"/>
                <w:b w:val="1"/>
                <w:bCs w:val="1"/>
                <w:color w:val="auto"/>
              </w:rPr>
              <w:t>Reconciliation of Cash and Cash Equivalents and Restricted Cash to the Consolidated Balance Sheets:</w:t>
            </w:r>
          </w:p>
        </w:tc>
        <w:tc>
          <w:tcPr>
            <w:tcW w:w="102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114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11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4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1020" w:type="dxa"/>
            <w:vAlign w:val="bottom"/>
          </w:tcPr>
          <w:p>
            <w:pPr>
              <w:jc w:val="right"/>
              <w:ind w:right="9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154.5</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247.6</w:t>
            </w:r>
          </w:p>
        </w:tc>
        <w:tc>
          <w:tcPr>
            <w:tcW w:w="10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95.3</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1"/>
                <w:szCs w:val="11"/>
                <w:color w:val="auto"/>
              </w:rPr>
              <w:t>Restricted cash, current</w:t>
            </w:r>
          </w:p>
        </w:tc>
        <w:tc>
          <w:tcPr>
            <w:tcW w:w="1020" w:type="dxa"/>
            <w:vAlign w:val="bottom"/>
            <w:tcBorders>
              <w:bottom w:val="single" w:sz="8" w:color="DDDDDD"/>
            </w:tcBorders>
            <w:shd w:val="clear" w:color="auto" w:fill="DDDDDD"/>
          </w:tcPr>
          <w:p>
            <w:pPr>
              <w:spacing w:after="0"/>
              <w:rPr>
                <w:sz w:val="13"/>
                <w:szCs w:val="13"/>
                <w:color w:val="auto"/>
              </w:rPr>
            </w:pPr>
          </w:p>
        </w:tc>
        <w:tc>
          <w:tcPr>
            <w:tcW w:w="48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DDDDDD"/>
            </w:tcBorders>
            <w:shd w:val="clear" w:color="auto" w:fill="DDDDDD"/>
          </w:tcPr>
          <w:p>
            <w:pPr>
              <w:spacing w:after="0"/>
              <w:rPr>
                <w:sz w:val="13"/>
                <w:szCs w:val="13"/>
                <w:color w:val="auto"/>
              </w:rPr>
            </w:pPr>
          </w:p>
        </w:tc>
        <w:tc>
          <w:tcPr>
            <w:tcW w:w="360" w:type="dxa"/>
            <w:vAlign w:val="bottom"/>
            <w:tcBorders>
              <w:bottom w:val="single" w:sz="8" w:color="DDDDDD"/>
            </w:tcBorders>
            <w:shd w:val="clear" w:color="auto" w:fill="DDDDDD"/>
          </w:tcPr>
          <w:p>
            <w:pPr>
              <w:spacing w:after="0"/>
              <w:rPr>
                <w:sz w:val="13"/>
                <w:szCs w:val="13"/>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5.4</w:t>
            </w:r>
          </w:p>
        </w:tc>
        <w:tc>
          <w:tcPr>
            <w:tcW w:w="100" w:type="dxa"/>
            <w:vAlign w:val="bottom"/>
            <w:tcBorders>
              <w:bottom w:val="single" w:sz="8" w:color="DDDDDD"/>
            </w:tcBorders>
            <w:shd w:val="clear" w:color="auto" w:fill="DDDDDD"/>
          </w:tcPr>
          <w:p>
            <w:pPr>
              <w:spacing w:after="0"/>
              <w:rPr>
                <w:sz w:val="13"/>
                <w:szCs w:val="13"/>
                <w:color w:val="auto"/>
              </w:rPr>
            </w:pPr>
          </w:p>
        </w:tc>
        <w:tc>
          <w:tcPr>
            <w:tcW w:w="340" w:type="dxa"/>
            <w:vAlign w:val="bottom"/>
            <w:tcBorders>
              <w:bottom w:val="single" w:sz="8" w:color="DDDDDD"/>
            </w:tcBorders>
            <w:shd w:val="clear" w:color="auto" w:fill="DDDDDD"/>
          </w:tcPr>
          <w:p>
            <w:pPr>
              <w:spacing w:after="0"/>
              <w:rPr>
                <w:sz w:val="13"/>
                <w:szCs w:val="13"/>
                <w:color w:val="auto"/>
              </w:rPr>
            </w:pPr>
          </w:p>
        </w:tc>
        <w:tc>
          <w:tcPr>
            <w:tcW w:w="11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3.4</w:t>
            </w:r>
          </w:p>
        </w:tc>
        <w:tc>
          <w:tcPr>
            <w:tcW w:w="0" w:type="dxa"/>
            <w:vAlign w:val="bottom"/>
          </w:tcPr>
          <w:p>
            <w:pPr>
              <w:spacing w:after="0"/>
              <w:rPr>
                <w:sz w:val="1"/>
                <w:szCs w:val="1"/>
                <w:color w:val="auto"/>
              </w:rPr>
            </w:pPr>
          </w:p>
        </w:tc>
      </w:tr>
      <w:tr>
        <w:trPr>
          <w:trHeight w:val="176"/>
        </w:trPr>
        <w:tc>
          <w:tcPr>
            <w:tcW w:w="6540" w:type="dxa"/>
            <w:vAlign w:val="bottom"/>
            <w:tcBorders>
              <w:bottom w:val="single" w:sz="8" w:color="DDDDDD"/>
            </w:tcBorders>
          </w:tcPr>
          <w:p>
            <w:pPr>
              <w:ind w:left="20"/>
              <w:spacing w:after="0"/>
              <w:rPr>
                <w:sz w:val="20"/>
                <w:szCs w:val="20"/>
                <w:color w:val="auto"/>
              </w:rPr>
            </w:pPr>
            <w:r>
              <w:rPr>
                <w:rFonts w:ascii="Arial" w:cs="Arial" w:eastAsia="Arial" w:hAnsi="Arial"/>
                <w:sz w:val="11"/>
                <w:szCs w:val="11"/>
                <w:color w:val="auto"/>
              </w:rPr>
              <w:t>Restricted cash, noncurrent</w:t>
            </w: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6.0</w:t>
            </w:r>
          </w:p>
        </w:tc>
        <w:tc>
          <w:tcPr>
            <w:tcW w:w="80" w:type="dxa"/>
            <w:vAlign w:val="bottom"/>
            <w:tcBorders>
              <w:bottom w:val="single" w:sz="8" w:color="DDDDDD"/>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w:t>
            </w: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80"/>
        </w:trPr>
        <w:tc>
          <w:tcPr>
            <w:tcW w:w="6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1"/>
                <w:szCs w:val="11"/>
                <w:color w:val="auto"/>
              </w:rPr>
              <w:t>Total cash and cash equivalents and restricted cash</w:t>
            </w:r>
          </w:p>
        </w:tc>
        <w:tc>
          <w:tcPr>
            <w:tcW w:w="1020" w:type="dxa"/>
            <w:vAlign w:val="bottom"/>
            <w:tcBorders>
              <w:bottom w:val="single" w:sz="8" w:color="auto"/>
            </w:tcBorders>
            <w:shd w:val="clear" w:color="auto" w:fill="DDDDDD"/>
          </w:tcPr>
          <w:p>
            <w:pPr>
              <w:jc w:val="right"/>
              <w:ind w:right="908"/>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163.6</w:t>
            </w:r>
          </w:p>
        </w:tc>
        <w:tc>
          <w:tcPr>
            <w:tcW w:w="80" w:type="dxa"/>
            <w:vAlign w:val="bottom"/>
            <w:tcBorders>
              <w:bottom w:val="single" w:sz="8" w:color="DDDDDD"/>
            </w:tcBorders>
            <w:shd w:val="clear" w:color="auto" w:fill="DDDDDD"/>
          </w:tcPr>
          <w:p>
            <w:pPr>
              <w:spacing w:after="0"/>
              <w:rPr>
                <w:sz w:val="15"/>
                <w:szCs w:val="15"/>
                <w:color w:val="auto"/>
              </w:rPr>
            </w:pPr>
          </w:p>
        </w:tc>
        <w:tc>
          <w:tcPr>
            <w:tcW w:w="36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1"/>
                <w:szCs w:val="11"/>
                <w:color w:val="auto"/>
              </w:rPr>
              <w:t>259.6</w:t>
            </w:r>
          </w:p>
        </w:tc>
        <w:tc>
          <w:tcPr>
            <w:tcW w:w="100" w:type="dxa"/>
            <w:vAlign w:val="bottom"/>
            <w:tcBorders>
              <w:bottom w:val="single" w:sz="8" w:color="DDDDDD"/>
            </w:tcBorders>
            <w:shd w:val="clear" w:color="auto" w:fill="DDDDDD"/>
          </w:tcPr>
          <w:p>
            <w:pPr>
              <w:spacing w:after="0"/>
              <w:rPr>
                <w:sz w:val="15"/>
                <w:szCs w:val="15"/>
                <w:color w:val="auto"/>
              </w:rPr>
            </w:pPr>
          </w:p>
        </w:tc>
        <w:tc>
          <w:tcPr>
            <w:tcW w:w="340" w:type="dxa"/>
            <w:vAlign w:val="bottom"/>
            <w:tcBorders>
              <w:bottom w:val="single" w:sz="8" w:color="auto"/>
            </w:tcBorders>
            <w:shd w:val="clear" w:color="auto" w:fill="DDDDDD"/>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1"/>
                <w:szCs w:val="11"/>
                <w:color w:val="auto"/>
              </w:rPr>
              <w:t>109.2</w:t>
            </w:r>
          </w:p>
        </w:tc>
        <w:tc>
          <w:tcPr>
            <w:tcW w:w="0" w:type="dxa"/>
            <w:vAlign w:val="bottom"/>
          </w:tcPr>
          <w:p>
            <w:pPr>
              <w:spacing w:after="0"/>
              <w:rPr>
                <w:sz w:val="1"/>
                <w:szCs w:val="1"/>
                <w:color w:val="auto"/>
              </w:rPr>
            </w:pPr>
          </w:p>
        </w:tc>
      </w:tr>
      <w:tr>
        <w:trPr>
          <w:trHeight w:val="20"/>
        </w:trPr>
        <w:tc>
          <w:tcPr>
            <w:tcW w:w="654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1"/>
                <w:szCs w:val="11"/>
                <w:b w:val="1"/>
                <w:bCs w:val="1"/>
                <w:color w:val="auto"/>
              </w:rPr>
              <w:t>Supplemental Cash Flow Information:</w:t>
            </w:r>
          </w:p>
        </w:tc>
        <w:tc>
          <w:tcPr>
            <w:tcW w:w="102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1"/>
                <w:szCs w:val="11"/>
                <w:color w:val="auto"/>
              </w:rPr>
              <w:t>Cash payments (receipts) for:</w:t>
            </w:r>
          </w:p>
        </w:tc>
        <w:tc>
          <w:tcPr>
            <w:tcW w:w="1020" w:type="dxa"/>
            <w:vAlign w:val="bottom"/>
            <w:tcBorders>
              <w:bottom w:val="single" w:sz="8" w:color="DDDDDD"/>
            </w:tcBorders>
            <w:shd w:val="clear" w:color="auto" w:fill="DDDDDD"/>
          </w:tcPr>
          <w:p>
            <w:pPr>
              <w:spacing w:after="0"/>
              <w:rPr>
                <w:sz w:val="14"/>
                <w:szCs w:val="14"/>
                <w:color w:val="auto"/>
              </w:rPr>
            </w:pPr>
          </w:p>
        </w:tc>
        <w:tc>
          <w:tcPr>
            <w:tcW w:w="480" w:type="dxa"/>
            <w:vAlign w:val="bottom"/>
            <w:tcBorders>
              <w:bottom w:val="single" w:sz="8" w:color="DDDDDD"/>
            </w:tcBorders>
            <w:shd w:val="clear" w:color="auto" w:fill="DDDDDD"/>
          </w:tcPr>
          <w:p>
            <w:pPr>
              <w:spacing w:after="0"/>
              <w:rPr>
                <w:sz w:val="14"/>
                <w:szCs w:val="14"/>
                <w:color w:val="auto"/>
              </w:rPr>
            </w:pPr>
          </w:p>
        </w:tc>
        <w:tc>
          <w:tcPr>
            <w:tcW w:w="80" w:type="dxa"/>
            <w:vAlign w:val="bottom"/>
            <w:tcBorders>
              <w:bottom w:val="single" w:sz="8" w:color="DDDDDD"/>
            </w:tcBorders>
            <w:shd w:val="clear" w:color="auto" w:fill="DDDDDD"/>
          </w:tcPr>
          <w:p>
            <w:pPr>
              <w:spacing w:after="0"/>
              <w:rPr>
                <w:sz w:val="14"/>
                <w:szCs w:val="14"/>
                <w:color w:val="auto"/>
              </w:rPr>
            </w:pPr>
          </w:p>
        </w:tc>
        <w:tc>
          <w:tcPr>
            <w:tcW w:w="360" w:type="dxa"/>
            <w:vAlign w:val="bottom"/>
            <w:tcBorders>
              <w:bottom w:val="single" w:sz="8" w:color="DDDDDD"/>
            </w:tcBorders>
            <w:shd w:val="clear" w:color="auto" w:fill="DDDDDD"/>
          </w:tcPr>
          <w:p>
            <w:pPr>
              <w:spacing w:after="0"/>
              <w:rPr>
                <w:sz w:val="14"/>
                <w:szCs w:val="14"/>
                <w:color w:val="auto"/>
              </w:rPr>
            </w:pPr>
          </w:p>
        </w:tc>
        <w:tc>
          <w:tcPr>
            <w:tcW w:w="1140" w:type="dxa"/>
            <w:vAlign w:val="bottom"/>
            <w:tcBorders>
              <w:bottom w:val="single" w:sz="8" w:color="DDDDDD"/>
            </w:tcBorders>
            <w:shd w:val="clear" w:color="auto" w:fill="DDDDDD"/>
          </w:tcPr>
          <w:p>
            <w:pPr>
              <w:spacing w:after="0"/>
              <w:rPr>
                <w:sz w:val="14"/>
                <w:szCs w:val="14"/>
                <w:color w:val="auto"/>
              </w:rPr>
            </w:pPr>
          </w:p>
        </w:tc>
        <w:tc>
          <w:tcPr>
            <w:tcW w:w="100" w:type="dxa"/>
            <w:vAlign w:val="bottom"/>
            <w:tcBorders>
              <w:bottom w:val="single" w:sz="8" w:color="DDDDDD"/>
            </w:tcBorders>
            <w:shd w:val="clear" w:color="auto" w:fill="DDDDDD"/>
          </w:tcPr>
          <w:p>
            <w:pPr>
              <w:spacing w:after="0"/>
              <w:rPr>
                <w:sz w:val="14"/>
                <w:szCs w:val="14"/>
                <w:color w:val="auto"/>
              </w:rPr>
            </w:pPr>
          </w:p>
        </w:tc>
        <w:tc>
          <w:tcPr>
            <w:tcW w:w="340" w:type="dxa"/>
            <w:vAlign w:val="bottom"/>
            <w:tcBorders>
              <w:bottom w:val="single" w:sz="8" w:color="DDDDDD"/>
            </w:tcBorders>
            <w:shd w:val="clear" w:color="auto" w:fill="DDDDDD"/>
          </w:tcPr>
          <w:p>
            <w:pPr>
              <w:spacing w:after="0"/>
              <w:rPr>
                <w:sz w:val="14"/>
                <w:szCs w:val="14"/>
                <w:color w:val="auto"/>
              </w:rPr>
            </w:pPr>
          </w:p>
        </w:tc>
        <w:tc>
          <w:tcPr>
            <w:tcW w:w="1160" w:type="dxa"/>
            <w:vAlign w:val="bottom"/>
            <w:tcBorders>
              <w:bottom w:val="single" w:sz="8" w:color="DDDDDD"/>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540" w:type="dxa"/>
            <w:vAlign w:val="bottom"/>
          </w:tcPr>
          <w:p>
            <w:pPr>
              <w:ind w:left="360"/>
              <w:spacing w:after="0"/>
              <w:rPr>
                <w:sz w:val="20"/>
                <w:szCs w:val="20"/>
                <w:color w:val="auto"/>
              </w:rPr>
            </w:pPr>
            <w:r>
              <w:rPr>
                <w:rFonts w:ascii="Arial" w:cs="Arial" w:eastAsia="Arial" w:hAnsi="Arial"/>
                <w:sz w:val="11"/>
                <w:szCs w:val="11"/>
                <w:color w:val="auto"/>
              </w:rPr>
              <w:t>Interest paid on loans</w:t>
            </w:r>
          </w:p>
        </w:tc>
        <w:tc>
          <w:tcPr>
            <w:tcW w:w="1020" w:type="dxa"/>
            <w:vAlign w:val="bottom"/>
          </w:tcPr>
          <w:p>
            <w:pPr>
              <w:jc w:val="right"/>
              <w:ind w:right="9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19.8</w:t>
            </w:r>
          </w:p>
        </w:tc>
        <w:tc>
          <w:tcPr>
            <w:tcW w:w="8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10.2</w:t>
            </w:r>
          </w:p>
        </w:tc>
        <w:tc>
          <w:tcPr>
            <w:tcW w:w="10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5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1"/>
                <w:szCs w:val="11"/>
                <w:color w:val="auto"/>
              </w:rPr>
              <w:t>Interest paid on financing leases</w:t>
            </w:r>
          </w:p>
        </w:tc>
        <w:tc>
          <w:tcPr>
            <w:tcW w:w="1020" w:type="dxa"/>
            <w:vAlign w:val="bottom"/>
            <w:tcBorders>
              <w:bottom w:val="single" w:sz="8" w:color="DDDDDD"/>
            </w:tcBorders>
            <w:shd w:val="clear" w:color="auto" w:fill="DDDDDD"/>
          </w:tcPr>
          <w:p>
            <w:pPr>
              <w:spacing w:after="0"/>
              <w:rPr>
                <w:sz w:val="13"/>
                <w:szCs w:val="13"/>
                <w:color w:val="auto"/>
              </w:rPr>
            </w:pPr>
          </w:p>
        </w:tc>
        <w:tc>
          <w:tcPr>
            <w:tcW w:w="48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0.1</w:t>
            </w:r>
          </w:p>
        </w:tc>
        <w:tc>
          <w:tcPr>
            <w:tcW w:w="80" w:type="dxa"/>
            <w:vAlign w:val="bottom"/>
            <w:tcBorders>
              <w:bottom w:val="single" w:sz="8" w:color="DDDDDD"/>
            </w:tcBorders>
            <w:shd w:val="clear" w:color="auto" w:fill="DDDDDD"/>
          </w:tcPr>
          <w:p>
            <w:pPr>
              <w:spacing w:after="0"/>
              <w:rPr>
                <w:sz w:val="13"/>
                <w:szCs w:val="13"/>
                <w:color w:val="auto"/>
              </w:rPr>
            </w:pPr>
          </w:p>
        </w:tc>
        <w:tc>
          <w:tcPr>
            <w:tcW w:w="360" w:type="dxa"/>
            <w:vAlign w:val="bottom"/>
            <w:tcBorders>
              <w:bottom w:val="single" w:sz="8" w:color="DDDDDD"/>
            </w:tcBorders>
            <w:shd w:val="clear" w:color="auto" w:fill="DDDDDD"/>
          </w:tcPr>
          <w:p>
            <w:pPr>
              <w:spacing w:after="0"/>
              <w:rPr>
                <w:sz w:val="13"/>
                <w:szCs w:val="13"/>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DDDDDD"/>
            </w:tcBorders>
            <w:shd w:val="clear" w:color="auto" w:fill="DDDDDD"/>
          </w:tcPr>
          <w:p>
            <w:pPr>
              <w:spacing w:after="0"/>
              <w:rPr>
                <w:sz w:val="13"/>
                <w:szCs w:val="13"/>
                <w:color w:val="auto"/>
              </w:rPr>
            </w:pPr>
          </w:p>
        </w:tc>
        <w:tc>
          <w:tcPr>
            <w:tcW w:w="340" w:type="dxa"/>
            <w:vAlign w:val="bottom"/>
            <w:tcBorders>
              <w:bottom w:val="single" w:sz="8" w:color="DDDDDD"/>
            </w:tcBorders>
            <w:shd w:val="clear" w:color="auto" w:fill="DDDDDD"/>
          </w:tcPr>
          <w:p>
            <w:pPr>
              <w:spacing w:after="0"/>
              <w:rPr>
                <w:sz w:val="13"/>
                <w:szCs w:val="13"/>
                <w:color w:val="auto"/>
              </w:rPr>
            </w:pPr>
          </w:p>
        </w:tc>
        <w:tc>
          <w:tcPr>
            <w:tcW w:w="11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6540" w:type="dxa"/>
            <w:vAlign w:val="bottom"/>
          </w:tcPr>
          <w:p>
            <w:pPr>
              <w:ind w:left="360"/>
              <w:spacing w:after="0"/>
              <w:rPr>
                <w:sz w:val="20"/>
                <w:szCs w:val="20"/>
                <w:color w:val="auto"/>
              </w:rPr>
            </w:pPr>
            <w:r>
              <w:rPr>
                <w:rFonts w:ascii="Arial" w:cs="Arial" w:eastAsia="Arial" w:hAnsi="Arial"/>
                <w:sz w:val="11"/>
                <w:szCs w:val="11"/>
                <w:color w:val="auto"/>
              </w:rPr>
              <w:t>Fixed operating lease payments (reimbursements), net</w:t>
            </w:r>
          </w:p>
        </w:tc>
        <w:tc>
          <w:tcPr>
            <w:tcW w:w="10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13.5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shd w:val="clear" w:color="auto" w:fill="DDDDDD"/>
          </w:tcPr>
          <w:p>
            <w:pPr>
              <w:ind w:left="360"/>
              <w:spacing w:after="0"/>
              <w:rPr>
                <w:sz w:val="20"/>
                <w:szCs w:val="20"/>
                <w:color w:val="auto"/>
              </w:rPr>
            </w:pPr>
            <w:r>
              <w:rPr>
                <w:rFonts w:ascii="Arial" w:cs="Arial" w:eastAsia="Arial" w:hAnsi="Arial"/>
                <w:sz w:val="11"/>
                <w:szCs w:val="11"/>
                <w:color w:val="auto"/>
              </w:rPr>
              <w:t>Fixed assets and intangibles received in the prior period</w:t>
            </w:r>
          </w:p>
        </w:tc>
        <w:tc>
          <w:tcPr>
            <w:tcW w:w="1020" w:type="dxa"/>
            <w:vAlign w:val="bottom"/>
            <w:shd w:val="clear" w:color="auto" w:fill="DDDDDD"/>
          </w:tcPr>
          <w:p>
            <w:pPr>
              <w:spacing w:after="0"/>
              <w:rPr>
                <w:sz w:val="15"/>
                <w:szCs w:val="15"/>
                <w:color w:val="auto"/>
              </w:rPr>
            </w:pPr>
          </w:p>
        </w:tc>
        <w:tc>
          <w:tcPr>
            <w:tcW w:w="48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0.8</w:t>
            </w:r>
          </w:p>
        </w:tc>
        <w:tc>
          <w:tcPr>
            <w:tcW w:w="8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1"/>
                <w:szCs w:val="11"/>
                <w:color w:val="auto"/>
              </w:rPr>
              <w:t>0.5</w:t>
            </w: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76"/>
        </w:trPr>
        <w:tc>
          <w:tcPr>
            <w:tcW w:w="6540" w:type="dxa"/>
            <w:vAlign w:val="bottom"/>
          </w:tcPr>
          <w:p>
            <w:pPr>
              <w:ind w:left="360"/>
              <w:spacing w:after="0"/>
              <w:rPr>
                <w:sz w:val="20"/>
                <w:szCs w:val="20"/>
                <w:color w:val="auto"/>
              </w:rPr>
            </w:pPr>
            <w:r>
              <w:rPr>
                <w:rFonts w:ascii="Arial" w:cs="Arial" w:eastAsia="Arial" w:hAnsi="Arial"/>
                <w:sz w:val="11"/>
                <w:szCs w:val="11"/>
                <w:color w:val="auto"/>
              </w:rPr>
              <w:t>Rental product received in the prior period</w:t>
            </w:r>
          </w:p>
        </w:tc>
        <w:tc>
          <w:tcPr>
            <w:tcW w:w="102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4"/>
        </w:trPr>
        <w:tc>
          <w:tcPr>
            <w:tcW w:w="6540" w:type="dxa"/>
            <w:vAlign w:val="bottom"/>
            <w:shd w:val="clear" w:color="auto" w:fill="DDDDDD"/>
          </w:tcPr>
          <w:p>
            <w:pPr>
              <w:ind w:left="200"/>
              <w:spacing w:after="0"/>
              <w:rPr>
                <w:sz w:val="20"/>
                <w:szCs w:val="20"/>
                <w:color w:val="auto"/>
              </w:rPr>
            </w:pPr>
            <w:r>
              <w:rPr>
                <w:rFonts w:ascii="Arial" w:cs="Arial" w:eastAsia="Arial" w:hAnsi="Arial"/>
                <w:sz w:val="11"/>
                <w:szCs w:val="11"/>
                <w:color w:val="auto"/>
              </w:rPr>
              <w:t>Non-cash financing and investing activities:</w:t>
            </w:r>
          </w:p>
        </w:tc>
        <w:tc>
          <w:tcPr>
            <w:tcW w:w="1020" w:type="dxa"/>
            <w:vAlign w:val="bottom"/>
            <w:shd w:val="clear" w:color="auto" w:fill="DDDDDD"/>
          </w:tcPr>
          <w:p>
            <w:pPr>
              <w:spacing w:after="0"/>
              <w:rPr>
                <w:sz w:val="14"/>
                <w:szCs w:val="14"/>
                <w:color w:val="auto"/>
              </w:rPr>
            </w:pPr>
          </w:p>
        </w:tc>
        <w:tc>
          <w:tcPr>
            <w:tcW w:w="480" w:type="dxa"/>
            <w:vAlign w:val="bottom"/>
            <w:shd w:val="clear" w:color="auto" w:fill="DDDDDD"/>
          </w:tcPr>
          <w:p>
            <w:pPr>
              <w:spacing w:after="0"/>
              <w:rPr>
                <w:sz w:val="14"/>
                <w:szCs w:val="14"/>
                <w:color w:val="auto"/>
              </w:rPr>
            </w:pPr>
          </w:p>
        </w:tc>
        <w:tc>
          <w:tcPr>
            <w:tcW w:w="80" w:type="dxa"/>
            <w:vAlign w:val="bottom"/>
            <w:shd w:val="clear" w:color="auto" w:fill="DDDDDD"/>
          </w:tcPr>
          <w:p>
            <w:pPr>
              <w:spacing w:after="0"/>
              <w:rPr>
                <w:sz w:val="14"/>
                <w:szCs w:val="14"/>
                <w:color w:val="auto"/>
              </w:rPr>
            </w:pPr>
          </w:p>
        </w:tc>
        <w:tc>
          <w:tcPr>
            <w:tcW w:w="360" w:type="dxa"/>
            <w:vAlign w:val="bottom"/>
            <w:shd w:val="clear" w:color="auto" w:fill="DDDDDD"/>
          </w:tcPr>
          <w:p>
            <w:pPr>
              <w:spacing w:after="0"/>
              <w:rPr>
                <w:sz w:val="14"/>
                <w:szCs w:val="14"/>
                <w:color w:val="auto"/>
              </w:rPr>
            </w:pPr>
          </w:p>
        </w:tc>
        <w:tc>
          <w:tcPr>
            <w:tcW w:w="114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340" w:type="dxa"/>
            <w:vAlign w:val="bottom"/>
            <w:shd w:val="clear" w:color="auto" w:fill="DDDDDD"/>
          </w:tcPr>
          <w:p>
            <w:pPr>
              <w:spacing w:after="0"/>
              <w:rPr>
                <w:sz w:val="14"/>
                <w:szCs w:val="14"/>
                <w:color w:val="auto"/>
              </w:rPr>
            </w:pPr>
          </w:p>
        </w:tc>
        <w:tc>
          <w:tcPr>
            <w:tcW w:w="1160" w:type="dxa"/>
            <w:vAlign w:val="bottom"/>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360"/>
              <w:spacing w:after="0"/>
              <w:rPr>
                <w:sz w:val="20"/>
                <w:szCs w:val="20"/>
                <w:color w:val="auto"/>
              </w:rPr>
            </w:pPr>
            <w:r>
              <w:rPr>
                <w:rFonts w:ascii="Arial" w:cs="Arial" w:eastAsia="Arial" w:hAnsi="Arial"/>
                <w:sz w:val="11"/>
                <w:szCs w:val="11"/>
                <w:color w:val="auto"/>
              </w:rPr>
              <w:t>Financing lease right-of-use asset amortization</w:t>
            </w:r>
          </w:p>
        </w:tc>
        <w:tc>
          <w:tcPr>
            <w:tcW w:w="1020" w:type="dxa"/>
            <w:vAlign w:val="bottom"/>
          </w:tcPr>
          <w:p>
            <w:pPr>
              <w:jc w:val="right"/>
              <w:ind w:right="908"/>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5"/>
                <w:szCs w:val="15"/>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5"/>
                <w:szCs w:val="15"/>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65"/>
        </w:trPr>
        <w:tc>
          <w:tcPr>
            <w:tcW w:w="65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1"/>
                <w:szCs w:val="11"/>
                <w:color w:val="auto"/>
              </w:rPr>
              <w:t>ROU assets obtained in exchange for lease liabilities</w:t>
            </w:r>
          </w:p>
        </w:tc>
        <w:tc>
          <w:tcPr>
            <w:tcW w:w="1020" w:type="dxa"/>
            <w:vAlign w:val="bottom"/>
            <w:tcBorders>
              <w:bottom w:val="single" w:sz="8" w:color="DDDDDD"/>
            </w:tcBorders>
            <w:shd w:val="clear" w:color="auto" w:fill="DDDDDD"/>
          </w:tcPr>
          <w:p>
            <w:pPr>
              <w:spacing w:after="0"/>
              <w:rPr>
                <w:sz w:val="14"/>
                <w:szCs w:val="14"/>
                <w:color w:val="auto"/>
              </w:rPr>
            </w:pPr>
          </w:p>
        </w:tc>
        <w:tc>
          <w:tcPr>
            <w:tcW w:w="48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DDDDDD"/>
            </w:tcBorders>
            <w:shd w:val="clear" w:color="auto" w:fill="DDDDDD"/>
          </w:tcPr>
          <w:p>
            <w:pPr>
              <w:spacing w:after="0"/>
              <w:rPr>
                <w:sz w:val="14"/>
                <w:szCs w:val="14"/>
                <w:color w:val="auto"/>
              </w:rPr>
            </w:pPr>
          </w:p>
        </w:tc>
        <w:tc>
          <w:tcPr>
            <w:tcW w:w="360" w:type="dxa"/>
            <w:vAlign w:val="bottom"/>
            <w:tcBorders>
              <w:bottom w:val="single" w:sz="8" w:color="DDDDDD"/>
            </w:tcBorders>
            <w:shd w:val="clear" w:color="auto" w:fill="DDDDDD"/>
          </w:tcPr>
          <w:p>
            <w:pPr>
              <w:spacing w:after="0"/>
              <w:rPr>
                <w:sz w:val="14"/>
                <w:szCs w:val="1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0.9</w:t>
            </w:r>
          </w:p>
        </w:tc>
        <w:tc>
          <w:tcPr>
            <w:tcW w:w="100" w:type="dxa"/>
            <w:vAlign w:val="bottom"/>
            <w:tcBorders>
              <w:bottom w:val="single" w:sz="8" w:color="DDDDDD"/>
            </w:tcBorders>
            <w:shd w:val="clear" w:color="auto" w:fill="DDDDDD"/>
          </w:tcPr>
          <w:p>
            <w:pPr>
              <w:spacing w:after="0"/>
              <w:rPr>
                <w:sz w:val="14"/>
                <w:szCs w:val="14"/>
                <w:color w:val="auto"/>
              </w:rPr>
            </w:pPr>
          </w:p>
        </w:tc>
        <w:tc>
          <w:tcPr>
            <w:tcW w:w="340" w:type="dxa"/>
            <w:vAlign w:val="bottom"/>
            <w:tcBorders>
              <w:bottom w:val="single" w:sz="8" w:color="DDDDDD"/>
            </w:tcBorders>
            <w:shd w:val="clear" w:color="auto" w:fill="DDDDDD"/>
          </w:tcPr>
          <w:p>
            <w:pPr>
              <w:spacing w:after="0"/>
              <w:rPr>
                <w:sz w:val="14"/>
                <w:szCs w:val="14"/>
                <w:color w:val="auto"/>
              </w:rPr>
            </w:pPr>
          </w:p>
        </w:tc>
        <w:tc>
          <w:tcPr>
            <w:tcW w:w="11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76"/>
        </w:trPr>
        <w:tc>
          <w:tcPr>
            <w:tcW w:w="6540" w:type="dxa"/>
            <w:vAlign w:val="bottom"/>
          </w:tcPr>
          <w:p>
            <w:pPr>
              <w:ind w:left="360"/>
              <w:spacing w:after="0"/>
              <w:rPr>
                <w:sz w:val="20"/>
                <w:szCs w:val="20"/>
                <w:color w:val="auto"/>
              </w:rPr>
            </w:pPr>
            <w:r>
              <w:rPr>
                <w:rFonts w:ascii="Arial" w:cs="Arial" w:eastAsia="Arial" w:hAnsi="Arial"/>
                <w:sz w:val="11"/>
                <w:szCs w:val="11"/>
                <w:color w:val="auto"/>
              </w:rPr>
              <w:t>Purchases of fixed assets and intangibles not yet settled</w:t>
            </w:r>
          </w:p>
        </w:tc>
        <w:tc>
          <w:tcPr>
            <w:tcW w:w="102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0" w:type="dxa"/>
            <w:vAlign w:val="bottom"/>
          </w:tcPr>
          <w:p>
            <w:pPr>
              <w:spacing w:after="0"/>
              <w:rPr>
                <w:sz w:val="1"/>
                <w:szCs w:val="1"/>
                <w:color w:val="auto"/>
              </w:rPr>
            </w:pPr>
          </w:p>
        </w:tc>
      </w:tr>
      <w:tr>
        <w:trPr>
          <w:trHeight w:val="165"/>
        </w:trPr>
        <w:tc>
          <w:tcPr>
            <w:tcW w:w="65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1"/>
                <w:szCs w:val="11"/>
                <w:color w:val="auto"/>
              </w:rPr>
              <w:t>Purchases of rental product not yet settled</w:t>
            </w:r>
          </w:p>
        </w:tc>
        <w:tc>
          <w:tcPr>
            <w:tcW w:w="1020" w:type="dxa"/>
            <w:vAlign w:val="bottom"/>
            <w:tcBorders>
              <w:bottom w:val="single" w:sz="8" w:color="DDDDDD"/>
            </w:tcBorders>
            <w:shd w:val="clear" w:color="auto" w:fill="DDDDDD"/>
          </w:tcPr>
          <w:p>
            <w:pPr>
              <w:spacing w:after="0"/>
              <w:rPr>
                <w:sz w:val="14"/>
                <w:szCs w:val="14"/>
                <w:color w:val="auto"/>
              </w:rPr>
            </w:pPr>
          </w:p>
        </w:tc>
        <w:tc>
          <w:tcPr>
            <w:tcW w:w="48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5.4</w:t>
            </w:r>
          </w:p>
        </w:tc>
        <w:tc>
          <w:tcPr>
            <w:tcW w:w="80" w:type="dxa"/>
            <w:vAlign w:val="bottom"/>
            <w:tcBorders>
              <w:bottom w:val="single" w:sz="8" w:color="DDDDDD"/>
            </w:tcBorders>
            <w:shd w:val="clear" w:color="auto" w:fill="DDDDDD"/>
          </w:tcPr>
          <w:p>
            <w:pPr>
              <w:spacing w:after="0"/>
              <w:rPr>
                <w:sz w:val="14"/>
                <w:szCs w:val="14"/>
                <w:color w:val="auto"/>
              </w:rPr>
            </w:pPr>
          </w:p>
        </w:tc>
        <w:tc>
          <w:tcPr>
            <w:tcW w:w="360" w:type="dxa"/>
            <w:vAlign w:val="bottom"/>
            <w:tcBorders>
              <w:bottom w:val="single" w:sz="8" w:color="DDDDDD"/>
            </w:tcBorders>
            <w:shd w:val="clear" w:color="auto" w:fill="DDDDDD"/>
          </w:tcPr>
          <w:p>
            <w:pPr>
              <w:spacing w:after="0"/>
              <w:rPr>
                <w:sz w:val="14"/>
                <w:szCs w:val="1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1"/>
                <w:szCs w:val="11"/>
                <w:color w:val="auto"/>
              </w:rPr>
              <w:t>6.5</w:t>
            </w:r>
          </w:p>
        </w:tc>
        <w:tc>
          <w:tcPr>
            <w:tcW w:w="100" w:type="dxa"/>
            <w:vAlign w:val="bottom"/>
            <w:tcBorders>
              <w:bottom w:val="single" w:sz="8" w:color="DDDDDD"/>
            </w:tcBorders>
            <w:shd w:val="clear" w:color="auto" w:fill="DDDDDD"/>
          </w:tcPr>
          <w:p>
            <w:pPr>
              <w:spacing w:after="0"/>
              <w:rPr>
                <w:sz w:val="14"/>
                <w:szCs w:val="14"/>
                <w:color w:val="auto"/>
              </w:rPr>
            </w:pPr>
          </w:p>
        </w:tc>
        <w:tc>
          <w:tcPr>
            <w:tcW w:w="340" w:type="dxa"/>
            <w:vAlign w:val="bottom"/>
            <w:tcBorders>
              <w:bottom w:val="single" w:sz="8" w:color="DDDDDD"/>
            </w:tcBorders>
            <w:shd w:val="clear" w:color="auto" w:fill="DDDDDD"/>
          </w:tcPr>
          <w:p>
            <w:pPr>
              <w:spacing w:after="0"/>
              <w:rPr>
                <w:sz w:val="14"/>
                <w:szCs w:val="14"/>
                <w:color w:val="auto"/>
              </w:rPr>
            </w:pPr>
          </w:p>
        </w:tc>
        <w:tc>
          <w:tcPr>
            <w:tcW w:w="1160" w:type="dxa"/>
            <w:vAlign w:val="bottom"/>
            <w:tcBorders>
              <w:bottom w:val="single" w:sz="8" w:color="DDDDDD"/>
            </w:tcBorders>
            <w:shd w:val="clear" w:color="auto" w:fill="DDDDDD"/>
          </w:tcPr>
          <w:p>
            <w:pPr>
              <w:jc w:val="right"/>
              <w:ind w:right="3"/>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60"/>
        </w:trPr>
        <w:tc>
          <w:tcPr>
            <w:tcW w:w="6540" w:type="dxa"/>
            <w:vAlign w:val="bottom"/>
          </w:tcPr>
          <w:p>
            <w:pPr>
              <w:ind w:left="140"/>
              <w:spacing w:after="0"/>
              <w:rPr>
                <w:sz w:val="20"/>
                <w:szCs w:val="20"/>
                <w:color w:val="auto"/>
              </w:rPr>
            </w:pPr>
            <w:r>
              <w:rPr>
                <w:rFonts w:ascii="Arial" w:cs="Arial" w:eastAsia="Arial" w:hAnsi="Arial"/>
                <w:sz w:val="11"/>
                <w:szCs w:val="11"/>
                <w:color w:val="auto"/>
              </w:rPr>
              <w:t>Reconciliation of loss on asset impairment:</w:t>
            </w: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shd w:val="clear" w:color="auto" w:fill="DDDDDD"/>
          </w:tcPr>
          <w:p>
            <w:pPr>
              <w:ind w:left="360"/>
              <w:spacing w:after="0"/>
              <w:rPr>
                <w:sz w:val="20"/>
                <w:szCs w:val="20"/>
                <w:color w:val="auto"/>
              </w:rPr>
            </w:pPr>
            <w:r>
              <w:rPr>
                <w:rFonts w:ascii="Arial" w:cs="Arial" w:eastAsia="Arial" w:hAnsi="Arial"/>
                <w:sz w:val="11"/>
                <w:szCs w:val="11"/>
                <w:color w:val="auto"/>
              </w:rPr>
              <w:t>Accrued expense related to the loss on asset impairment</w:t>
            </w:r>
          </w:p>
        </w:tc>
        <w:tc>
          <w:tcPr>
            <w:tcW w:w="1020" w:type="dxa"/>
            <w:vAlign w:val="bottom"/>
            <w:shd w:val="clear" w:color="auto" w:fill="DDDDDD"/>
          </w:tcPr>
          <w:p>
            <w:pPr>
              <w:jc w:val="right"/>
              <w:ind w:right="908"/>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0.4</w:t>
            </w:r>
          </w:p>
        </w:tc>
        <w:tc>
          <w:tcPr>
            <w:tcW w:w="80" w:type="dxa"/>
            <w:vAlign w:val="bottom"/>
            <w:shd w:val="clear" w:color="auto" w:fill="DDDDDD"/>
          </w:tcPr>
          <w:p>
            <w:pPr>
              <w:spacing w:after="0"/>
              <w:rPr>
                <w:sz w:val="15"/>
                <w:szCs w:val="15"/>
                <w:color w:val="auto"/>
              </w:rPr>
            </w:pPr>
          </w:p>
        </w:tc>
        <w:tc>
          <w:tcPr>
            <w:tcW w:w="360" w:type="dxa"/>
            <w:vAlign w:val="bottom"/>
            <w:shd w:val="clear" w:color="auto" w:fill="DDDDDD"/>
          </w:tcPr>
          <w:p>
            <w:pPr>
              <w:jc w:val="right"/>
              <w:ind w:right="223"/>
              <w:spacing w:after="0"/>
              <w:rPr>
                <w:sz w:val="20"/>
                <w:szCs w:val="20"/>
                <w:color w:val="auto"/>
              </w:rPr>
            </w:pPr>
            <w:r>
              <w:rPr>
                <w:rFonts w:ascii="Arial" w:cs="Arial" w:eastAsia="Arial" w:hAnsi="Arial"/>
                <w:sz w:val="11"/>
                <w:szCs w:val="11"/>
                <w:color w:val="auto"/>
                <w:w w:val="97"/>
              </w:rPr>
              <w:t>$</w:t>
            </w:r>
          </w:p>
        </w:tc>
        <w:tc>
          <w:tcPr>
            <w:tcW w:w="1240" w:type="dxa"/>
            <w:vAlign w:val="bottom"/>
            <w:gridSpan w:val="2"/>
            <w:shd w:val="clear" w:color="auto" w:fill="DDDDDD"/>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DDDDDD"/>
          </w:tcPr>
          <w:p>
            <w:pPr>
              <w:jc w:val="right"/>
              <w:ind w:right="203"/>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DDDDDD"/>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2038985</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92</w:t>
      </w:r>
    </w:p>
    <w:p>
      <w:pPr>
        <w:sectPr>
          <w:pgSz w:w="11880" w:h="15480" w:orient="portrait"/>
          <w:cols w:equalWidth="0" w:num="1">
            <w:col w:w="11220"/>
          </w:cols>
          <w:pgMar w:left="320" w:top="1440" w:right="339" w:bottom="0" w:gutter="0" w:footer="0" w:header="0"/>
        </w:sectPr>
      </w:pPr>
    </w:p>
    <w:bookmarkStart w:id="100" w:name="page101"/>
    <w:bookmarkEnd w:id="100"/>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31" w:lineRule="exact"/>
        <w:rPr>
          <w:sz w:val="20"/>
          <w:szCs w:val="20"/>
          <w:color w:val="auto"/>
        </w:rPr>
      </w:pPr>
    </w:p>
    <w:p>
      <w:pPr>
        <w:ind w:left="365" w:hanging="365"/>
        <w:spacing w:after="0"/>
        <w:tabs>
          <w:tab w:leader="none" w:pos="365" w:val="left"/>
        </w:tabs>
        <w:numPr>
          <w:ilvl w:val="0"/>
          <w:numId w:val="56"/>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i w:val="1"/>
          <w:iCs w:val="1"/>
          <w:color w:val="auto"/>
        </w:rPr>
      </w:pPr>
    </w:p>
    <w:p>
      <w:pPr>
        <w:ind w:left="385"/>
        <w:spacing w:after="0"/>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i w:val="1"/>
          <w:iCs w:val="1"/>
          <w:color w:val="auto"/>
        </w:rPr>
      </w:pPr>
    </w:p>
    <w:p>
      <w:pPr>
        <w:ind w:left="385" w:right="20"/>
        <w:spacing w:after="0" w:line="262" w:lineRule="auto"/>
        <w:rPr>
          <w:rFonts w:ascii="Arial" w:cs="Arial" w:eastAsia="Arial" w:hAnsi="Arial"/>
          <w:sz w:val="14"/>
          <w:szCs w:val="14"/>
          <w:b w:val="1"/>
          <w:bCs w:val="1"/>
          <w:i w:val="1"/>
          <w:i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and largest shared designer closet with tens of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the operational facilities are located in Secaucus, New Jersey, and Arlington, Texas. Its wholly-owned subsidiary, Rent the Runway Limited (the “Subsidiary”), is located in Galway, Ireland, and is focused on software development and support activities.</w:t>
      </w:r>
    </w:p>
    <w:p>
      <w:pPr>
        <w:spacing w:after="0" w:line="139" w:lineRule="exact"/>
        <w:rPr>
          <w:rFonts w:ascii="Arial" w:cs="Arial" w:eastAsia="Arial" w:hAnsi="Arial"/>
          <w:sz w:val="14"/>
          <w:szCs w:val="14"/>
          <w:b w:val="1"/>
          <w:bCs w:val="1"/>
          <w:i w:val="1"/>
          <w:iCs w:val="1"/>
          <w:color w:val="auto"/>
        </w:rPr>
      </w:pPr>
    </w:p>
    <w:p>
      <w:pPr>
        <w:ind w:left="385" w:right="80"/>
        <w:spacing w:after="0" w:line="290" w:lineRule="auto"/>
        <w:rPr>
          <w:rFonts w:ascii="Arial" w:cs="Arial" w:eastAsia="Arial" w:hAnsi="Arial"/>
          <w:sz w:val="14"/>
          <w:szCs w:val="14"/>
          <w:b w:val="1"/>
          <w:bCs w:val="1"/>
          <w:i w:val="1"/>
          <w:i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205" w:lineRule="exact"/>
        <w:rPr>
          <w:rFonts w:ascii="Arial" w:cs="Arial" w:eastAsia="Arial" w:hAnsi="Arial"/>
          <w:sz w:val="14"/>
          <w:szCs w:val="14"/>
          <w:b w:val="1"/>
          <w:bCs w:val="1"/>
          <w:i w:val="1"/>
          <w:iCs w:val="1"/>
          <w:color w:val="auto"/>
        </w:rPr>
      </w:pPr>
    </w:p>
    <w:p>
      <w:pPr>
        <w:ind w:left="385" w:right="7920" w:hanging="385"/>
        <w:spacing w:after="0" w:line="379" w:lineRule="auto"/>
        <w:tabs>
          <w:tab w:leader="none" w:pos="376"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5" w:right="4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consolidated financial statements include the accounts of the Company and its subsidiary. All intercompany accounts and transactions have been eliminated in consolidation. The Company’s consolidated financial statements were prepared in accordance with generally accepted accounting principles in the United States (“U.S. GAAP”). Certain amounts in the financial statements have been reclassified to conform to the current presentation.</w:t>
      </w:r>
    </w:p>
    <w:p>
      <w:pPr>
        <w:spacing w:after="0" w:line="239"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Fiscal Year</w:t>
      </w:r>
    </w:p>
    <w:p>
      <w:pPr>
        <w:spacing w:after="0" w:line="93" w:lineRule="exact"/>
        <w:rPr>
          <w:rFonts w:ascii="Arial" w:cs="Arial" w:eastAsia="Arial" w:hAnsi="Arial"/>
          <w:sz w:val="14"/>
          <w:szCs w:val="14"/>
          <w:b w:val="1"/>
          <w:bCs w:val="1"/>
          <w:color w:val="auto"/>
        </w:rPr>
      </w:pPr>
    </w:p>
    <w:p>
      <w:pPr>
        <w:ind w:left="385"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operates on a fiscal calendar ending January 31. All references to fiscal year 2020 reflect the results of the 12-month period ending January 31, 2021. All references to fiscal year 2021 reflect the results of the 12-month period ending January 31, 2022. All references to fiscal year 2022 reflect the results of the 12-month period ending January 31, 2023. All references to fiscal year 2023 reflect the results of the 12-month period ending January 31, 2024.</w:t>
      </w:r>
    </w:p>
    <w:p>
      <w:pPr>
        <w:spacing w:after="0" w:line="218"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93" w:lineRule="exact"/>
        <w:rPr>
          <w:rFonts w:ascii="Arial" w:cs="Arial" w:eastAsia="Arial" w:hAnsi="Arial"/>
          <w:sz w:val="14"/>
          <w:szCs w:val="14"/>
          <w:b w:val="1"/>
          <w:bCs w:val="1"/>
          <w:color w:val="auto"/>
        </w:rPr>
      </w:pPr>
    </w:p>
    <w:p>
      <w:pPr>
        <w:ind w:left="385"/>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 All revenue is attributed to customers based in the United States and substantially all the Company’s long-lived assets are located in the United States.</w:t>
      </w:r>
    </w:p>
    <w:p>
      <w:pPr>
        <w:spacing w:after="0" w:line="224"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Initial Public Offering</w:t>
      </w:r>
    </w:p>
    <w:p>
      <w:pPr>
        <w:spacing w:after="0" w:line="93" w:lineRule="exact"/>
        <w:rPr>
          <w:rFonts w:ascii="Arial" w:cs="Arial" w:eastAsia="Arial" w:hAnsi="Arial"/>
          <w:sz w:val="14"/>
          <w:szCs w:val="14"/>
          <w:b w:val="1"/>
          <w:bCs w:val="1"/>
          <w:color w:val="auto"/>
        </w:rPr>
      </w:pPr>
    </w:p>
    <w:p>
      <w:pPr>
        <w:ind w:left="385" w:right="6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On October 27, 2021, the Company completed its initial public offering (“IPO”) and the Company’s Class A common stock began public trading on the Nasdaq Stock Market LLC under the symbol “RENT”. In connection with the IPO, the Company issued and sold 17,000,000 shares of its Class A common stock at a public offering price of $21.00 per share. The Company received proceeds of $327.3 million from the IPO which are net of underwriting discounts of $24.1 million and offering costs paid by the Company of $5.6 million. Offering costs, including legal, accounting, printing and other costs directly related to the IPO have been recorded in Additional paid-in capital against the proceeds from the IPO on the Company’s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5"/>
          </w:cols>
          <w:pgMar w:left="295"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4"/>
        <w:spacing w:after="0"/>
        <w:rPr>
          <w:sz w:val="20"/>
          <w:szCs w:val="20"/>
          <w:color w:val="auto"/>
        </w:rPr>
      </w:pPr>
      <w:r>
        <w:rPr>
          <w:rFonts w:ascii="Arial" w:cs="Arial" w:eastAsia="Arial" w:hAnsi="Arial"/>
          <w:sz w:val="20"/>
          <w:szCs w:val="20"/>
          <w:color w:val="auto"/>
        </w:rPr>
        <w:t>93</w:t>
      </w:r>
    </w:p>
    <w:p>
      <w:pPr>
        <w:sectPr>
          <w:pgSz w:w="11880" w:h="15480" w:orient="portrait"/>
          <w:cols w:equalWidth="0" w:num="1">
            <w:col w:w="11265"/>
          </w:cols>
          <w:pgMar w:left="295" w:top="323" w:right="319" w:bottom="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At the closing of the IPO, the Company’s then outstanding redeemable preferred stock converted into 32,575,462 shares of the Company’s Class A common stock. The carrying value of the redeemable preferred stock of $409.3 million was reclassified to common stock and additional paid-in-capital.</w:t>
      </w:r>
    </w:p>
    <w:p>
      <w:pPr>
        <w:spacing w:after="0" w:line="141" w:lineRule="exact"/>
        <w:rPr>
          <w:sz w:val="20"/>
          <w:szCs w:val="20"/>
          <w:color w:val="auto"/>
        </w:rPr>
      </w:pPr>
    </w:p>
    <w:p>
      <w:pPr>
        <w:jc w:val="both"/>
        <w:ind w:left="380" w:right="60"/>
        <w:spacing w:after="0" w:line="271" w:lineRule="auto"/>
        <w:rPr>
          <w:sz w:val="20"/>
          <w:szCs w:val="20"/>
          <w:color w:val="auto"/>
        </w:rPr>
      </w:pPr>
      <w:r>
        <w:rPr>
          <w:rFonts w:ascii="Arial" w:cs="Arial" w:eastAsia="Arial" w:hAnsi="Arial"/>
          <w:sz w:val="14"/>
          <w:szCs w:val="14"/>
          <w:color w:val="auto"/>
        </w:rPr>
        <w:t>In connection with the effectiveness of the Company’s IPO registration statement on Form S-1 (the “registration statement”), the Company recognized $14.4 million in share-based compensation expense for (i) certain restricted stock units (“RSUs”) that contain both service-based and liquidity-based vesting conditions that were satisfied upon the effectiveness of the registration statement and (ii) the fully vested portion of certain RSU awards that were granted upon the effectiveness of the IPO.</w:t>
      </w:r>
    </w:p>
    <w:p>
      <w:pPr>
        <w:spacing w:after="0" w:line="155" w:lineRule="exact"/>
        <w:rPr>
          <w:sz w:val="20"/>
          <w:szCs w:val="20"/>
          <w:color w:val="auto"/>
        </w:rPr>
      </w:pPr>
    </w:p>
    <w:p>
      <w:pPr>
        <w:ind w:left="380" w:right="120"/>
        <w:spacing w:after="0" w:line="263" w:lineRule="auto"/>
        <w:rPr>
          <w:sz w:val="20"/>
          <w:szCs w:val="20"/>
          <w:color w:val="auto"/>
        </w:rPr>
      </w:pPr>
      <w:r>
        <w:rPr>
          <w:rFonts w:ascii="Arial" w:cs="Arial" w:eastAsia="Arial" w:hAnsi="Arial"/>
          <w:sz w:val="14"/>
          <w:szCs w:val="14"/>
          <w:color w:val="auto"/>
        </w:rPr>
        <w:t>In connection with the IPO, the Company adopted an amended and restated certificate of incorporation (the “amended charter”) and adopted amended and restated bylaws (the “amended bylaws”). The amended charter authorized capital stock consisting of:</w:t>
      </w:r>
    </w:p>
    <w:p>
      <w:pPr>
        <w:spacing w:after="0" w:line="1" w:lineRule="exact"/>
        <w:rPr>
          <w:sz w:val="20"/>
          <w:szCs w:val="20"/>
          <w:color w:val="auto"/>
        </w:rPr>
      </w:pPr>
    </w:p>
    <w:p>
      <w:pPr>
        <w:ind w:left="880" w:hanging="249"/>
        <w:spacing w:after="0"/>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300,000,000 shares of Class A common stock, par value $0.001 per share;</w:t>
      </w:r>
    </w:p>
    <w:p>
      <w:pPr>
        <w:spacing w:after="0" w:line="8" w:lineRule="exact"/>
        <w:rPr>
          <w:rFonts w:ascii="Arial" w:cs="Arial" w:eastAsia="Arial" w:hAnsi="Arial"/>
          <w:sz w:val="14"/>
          <w:szCs w:val="14"/>
          <w:color w:val="auto"/>
        </w:rPr>
      </w:pPr>
    </w:p>
    <w:p>
      <w:pPr>
        <w:ind w:left="880" w:hanging="249"/>
        <w:spacing w:after="0"/>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50,000,000 shares of Class B common stock, par value $0.001 per share; and</w:t>
      </w:r>
    </w:p>
    <w:p>
      <w:pPr>
        <w:spacing w:after="0" w:line="8" w:lineRule="exact"/>
        <w:rPr>
          <w:rFonts w:ascii="Arial" w:cs="Arial" w:eastAsia="Arial" w:hAnsi="Arial"/>
          <w:sz w:val="14"/>
          <w:szCs w:val="14"/>
          <w:color w:val="auto"/>
        </w:rPr>
      </w:pPr>
    </w:p>
    <w:p>
      <w:pPr>
        <w:ind w:left="880" w:hanging="249"/>
        <w:spacing w:after="0"/>
        <w:tabs>
          <w:tab w:leader="none" w:pos="8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10,000,000 shares of preferred stock, par value $0.001 per share.</w:t>
      </w:r>
    </w:p>
    <w:p>
      <w:pPr>
        <w:spacing w:after="0" w:line="186"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Holders of Class A common stock are entitled to one vote per share, and the holders of Class B common stock are entitled to twenty votes per share. Immediately after the effectiveness of the amended charter, 2,932,739 shares of Class A common stock held by the Company’s co-founders were exchanged for an equivalent number of shares of Class B common stock. In addition, the terms of certain outstanding equity awards held by the Company’s co-founders were modified to provide that such awards are exercisable or settle into shares of Class B common stock.</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Use of Estimates</w:t>
      </w:r>
    </w:p>
    <w:p>
      <w:pPr>
        <w:spacing w:after="0" w:line="94" w:lineRule="exact"/>
        <w:rPr>
          <w:sz w:val="20"/>
          <w:szCs w:val="20"/>
          <w:color w:val="auto"/>
        </w:rPr>
      </w:pPr>
    </w:p>
    <w:p>
      <w:pPr>
        <w:ind w:left="380" w:right="14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(“IBR”) to determine lease liabilities, and the valuation of share-based compensation and warrants.</w:t>
      </w:r>
    </w:p>
    <w:p>
      <w:pPr>
        <w:spacing w:after="0" w:line="140" w:lineRule="exact"/>
        <w:rPr>
          <w:sz w:val="20"/>
          <w:szCs w:val="20"/>
          <w:color w:val="auto"/>
        </w:rPr>
      </w:pPr>
    </w:p>
    <w:p>
      <w:pPr>
        <w:ind w:left="380" w:right="260"/>
        <w:spacing w:after="0" w:line="271" w:lineRule="auto"/>
        <w:rPr>
          <w:sz w:val="20"/>
          <w:szCs w:val="20"/>
          <w:color w:val="auto"/>
        </w:rPr>
      </w:pPr>
      <w:r>
        <w:rPr>
          <w:rFonts w:ascii="Arial" w:cs="Arial" w:eastAsia="Arial" w:hAnsi="Arial"/>
          <w:sz w:val="14"/>
          <w:szCs w:val="14"/>
          <w:color w:val="auto"/>
        </w:rPr>
        <w:t>As of January 31, 2023,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2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years ended January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462280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323"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94</w:t>
      </w:r>
    </w:p>
    <w:p>
      <w:pPr>
        <w:sectPr>
          <w:pgSz w:w="11880" w:h="15480" w:orient="portrait"/>
          <w:cols w:equalWidth="0" w:num="1">
            <w:col w:w="11220"/>
          </w:cols>
          <w:pgMar w:left="300" w:top="323" w:right="359" w:bottom="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jc w:val="both"/>
        <w:ind w:left="380" w:right="16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40"/>
        <w:spacing w:after="0" w:line="271" w:lineRule="auto"/>
        <w:rPr>
          <w:sz w:val="20"/>
          <w:szCs w:val="20"/>
          <w:color w:val="auto"/>
        </w:rPr>
      </w:pPr>
      <w:r>
        <w:rPr>
          <w:rFonts w:ascii="Arial" w:cs="Arial" w:eastAsia="Arial" w:hAnsi="Arial"/>
          <w:sz w:val="14"/>
          <w:szCs w:val="14"/>
          <w:color w:val="auto"/>
        </w:rPr>
        <w:t>Assets and liabilities recorded at fair value in the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8"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200"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Cash and cash equivalents include funds in transit from banks for customer credit card transactions that settle in less than seven days. These funds totaled $3.4 million and $3.5 million as of January 31, 2023 and 2022, respectively.</w:t>
      </w:r>
    </w:p>
    <w:p>
      <w:pPr>
        <w:spacing w:after="0" w:line="155" w:lineRule="exact"/>
        <w:rPr>
          <w:sz w:val="20"/>
          <w:szCs w:val="20"/>
          <w:color w:val="auto"/>
        </w:rPr>
      </w:pPr>
    </w:p>
    <w:p>
      <w:pPr>
        <w:ind w:left="380" w:right="80"/>
        <w:spacing w:after="0" w:line="290" w:lineRule="auto"/>
        <w:rPr>
          <w:sz w:val="20"/>
          <w:szCs w:val="20"/>
          <w:color w:val="auto"/>
        </w:rPr>
      </w:pPr>
      <w:r>
        <w:rPr>
          <w:rFonts w:ascii="Arial" w:cs="Arial" w:eastAsia="Arial" w:hAnsi="Arial"/>
          <w:sz w:val="14"/>
          <w:szCs w:val="14"/>
          <w:color w:val="auto"/>
        </w:rPr>
        <w:t>As of January 31, 2023 and 2022, the Company had $9.1 million and $12.0 million, respectively, of current and noncurrent restricted cash that consisted primarily of letters of credit pledged as security deposits for the headquarters and operational facilities leases.</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consolidated balance sheets.</w:t>
      </w:r>
    </w:p>
    <w:p>
      <w:pPr>
        <w:spacing w:after="0" w:line="179" w:lineRule="exact"/>
        <w:rPr>
          <w:sz w:val="20"/>
          <w:szCs w:val="20"/>
          <w:color w:val="auto"/>
        </w:rPr>
      </w:pPr>
    </w:p>
    <w:p>
      <w:pPr>
        <w:ind w:left="380" w:right="80"/>
        <w:spacing w:after="0" w:line="276"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historical trends and projected liquidation proceeds for the assets. The estimated useful lives and salvage values are described below:</w:t>
      </w:r>
    </w:p>
    <w:p>
      <w:pPr>
        <w:spacing w:after="0" w:line="219"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00" w:type="dxa"/>
            <w:vAlign w:val="bottom"/>
          </w:tcPr>
          <w:p>
            <w:pPr>
              <w:spacing w:after="0"/>
              <w:rPr>
                <w:sz w:val="13"/>
                <w:szCs w:val="13"/>
                <w:color w:val="auto"/>
              </w:rPr>
            </w:pPr>
          </w:p>
        </w:tc>
        <w:tc>
          <w:tcPr>
            <w:tcW w:w="152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0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60"/>
              <w:spacing w:after="0"/>
              <w:rPr>
                <w:sz w:val="20"/>
                <w:szCs w:val="20"/>
                <w:color w:val="auto"/>
              </w:rPr>
            </w:pPr>
            <w:r>
              <w:rPr>
                <w:rFonts w:ascii="Arial" w:cs="Arial" w:eastAsia="Arial" w:hAnsi="Arial"/>
                <w:sz w:val="14"/>
                <w:szCs w:val="14"/>
                <w:color w:val="auto"/>
                <w:w w:val="95"/>
              </w:rPr>
              <w:t>3 years</w:t>
            </w:r>
          </w:p>
        </w:tc>
        <w:tc>
          <w:tcPr>
            <w:tcW w:w="10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186"/>
        </w:trPr>
        <w:tc>
          <w:tcPr>
            <w:tcW w:w="7100" w:type="dxa"/>
            <w:vAlign w:val="bottom"/>
          </w:tcPr>
          <w:p>
            <w:pPr>
              <w:spacing w:after="0"/>
              <w:rPr>
                <w:sz w:val="20"/>
                <w:szCs w:val="20"/>
                <w:color w:val="auto"/>
              </w:rPr>
            </w:pPr>
            <w:r>
              <w:rPr>
                <w:rFonts w:ascii="Arial" w:cs="Arial" w:eastAsia="Arial" w:hAnsi="Arial"/>
                <w:sz w:val="14"/>
                <w:szCs w:val="14"/>
                <w:color w:val="auto"/>
              </w:rPr>
              <w:t>Accessories</w:t>
            </w:r>
          </w:p>
        </w:tc>
        <w:tc>
          <w:tcPr>
            <w:tcW w:w="1520" w:type="dxa"/>
            <w:vAlign w:val="bottom"/>
            <w:gridSpan w:val="2"/>
          </w:tcPr>
          <w:p>
            <w:pPr>
              <w:ind w:left="96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548005</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95</w:t>
      </w:r>
    </w:p>
    <w:p>
      <w:pPr>
        <w:sectPr>
          <w:pgSz w:w="11880" w:h="15480" w:orient="portrait"/>
          <w:cols w:equalWidth="0" w:num="1">
            <w:col w:w="11260"/>
          </w:cols>
          <w:pgMar w:left="300" w:top="323" w:right="319"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179"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The Company offers its customers an opportunity to purchase items prior to the end of their useful life. In such instances, the Company considers the disposal of rental product to be a sale and, as such, records the proceeds as other revenue and the net book value of the items at the time of sale as rental product depreciation in the consolidated statements of operations within rental product depreciation and revenue share. Write-offs for losses on lost, damaged, and unreturned apparel and accessories are also recorded within rental product depreciation and revenue share.</w:t>
      </w:r>
    </w:p>
    <w:p>
      <w:pPr>
        <w:spacing w:after="0" w:line="159"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January 31, 2023 and 2022 was $3.0 million and $2.1 million, respectively. The accelerated depreciation related to rental product held for sale was $6.9 million, $3.9 million and $7.7 million for the years ended January 31, 2023, 2022, and 2021, respectively. The accelerated depreciation is presented on the consolidated statements of operations within rental product depreciation and revenue share.</w:t>
      </w:r>
    </w:p>
    <w:p>
      <w:pPr>
        <w:spacing w:after="0" w:line="159"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consolidated statement of operations. The gain or loss from the liquidation of rental product is included as an adjustment to reconcile net loss to net cash used by operating activities in the consolidated statements of cash flows.</w:t>
      </w:r>
    </w:p>
    <w:p>
      <w:pPr>
        <w:spacing w:after="0" w:line="155"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consolidated statements of cash flows because the predominant activity of the rental product purchased is to generate rental revenue and such classification is consistent with the classification of long-term asset activity. Proceeds from the liquidation of rental product, net of costs to sell, were $8.8 million, $5.7 million and $2.4 million for the years ended January 31, 2023, 2022 and 2021, respectively. Proceeds from the sale of rental product were $17.9 million, $12.9 million and $17.9 million for the years ended January 31, 2023, 2022, and 2021, respectively.</w:t>
      </w:r>
    </w:p>
    <w:p>
      <w:pPr>
        <w:spacing w:after="0" w:line="161"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The Company mitigates residual value risk of its rental product primarily by utilizing specific cleaning, repair and restoration methods relying on its years of process know-how to maintain the condition of the rental product over its useful life, and by employing various in-house and third-party liquidation strategies to maximize liquidation value and overall return on rental product. The Company also utilizes its own-developed technology in combination with its customer service department to recover rental items from delinquent customers.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20"/>
        <w:spacing w:after="0" w:line="260" w:lineRule="auto"/>
        <w:rPr>
          <w:sz w:val="20"/>
          <w:szCs w:val="20"/>
          <w:color w:val="auto"/>
        </w:rPr>
      </w:pPr>
      <w:r>
        <w:rPr>
          <w:rFonts w:ascii="Arial" w:cs="Arial" w:eastAsia="Arial" w:hAnsi="Arial"/>
          <w:sz w:val="14"/>
          <w:szCs w:val="14"/>
          <w:color w:val="auto"/>
        </w:rPr>
        <w:t>Subscription and a-la-carte rental fees (“Subscription and Reserve rental revenue”) are recognized in accordance with Accounting Standard Update (“ASU”) 2016-02</w:t>
      </w:r>
      <w:r>
        <w:rPr>
          <w:rFonts w:ascii="Arial" w:cs="Arial" w:eastAsia="Arial" w:hAnsi="Arial"/>
          <w:sz w:val="14"/>
          <w:szCs w:val="14"/>
          <w:i w:val="1"/>
          <w:iCs w:val="1"/>
          <w:color w:val="auto"/>
        </w:rPr>
        <w:t>, Leases,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842 </w:t>
      </w:r>
      <w:r>
        <w:rPr>
          <w:rFonts w:ascii="Arial" w:cs="Arial" w:eastAsia="Arial" w:hAnsi="Arial"/>
          <w:sz w:val="14"/>
          <w:szCs w:val="14"/>
          <w:color w:val="auto"/>
        </w:rPr>
        <w:t>(“ASC 842”). Other revenue, primarily related to the sale of rental product, is recognized under ASU 2014-09,</w:t>
      </w:r>
      <w:r>
        <w:rPr>
          <w:rFonts w:ascii="Arial" w:cs="Arial" w:eastAsia="Arial" w:hAnsi="Arial"/>
          <w:sz w:val="14"/>
          <w:szCs w:val="14"/>
          <w:i w:val="1"/>
          <w:iCs w:val="1"/>
          <w:color w:val="auto"/>
        </w:rPr>
        <w:t xml:space="preserve"> Revenue from Contracts with Customers, Topic 606 </w:t>
      </w:r>
      <w:r>
        <w:rPr>
          <w:rFonts w:ascii="Arial" w:cs="Arial" w:eastAsia="Arial" w:hAnsi="Arial"/>
          <w:sz w:val="14"/>
          <w:szCs w:val="14"/>
          <w:color w:val="auto"/>
        </w:rPr>
        <w:t>(“ASC 606”) at the date of delivery of the product to the customer. Other revenue represented 9%, 9%, and 14% of total revenue for the years ended January 31, 2023,</w:t>
      </w:r>
    </w:p>
    <w:p>
      <w:pPr>
        <w:ind w:left="380"/>
        <w:spacing w:after="0"/>
        <w:rPr>
          <w:sz w:val="20"/>
          <w:szCs w:val="20"/>
          <w:color w:val="auto"/>
        </w:rPr>
      </w:pPr>
      <w:r>
        <w:rPr>
          <w:rFonts w:ascii="Arial" w:cs="Arial" w:eastAsia="Arial" w:hAnsi="Arial"/>
          <w:sz w:val="14"/>
          <w:szCs w:val="14"/>
          <w:color w:val="auto"/>
        </w:rPr>
        <w:t>2022 and 2021, respectively.</w:t>
      </w:r>
    </w:p>
    <w:p>
      <w:pPr>
        <w:spacing w:after="0" w:line="165"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555625</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96</w:t>
      </w:r>
    </w:p>
    <w:p>
      <w:pPr>
        <w:sectPr>
          <w:pgSz w:w="11880" w:h="15480" w:orient="portrait"/>
          <w:cols w:equalWidth="0" w:num="1">
            <w:col w:w="11260"/>
          </w:cols>
          <w:pgMar w:left="300" w:top="323" w:right="319"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 recognizes a liability at the time a customer credit or a gift card is issued, and revenue is recognized upon redemption of the credit or gift card. The Company’s customer credit liability is presented on the consolidated balance sheets. During the year ended January 31, 2023, $1.9 million of credits included in the customer credit liability as of January 31, 2022 were redeemed. Customer credits and gift cards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credits and gift cards when the Company has any legal obligation to remit such credits to government authorities in relevant jurisdictions.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134"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and the customer’s payment form is charged upon order confirmation. The Company defers recognizing the fees and any related promotions for a-la-carte rentals until the date of delivery, and then recognizes those fees ratably over the four- or eight-day rental period.</w:t>
      </w:r>
    </w:p>
    <w:p>
      <w:pPr>
        <w:spacing w:after="0" w:line="134" w:lineRule="exact"/>
        <w:rPr>
          <w:sz w:val="20"/>
          <w:szCs w:val="20"/>
          <w:color w:val="auto"/>
        </w:rPr>
      </w:pPr>
    </w:p>
    <w:p>
      <w:pPr>
        <w:jc w:val="both"/>
        <w:ind w:left="380" w:right="24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January 31, 2023 and 2022.</w:t>
      </w:r>
    </w:p>
    <w:p>
      <w:pPr>
        <w:spacing w:after="0" w:line="141" w:lineRule="exact"/>
        <w:rPr>
          <w:sz w:val="20"/>
          <w:szCs w:val="20"/>
          <w:color w:val="auto"/>
        </w:rPr>
      </w:pPr>
    </w:p>
    <w:p>
      <w:pPr>
        <w:jc w:val="both"/>
        <w:ind w:left="380" w:right="220"/>
        <w:spacing w:after="0" w:line="271" w:lineRule="auto"/>
        <w:rPr>
          <w:sz w:val="20"/>
          <w:szCs w:val="20"/>
          <w:color w:val="auto"/>
        </w:rPr>
      </w:pPr>
      <w:r>
        <w:rPr>
          <w:rFonts w:ascii="Arial" w:cs="Arial" w:eastAsia="Arial" w:hAnsi="Arial"/>
          <w:sz w:val="14"/>
          <w:szCs w:val="14"/>
          <w:color w:val="auto"/>
        </w:rPr>
        <w:t>For lessors, ASC 842 provides a practical expedient to elect not to evaluate whether certain sales taxes and other similar taxes imposed by a governmental authority on a specific lease revenue-producing transaction are the primary obligation of the lessor as owner of the underlying leased asset. This practical expedient was applied by the Company and it excludes these taxes from the measurement of lease revenue and the associated expense.</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160"/>
        <w:spacing w:after="0" w:line="265"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assets or liabilities with respect to other revenue as of January 31, 2023 and 2022.</w:t>
      </w:r>
    </w:p>
    <w:p>
      <w:pPr>
        <w:spacing w:after="0" w:line="2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Lease - Lessee Accounting</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Refer to the Subscription and Reserve Rental Revenue section above for the Company’s accounting policy related to lessor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583565</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0"/>
          </w:cols>
          <w:pgMar w:left="300" w:top="323"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97</w:t>
      </w:r>
    </w:p>
    <w:p>
      <w:pPr>
        <w:sectPr>
          <w:pgSz w:w="11880" w:h="15480" w:orient="portrait"/>
          <w:cols w:equalWidth="0" w:num="1">
            <w:col w:w="11200"/>
          </w:cols>
          <w:pgMar w:left="300" w:top="323" w:right="379"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Company determines whether a contract is or contains a lease at contract inception. Right-of-use (“ROU”) assets and lease liabilities are measured and recognized at the lease commencement date based on the present value of lease payments over the expected lease term. As most of the Company’s leases do not provide an implicit rate, the Company uses its IBR as of the effective date or the commencement date of the lease, whichever is later, to determine the present value of lease payments. The Company considers its credit risk, term of the lease, total lease payments and adjusts for the impacts of collateral, as necessary, when calculating its IBR.</w:t>
      </w:r>
    </w:p>
    <w:p>
      <w:pPr>
        <w:spacing w:after="0" w:line="159"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Lease payments are based on fixed amounts explicit in the lease agreements. Certain real estate leases include payments at variable amounts based on operating expenses of the lessor, such as common area charges, real estate taxes and insurance. Most equipment leases include variable sales tax payments based on state sales tax rates. Additionally, the Company procures a portion of its rental product from brand partners under revenue share arrangements, which are considered variable lease payments. See Note 5 - Leases – Lessee Accounting for additional details.</w:t>
      </w:r>
    </w:p>
    <w:p>
      <w:pPr>
        <w:spacing w:after="0" w:line="159"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For lessees, the guidance provides a practical expedient, by class of underlying asset, to elect a combined single lease component presentation. This practical expedient was applied by the Company as a lessee to all asset classes.</w:t>
      </w:r>
    </w:p>
    <w:p>
      <w:pPr>
        <w:spacing w:after="0" w:line="141"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With respect to ROU assets, operating lease ROU assets are presented as a separate line item on the Company’s consolidated balance sheets, while finance lease ROU assets are included in fixed assets on the consolidated balance sheets. With respect to lease liabilities, operating lease liabilities are presented as separate line items, while finance lease liabilities are included in other current liabilities and other long-term liabilities on the consolidated balance sheets, based on the remaining term of the underlying lease agreements. The Company does not recognize ROU assets or lease liabilities for short-term leases (i.e., those with a term of twelve months or less) and recognizes the related lease expense on a straight-line basis over the lease term, as applicable.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Fixed and Intangible Assets,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Fixed and intangible assets are stated at cost less accumulated depreciation and amortization.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 of fixed and intangible assets is calculated on a straight-line basis over the estimated useful lives of the assets.</w:t>
      </w:r>
    </w:p>
    <w:p>
      <w:pPr>
        <w:spacing w:after="0" w:line="200"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5680" w:type="dxa"/>
            <w:vAlign w:val="bottom"/>
          </w:tcPr>
          <w:p>
            <w:pPr>
              <w:spacing w:after="0"/>
              <w:rPr>
                <w:sz w:val="20"/>
                <w:szCs w:val="20"/>
                <w:color w:val="auto"/>
              </w:rPr>
            </w:pPr>
            <w:r>
              <w:rPr>
                <w:rFonts w:ascii="Arial" w:cs="Arial" w:eastAsia="Arial" w:hAnsi="Arial"/>
                <w:sz w:val="14"/>
                <w:szCs w:val="14"/>
                <w:color w:val="auto"/>
              </w:rPr>
              <w:t>The estimated useful lives of fixed and intangible assets are described below:</w:t>
            </w:r>
          </w:p>
        </w:tc>
        <w:tc>
          <w:tcPr>
            <w:tcW w:w="3580" w:type="dxa"/>
            <w:vAlign w:val="bottom"/>
          </w:tcPr>
          <w:p>
            <w:pPr>
              <w:spacing w:after="0"/>
              <w:rPr>
                <w:sz w:val="16"/>
                <w:szCs w:val="16"/>
                <w:color w:val="auto"/>
              </w:rPr>
            </w:pPr>
          </w:p>
        </w:tc>
      </w:tr>
      <w:tr>
        <w:trPr>
          <w:trHeight w:val="387"/>
        </w:trPr>
        <w:tc>
          <w:tcPr>
            <w:tcW w:w="568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Lesser of estimated useful life or lease term</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to 6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Furniture and fixtures</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Reusable packaging</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1.5 years</w:t>
            </w:r>
          </w:p>
        </w:tc>
      </w:tr>
      <w:tr>
        <w:trPr>
          <w:trHeight w:val="180"/>
        </w:trPr>
        <w:tc>
          <w:tcPr>
            <w:tcW w:w="5680" w:type="dxa"/>
            <w:vAlign w:val="bottom"/>
          </w:tcPr>
          <w:p>
            <w:pPr>
              <w:ind w:left="20"/>
              <w:spacing w:after="0"/>
              <w:rPr>
                <w:sz w:val="20"/>
                <w:szCs w:val="20"/>
                <w:color w:val="auto"/>
              </w:rPr>
            </w:pPr>
            <w:r>
              <w:rPr>
                <w:rFonts w:ascii="Arial" w:cs="Arial" w:eastAsia="Arial" w:hAnsi="Arial"/>
                <w:sz w:val="14"/>
                <w:szCs w:val="14"/>
                <w:color w:val="auto"/>
              </w:rPr>
              <w:t>Capitalized third-party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3 years</w:t>
            </w:r>
          </w:p>
        </w:tc>
      </w:tr>
      <w:tr>
        <w:trPr>
          <w:trHeight w:val="186"/>
        </w:trPr>
        <w:tc>
          <w:tcPr>
            <w:tcW w:w="5680" w:type="dxa"/>
            <w:vAlign w:val="bottom"/>
          </w:tcPr>
          <w:p>
            <w:pPr>
              <w:ind w:left="20"/>
              <w:spacing w:after="0"/>
              <w:rPr>
                <w:sz w:val="20"/>
                <w:szCs w:val="20"/>
                <w:color w:val="auto"/>
              </w:rPr>
            </w:pPr>
            <w:r>
              <w:rPr>
                <w:rFonts w:ascii="Arial" w:cs="Arial" w:eastAsia="Arial" w:hAnsi="Arial"/>
                <w:sz w:val="14"/>
                <w:szCs w:val="14"/>
                <w:color w:val="auto"/>
              </w:rPr>
              <w:t>Capitalized internally developed software</w:t>
            </w:r>
          </w:p>
        </w:tc>
        <w:tc>
          <w:tcPr>
            <w:tcW w:w="3580" w:type="dxa"/>
            <w:vAlign w:val="bottom"/>
          </w:tcPr>
          <w:p>
            <w:pPr>
              <w:jc w:val="center"/>
              <w:ind w:left="769"/>
              <w:spacing w:after="0"/>
              <w:rPr>
                <w:sz w:val="20"/>
                <w:szCs w:val="20"/>
                <w:color w:val="auto"/>
              </w:rPr>
            </w:pPr>
            <w:r>
              <w:rPr>
                <w:rFonts w:ascii="Arial" w:cs="Arial" w:eastAsia="Arial" w:hAnsi="Arial"/>
                <w:sz w:val="14"/>
                <w:szCs w:val="14"/>
                <w:color w:val="auto"/>
              </w:rPr>
              <w:t>2 years</w:t>
            </w:r>
          </w:p>
        </w:tc>
      </w:tr>
    </w:tbl>
    <w:p>
      <w:pPr>
        <w:spacing w:after="0" w:line="249" w:lineRule="exact"/>
        <w:rPr>
          <w:sz w:val="20"/>
          <w:szCs w:val="20"/>
          <w:color w:val="auto"/>
        </w:rPr>
      </w:pPr>
    </w:p>
    <w:p>
      <w:pPr>
        <w:ind w:left="380" w:right="200"/>
        <w:spacing w:after="0" w:line="290" w:lineRule="auto"/>
        <w:rPr>
          <w:sz w:val="20"/>
          <w:szCs w:val="20"/>
          <w:color w:val="auto"/>
        </w:rPr>
      </w:pPr>
      <w:r>
        <w:rPr>
          <w:rFonts w:ascii="Arial" w:cs="Arial" w:eastAsia="Arial" w:hAnsi="Arial"/>
          <w:sz w:val="14"/>
          <w:szCs w:val="14"/>
          <w:color w:val="auto"/>
        </w:rPr>
        <w:t>The Company capitalizes third-party and internally developed software costs in connection with its proprietary systems and its enterprise resource planning system that are incurred during the application development stage. Costs related to preliminary project activities and post implementation operating activities are expensed 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547370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98</w:t>
      </w:r>
    </w:p>
    <w:p>
      <w:pPr>
        <w:sectPr>
          <w:pgSz w:w="11880" w:h="15480" w:orient="portrait"/>
          <w:cols w:equalWidth="0" w:num="1">
            <w:col w:w="11260"/>
          </w:cols>
          <w:pgMar w:left="300" w:top="323" w:right="319" w:bottom="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35" w:lineRule="exact"/>
        <w:rPr>
          <w:sz w:val="20"/>
          <w:szCs w:val="20"/>
          <w:color w:val="auto"/>
        </w:rPr>
      </w:pPr>
    </w:p>
    <w:p>
      <w:pPr>
        <w:ind w:left="380" w:right="20"/>
        <w:spacing w:after="0" w:line="262" w:lineRule="auto"/>
        <w:rPr>
          <w:sz w:val="20"/>
          <w:szCs w:val="20"/>
          <w:color w:val="auto"/>
        </w:rPr>
      </w:pPr>
      <w:r>
        <w:rPr>
          <w:rFonts w:ascii="Arial" w:cs="Arial" w:eastAsia="Arial" w:hAnsi="Arial"/>
          <w:sz w:val="14"/>
          <w:szCs w:val="14"/>
          <w:color w:val="auto"/>
        </w:rPr>
        <w:t>Accounts receivable, net consists primarily of amounts due from third party liquidation and Exclusive Design wholesale partners that do not bear interest. The Company records an allowance for doubtful accounts taking into consideration historical losses adjusted for current market conditions, the financial condition of the customer, the amount of receivables in dispute, and the current receivables aging and payment patterns. Accounts receivable, net was $4.0 million and $1.1 million as of January 31, 2023 and 2022, respectively. The allowance for doubtful accounts was immaterial as of January 31, 2023 and 2022. As of January 31, 2023, one third party partner represented the majority of the Company’s accounts receivable balance.</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Other Assets</w:t>
      </w:r>
    </w:p>
    <w:p>
      <w:pPr>
        <w:spacing w:after="0" w:line="200"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Other assets consist primarily of capitalized implementation costs incurred in cloud computing arrangements and deposits for periods that exceed one year from the balance sheet date.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Expenses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Fulfillment</w:t>
      </w:r>
    </w:p>
    <w:p>
      <w:pPr>
        <w:spacing w:after="0" w:line="92" w:lineRule="exact"/>
        <w:rPr>
          <w:sz w:val="20"/>
          <w:szCs w:val="20"/>
          <w:color w:val="auto"/>
        </w:rPr>
      </w:pPr>
    </w:p>
    <w:p>
      <w:pPr>
        <w:ind w:left="380" w:right="580"/>
        <w:spacing w:after="0" w:line="290" w:lineRule="auto"/>
        <w:rPr>
          <w:sz w:val="20"/>
          <w:szCs w:val="20"/>
          <w:color w:val="auto"/>
        </w:rPr>
      </w:pPr>
      <w:r>
        <w:rPr>
          <w:rFonts w:ascii="Arial" w:cs="Arial" w:eastAsia="Arial" w:hAnsi="Arial"/>
          <w:sz w:val="14"/>
          <w:szCs w:val="14"/>
          <w:color w:val="auto"/>
        </w:rPr>
        <w:t>Fulfillment expenses consist of fulfillment costs to receive, process and fulfill customer orders, including fulfillment labor payroll and related costs, third-party shipping expenses, cost of packaging materials, cleaning expenses, and other fulfillment related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Technology</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Technology expenses consist of technology payroll and related costs, professional services, and third-party software and license fees.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Marketing</w:t>
      </w:r>
    </w:p>
    <w:p>
      <w:pPr>
        <w:spacing w:after="0" w:line="92" w:lineRule="exact"/>
        <w:rPr>
          <w:sz w:val="20"/>
          <w:szCs w:val="20"/>
          <w:color w:val="auto"/>
        </w:rPr>
      </w:pPr>
    </w:p>
    <w:p>
      <w:pPr>
        <w:ind w:left="380"/>
        <w:spacing w:after="0" w:line="268" w:lineRule="auto"/>
        <w:rPr>
          <w:sz w:val="20"/>
          <w:szCs w:val="20"/>
          <w:color w:val="auto"/>
        </w:rPr>
      </w:pPr>
      <w:r>
        <w:rPr>
          <w:rFonts w:ascii="Arial" w:cs="Arial" w:eastAsia="Arial" w:hAnsi="Arial"/>
          <w:sz w:val="14"/>
          <w:szCs w:val="14"/>
          <w:color w:val="auto"/>
        </w:rPr>
        <w:t>Marketing expenses include online and mobile marketing, search engine optimization and email costs, marketing payroll and related expenses, agency fees, printed collateral, consumer research, and other related costs. Advertising costs amounted to $30.7 million, $20.6 million, and $4.2 million for the years ended January 31, 2023, 2022, and 2021, respectively. Costs associated with advertising campaigns are expensed when the advertising first appears in the media, and other advertising costs are expensed as incurred.</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General and Administrative</w:t>
      </w:r>
    </w:p>
    <w:p>
      <w:pPr>
        <w:spacing w:after="0" w:line="92" w:lineRule="exact"/>
        <w:rPr>
          <w:sz w:val="20"/>
          <w:szCs w:val="20"/>
          <w:color w:val="auto"/>
        </w:rPr>
      </w:pPr>
    </w:p>
    <w:p>
      <w:pPr>
        <w:ind w:left="380" w:right="540"/>
        <w:spacing w:after="0" w:line="290" w:lineRule="auto"/>
        <w:rPr>
          <w:sz w:val="20"/>
          <w:szCs w:val="20"/>
          <w:color w:val="auto"/>
        </w:rPr>
      </w:pPr>
      <w:r>
        <w:rPr>
          <w:rFonts w:ascii="Arial" w:cs="Arial" w:eastAsia="Arial" w:hAnsi="Arial"/>
          <w:sz w:val="14"/>
          <w:szCs w:val="14"/>
          <w:color w:val="auto"/>
        </w:rPr>
        <w:t>General and administrative expenses are comprised of all other employee payroll and related expenses, including customer service costs, occupancy costs (including warehouse-related), professional services, credit card fees, general warehouse and corporate expenses, and other administrative costs.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Rental Product Depreciation and Revenue Share</w:t>
      </w:r>
    </w:p>
    <w:p>
      <w:pPr>
        <w:spacing w:after="0" w:line="92"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Rental product depreciation and revenue share expenses are comprised of depreciation and write-offs of rental product, and payments under revenue share arrangements with brand partners.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Depreciation and Amortization</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depreciation and amortization expenses are comprised of depreciation and amortization amounts for fixed assets, intangible assets, and financing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583565</wp:posOffset>
            </wp:positionV>
            <wp:extent cx="3238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sectPr>
          <w:pgSz w:w="11880" w:h="15480" w:orient="portrait"/>
          <w:cols w:equalWidth="0" w:num="1">
            <w:col w:w="11260"/>
          </w:cols>
          <w:pgMar w:left="300" w:top="323" w:right="319"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classification of expenses varies across industries. Accordingly, the Company’s categories of expenses may not be comparable to those of other companies.</w:t>
      </w:r>
    </w:p>
    <w:p>
      <w:pPr>
        <w:spacing w:after="0" w:line="2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post-IPO is based on the closing price of the common stock on the date of grant as reported on the Nasdaq Stock Market. Upon grant of awards, the Company also estimates an amount of forfeitures that will occur prior to vesting.</w:t>
      </w:r>
    </w:p>
    <w:p>
      <w:pPr>
        <w:spacing w:after="0" w:line="142" w:lineRule="exact"/>
        <w:rPr>
          <w:sz w:val="20"/>
          <w:szCs w:val="20"/>
          <w:color w:val="auto"/>
        </w:rPr>
      </w:pPr>
    </w:p>
    <w:p>
      <w:pPr>
        <w:ind w:left="380" w:right="140"/>
        <w:spacing w:after="0" w:line="259" w:lineRule="auto"/>
        <w:rPr>
          <w:sz w:val="20"/>
          <w:szCs w:val="20"/>
          <w:color w:val="auto"/>
        </w:rPr>
      </w:pPr>
      <w:r>
        <w:rPr>
          <w:rFonts w:ascii="Arial" w:cs="Arial" w:eastAsia="Arial" w:hAnsi="Arial"/>
          <w:sz w:val="14"/>
          <w:szCs w:val="14"/>
          <w:color w:val="auto"/>
        </w:rPr>
        <w:t>The Company has granted two types of RSUs. Prior to the effectiveness of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a single time-based service condition. The Company records share-based compensation expense for these RSUs on a straight-line basis over the requisite service period. See Note 14 - Share-based Compensation Plans for a description of the accounting for share-based awards.</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Income Taxes</w:t>
      </w:r>
    </w:p>
    <w:p>
      <w:pPr>
        <w:spacing w:after="0" w:line="94"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The Tax Cuts and Jobs Act (the “Tax Act”) was enacted on December 22, 2017 and introduced significant changes to U.S. income tax law. The Company implemented the effects of the Tax Act and its impact was not material to the consolidated financial statements.</w:t>
      </w:r>
    </w:p>
    <w:p>
      <w:pPr>
        <w:spacing w:after="0" w:line="141" w:lineRule="exact"/>
        <w:rPr>
          <w:sz w:val="20"/>
          <w:szCs w:val="20"/>
          <w:color w:val="auto"/>
        </w:rPr>
      </w:pPr>
    </w:p>
    <w:p>
      <w:pPr>
        <w:ind w:left="380" w:right="80"/>
        <w:spacing w:after="0" w:line="260" w:lineRule="auto"/>
        <w:rPr>
          <w:sz w:val="20"/>
          <w:szCs w:val="20"/>
          <w:color w:val="auto"/>
        </w:rPr>
      </w:pPr>
      <w:r>
        <w:rPr>
          <w:rFonts w:ascii="Arial" w:cs="Arial" w:eastAsia="Arial" w:hAnsi="Arial"/>
          <w:sz w:val="14"/>
          <w:szCs w:val="14"/>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measurement of deferred tax assets is reduced, if necessary, by a valuation allowance for any tax benefits for which future realization is uncertain. The effect on deferred tax assets and liabilities of a change in tax rates is recognized in income in the period that includes the enactment date. The Company recognizes interest and penalties related to unrecognized tax benefits in income tax expense.</w:t>
      </w:r>
    </w:p>
    <w:p>
      <w:pPr>
        <w:spacing w:after="0" w:line="163"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to be sustained. Recognized income tax positions are measured at the amount that is greater than 50% likely of being realized. Changes in recognition or measurement are reflected in the period in which the change in judgment occurs.</w:t>
      </w:r>
    </w:p>
    <w:p>
      <w:pPr>
        <w:spacing w:after="0" w:line="141" w:lineRule="exact"/>
        <w:rPr>
          <w:sz w:val="20"/>
          <w:szCs w:val="20"/>
          <w:color w:val="auto"/>
        </w:rPr>
      </w:pPr>
    </w:p>
    <w:p>
      <w:pPr>
        <w:ind w:left="380" w:right="100"/>
        <w:spacing w:after="0" w:line="265" w:lineRule="auto"/>
        <w:rPr>
          <w:sz w:val="20"/>
          <w:szCs w:val="20"/>
          <w:color w:val="auto"/>
        </w:rPr>
      </w:pPr>
      <w:r>
        <w:rPr>
          <w:rFonts w:ascii="Arial" w:cs="Arial" w:eastAsia="Arial" w:hAnsi="Arial"/>
          <w:sz w:val="14"/>
          <w:szCs w:val="14"/>
          <w:color w:val="auto"/>
        </w:rPr>
        <w:t>The Financial Accounting Standards Board (“FASB”) Staff Q&amp;A Topic No. 5, Accounting for Global Intangible Low-Taxed Income (“GILTI”), states that an entity can make an accounting policy election to either recognize deferred taxes for temporary differences that are expected to reverse as GILTI in future years or provide for the tax expense related to GILTI resulting from those items in the year the tax is incurred. The Company has elected to recognize the resulting tax on GILTI as a period expense in the period the tax is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436880</wp:posOffset>
            </wp:positionV>
            <wp:extent cx="3238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3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100</w:t>
      </w:r>
    </w:p>
    <w:p>
      <w:pPr>
        <w:sectPr>
          <w:pgSz w:w="11880" w:h="15480" w:orient="portrait"/>
          <w:cols w:equalWidth="0" w:num="1">
            <w:col w:w="11240"/>
          </w:cols>
          <w:pgMar w:left="300" w:top="323" w:right="339"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Long-Lived Asset Impairment</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235" w:lineRule="exact"/>
        <w:rPr>
          <w:sz w:val="20"/>
          <w:szCs w:val="20"/>
          <w:color w:val="auto"/>
        </w:rPr>
      </w:pPr>
    </w:p>
    <w:p>
      <w:pPr>
        <w:ind w:left="380" w:right="100"/>
        <w:spacing w:after="0" w:line="249" w:lineRule="auto"/>
        <w:rPr>
          <w:sz w:val="20"/>
          <w:szCs w:val="20"/>
          <w:color w:val="auto"/>
        </w:rPr>
      </w:pPr>
      <w:r>
        <w:rPr>
          <w:rFonts w:ascii="Arial" w:cs="Arial" w:eastAsia="Arial" w:hAnsi="Arial"/>
          <w:sz w:val="14"/>
          <w:szCs w:val="14"/>
          <w:color w:val="auto"/>
        </w:rPr>
        <w:t>The Company recorded asset impairment charges of $5.3 million, of which $4.9 million related to the write-off of fixed assets and $0.4 million related to accrued expenses, during the year ended January 31, 2023, related to discontinuing two warehouse operations projects in the third and fourth quarters of fiscal year 2022 in connection with the September 2022 restructuring plan as described in Note 4, Restructuring and Related Charges. No impairment losses were recognized during the years ended January 31, 2022 and 2021 except for the write-off of apparel and accessories in the normal course of business (see Rental Product disclosure).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Net Loss per Share Attributable to Common Stockholders</w:t>
      </w:r>
    </w:p>
    <w:p>
      <w:pPr>
        <w:spacing w:after="0" w:line="94" w:lineRule="exact"/>
        <w:rPr>
          <w:sz w:val="20"/>
          <w:szCs w:val="20"/>
          <w:color w:val="auto"/>
        </w:rPr>
      </w:pPr>
    </w:p>
    <w:p>
      <w:pPr>
        <w:ind w:left="380" w:right="100"/>
        <w:spacing w:after="0" w:line="271" w:lineRule="auto"/>
        <w:rPr>
          <w:sz w:val="20"/>
          <w:szCs w:val="20"/>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Basic net loss per share attributable to common stockholders is calculated by dividing the net loss attributable to common stockholders by the weighted-average number of shares of common stock outstanding during the period.</w:t>
      </w:r>
    </w:p>
    <w:p>
      <w:pPr>
        <w:spacing w:after="0" w:line="155" w:lineRule="exact"/>
        <w:rPr>
          <w:sz w:val="20"/>
          <w:szCs w:val="20"/>
          <w:color w:val="auto"/>
        </w:rPr>
      </w:pPr>
    </w:p>
    <w:p>
      <w:pPr>
        <w:jc w:val="both"/>
        <w:ind w:left="380" w:right="60"/>
        <w:spacing w:after="0" w:line="271" w:lineRule="auto"/>
        <w:rPr>
          <w:sz w:val="20"/>
          <w:szCs w:val="20"/>
          <w:color w:val="auto"/>
        </w:rPr>
      </w:pPr>
      <w:r>
        <w:rPr>
          <w:rFonts w:ascii="Arial" w:cs="Arial" w:eastAsia="Arial" w:hAnsi="Arial"/>
          <w:sz w:val="14"/>
          <w:szCs w:val="14"/>
          <w:color w:val="auto"/>
        </w:rPr>
        <w:t>Diluted net loss per share attributable to common stockholders is computed by giving effect to all potentially dilutive securities outstanding for the period. For purposes of this calculation, redeemable preferred stock, stock options to purchase common stock, warrants to purchase common and redeemable preferred stock, and RSUs are considered potentially dilutive securities but have been excluded from the calculation of diluted net loss per share attributable to common stockholders as their effect is anti-dilutive.</w:t>
      </w:r>
    </w:p>
    <w:p>
      <w:pPr>
        <w:spacing w:after="0" w:line="155" w:lineRule="exact"/>
        <w:rPr>
          <w:sz w:val="20"/>
          <w:szCs w:val="20"/>
          <w:color w:val="auto"/>
        </w:rPr>
      </w:pPr>
    </w:p>
    <w:p>
      <w:pPr>
        <w:jc w:val="both"/>
        <w:ind w:left="380" w:right="180"/>
        <w:spacing w:after="0" w:line="271" w:lineRule="auto"/>
        <w:rPr>
          <w:sz w:val="20"/>
          <w:szCs w:val="20"/>
          <w:color w:val="auto"/>
        </w:rPr>
      </w:pPr>
      <w:r>
        <w:rPr>
          <w:rFonts w:ascii="Arial" w:cs="Arial" w:eastAsia="Arial" w:hAnsi="Arial"/>
          <w:sz w:val="14"/>
          <w:szCs w:val="14"/>
          <w:color w:val="auto"/>
        </w:rPr>
        <w:t>The shares of common stock associated with the equity-classified common stock warrants with an exercise price of $0.01 were considered outstanding for the purposes of computing basic and diluted net loss per share attributable to common stockholders because the shares could be issued for little or no consideration, were fully vested, and were exercisable after the original issuance date.</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Commitments and Contingencies</w:t>
      </w:r>
    </w:p>
    <w:p>
      <w:pPr>
        <w:spacing w:after="0" w:line="94" w:lineRule="exact"/>
        <w:rPr>
          <w:sz w:val="20"/>
          <w:szCs w:val="20"/>
          <w:color w:val="auto"/>
        </w:rPr>
      </w:pPr>
    </w:p>
    <w:p>
      <w:pPr>
        <w:ind w:left="380" w:right="380"/>
        <w:spacing w:after="0" w:line="290" w:lineRule="auto"/>
        <w:rPr>
          <w:sz w:val="20"/>
          <w:szCs w:val="20"/>
          <w:color w:val="auto"/>
        </w:rPr>
      </w:pPr>
      <w:r>
        <w:rPr>
          <w:rFonts w:ascii="Arial" w:cs="Arial" w:eastAsia="Arial" w:hAnsi="Arial"/>
          <w:sz w:val="14"/>
          <w:szCs w:val="14"/>
          <w:color w:val="auto"/>
        </w:rPr>
        <w:t>Liabilities for loss contingencies arising from claims, assessments, litigation, and other sources are recorded when it is probable that a liability has been incurred and the amount can be reasonably estimated. Legal costs incurred in connection with loss contingencies are expensed as incurred.</w:t>
      </w:r>
    </w:p>
    <w:p>
      <w:pPr>
        <w:spacing w:after="0" w:line="20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Insurance Proceeds</w:t>
      </w:r>
    </w:p>
    <w:p>
      <w:pPr>
        <w:spacing w:after="0" w:line="94" w:lineRule="exact"/>
        <w:rPr>
          <w:sz w:val="20"/>
          <w:szCs w:val="20"/>
          <w:color w:val="auto"/>
        </w:rPr>
      </w:pPr>
    </w:p>
    <w:p>
      <w:pPr>
        <w:ind w:left="380" w:right="60"/>
        <w:spacing w:after="0" w:line="290" w:lineRule="auto"/>
        <w:rPr>
          <w:sz w:val="20"/>
          <w:szCs w:val="20"/>
          <w:color w:val="auto"/>
        </w:rPr>
      </w:pPr>
      <w:r>
        <w:rPr>
          <w:rFonts w:ascii="Arial" w:cs="Arial" w:eastAsia="Arial" w:hAnsi="Arial"/>
          <w:sz w:val="14"/>
          <w:szCs w:val="14"/>
          <w:color w:val="auto"/>
        </w:rPr>
        <w:t>During the year ended January 31, 2022, the Company recorded insurance recoveries of $4.0 million related to a network issue during the year ended January 31, 2020. The amount is recorded in other income / (expense), net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546735</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3"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101</w:t>
      </w:r>
    </w:p>
    <w:p>
      <w:pPr>
        <w:sectPr>
          <w:pgSz w:w="11880" w:h="15480" w:orient="portrait"/>
          <w:cols w:equalWidth="0" w:num="1">
            <w:col w:w="11260"/>
          </w:cols>
          <w:pgMar w:left="300" w:top="323" w:right="319"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Foreign Currency</w:t>
      </w:r>
    </w:p>
    <w:p>
      <w:pPr>
        <w:spacing w:after="0" w:line="94"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The functional currency of the Subsidiary is U.S. dollar, which is the functional currency of the Company. The local currency of the Subsidiary is Euro. Monetary assets and liabilities of the Subsidiary are remeasured at the rate of exchange in effect on the balance sheet date; income and expenses are remeasured at the average exchange rates throughout the year. The related remeasurement adjustments are included in general and administrative expenses in the consolidated statements of operations.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Adopted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w:t>
      </w:r>
    </w:p>
    <w:p>
      <w:pPr>
        <w:spacing w:after="0" w:line="92"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 xml:space="preserve">In December 2019, the FASB issued ASU 2019-12, </w:t>
      </w:r>
      <w:r>
        <w:rPr>
          <w:rFonts w:ascii="Arial" w:cs="Arial" w:eastAsia="Arial" w:hAnsi="Arial"/>
          <w:sz w:val="14"/>
          <w:szCs w:val="14"/>
          <w:i w:val="1"/>
          <w:iCs w:val="1"/>
          <w:color w:val="auto"/>
        </w:rPr>
        <w:t>Income Taxes (Topic 740): Simplifying the Accounting for Income Taxes</w:t>
      </w:r>
      <w:r>
        <w:rPr>
          <w:rFonts w:ascii="Arial" w:cs="Arial" w:eastAsia="Arial" w:hAnsi="Arial"/>
          <w:sz w:val="14"/>
          <w:szCs w:val="14"/>
          <w:color w:val="auto"/>
        </w:rPr>
        <w:t>. The new guidance simplifies the accounting for income taxes by removing certain exceptions to the general principles in Topic 740 and also improves the consistency in application of other areas by clarifying and amending existing guidance. This standard is effective for annual reporting periods beginning after December 15, 2021, and interim periods within those years, and early adoption is permitted. Certain amendments of this standard may be adopted on a retrospective basis, modified retrospective basis or prospective basis. The Company adopted this standard on February 1, 2022 on a prospective basis, and the adoption of this standard did not have a material impact on the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Debt - Debt with Conversion and Other Options and Derivatives and Hedging</w:t>
      </w:r>
    </w:p>
    <w:p>
      <w:pPr>
        <w:spacing w:after="0" w:line="92"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 xml:space="preserve">In August 2020, the FASB issued ASU 2020-06, </w:t>
      </w:r>
      <w:r>
        <w:rPr>
          <w:rFonts w:ascii="Arial" w:cs="Arial" w:eastAsia="Arial" w:hAnsi="Arial"/>
          <w:sz w:val="14"/>
          <w:szCs w:val="14"/>
          <w:i w:val="1"/>
          <w:iCs w:val="1"/>
          <w:color w:val="auto"/>
        </w:rPr>
        <w:t>Debt—Debt with Conversion and Other Options (Subtopic 470-20) and Derivatives and Hedging—Contracts in Entity’s Own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Equity (Subtopic 815-40): Accounting for Convertible Instruments and Contracts in an Entity’s Own Equity. </w:t>
      </w:r>
      <w:r>
        <w:rPr>
          <w:rFonts w:ascii="Arial" w:cs="Arial" w:eastAsia="Arial" w:hAnsi="Arial"/>
          <w:sz w:val="14"/>
          <w:szCs w:val="14"/>
          <w:color w:val="auto"/>
        </w:rPr>
        <w:t>The new guidance reduces complexity and improves comparability</w:t>
      </w:r>
      <w:r>
        <w:rPr>
          <w:rFonts w:ascii="Arial" w:cs="Arial" w:eastAsia="Arial" w:hAnsi="Arial"/>
          <w:sz w:val="14"/>
          <w:szCs w:val="14"/>
          <w:i w:val="1"/>
          <w:iCs w:val="1"/>
          <w:color w:val="auto"/>
        </w:rPr>
        <w:t xml:space="preserve"> </w:t>
      </w:r>
      <w:r>
        <w:rPr>
          <w:rFonts w:ascii="Arial" w:cs="Arial" w:eastAsia="Arial" w:hAnsi="Arial"/>
          <w:sz w:val="14"/>
          <w:szCs w:val="14"/>
          <w:color w:val="auto"/>
        </w:rPr>
        <w:t>of financial reporting associated with accounting for convertible instruments and contracts in an entity’s own equity. This standard is effective for annual reporting periods beginning after December 15, 2023, and interim periods within those years, and early adoption is permitted. The adoption of this standard is not expected to have a material impact on the consolidated financial statements.</w:t>
      </w:r>
    </w:p>
    <w:p>
      <w:pPr>
        <w:spacing w:after="0" w:line="22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Financial Instruments – Credit Losses</w:t>
      </w:r>
    </w:p>
    <w:p>
      <w:pPr>
        <w:spacing w:after="0" w:line="92" w:lineRule="exact"/>
        <w:rPr>
          <w:sz w:val="20"/>
          <w:szCs w:val="20"/>
          <w:color w:val="auto"/>
        </w:rPr>
      </w:pPr>
    </w:p>
    <w:p>
      <w:pPr>
        <w:ind w:left="380" w:right="40"/>
        <w:spacing w:after="0" w:line="260"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 – Credit Losses (Topic 326): Measurement of Credit Losses on Financial Instruments</w:t>
      </w:r>
      <w:r>
        <w:rPr>
          <w:rFonts w:ascii="Arial" w:cs="Arial" w:eastAsia="Arial" w:hAnsi="Arial"/>
          <w:sz w:val="14"/>
          <w:szCs w:val="14"/>
          <w:color w:val="auto"/>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This standard is effective for annual reporting periods beginning after December 15, 2022, and interim periods within those years, and early adoption is permitted. The adoption of this standard is not expected to have a material impact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439420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0"/>
          </w:cols>
          <w:pgMar w:left="300" w:top="3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102</w:t>
      </w:r>
    </w:p>
    <w:p>
      <w:pPr>
        <w:sectPr>
          <w:pgSz w:w="11880" w:h="15480" w:orient="portrait"/>
          <w:cols w:equalWidth="0" w:num="1">
            <w:col w:w="11240"/>
          </w:cols>
          <w:pgMar w:left="300" w:top="323" w:right="339" w:bottom="0" w:gutter="0" w:footer="0" w:header="0"/>
          <w:type w:val="continuous"/>
        </w:sectPr>
      </w:pPr>
    </w:p>
    <w:bookmarkStart w:id="110" w:name="page111"/>
    <w:bookmarkEnd w:id="110"/>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153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5" w:hanging="365"/>
        <w:spacing w:after="0"/>
        <w:tabs>
          <w:tab w:leader="none" w:pos="365"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5" w:right="20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a net loss from operations since inception and has historically relied upon debt and equity financing to fund its operations. The Company experienced revenue and subscriber growth in fiscal year 2022. However, we believe that macroeconomic factors, including sensitivity to increased pricing impacted active subscriber levels in fiscal year 2022.</w:t>
      </w:r>
    </w:p>
    <w:p>
      <w:pPr>
        <w:spacing w:after="0" w:line="133" w:lineRule="exact"/>
        <w:rPr>
          <w:rFonts w:ascii="Arial" w:cs="Arial" w:eastAsia="Arial" w:hAnsi="Arial"/>
          <w:sz w:val="14"/>
          <w:szCs w:val="14"/>
          <w:b w:val="1"/>
          <w:bCs w:val="1"/>
          <w:color w:val="auto"/>
        </w:rPr>
      </w:pPr>
    </w:p>
    <w:p>
      <w:pPr>
        <w:ind w:left="385"/>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In September 2022, the Company announced a restructuring plan that is now expected to generate annual operating expense savings of approximately $25 million (relative to the second quarter of fiscal year 2022 run rate) in fiscal year 2023. Actual savings may differ from these estimates.</w:t>
      </w:r>
    </w:p>
    <w:p>
      <w:pPr>
        <w:spacing w:after="0" w:line="120" w:lineRule="exact"/>
        <w:rPr>
          <w:rFonts w:ascii="Arial" w:cs="Arial" w:eastAsia="Arial" w:hAnsi="Arial"/>
          <w:sz w:val="14"/>
          <w:szCs w:val="14"/>
          <w:b w:val="1"/>
          <w:bCs w:val="1"/>
          <w:color w:val="auto"/>
        </w:rPr>
      </w:pPr>
    </w:p>
    <w:p>
      <w:pPr>
        <w:ind w:left="385" w:right="1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While the Company experienced revenue growth in fiscal years 2021 and 2022, to the extent that the Company is further impacted by macroeconomic trends, the Company has established plans to preserve existing cash liquidity, which includes additional reductions to labor, operating expenses, and/or capital expenditures.</w:t>
      </w:r>
    </w:p>
    <w:p>
      <w:pPr>
        <w:spacing w:after="0" w:line="120" w:lineRule="exact"/>
        <w:rPr>
          <w:rFonts w:ascii="Arial" w:cs="Arial" w:eastAsia="Arial" w:hAnsi="Arial"/>
          <w:sz w:val="14"/>
          <w:szCs w:val="14"/>
          <w:b w:val="1"/>
          <w:bCs w:val="1"/>
          <w:color w:val="auto"/>
        </w:rPr>
      </w:pPr>
    </w:p>
    <w:p>
      <w:pPr>
        <w:ind w:left="385" w:right="2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As of January 31, 2023, the Company held cash and cash equivalents of $154.5 million. The Company believes that it will have sufficient liquidity from cash on-hand and future operations to sustain its business operations, to satisfy its debt service obligations and to comply with its debt covenants for at least the next twelve months from the date these financial statements are issued. Refer to Note 8 - Long-Term Debt for details of the amendment to refinance the Temasek debt facility in January 2023.</w:t>
      </w:r>
    </w:p>
    <w:p>
      <w:pPr>
        <w:spacing w:after="0" w:line="218" w:lineRule="exact"/>
        <w:rPr>
          <w:rFonts w:ascii="Arial" w:cs="Arial" w:eastAsia="Arial" w:hAnsi="Arial"/>
          <w:sz w:val="14"/>
          <w:szCs w:val="14"/>
          <w:b w:val="1"/>
          <w:bCs w:val="1"/>
          <w:color w:val="auto"/>
        </w:rPr>
      </w:pPr>
    </w:p>
    <w:p>
      <w:pPr>
        <w:ind w:left="365" w:hanging="365"/>
        <w:spacing w:after="0"/>
        <w:tabs>
          <w:tab w:leader="none" w:pos="365"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Restructuring and Related Charges</w:t>
      </w:r>
    </w:p>
    <w:p>
      <w:pPr>
        <w:spacing w:after="0" w:line="93" w:lineRule="exact"/>
        <w:rPr>
          <w:rFonts w:ascii="Arial" w:cs="Arial" w:eastAsia="Arial" w:hAnsi="Arial"/>
          <w:sz w:val="14"/>
          <w:szCs w:val="14"/>
          <w:b w:val="1"/>
          <w:bCs w:val="1"/>
          <w:color w:val="auto"/>
        </w:rPr>
      </w:pPr>
    </w:p>
    <w:p>
      <w:pPr>
        <w:ind w:left="385" w:right="2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September 12, 2022, the Company announced a restructuring plan to reduce costs, streamline its organizational structure and drive operational efficiencies. The plan primarily included total workforce reductions of approximately 24% of corporate employees (primarily a reduction in force, with some open role closures/reduced backfills), reorganizing certain functions and reallocating resources to continue to focus on customer experience and growth initiatives.</w:t>
      </w:r>
    </w:p>
    <w:p>
      <w:pPr>
        <w:spacing w:after="0" w:line="48" w:lineRule="exact"/>
        <w:rPr>
          <w:rFonts w:ascii="Arial" w:cs="Arial" w:eastAsia="Arial" w:hAnsi="Arial"/>
          <w:sz w:val="14"/>
          <w:szCs w:val="14"/>
          <w:b w:val="1"/>
          <w:bCs w:val="1"/>
          <w:color w:val="auto"/>
        </w:rPr>
      </w:pPr>
    </w:p>
    <w:p>
      <w:pPr>
        <w:ind w:left="385" w:right="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Restructuring charges of $2.4 million for severance and related costs were recognized during the year ended January 31, 2023 and are reflected in Restructuring charges on the Company’s Consolidated Statements of Operations. Accrued restructuring charges as of January 31, 2023 were immaterial.</w:t>
      </w:r>
    </w:p>
    <w:p>
      <w:pPr>
        <w:spacing w:after="0" w:line="141" w:lineRule="exact"/>
        <w:rPr>
          <w:rFonts w:ascii="Arial" w:cs="Arial" w:eastAsia="Arial" w:hAnsi="Arial"/>
          <w:sz w:val="14"/>
          <w:szCs w:val="14"/>
          <w:b w:val="1"/>
          <w:bCs w:val="1"/>
          <w:color w:val="auto"/>
        </w:rPr>
      </w:pPr>
    </w:p>
    <w:p>
      <w:pPr>
        <w:ind w:left="385" w:right="4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Company recorded asset impairment charges of $5.3 million, of which $4.9 million related to the write-off of fixed assets and $0.4 million related to accrued expenses, during the year ended January 31, 2023, related to discontinuing two warehouse operations projects during the third and fourth quarters of fiscal year 2022 in connection with the September 2022 restructuring plan. The charge is reflected in Loss on asset impairment related to restructuring on the Company’s Consolidated Statements of Operations.</w:t>
      </w:r>
    </w:p>
    <w:p>
      <w:pPr>
        <w:spacing w:after="0" w:line="394" w:lineRule="exact"/>
        <w:rPr>
          <w:rFonts w:ascii="Arial" w:cs="Arial" w:eastAsia="Arial" w:hAnsi="Arial"/>
          <w:sz w:val="14"/>
          <w:szCs w:val="14"/>
          <w:b w:val="1"/>
          <w:bCs w:val="1"/>
          <w:color w:val="auto"/>
        </w:rPr>
      </w:pPr>
    </w:p>
    <w:p>
      <w:pPr>
        <w:ind w:left="365" w:hanging="365"/>
        <w:spacing w:after="0"/>
        <w:tabs>
          <w:tab w:leader="none" w:pos="365" w:val="left"/>
        </w:tabs>
        <w:numPr>
          <w:ilvl w:val="0"/>
          <w:numId w:val="58"/>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93" w:lineRule="exact"/>
        <w:rPr>
          <w:rFonts w:ascii="Arial" w:cs="Arial" w:eastAsia="Arial" w:hAnsi="Arial"/>
          <w:sz w:val="14"/>
          <w:szCs w:val="14"/>
          <w:b w:val="1"/>
          <w:bCs w:val="1"/>
          <w:color w:val="auto"/>
        </w:rPr>
      </w:pPr>
    </w:p>
    <w:p>
      <w:pPr>
        <w:ind w:left="385" w:right="4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As a lessee, the Company has operating real estate leases for its operational facilities, retail locations and corporate headquarters. The Company has operating and finance leases for its computers and equipment. Additionally, the Company procures a portion of its rental product from brand partners under revenue share arrangements, which are considered operating leases. All revenue share payments are recognized as variable lease costs and recorded in rental product depreciation and revenue share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558165</wp:posOffset>
            </wp:positionV>
            <wp:extent cx="3238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5"/>
          </w:cols>
          <w:pgMar w:left="295" w:top="3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103</w:t>
      </w:r>
    </w:p>
    <w:p>
      <w:pPr>
        <w:sectPr>
          <w:pgSz w:w="11880" w:h="15480" w:orient="portrait"/>
          <w:cols w:equalWidth="0" w:num="1">
            <w:col w:w="11245"/>
          </w:cols>
          <w:pgMar w:left="295" w:top="323" w:right="339" w:bottom="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716153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Company’s real estate and equipment lease terms generally range from less than one year to 14 years and certain agreements include renewal options. To the extent that the Company is reasonably certain to exercise a lease renewal option, the assumption is included in the calculation of ROU assets and lease liabilities. During the year ended January 31, 2021, the Company signed an amendment to extend the lease term of its operational facilities in Secaucus, New Jersey, which resulted in an adjustment of $5.1 million to the related ROU assets and lease liabilities, as a result of lease modification accounting. No renewal options were included in the ROU assets and lease liabilities on the consolidated balance sheets as of January 31, 2023 and 2022.</w:t>
      </w:r>
    </w:p>
    <w:p>
      <w:pPr>
        <w:spacing w:after="0" w:line="161" w:lineRule="exact"/>
        <w:rPr>
          <w:sz w:val="20"/>
          <w:szCs w:val="20"/>
          <w:color w:val="auto"/>
        </w:rPr>
      </w:pPr>
    </w:p>
    <w:p>
      <w:pPr>
        <w:ind w:left="380" w:right="40"/>
        <w:spacing w:after="0" w:line="265" w:lineRule="auto"/>
        <w:rPr>
          <w:sz w:val="20"/>
          <w:szCs w:val="20"/>
          <w:color w:val="auto"/>
        </w:rPr>
      </w:pPr>
      <w:r>
        <w:rPr>
          <w:rFonts w:ascii="Arial" w:cs="Arial" w:eastAsia="Arial" w:hAnsi="Arial"/>
          <w:sz w:val="14"/>
          <w:szCs w:val="14"/>
          <w:color w:val="auto"/>
        </w:rPr>
        <w:t>During the year ended January 31, 2021, the Company decided it would no longer fully utilize the space within three of its real estate leases and obtained subleases for those leased facilities. The subleases do not relieve the Company of its primary lease obligations. The sublessor agreements are considered operating leases, maintaining the historical classification of the underlying lease. The Company does not recognize any underlying assets for the subleases as a lessor of operating lease. The net amount received from the subleases is recorded within general and administrative expenses.</w:t>
      </w:r>
    </w:p>
    <w:p>
      <w:pPr>
        <w:spacing w:after="0" w:line="159"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During the year ended January 31, 2023, the Company amended the operating lease for its corporate headquarters in Brooklyn, NY, the terms of which terminated one floor of the leased space. The partial lease termination of the corporate headquarters leased space resulted in a reduction of $10.6 million in the Company’s future minimum fixed lease obligations as of the lease modification date. The Company treated the partial lease termination amendment as a lease modification as of the effective date which resulted in an adjustment of $3.7 million and $1.4 million to the related lease liabilities and right-of-use assets, respectively. The Company recorded a gain on the partial termination of $1.8 million and a loss on surrender of the related fixed assets, primarily leasehold improvements, of $1.9 million, both of which are recorded on the consolidated statements of operations within general and administrative expenses.</w:t>
      </w:r>
    </w:p>
    <w:p>
      <w:pPr>
        <w:spacing w:after="0" w:line="163" w:lineRule="exact"/>
        <w:rPr>
          <w:sz w:val="20"/>
          <w:szCs w:val="20"/>
          <w:color w:val="auto"/>
        </w:rPr>
      </w:pPr>
    </w:p>
    <w:p>
      <w:pPr>
        <w:jc w:val="both"/>
        <w:ind w:left="380" w:right="180"/>
        <w:spacing w:after="0" w:line="271" w:lineRule="auto"/>
        <w:rPr>
          <w:sz w:val="20"/>
          <w:szCs w:val="20"/>
          <w:color w:val="auto"/>
        </w:rPr>
      </w:pPr>
      <w:r>
        <w:rPr>
          <w:rFonts w:ascii="Arial" w:cs="Arial" w:eastAsia="Arial" w:hAnsi="Arial"/>
          <w:sz w:val="14"/>
          <w:szCs w:val="14"/>
          <w:color w:val="auto"/>
        </w:rPr>
        <w:t>As of January 31, 2023 and 2022, the weighted-average remaining lease term for operating leases was 8.38 years and 8.93 years, respectively, and the weighted-average discount rate was 16.26% and 16.82%, respectively. As of January 31, 2023 and 2022, the weighted-average remaining lease term for financing leases was 2.18 years and 2.25 years, respectively, and weighted-average discount rate was 16.41% and 11.77%, respectively.</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components of lease costs incurred by the Company during the years ended January 31, 2023, 2022 and 2021:</w:t>
      </w:r>
    </w:p>
    <w:p>
      <w:pPr>
        <w:spacing w:after="0" w:line="240" w:lineRule="exact"/>
        <w:rPr>
          <w:sz w:val="20"/>
          <w:szCs w:val="20"/>
          <w:color w:val="auto"/>
        </w:rPr>
      </w:pPr>
    </w:p>
    <w:tbl>
      <w:tblPr>
        <w:tblLayout w:type="fixed"/>
        <w:tblInd w:w="38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6040" w:type="dxa"/>
            <w:vAlign w:val="bottom"/>
            <w:tcBorders>
              <w:bottom w:val="single" w:sz="8" w:color="DDDDDD"/>
            </w:tcBorders>
          </w:tcPr>
          <w:p>
            <w:pPr>
              <w:spacing w:after="0"/>
              <w:rPr>
                <w:sz w:val="13"/>
                <w:szCs w:val="13"/>
                <w:color w:val="auto"/>
              </w:rPr>
            </w:pPr>
          </w:p>
        </w:tc>
        <w:tc>
          <w:tcPr>
            <w:tcW w:w="96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DDDDD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DDDDD"/>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r>
      <w:tr>
        <w:trPr>
          <w:trHeight w:val="173"/>
        </w:trPr>
        <w:tc>
          <w:tcPr>
            <w:tcW w:w="6040" w:type="dxa"/>
            <w:vAlign w:val="bottom"/>
            <w:shd w:val="clear" w:color="auto" w:fill="DDDDDD"/>
          </w:tcPr>
          <w:p>
            <w:pPr>
              <w:ind w:left="20"/>
              <w:spacing w:after="0"/>
              <w:rPr>
                <w:sz w:val="20"/>
                <w:szCs w:val="20"/>
                <w:color w:val="auto"/>
              </w:rPr>
            </w:pPr>
            <w:r>
              <w:rPr>
                <w:rFonts w:ascii="Arial" w:cs="Arial" w:eastAsia="Arial" w:hAnsi="Arial"/>
                <w:sz w:val="14"/>
                <w:szCs w:val="14"/>
                <w:color w:val="auto"/>
              </w:rPr>
              <w:t>Operating lease costs</w:t>
            </w:r>
          </w:p>
        </w:tc>
        <w:tc>
          <w:tcPr>
            <w:tcW w:w="960" w:type="dxa"/>
            <w:vAlign w:val="bottom"/>
            <w:shd w:val="clear" w:color="auto" w:fill="DDDDDD"/>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12.9</w:t>
            </w: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13.1</w:t>
            </w:r>
          </w:p>
        </w:tc>
      </w:tr>
      <w:tr>
        <w:trPr>
          <w:trHeight w:val="211"/>
        </w:trPr>
        <w:tc>
          <w:tcPr>
            <w:tcW w:w="6040" w:type="dxa"/>
            <w:vAlign w:val="bottom"/>
          </w:tcPr>
          <w:p>
            <w:pPr>
              <w:ind w:left="20"/>
              <w:spacing w:after="0"/>
              <w:rPr>
                <w:sz w:val="20"/>
                <w:szCs w:val="20"/>
                <w:color w:val="auto"/>
              </w:rPr>
            </w:pPr>
            <w:r>
              <w:rPr>
                <w:rFonts w:ascii="Arial" w:cs="Arial" w:eastAsia="Arial" w:hAnsi="Arial"/>
                <w:sz w:val="14"/>
                <w:szCs w:val="14"/>
                <w:color w:val="auto"/>
              </w:rPr>
              <w:t>Short-term lease costs</w:t>
            </w:r>
          </w:p>
        </w:tc>
        <w:tc>
          <w:tcPr>
            <w:tcW w:w="9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3"/>
        </w:trPr>
        <w:tc>
          <w:tcPr>
            <w:tcW w:w="6040" w:type="dxa"/>
            <w:vAlign w:val="bottom"/>
            <w:tcBorders>
              <w:top w:val="single" w:sz="8" w:color="DDDDDD"/>
            </w:tcBorders>
            <w:shd w:val="clear" w:color="auto" w:fill="DDDDDD"/>
          </w:tcPr>
          <w:p>
            <w:pPr>
              <w:ind w:left="180"/>
              <w:spacing w:after="0"/>
              <w:rPr>
                <w:sz w:val="20"/>
                <w:szCs w:val="20"/>
                <w:color w:val="auto"/>
              </w:rPr>
            </w:pPr>
            <w:r>
              <w:rPr>
                <w:rFonts w:ascii="Arial" w:cs="Arial" w:eastAsia="Arial" w:hAnsi="Arial"/>
                <w:sz w:val="14"/>
                <w:szCs w:val="14"/>
                <w:color w:val="auto"/>
              </w:rPr>
              <w:t>Total fixed lease costs</w:t>
            </w:r>
          </w:p>
        </w:tc>
        <w:tc>
          <w:tcPr>
            <w:tcW w:w="960" w:type="dxa"/>
            <w:vAlign w:val="bottom"/>
            <w:tcBorders>
              <w:top w:val="single" w:sz="8" w:color="auto"/>
            </w:tcBorders>
            <w:shd w:val="clear" w:color="auto" w:fill="DDDDDD"/>
          </w:tcPr>
          <w:p>
            <w:pPr>
              <w:spacing w:after="0"/>
              <w:rPr>
                <w:sz w:val="16"/>
                <w:szCs w:val="16"/>
                <w:color w:val="auto"/>
              </w:rPr>
            </w:pPr>
          </w:p>
        </w:tc>
        <w:tc>
          <w:tcPr>
            <w:tcW w:w="4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top w:val="single" w:sz="8" w:color="DDDDDD"/>
            </w:tcBorders>
            <w:shd w:val="clear" w:color="auto" w:fill="DDDDDD"/>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13.0</w:t>
            </w:r>
          </w:p>
        </w:tc>
        <w:tc>
          <w:tcPr>
            <w:tcW w:w="80" w:type="dxa"/>
            <w:vAlign w:val="bottom"/>
            <w:tcBorders>
              <w:top w:val="single" w:sz="8" w:color="DDDDDD"/>
            </w:tcBorders>
            <w:shd w:val="clear" w:color="auto" w:fill="DDDDDD"/>
          </w:tcPr>
          <w:p>
            <w:pPr>
              <w:spacing w:after="0"/>
              <w:rPr>
                <w:sz w:val="16"/>
                <w:szCs w:val="16"/>
                <w:color w:val="auto"/>
              </w:rPr>
            </w:pPr>
          </w:p>
        </w:tc>
        <w:tc>
          <w:tcPr>
            <w:tcW w:w="340" w:type="dxa"/>
            <w:vAlign w:val="bottom"/>
            <w:tcBorders>
              <w:top w:val="single" w:sz="8" w:color="auto"/>
            </w:tcBorders>
            <w:shd w:val="clear" w:color="auto" w:fill="DDDDDD"/>
          </w:tcPr>
          <w:p>
            <w:pPr>
              <w:spacing w:after="0"/>
              <w:rPr>
                <w:sz w:val="16"/>
                <w:szCs w:val="16"/>
                <w:color w:val="auto"/>
              </w:rPr>
            </w:pPr>
          </w:p>
        </w:tc>
        <w:tc>
          <w:tcPr>
            <w:tcW w:w="110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15.5</w:t>
            </w:r>
          </w:p>
        </w:tc>
      </w:tr>
      <w:tr>
        <w:trPr>
          <w:trHeight w:val="180"/>
        </w:trPr>
        <w:tc>
          <w:tcPr>
            <w:tcW w:w="604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Variable lease costs</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r>
      <w:tr>
        <w:trPr>
          <w:trHeight w:val="211"/>
        </w:trPr>
        <w:tc>
          <w:tcPr>
            <w:tcW w:w="604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4"/>
                <w:szCs w:val="14"/>
                <w:color w:val="auto"/>
              </w:rPr>
              <w:t>Total lease costs</w:t>
            </w:r>
          </w:p>
        </w:tc>
        <w:tc>
          <w:tcPr>
            <w:tcW w:w="960" w:type="dxa"/>
            <w:vAlign w:val="bottom"/>
            <w:tcBorders>
              <w:bottom w:val="single" w:sz="8" w:color="auto"/>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35.7</w:t>
            </w:r>
          </w:p>
        </w:tc>
        <w:tc>
          <w:tcPr>
            <w:tcW w:w="8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35.3</w:t>
            </w:r>
          </w:p>
        </w:tc>
      </w:tr>
      <w:tr>
        <w:trPr>
          <w:trHeight w:val="152"/>
        </w:trPr>
        <w:tc>
          <w:tcPr>
            <w:tcW w:w="6040" w:type="dxa"/>
            <w:vAlign w:val="bottom"/>
            <w:tcBorders>
              <w:bottom w:val="single" w:sz="8" w:color="DDDDDD"/>
            </w:tcBorders>
          </w:tcPr>
          <w:p>
            <w:pPr>
              <w:ind w:left="20"/>
              <w:spacing w:after="0" w:line="152" w:lineRule="exact"/>
              <w:rPr>
                <w:sz w:val="20"/>
                <w:szCs w:val="20"/>
                <w:color w:val="auto"/>
              </w:rPr>
            </w:pPr>
            <w:r>
              <w:rPr>
                <w:rFonts w:ascii="Arial" w:cs="Arial" w:eastAsia="Arial" w:hAnsi="Arial"/>
                <w:sz w:val="14"/>
                <w:szCs w:val="14"/>
                <w:color w:val="auto"/>
              </w:rPr>
              <w:t>Sublease income</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(3.2)</w:t>
            </w:r>
          </w:p>
        </w:tc>
        <w:tc>
          <w:tcPr>
            <w:tcW w:w="100" w:type="dxa"/>
            <w:vAlign w:val="bottom"/>
            <w:tcBorders>
              <w:bottom w:val="single" w:sz="8" w:color="DDDDDD"/>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(4.0)</w:t>
            </w:r>
          </w:p>
        </w:tc>
        <w:tc>
          <w:tcPr>
            <w:tcW w:w="80" w:type="dxa"/>
            <w:vAlign w:val="bottom"/>
            <w:tcBorders>
              <w:bottom w:val="single" w:sz="8" w:color="DDDDDD"/>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(1.8)</w:t>
            </w:r>
          </w:p>
        </w:tc>
      </w:tr>
      <w:tr>
        <w:trPr>
          <w:trHeight w:val="196"/>
        </w:trPr>
        <w:tc>
          <w:tcPr>
            <w:tcW w:w="604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4"/>
                <w:szCs w:val="14"/>
                <w:color w:val="auto"/>
              </w:rPr>
              <w:t>Total lease costs, net</w:t>
            </w:r>
          </w:p>
        </w:tc>
        <w:tc>
          <w:tcPr>
            <w:tcW w:w="960" w:type="dxa"/>
            <w:vAlign w:val="bottom"/>
            <w:tcBorders>
              <w:bottom w:val="single" w:sz="8" w:color="auto"/>
            </w:tcBorders>
            <w:shd w:val="clear" w:color="auto" w:fill="DDDDDD"/>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31.7</w:t>
            </w:r>
          </w:p>
        </w:tc>
        <w:tc>
          <w:tcPr>
            <w:tcW w:w="80" w:type="dxa"/>
            <w:vAlign w:val="bottom"/>
            <w:tcBorders>
              <w:bottom w:val="single" w:sz="8" w:color="DDDDDD"/>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33.5</w:t>
            </w:r>
          </w:p>
        </w:tc>
      </w:tr>
      <w:tr>
        <w:trPr>
          <w:trHeight w:val="20"/>
        </w:trPr>
        <w:tc>
          <w:tcPr>
            <w:tcW w:w="604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614045</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104</w:t>
      </w:r>
    </w:p>
    <w:p>
      <w:pPr>
        <w:sectPr>
          <w:pgSz w:w="11880" w:h="15480" w:orient="portrait"/>
          <w:cols w:equalWidth="0" w:num="1">
            <w:col w:w="11260"/>
          </w:cols>
          <w:pgMar w:left="300" w:top="322" w:right="319" w:bottom="0" w:gutter="0" w:footer="0" w:header="0"/>
          <w:type w:val="continuous"/>
        </w:sectPr>
      </w:pPr>
    </w:p>
    <w:bookmarkStart w:id="112" w:name="page113"/>
    <w:bookmarkEnd w:id="112"/>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5"/>
        <w:spacing w:after="0" w:line="290" w:lineRule="auto"/>
        <w:rPr>
          <w:sz w:val="20"/>
          <w:szCs w:val="20"/>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January 31, 2023:</w:t>
      </w:r>
    </w:p>
    <w:p>
      <w:pPr>
        <w:spacing w:after="0" w:line="182" w:lineRule="exact"/>
        <w:rPr>
          <w:sz w:val="20"/>
          <w:szCs w:val="20"/>
          <w:color w:val="auto"/>
        </w:rPr>
      </w:pPr>
    </w:p>
    <w:tbl>
      <w:tblPr>
        <w:tblLayout w:type="fixed"/>
        <w:tblInd w:w="385" w:type="dxa"/>
        <w:tblCellMar>
          <w:top w:w="0" w:type="dxa"/>
          <w:left w:w="0" w:type="dxa"/>
          <w:bottom w:w="0" w:type="dxa"/>
          <w:right w:w="0" w:type="dxa"/>
        </w:tblCellMar>
      </w:tblPr>
      <w:tr>
        <w:trPr>
          <w:trHeight w:val="157"/>
        </w:trPr>
        <w:tc>
          <w:tcPr>
            <w:tcW w:w="7380" w:type="dxa"/>
            <w:vAlign w:val="bottom"/>
            <w:tcBorders>
              <w:bottom w:val="single" w:sz="8" w:color="DDDDDD"/>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DDDDDD"/>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1"/>
                <w:szCs w:val="11"/>
                <w:b w:val="1"/>
                <w:bCs w:val="1"/>
                <w:color w:val="auto"/>
              </w:rPr>
              <w:t>Financing</w:t>
            </w:r>
          </w:p>
        </w:tc>
      </w:tr>
      <w:tr>
        <w:trPr>
          <w:trHeight w:val="163"/>
        </w:trPr>
        <w:tc>
          <w:tcPr>
            <w:tcW w:w="7380" w:type="dxa"/>
            <w:vAlign w:val="bottom"/>
            <w:shd w:val="clear" w:color="auto" w:fill="DDDDDD"/>
          </w:tcPr>
          <w:p>
            <w:pPr>
              <w:jc w:val="right"/>
              <w:ind w:right="6569"/>
              <w:spacing w:after="0"/>
              <w:rPr>
                <w:sz w:val="20"/>
                <w:szCs w:val="20"/>
                <w:color w:val="auto"/>
              </w:rPr>
            </w:pPr>
            <w:r>
              <w:rPr>
                <w:rFonts w:ascii="Arial" w:cs="Arial" w:eastAsia="Arial" w:hAnsi="Arial"/>
                <w:sz w:val="14"/>
                <w:szCs w:val="14"/>
                <w:color w:val="auto"/>
              </w:rPr>
              <w:t>Fiscal year:</w:t>
            </w:r>
          </w:p>
        </w:tc>
        <w:tc>
          <w:tcPr>
            <w:tcW w:w="1000" w:type="dxa"/>
            <w:vAlign w:val="bottom"/>
            <w:shd w:val="clear" w:color="auto" w:fill="DDDDDD"/>
          </w:tcPr>
          <w:p>
            <w:pPr>
              <w:spacing w:after="0"/>
              <w:rPr>
                <w:sz w:val="14"/>
                <w:szCs w:val="14"/>
                <w:color w:val="auto"/>
              </w:rPr>
            </w:pPr>
          </w:p>
        </w:tc>
        <w:tc>
          <w:tcPr>
            <w:tcW w:w="420" w:type="dxa"/>
            <w:vAlign w:val="bottom"/>
            <w:shd w:val="clear" w:color="auto" w:fill="DDDDDD"/>
          </w:tcPr>
          <w:p>
            <w:pPr>
              <w:spacing w:after="0"/>
              <w:rPr>
                <w:sz w:val="14"/>
                <w:szCs w:val="14"/>
                <w:color w:val="auto"/>
              </w:rPr>
            </w:pPr>
          </w:p>
        </w:tc>
        <w:tc>
          <w:tcPr>
            <w:tcW w:w="10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180" w:type="dxa"/>
            <w:vAlign w:val="bottom"/>
            <w:shd w:val="clear" w:color="auto" w:fill="DDDDDD"/>
          </w:tcPr>
          <w:p>
            <w:pPr>
              <w:spacing w:after="0"/>
              <w:rPr>
                <w:sz w:val="14"/>
                <w:szCs w:val="14"/>
                <w:color w:val="auto"/>
              </w:rPr>
            </w:pPr>
          </w:p>
        </w:tc>
      </w:tr>
      <w:tr>
        <w:trPr>
          <w:trHeight w:val="180"/>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2023</w:t>
            </w:r>
          </w:p>
        </w:tc>
        <w:tc>
          <w:tcPr>
            <w:tcW w:w="1000" w:type="dxa"/>
            <w:vAlign w:val="bottom"/>
          </w:tcPr>
          <w:p>
            <w:pPr>
              <w:jc w:val="right"/>
              <w:ind w:right="854"/>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2"/>
        </w:trPr>
        <w:tc>
          <w:tcPr>
            <w:tcW w:w="7380" w:type="dxa"/>
            <w:vAlign w:val="bottom"/>
            <w:shd w:val="clear" w:color="auto" w:fill="DDDDDD"/>
          </w:tcPr>
          <w:p>
            <w:pPr>
              <w:jc w:val="right"/>
              <w:ind w:right="6809"/>
              <w:spacing w:after="0"/>
              <w:rPr>
                <w:sz w:val="20"/>
                <w:szCs w:val="20"/>
                <w:color w:val="auto"/>
              </w:rPr>
            </w:pPr>
            <w:r>
              <w:rPr>
                <w:rFonts w:ascii="Arial" w:cs="Arial" w:eastAsia="Arial" w:hAnsi="Arial"/>
                <w:sz w:val="14"/>
                <w:szCs w:val="14"/>
                <w:color w:val="auto"/>
              </w:rPr>
              <w:t>2024</w:t>
            </w:r>
          </w:p>
        </w:tc>
        <w:tc>
          <w:tcPr>
            <w:tcW w:w="1000" w:type="dxa"/>
            <w:vAlign w:val="bottom"/>
            <w:shd w:val="clear" w:color="auto" w:fill="DDDDDD"/>
          </w:tcPr>
          <w:p>
            <w:pPr>
              <w:spacing w:after="0"/>
              <w:rPr>
                <w:sz w:val="18"/>
                <w:szCs w:val="18"/>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0.5</w:t>
            </w:r>
          </w:p>
        </w:tc>
      </w:tr>
      <w:tr>
        <w:trPr>
          <w:trHeight w:val="211"/>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2025</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2"/>
        </w:trPr>
        <w:tc>
          <w:tcPr>
            <w:tcW w:w="7380" w:type="dxa"/>
            <w:vAlign w:val="bottom"/>
            <w:shd w:val="clear" w:color="auto" w:fill="DDDDDD"/>
          </w:tcPr>
          <w:p>
            <w:pPr>
              <w:jc w:val="right"/>
              <w:ind w:right="6809"/>
              <w:spacing w:after="0"/>
              <w:rPr>
                <w:sz w:val="20"/>
                <w:szCs w:val="20"/>
                <w:color w:val="auto"/>
              </w:rPr>
            </w:pPr>
            <w:r>
              <w:rPr>
                <w:rFonts w:ascii="Arial" w:cs="Arial" w:eastAsia="Arial" w:hAnsi="Arial"/>
                <w:sz w:val="14"/>
                <w:szCs w:val="14"/>
                <w:color w:val="auto"/>
              </w:rPr>
              <w:t>2026</w:t>
            </w:r>
          </w:p>
        </w:tc>
        <w:tc>
          <w:tcPr>
            <w:tcW w:w="1000" w:type="dxa"/>
            <w:vAlign w:val="bottom"/>
            <w:shd w:val="clear" w:color="auto" w:fill="DDDDDD"/>
          </w:tcPr>
          <w:p>
            <w:pPr>
              <w:spacing w:after="0"/>
              <w:rPr>
                <w:sz w:val="15"/>
                <w:szCs w:val="15"/>
                <w:color w:val="auto"/>
              </w:rPr>
            </w:pPr>
          </w:p>
        </w:tc>
        <w:tc>
          <w:tcPr>
            <w:tcW w:w="4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7380" w:type="dxa"/>
            <w:vAlign w:val="bottom"/>
          </w:tcPr>
          <w:p>
            <w:pPr>
              <w:jc w:val="right"/>
              <w:ind w:right="6809"/>
              <w:spacing w:after="0"/>
              <w:rPr>
                <w:sz w:val="20"/>
                <w:szCs w:val="20"/>
                <w:color w:val="auto"/>
              </w:rPr>
            </w:pPr>
            <w:r>
              <w:rPr>
                <w:rFonts w:ascii="Arial" w:cs="Arial" w:eastAsia="Arial" w:hAnsi="Arial"/>
                <w:sz w:val="14"/>
                <w:szCs w:val="14"/>
                <w:color w:val="auto"/>
              </w:rPr>
              <w:t>2027</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380" w:type="dxa"/>
            <w:vAlign w:val="bottom"/>
            <w:shd w:val="clear" w:color="auto" w:fill="DDDDDD"/>
          </w:tcPr>
          <w:p>
            <w:pPr>
              <w:ind w:left="140"/>
              <w:spacing w:after="0"/>
              <w:rPr>
                <w:sz w:val="20"/>
                <w:szCs w:val="20"/>
                <w:color w:val="auto"/>
              </w:rPr>
            </w:pPr>
            <w:r>
              <w:rPr>
                <w:rFonts w:ascii="Arial" w:cs="Arial" w:eastAsia="Arial" w:hAnsi="Arial"/>
                <w:sz w:val="14"/>
                <w:szCs w:val="14"/>
                <w:color w:val="auto"/>
              </w:rPr>
              <w:t>Thereafter</w:t>
            </w:r>
          </w:p>
        </w:tc>
        <w:tc>
          <w:tcPr>
            <w:tcW w:w="1000" w:type="dxa"/>
            <w:vAlign w:val="bottom"/>
            <w:tcBorders>
              <w:bottom w:val="single" w:sz="8" w:color="auto"/>
            </w:tcBorders>
            <w:shd w:val="clear" w:color="auto" w:fill="DDDDDD"/>
          </w:tcPr>
          <w:p>
            <w:pPr>
              <w:spacing w:after="0"/>
              <w:rPr>
                <w:sz w:val="15"/>
                <w:szCs w:val="15"/>
                <w:color w:val="auto"/>
              </w:rPr>
            </w:pP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380" w:type="dxa"/>
            <w:vAlign w:val="bottom"/>
          </w:tcPr>
          <w:p>
            <w:pPr>
              <w:jc w:val="right"/>
              <w:ind w:right="5149"/>
              <w:spacing w:after="0"/>
              <w:rPr>
                <w:sz w:val="20"/>
                <w:szCs w:val="20"/>
                <w:color w:val="auto"/>
              </w:rPr>
            </w:pPr>
            <w:r>
              <w:rPr>
                <w:rFonts w:ascii="Arial" w:cs="Arial" w:eastAsia="Arial" w:hAnsi="Arial"/>
                <w:sz w:val="14"/>
                <w:szCs w:val="14"/>
                <w:color w:val="auto"/>
              </w:rPr>
              <w:t>Total minimum lease payments</w:t>
            </w:r>
          </w:p>
        </w:tc>
        <w:tc>
          <w:tcPr>
            <w:tcW w:w="10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0"/>
        </w:trPr>
        <w:tc>
          <w:tcPr>
            <w:tcW w:w="7380" w:type="dxa"/>
            <w:vAlign w:val="bottom"/>
            <w:tcBorders>
              <w:bottom w:val="single" w:sz="8" w:color="DDDDDD"/>
            </w:tcBorders>
            <w:shd w:val="clear" w:color="auto" w:fill="DDDDDD"/>
          </w:tcPr>
          <w:p>
            <w:pPr>
              <w:ind w:left="140"/>
              <w:spacing w:after="0"/>
              <w:rPr>
                <w:sz w:val="20"/>
                <w:szCs w:val="20"/>
                <w:color w:val="auto"/>
              </w:rPr>
            </w:pPr>
            <w:r>
              <w:rPr>
                <w:rFonts w:ascii="Arial" w:cs="Arial" w:eastAsia="Arial" w:hAnsi="Arial"/>
                <w:sz w:val="14"/>
                <w:szCs w:val="14"/>
                <w:color w:val="auto"/>
              </w:rPr>
              <w:t>Imputed interest</w:t>
            </w:r>
          </w:p>
        </w:tc>
        <w:tc>
          <w:tcPr>
            <w:tcW w:w="1000" w:type="dxa"/>
            <w:vAlign w:val="bottom"/>
            <w:tcBorders>
              <w:bottom w:val="single" w:sz="8" w:color="auto"/>
            </w:tcBorders>
            <w:shd w:val="clear" w:color="auto" w:fill="DDDDDD"/>
          </w:tcPr>
          <w:p>
            <w:pPr>
              <w:spacing w:after="0"/>
              <w:rPr>
                <w:sz w:val="17"/>
                <w:szCs w:val="17"/>
                <w:color w:val="auto"/>
              </w:rPr>
            </w:pPr>
          </w:p>
        </w:tc>
        <w:tc>
          <w:tcPr>
            <w:tcW w:w="4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DDDDDD"/>
            </w:tcBorders>
            <w:shd w:val="clear" w:color="auto" w:fill="DDDDDD"/>
          </w:tcPr>
          <w:p>
            <w:pPr>
              <w:spacing w:after="0"/>
              <w:rPr>
                <w:sz w:val="17"/>
                <w:szCs w:val="17"/>
                <w:color w:val="auto"/>
              </w:rPr>
            </w:pPr>
          </w:p>
        </w:tc>
        <w:tc>
          <w:tcPr>
            <w:tcW w:w="260" w:type="dxa"/>
            <w:vAlign w:val="bottom"/>
            <w:tcBorders>
              <w:bottom w:val="single" w:sz="8" w:color="auto"/>
            </w:tcBorders>
            <w:shd w:val="clear" w:color="auto" w:fill="DDDDDD"/>
          </w:tcPr>
          <w:p>
            <w:pPr>
              <w:spacing w:after="0"/>
              <w:rPr>
                <w:sz w:val="17"/>
                <w:szCs w:val="17"/>
                <w:color w:val="auto"/>
              </w:rPr>
            </w:pP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(0.2)</w:t>
            </w:r>
          </w:p>
        </w:tc>
      </w:tr>
      <w:tr>
        <w:trPr>
          <w:trHeight w:val="151"/>
        </w:trPr>
        <w:tc>
          <w:tcPr>
            <w:tcW w:w="7380" w:type="dxa"/>
            <w:vAlign w:val="bottom"/>
          </w:tcPr>
          <w:p>
            <w:pPr>
              <w:jc w:val="right"/>
              <w:ind w:right="4609"/>
              <w:spacing w:after="0" w:line="151" w:lineRule="exact"/>
              <w:rPr>
                <w:sz w:val="20"/>
                <w:szCs w:val="20"/>
                <w:color w:val="auto"/>
              </w:rPr>
            </w:pPr>
            <w:r>
              <w:rPr>
                <w:rFonts w:ascii="Arial" w:cs="Arial" w:eastAsia="Arial" w:hAnsi="Arial"/>
                <w:sz w:val="14"/>
                <w:szCs w:val="14"/>
                <w:color w:val="auto"/>
              </w:rPr>
              <w:t>Lease liabilities as of January 31, 2023</w:t>
            </w:r>
          </w:p>
        </w:tc>
        <w:tc>
          <w:tcPr>
            <w:tcW w:w="1000" w:type="dxa"/>
            <w:vAlign w:val="bottom"/>
            <w:tcBorders>
              <w:bottom w:val="single" w:sz="8" w:color="auto"/>
            </w:tcBorders>
          </w:tcPr>
          <w:p>
            <w:pPr>
              <w:jc w:val="right"/>
              <w:ind w:right="854"/>
              <w:spacing w:after="0" w:line="151"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42.7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89"/>
              <w:spacing w:after="0" w:line="151"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1.1</w:t>
            </w:r>
          </w:p>
        </w:tc>
      </w:tr>
      <w:tr>
        <w:trPr>
          <w:trHeight w:val="20"/>
        </w:trPr>
        <w:tc>
          <w:tcPr>
            <w:tcW w:w="7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ind w:left="365" w:hanging="365"/>
        <w:spacing w:after="0"/>
        <w:tabs>
          <w:tab w:leader="none" w:pos="365"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4"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5" w:type="dxa"/>
        <w:tblCellMar>
          <w:top w:w="0" w:type="dxa"/>
          <w:left w:w="0" w:type="dxa"/>
          <w:bottom w:w="0" w:type="dxa"/>
          <w:right w:w="0" w:type="dxa"/>
        </w:tblCellMar>
      </w:tblPr>
      <w:tr>
        <w:trPr>
          <w:trHeight w:val="157"/>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4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2022</w:t>
            </w:r>
          </w:p>
        </w:tc>
      </w:tr>
      <w:tr>
        <w:trPr>
          <w:trHeight w:val="152"/>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60" w:type="dxa"/>
            <w:vAlign w:val="bottom"/>
            <w:shd w:val="clear" w:color="auto" w:fill="DDDDDD"/>
          </w:tcPr>
          <w:p>
            <w:pPr>
              <w:ind w:left="20"/>
              <w:spacing w:after="0"/>
              <w:rPr>
                <w:sz w:val="20"/>
                <w:szCs w:val="20"/>
                <w:color w:val="auto"/>
              </w:rPr>
            </w:pPr>
            <w:r>
              <w:rPr>
                <w:rFonts w:ascii="Arial" w:cs="Arial" w:eastAsia="Arial" w:hAnsi="Arial"/>
                <w:sz w:val="14"/>
                <w:szCs w:val="14"/>
                <w:color w:val="auto"/>
              </w:rPr>
              <w:t>Apparel</w:t>
            </w:r>
          </w:p>
        </w:tc>
        <w:tc>
          <w:tcPr>
            <w:tcW w:w="240" w:type="dxa"/>
            <w:vAlign w:val="bottom"/>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156.7</w:t>
            </w: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164.4</w:t>
            </w:r>
          </w:p>
        </w:tc>
      </w:tr>
      <w:tr>
        <w:trPr>
          <w:trHeight w:val="211"/>
        </w:trPr>
        <w:tc>
          <w:tcPr>
            <w:tcW w:w="736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Accessories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r>
      <w:tr>
        <w:trPr>
          <w:trHeight w:val="172"/>
        </w:trPr>
        <w:tc>
          <w:tcPr>
            <w:tcW w:w="736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162.6</w:t>
            </w:r>
          </w:p>
        </w:tc>
        <w:tc>
          <w:tcPr>
            <w:tcW w:w="80" w:type="dxa"/>
            <w:vAlign w:val="bottom"/>
            <w:shd w:val="clear" w:color="auto" w:fill="DDDDDD"/>
          </w:tcPr>
          <w:p>
            <w:pPr>
              <w:spacing w:after="0"/>
              <w:rPr>
                <w:sz w:val="14"/>
                <w:szCs w:val="14"/>
                <w:color w:val="auto"/>
              </w:rPr>
            </w:pPr>
          </w:p>
        </w:tc>
        <w:tc>
          <w:tcPr>
            <w:tcW w:w="240" w:type="dxa"/>
            <w:vAlign w:val="bottom"/>
            <w:shd w:val="clear" w:color="auto" w:fill="DDDDDD"/>
          </w:tcPr>
          <w:p>
            <w:pPr>
              <w:spacing w:after="0"/>
              <w:rPr>
                <w:sz w:val="14"/>
                <w:szCs w:val="14"/>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171.2</w:t>
            </w:r>
          </w:p>
        </w:tc>
      </w:tr>
      <w:tr>
        <w:trPr>
          <w:trHeight w:val="211"/>
        </w:trPr>
        <w:tc>
          <w:tcPr>
            <w:tcW w:w="736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r>
      <w:tr>
        <w:trPr>
          <w:trHeight w:val="197"/>
        </w:trPr>
        <w:tc>
          <w:tcPr>
            <w:tcW w:w="736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Rental product, net</w:t>
            </w:r>
          </w:p>
        </w:tc>
        <w:tc>
          <w:tcPr>
            <w:tcW w:w="240" w:type="dxa"/>
            <w:vAlign w:val="bottom"/>
            <w:tcBorders>
              <w:bottom w:val="single" w:sz="8" w:color="auto"/>
            </w:tcBorders>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78.7</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76.3</w:t>
            </w:r>
          </w:p>
        </w:tc>
      </w:tr>
      <w:tr>
        <w:trPr>
          <w:trHeight w:val="20"/>
        </w:trPr>
        <w:tc>
          <w:tcPr>
            <w:tcW w:w="736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385" w:right="34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$52.9 million, $50.3 million, and $69.9 million for the years ended January 31, 2023,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45"/>
          </w:cols>
          <w:pgMar w:left="295" w:top="322" w:right="5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44"/>
        <w:spacing w:after="0"/>
        <w:rPr>
          <w:sz w:val="20"/>
          <w:szCs w:val="20"/>
          <w:color w:val="auto"/>
        </w:rPr>
      </w:pPr>
      <w:r>
        <w:rPr>
          <w:rFonts w:ascii="Arial" w:cs="Arial" w:eastAsia="Arial" w:hAnsi="Arial"/>
          <w:sz w:val="19"/>
          <w:szCs w:val="19"/>
          <w:color w:val="auto"/>
        </w:rPr>
        <w:t>105</w:t>
      </w:r>
    </w:p>
    <w:p>
      <w:pPr>
        <w:sectPr>
          <w:pgSz w:w="11880" w:h="15480" w:orient="portrait"/>
          <w:cols w:equalWidth="0" w:num="1">
            <w:col w:w="11045"/>
          </w:cols>
          <w:pgMar w:left="295" w:top="322" w:right="539" w:bottom="0" w:gutter="0" w:footer="0" w:header="0"/>
          <w:type w:val="continuous"/>
        </w:sectPr>
      </w:pPr>
    </w:p>
    <w:bookmarkStart w:id="113" w:name="page114"/>
    <w:bookmarkEnd w:id="113"/>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5" w:hanging="365"/>
        <w:spacing w:after="0"/>
        <w:tabs>
          <w:tab w:leader="none" w:pos="365"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Fixed and Intangible Assets, Net</w:t>
      </w:r>
    </w:p>
    <w:p>
      <w:pPr>
        <w:spacing w:after="0" w:line="93"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Fixed and intangible assets, net consisted of the following:</w:t>
      </w:r>
    </w:p>
    <w:p>
      <w:pPr>
        <w:spacing w:after="0" w:line="49" w:lineRule="exact"/>
        <w:rPr>
          <w:sz w:val="20"/>
          <w:szCs w:val="20"/>
          <w:color w:val="auto"/>
        </w:rPr>
      </w:pPr>
    </w:p>
    <w:tbl>
      <w:tblPr>
        <w:tblLayout w:type="fixed"/>
        <w:tblInd w:w="385" w:type="dxa"/>
        <w:tblCellMar>
          <w:top w:w="0" w:type="dxa"/>
          <w:left w:w="0" w:type="dxa"/>
          <w:bottom w:w="0" w:type="dxa"/>
          <w:right w:w="0" w:type="dxa"/>
        </w:tblCellMar>
      </w:tblPr>
      <w:tr>
        <w:trPr>
          <w:trHeight w:val="157"/>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60" w:type="dxa"/>
            <w:vAlign w:val="bottom"/>
          </w:tcPr>
          <w:p>
            <w:pPr>
              <w:spacing w:after="0"/>
              <w:rPr>
                <w:sz w:val="13"/>
                <w:szCs w:val="13"/>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0"/>
        </w:trPr>
        <w:tc>
          <w:tcPr>
            <w:tcW w:w="7620" w:type="dxa"/>
            <w:vAlign w:val="bottom"/>
            <w:tcBorders>
              <w:bottom w:val="single" w:sz="8" w:color="DDDDDD"/>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DDDDD"/>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94"/>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Leasehold improvements</w:t>
            </w:r>
          </w:p>
        </w:tc>
        <w:tc>
          <w:tcPr>
            <w:tcW w:w="260" w:type="dxa"/>
            <w:vAlign w:val="bottom"/>
            <w:shd w:val="clear" w:color="auto" w:fill="DDDDDD"/>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53.8</w:t>
            </w:r>
          </w:p>
        </w:tc>
        <w:tc>
          <w:tcPr>
            <w:tcW w:w="80" w:type="dxa"/>
            <w:vAlign w:val="bottom"/>
            <w:shd w:val="clear" w:color="auto" w:fill="DDDDDD"/>
          </w:tcPr>
          <w:p>
            <w:pPr>
              <w:spacing w:after="0"/>
              <w:rPr>
                <w:sz w:val="16"/>
                <w:szCs w:val="16"/>
                <w:color w:val="auto"/>
              </w:rPr>
            </w:pPr>
          </w:p>
        </w:tc>
        <w:tc>
          <w:tcPr>
            <w:tcW w:w="260" w:type="dxa"/>
            <w:vAlign w:val="bottom"/>
            <w:shd w:val="clear" w:color="auto" w:fill="DDDDDD"/>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DDDDDD"/>
          </w:tcPr>
          <w:p>
            <w:pPr>
              <w:jc w:val="right"/>
              <w:ind w:right="11"/>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211"/>
        </w:trPr>
        <w:tc>
          <w:tcPr>
            <w:tcW w:w="762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13"/>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Reusable packaging</w:t>
            </w:r>
          </w:p>
        </w:tc>
        <w:tc>
          <w:tcPr>
            <w:tcW w:w="26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240" w:type="dxa"/>
            <w:vAlign w:val="bottom"/>
            <w:shd w:val="clear" w:color="auto" w:fill="DDDDDD"/>
          </w:tcPr>
          <w:p>
            <w:pPr>
              <w:jc w:val="right"/>
              <w:ind w:right="11"/>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1"/>
        </w:trPr>
        <w:tc>
          <w:tcPr>
            <w:tcW w:w="7620" w:type="dxa"/>
            <w:vAlign w:val="bottom"/>
          </w:tcPr>
          <w:p>
            <w:pPr>
              <w:ind w:left="20"/>
              <w:spacing w:after="0"/>
              <w:rPr>
                <w:sz w:val="20"/>
                <w:szCs w:val="20"/>
                <w:color w:val="auto"/>
              </w:rPr>
            </w:pPr>
            <w:r>
              <w:rPr>
                <w:rFonts w:ascii="Arial" w:cs="Arial" w:eastAsia="Arial" w:hAnsi="Arial"/>
                <w:sz w:val="14"/>
                <w:szCs w:val="14"/>
                <w:color w:val="auto"/>
              </w:rPr>
              <w:t>Computer hardware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13"/>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Furniture and fixtures</w:t>
            </w:r>
          </w:p>
        </w:tc>
        <w:tc>
          <w:tcPr>
            <w:tcW w:w="26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DDDDDD"/>
          </w:tcPr>
          <w:p>
            <w:pPr>
              <w:spacing w:after="0"/>
              <w:rPr>
                <w:sz w:val="18"/>
                <w:szCs w:val="18"/>
                <w:color w:val="auto"/>
              </w:rPr>
            </w:pPr>
          </w:p>
        </w:tc>
        <w:tc>
          <w:tcPr>
            <w:tcW w:w="260" w:type="dxa"/>
            <w:vAlign w:val="bottom"/>
            <w:shd w:val="clear" w:color="auto" w:fill="DDDDDD"/>
          </w:tcPr>
          <w:p>
            <w:pPr>
              <w:spacing w:after="0"/>
              <w:rPr>
                <w:sz w:val="18"/>
                <w:szCs w:val="18"/>
                <w:color w:val="auto"/>
              </w:rPr>
            </w:pPr>
          </w:p>
        </w:tc>
        <w:tc>
          <w:tcPr>
            <w:tcW w:w="1240" w:type="dxa"/>
            <w:vAlign w:val="bottom"/>
            <w:shd w:val="clear" w:color="auto" w:fill="DDDDDD"/>
          </w:tcPr>
          <w:p>
            <w:pPr>
              <w:jc w:val="right"/>
              <w:ind w:right="11"/>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0"/>
        </w:trPr>
        <w:tc>
          <w:tcPr>
            <w:tcW w:w="762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Financing lease ROU assets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1"/>
        </w:trPr>
        <w:tc>
          <w:tcPr>
            <w:tcW w:w="762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113.8</w:t>
            </w:r>
          </w:p>
        </w:tc>
        <w:tc>
          <w:tcPr>
            <w:tcW w:w="80" w:type="dxa"/>
            <w:vAlign w:val="bottom"/>
            <w:shd w:val="clear" w:color="auto" w:fill="DDDDDD"/>
          </w:tcPr>
          <w:p>
            <w:pPr>
              <w:spacing w:after="0"/>
              <w:rPr>
                <w:sz w:val="14"/>
                <w:szCs w:val="14"/>
                <w:color w:val="auto"/>
              </w:rPr>
            </w:pPr>
          </w:p>
        </w:tc>
        <w:tc>
          <w:tcPr>
            <w:tcW w:w="260" w:type="dxa"/>
            <w:vAlign w:val="bottom"/>
            <w:shd w:val="clear" w:color="auto" w:fill="DDDDDD"/>
          </w:tcPr>
          <w:p>
            <w:pPr>
              <w:spacing w:after="0"/>
              <w:rPr>
                <w:sz w:val="14"/>
                <w:szCs w:val="14"/>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211"/>
        </w:trPr>
        <w:tc>
          <w:tcPr>
            <w:tcW w:w="762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c>
          <w:tcPr>
            <w:tcW w:w="8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197"/>
        </w:trPr>
        <w:tc>
          <w:tcPr>
            <w:tcW w:w="7620" w:type="dxa"/>
            <w:vAlign w:val="bottom"/>
            <w:tcBorders>
              <w:bottom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Fixed assets, net</w:t>
            </w:r>
          </w:p>
        </w:tc>
        <w:tc>
          <w:tcPr>
            <w:tcW w:w="260" w:type="dxa"/>
            <w:vAlign w:val="bottom"/>
            <w:tcBorders>
              <w:bottom w:val="single" w:sz="8" w:color="auto"/>
            </w:tcBorders>
            <w:shd w:val="clear" w:color="auto" w:fill="DDDDDD"/>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44.7</w:t>
            </w: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auto"/>
            </w:tcBorders>
            <w:shd w:val="clear" w:color="auto" w:fill="DDDDDD"/>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DDDDD"/>
          </w:tcPr>
          <w:p>
            <w:pPr>
              <w:jc w:val="right"/>
              <w:ind w:right="11"/>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
        </w:trPr>
        <w:tc>
          <w:tcPr>
            <w:tcW w:w="762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4"/>
                <w:szCs w:val="14"/>
                <w:color w:val="auto"/>
              </w:rPr>
              <w:t>Software assets</w:t>
            </w: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2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620" w:type="dxa"/>
            <w:vAlign w:val="bottom"/>
            <w:vMerge w:val="continue"/>
          </w:tcPr>
          <w:p>
            <w:pPr>
              <w:spacing w:after="0"/>
              <w:rPr>
                <w:sz w:val="24"/>
                <w:szCs w:val="24"/>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24"/>
                <w:szCs w:val="24"/>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14"/>
        </w:trPr>
        <w:tc>
          <w:tcPr>
            <w:tcW w:w="7620" w:type="dxa"/>
            <w:vAlign w:val="bottom"/>
            <w:shd w:val="clear" w:color="auto" w:fill="DDDDDD"/>
          </w:tcPr>
          <w:p>
            <w:pPr>
              <w:ind w:left="20"/>
              <w:spacing w:after="0"/>
              <w:rPr>
                <w:sz w:val="20"/>
                <w:szCs w:val="20"/>
                <w:color w:val="auto"/>
              </w:rPr>
            </w:pPr>
            <w:r>
              <w:rPr>
                <w:rFonts w:ascii="Arial" w:cs="Arial" w:eastAsia="Arial" w:hAnsi="Arial"/>
                <w:sz w:val="14"/>
                <w:szCs w:val="14"/>
                <w:color w:val="auto"/>
              </w:rPr>
              <w:t>Less accumulated amortization</w:t>
            </w:r>
          </w:p>
        </w:tc>
        <w:tc>
          <w:tcPr>
            <w:tcW w:w="26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DDDDDD"/>
          </w:tcPr>
          <w:p>
            <w:pPr>
              <w:spacing w:after="0"/>
              <w:rPr>
                <w:sz w:val="18"/>
                <w:szCs w:val="18"/>
                <w:color w:val="auto"/>
              </w:rPr>
            </w:pPr>
          </w:p>
        </w:tc>
        <w:tc>
          <w:tcPr>
            <w:tcW w:w="260" w:type="dxa"/>
            <w:vAlign w:val="bottom"/>
            <w:tcBorders>
              <w:bottom w:val="single" w:sz="8" w:color="auto"/>
            </w:tcBorders>
            <w:shd w:val="clear" w:color="auto" w:fill="DDDDDD"/>
          </w:tcPr>
          <w:p>
            <w:pPr>
              <w:spacing w:after="0"/>
              <w:rPr>
                <w:sz w:val="18"/>
                <w:szCs w:val="18"/>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71"/>
        </w:trPr>
        <w:tc>
          <w:tcPr>
            <w:tcW w:w="7620" w:type="dxa"/>
            <w:vAlign w:val="bottom"/>
          </w:tcPr>
          <w:p>
            <w:pPr>
              <w:ind w:left="260"/>
              <w:spacing w:after="0"/>
              <w:rPr>
                <w:sz w:val="20"/>
                <w:szCs w:val="20"/>
                <w:color w:val="auto"/>
              </w:rPr>
            </w:pPr>
            <w:r>
              <w:rPr>
                <w:rFonts w:ascii="Arial" w:cs="Arial" w:eastAsia="Arial" w:hAnsi="Arial"/>
                <w:sz w:val="14"/>
                <w:szCs w:val="14"/>
                <w:color w:val="auto"/>
              </w:rPr>
              <w:t>Intangible assets, net</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85" w:right="40"/>
        <w:spacing w:after="0" w:line="272" w:lineRule="auto"/>
        <w:rPr>
          <w:sz w:val="20"/>
          <w:szCs w:val="20"/>
          <w:color w:val="auto"/>
        </w:rPr>
      </w:pPr>
      <w:r>
        <w:rPr>
          <w:rFonts w:ascii="Arial" w:cs="Arial" w:eastAsia="Arial" w:hAnsi="Arial"/>
          <w:sz w:val="14"/>
          <w:szCs w:val="14"/>
          <w:color w:val="auto"/>
        </w:rPr>
        <w:t>Depreciation related to fixed assets was $12.7 million, $14.8 million, and $18.4 million for the years ended January 31, 2023, 2022, and 2021, respectively. Amortization of intangible assets was $3.7 million, $4.7 million, and $5.7 million for the years ended January 31, 2023, 2022, and 2021, respectively. See Note 5 — Leases – Lessee Accounting for further details related to the finance lease ROU assets included in fixed assets on the consolidated balance sheets.</w:t>
      </w:r>
    </w:p>
    <w:p>
      <w:pPr>
        <w:spacing w:after="0" w:line="153" w:lineRule="exact"/>
        <w:rPr>
          <w:sz w:val="20"/>
          <w:szCs w:val="20"/>
          <w:color w:val="auto"/>
        </w:rPr>
      </w:pPr>
    </w:p>
    <w:tbl>
      <w:tblPr>
        <w:tblLayout w:type="fixed"/>
        <w:tblInd w:w="385" w:type="dxa"/>
        <w:tblCellMar>
          <w:top w:w="0" w:type="dxa"/>
          <w:left w:w="0" w:type="dxa"/>
          <w:bottom w:w="0" w:type="dxa"/>
          <w:right w:w="0" w:type="dxa"/>
        </w:tblCellMar>
      </w:tblPr>
      <w:tr>
        <w:trPr>
          <w:trHeight w:val="186"/>
        </w:trPr>
        <w:tc>
          <w:tcPr>
            <w:tcW w:w="9120" w:type="dxa"/>
            <w:vAlign w:val="bottom"/>
          </w:tcPr>
          <w:p>
            <w:pPr>
              <w:jc w:val="right"/>
              <w:ind w:right="1129"/>
              <w:spacing w:after="0"/>
              <w:rPr>
                <w:sz w:val="20"/>
                <w:szCs w:val="20"/>
                <w:color w:val="auto"/>
              </w:rPr>
            </w:pPr>
            <w:r>
              <w:rPr>
                <w:rFonts w:ascii="Arial" w:cs="Arial" w:eastAsia="Arial" w:hAnsi="Arial"/>
                <w:sz w:val="14"/>
                <w:szCs w:val="14"/>
                <w:color w:val="auto"/>
              </w:rPr>
              <w:t>As of January 31, 2023, expected amortization of intangible assets (excluding software projects not yet deployed) is as follows:</w:t>
            </w: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6"/>
        </w:trPr>
        <w:tc>
          <w:tcPr>
            <w:tcW w:w="9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80"/>
        </w:trPr>
        <w:tc>
          <w:tcPr>
            <w:tcW w:w="9120" w:type="dxa"/>
            <w:vAlign w:val="bottom"/>
            <w:shd w:val="clear" w:color="auto" w:fill="DDDDDD"/>
          </w:tcPr>
          <w:p>
            <w:pPr>
              <w:jc w:val="right"/>
              <w:ind w:right="8309"/>
              <w:spacing w:after="0"/>
              <w:rPr>
                <w:sz w:val="20"/>
                <w:szCs w:val="20"/>
                <w:color w:val="auto"/>
              </w:rPr>
            </w:pPr>
            <w:r>
              <w:rPr>
                <w:rFonts w:ascii="Arial" w:cs="Arial" w:eastAsia="Arial" w:hAnsi="Arial"/>
                <w:sz w:val="14"/>
                <w:szCs w:val="14"/>
                <w:color w:val="auto"/>
              </w:rPr>
              <w:t>Fiscal year:</w:t>
            </w:r>
          </w:p>
        </w:tc>
        <w:tc>
          <w:tcPr>
            <w:tcW w:w="660" w:type="dxa"/>
            <w:vAlign w:val="bottom"/>
            <w:shd w:val="clear" w:color="auto" w:fill="DDDDDD"/>
          </w:tcPr>
          <w:p>
            <w:pPr>
              <w:spacing w:after="0"/>
              <w:rPr>
                <w:sz w:val="15"/>
                <w:szCs w:val="15"/>
                <w:color w:val="auto"/>
              </w:rPr>
            </w:pPr>
          </w:p>
        </w:tc>
        <w:tc>
          <w:tcPr>
            <w:tcW w:w="840" w:type="dxa"/>
            <w:vAlign w:val="bottom"/>
            <w:shd w:val="clear" w:color="auto" w:fill="DDDDDD"/>
          </w:tcPr>
          <w:p>
            <w:pPr>
              <w:spacing w:after="0"/>
              <w:rPr>
                <w:sz w:val="15"/>
                <w:szCs w:val="15"/>
                <w:color w:val="auto"/>
              </w:rPr>
            </w:pPr>
          </w:p>
        </w:tc>
      </w:tr>
      <w:tr>
        <w:trPr>
          <w:trHeight w:val="180"/>
        </w:trPr>
        <w:tc>
          <w:tcPr>
            <w:tcW w:w="9120" w:type="dxa"/>
            <w:vAlign w:val="bottom"/>
          </w:tcPr>
          <w:p>
            <w:pPr>
              <w:jc w:val="right"/>
              <w:ind w:right="8549"/>
              <w:spacing w:after="0"/>
              <w:rPr>
                <w:sz w:val="20"/>
                <w:szCs w:val="20"/>
                <w:color w:val="auto"/>
              </w:rPr>
            </w:pPr>
            <w:r>
              <w:rPr>
                <w:rFonts w:ascii="Arial" w:cs="Arial" w:eastAsia="Arial" w:hAnsi="Arial"/>
                <w:sz w:val="14"/>
                <w:szCs w:val="14"/>
                <w:color w:val="auto"/>
              </w:rPr>
              <w:t>2023</w:t>
            </w:r>
          </w:p>
        </w:tc>
        <w:tc>
          <w:tcPr>
            <w:tcW w:w="66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2"/>
        </w:trPr>
        <w:tc>
          <w:tcPr>
            <w:tcW w:w="9120" w:type="dxa"/>
            <w:vAlign w:val="bottom"/>
            <w:shd w:val="clear" w:color="auto" w:fill="DDDDDD"/>
          </w:tcPr>
          <w:p>
            <w:pPr>
              <w:jc w:val="right"/>
              <w:ind w:right="8549"/>
              <w:spacing w:after="0"/>
              <w:rPr>
                <w:sz w:val="20"/>
                <w:szCs w:val="20"/>
                <w:color w:val="auto"/>
              </w:rPr>
            </w:pPr>
            <w:r>
              <w:rPr>
                <w:rFonts w:ascii="Arial" w:cs="Arial" w:eastAsia="Arial" w:hAnsi="Arial"/>
                <w:sz w:val="14"/>
                <w:szCs w:val="14"/>
                <w:color w:val="auto"/>
              </w:rPr>
              <w:t>2024</w:t>
            </w:r>
          </w:p>
        </w:tc>
        <w:tc>
          <w:tcPr>
            <w:tcW w:w="66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0.6</w:t>
            </w:r>
          </w:p>
        </w:tc>
      </w:tr>
      <w:tr>
        <w:trPr>
          <w:trHeight w:val="211"/>
        </w:trPr>
        <w:tc>
          <w:tcPr>
            <w:tcW w:w="9120" w:type="dxa"/>
            <w:vAlign w:val="bottom"/>
          </w:tcPr>
          <w:p>
            <w:pPr>
              <w:jc w:val="right"/>
              <w:ind w:right="8549"/>
              <w:spacing w:after="0"/>
              <w:rPr>
                <w:sz w:val="20"/>
                <w:szCs w:val="20"/>
                <w:color w:val="auto"/>
              </w:rPr>
            </w:pPr>
            <w:r>
              <w:rPr>
                <w:rFonts w:ascii="Arial" w:cs="Arial" w:eastAsia="Arial" w:hAnsi="Arial"/>
                <w:sz w:val="14"/>
                <w:szCs w:val="14"/>
                <w:color w:val="auto"/>
              </w:rPr>
              <w:t>2025</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9120" w:type="dxa"/>
            <w:vAlign w:val="bottom"/>
            <w:shd w:val="clear" w:color="auto" w:fill="DDDDDD"/>
          </w:tcPr>
          <w:p>
            <w:pPr>
              <w:jc w:val="right"/>
              <w:ind w:right="8249"/>
              <w:spacing w:after="0"/>
              <w:rPr>
                <w:sz w:val="20"/>
                <w:szCs w:val="20"/>
                <w:color w:val="auto"/>
              </w:rPr>
            </w:pPr>
            <w:r>
              <w:rPr>
                <w:rFonts w:ascii="Arial" w:cs="Arial" w:eastAsia="Arial" w:hAnsi="Arial"/>
                <w:sz w:val="14"/>
                <w:szCs w:val="14"/>
                <w:color w:val="auto"/>
              </w:rPr>
              <w:t>Thereafter</w:t>
            </w:r>
          </w:p>
        </w:tc>
        <w:tc>
          <w:tcPr>
            <w:tcW w:w="660" w:type="dxa"/>
            <w:vAlign w:val="bottom"/>
            <w:tcBorders>
              <w:bottom w:val="single" w:sz="8" w:color="auto"/>
            </w:tcBorders>
            <w:shd w:val="clear" w:color="auto" w:fill="DDDDDD"/>
          </w:tcPr>
          <w:p>
            <w:pPr>
              <w:spacing w:after="0"/>
              <w:rPr>
                <w:sz w:val="15"/>
                <w:szCs w:val="15"/>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9120" w:type="dxa"/>
            <w:vAlign w:val="bottom"/>
          </w:tcPr>
          <w:p>
            <w:pPr>
              <w:jc w:val="right"/>
              <w:ind w:right="7269"/>
              <w:spacing w:after="0"/>
              <w:rPr>
                <w:sz w:val="20"/>
                <w:szCs w:val="20"/>
                <w:color w:val="auto"/>
              </w:rPr>
            </w:pPr>
            <w:r>
              <w:rPr>
                <w:rFonts w:ascii="Arial" w:cs="Arial" w:eastAsia="Arial" w:hAnsi="Arial"/>
                <w:sz w:val="14"/>
                <w:szCs w:val="14"/>
                <w:color w:val="auto"/>
              </w:rPr>
              <w:t>Total future amortization</w:t>
            </w:r>
          </w:p>
        </w:tc>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9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65"/>
          </w:cols>
          <w:pgMar w:left="295" w:top="322" w:right="5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24"/>
        <w:spacing w:after="0"/>
        <w:rPr>
          <w:sz w:val="20"/>
          <w:szCs w:val="20"/>
          <w:color w:val="auto"/>
        </w:rPr>
      </w:pPr>
      <w:r>
        <w:rPr>
          <w:rFonts w:ascii="Arial" w:cs="Arial" w:eastAsia="Arial" w:hAnsi="Arial"/>
          <w:sz w:val="19"/>
          <w:szCs w:val="19"/>
          <w:color w:val="auto"/>
        </w:rPr>
        <w:t>106</w:t>
      </w:r>
    </w:p>
    <w:p>
      <w:pPr>
        <w:sectPr>
          <w:pgSz w:w="11880" w:h="15480" w:orient="portrait"/>
          <w:cols w:equalWidth="0" w:num="1">
            <w:col w:w="11065"/>
          </w:cols>
          <w:pgMar w:left="295" w:top="322" w:right="519" w:bottom="0" w:gutter="0" w:footer="0" w:header="0"/>
          <w:type w:val="continuous"/>
        </w:sectPr>
      </w:pPr>
    </w:p>
    <w:bookmarkStart w:id="114" w:name="page115"/>
    <w:bookmarkEnd w:id="114"/>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5" w:right="9800" w:hanging="385"/>
        <w:spacing w:after="0" w:line="379" w:lineRule="auto"/>
        <w:tabs>
          <w:tab w:leader="none" w:pos="376" w:val="left"/>
        </w:tabs>
        <w:numPr>
          <w:ilvl w:val="0"/>
          <w:numId w:val="61"/>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line of credit and long-term debt outstanding as of January 31, 2023 and 2022:</w:t>
      </w:r>
    </w:p>
    <w:p>
      <w:pPr>
        <w:spacing w:after="0" w:line="219" w:lineRule="exact"/>
        <w:rPr>
          <w:sz w:val="20"/>
          <w:szCs w:val="20"/>
          <w:color w:val="auto"/>
        </w:rPr>
      </w:pPr>
    </w:p>
    <w:tbl>
      <w:tblPr>
        <w:tblLayout w:type="fixed"/>
        <w:tblInd w:w="385" w:type="dxa"/>
        <w:tblCellMar>
          <w:top w:w="0" w:type="dxa"/>
          <w:left w:w="0" w:type="dxa"/>
          <w:bottom w:w="0" w:type="dxa"/>
          <w:right w:w="0" w:type="dxa"/>
        </w:tblCellMar>
      </w:tblPr>
      <w:tr>
        <w:trPr>
          <w:trHeight w:val="156"/>
        </w:trPr>
        <w:tc>
          <w:tcPr>
            <w:tcW w:w="7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Arial" w:cs="Arial" w:eastAsia="Arial" w:hAnsi="Arial"/>
                <w:sz w:val="11"/>
                <w:szCs w:val="11"/>
                <w:b w:val="1"/>
                <w:bCs w:val="1"/>
                <w:color w:val="auto"/>
              </w:rPr>
              <w:t>January 31,</w:t>
            </w:r>
          </w:p>
        </w:tc>
        <w:tc>
          <w:tcPr>
            <w:tcW w:w="24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48"/>
        </w:trPr>
        <w:tc>
          <w:tcPr>
            <w:tcW w:w="7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2022</w:t>
            </w:r>
          </w:p>
        </w:tc>
      </w:tr>
      <w:tr>
        <w:trPr>
          <w:trHeight w:val="195"/>
        </w:trPr>
        <w:tc>
          <w:tcPr>
            <w:tcW w:w="7360" w:type="dxa"/>
            <w:vAlign w:val="bottom"/>
          </w:tcPr>
          <w:p>
            <w:pPr>
              <w:ind w:left="20"/>
              <w:spacing w:after="0"/>
              <w:rPr>
                <w:sz w:val="20"/>
                <w:szCs w:val="20"/>
                <w:color w:val="auto"/>
              </w:rPr>
            </w:pPr>
            <w:r>
              <w:rPr>
                <w:rFonts w:ascii="Arial" w:cs="Arial" w:eastAsia="Arial" w:hAnsi="Arial"/>
                <w:sz w:val="14"/>
                <w:szCs w:val="14"/>
                <w:color w:val="auto"/>
              </w:rPr>
              <w:t>Temasek Facility principal outstanding</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271.6</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13"/>
        </w:trPr>
        <w:tc>
          <w:tcPr>
            <w:tcW w:w="7360" w:type="dxa"/>
            <w:vAlign w:val="bottom"/>
            <w:shd w:val="clear" w:color="auto" w:fill="DDDDDD"/>
          </w:tcPr>
          <w:p>
            <w:pPr>
              <w:ind w:left="260"/>
              <w:spacing w:after="0"/>
              <w:rPr>
                <w:sz w:val="20"/>
                <w:szCs w:val="20"/>
                <w:color w:val="auto"/>
              </w:rPr>
            </w:pPr>
            <w:r>
              <w:rPr>
                <w:rFonts w:ascii="Arial" w:cs="Arial" w:eastAsia="Arial" w:hAnsi="Arial"/>
                <w:sz w:val="14"/>
                <w:szCs w:val="14"/>
                <w:color w:val="auto"/>
              </w:rPr>
              <w:t>Add: payment-in-kind interest</w:t>
            </w:r>
          </w:p>
        </w:tc>
        <w:tc>
          <w:tcPr>
            <w:tcW w:w="24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w:t>
            </w:r>
          </w:p>
        </w:tc>
      </w:tr>
      <w:tr>
        <w:trPr>
          <w:trHeight w:val="211"/>
        </w:trPr>
        <w:tc>
          <w:tcPr>
            <w:tcW w:w="7360" w:type="dxa"/>
            <w:vAlign w:val="bottom"/>
            <w:tcBorders>
              <w:bottom w:val="single" w:sz="8" w:color="DDDDDD"/>
            </w:tcBorders>
          </w:tcPr>
          <w:p>
            <w:pPr>
              <w:ind w:left="260"/>
              <w:spacing w:after="0"/>
              <w:rPr>
                <w:sz w:val="20"/>
                <w:szCs w:val="20"/>
                <w:color w:val="auto"/>
              </w:rPr>
            </w:pPr>
            <w:r>
              <w:rPr>
                <w:rFonts w:ascii="Arial" w:cs="Arial" w:eastAsia="Arial" w:hAnsi="Arial"/>
                <w:sz w:val="14"/>
                <w:szCs w:val="14"/>
                <w:color w:val="auto"/>
              </w:rPr>
              <w:t>Less: unamortized debt discount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193"/>
        </w:trPr>
        <w:tc>
          <w:tcPr>
            <w:tcW w:w="7360" w:type="dxa"/>
            <w:vAlign w:val="bottom"/>
            <w:shd w:val="clear" w:color="auto" w:fill="DDDDDD"/>
          </w:tcPr>
          <w:p>
            <w:pPr>
              <w:ind w:left="20"/>
              <w:spacing w:after="0"/>
              <w:rPr>
                <w:sz w:val="20"/>
                <w:szCs w:val="20"/>
                <w:color w:val="auto"/>
              </w:rPr>
            </w:pPr>
            <w:r>
              <w:rPr>
                <w:rFonts w:ascii="Arial" w:cs="Arial" w:eastAsia="Arial" w:hAnsi="Arial"/>
                <w:sz w:val="14"/>
                <w:szCs w:val="14"/>
                <w:color w:val="auto"/>
              </w:rPr>
              <w:t>Temasek Facility, net</w:t>
            </w:r>
          </w:p>
        </w:tc>
        <w:tc>
          <w:tcPr>
            <w:tcW w:w="240" w:type="dxa"/>
            <w:vAlign w:val="bottom"/>
            <w:shd w:val="clear" w:color="auto" w:fill="DDDDDD"/>
          </w:tcPr>
          <w:p>
            <w:pPr>
              <w:spacing w:after="0"/>
              <w:rPr>
                <w:sz w:val="16"/>
                <w:szCs w:val="16"/>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272.5</w:t>
            </w:r>
          </w:p>
        </w:tc>
        <w:tc>
          <w:tcPr>
            <w:tcW w:w="8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1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260.8</w:t>
            </w:r>
          </w:p>
        </w:tc>
      </w:tr>
      <w:tr>
        <w:trPr>
          <w:trHeight w:val="211"/>
        </w:trPr>
        <w:tc>
          <w:tcPr>
            <w:tcW w:w="7360" w:type="dxa"/>
            <w:vAlign w:val="bottom"/>
          </w:tcPr>
          <w:p>
            <w:pPr>
              <w:ind w:left="26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360" w:type="dxa"/>
            <w:vAlign w:val="bottom"/>
            <w:tcBorders>
              <w:top w:val="single" w:sz="8" w:color="DDDDDD"/>
              <w:bottom w:val="single" w:sz="8" w:color="DDDDDD"/>
            </w:tcBorders>
            <w:shd w:val="clear" w:color="auto" w:fill="DDDDDD"/>
          </w:tcPr>
          <w:p>
            <w:pPr>
              <w:ind w:left="520"/>
              <w:spacing w:after="0"/>
              <w:rPr>
                <w:sz w:val="20"/>
                <w:szCs w:val="20"/>
                <w:color w:val="auto"/>
              </w:rPr>
            </w:pPr>
            <w:r>
              <w:rPr>
                <w:rFonts w:ascii="Arial" w:cs="Arial" w:eastAsia="Arial" w:hAnsi="Arial"/>
                <w:sz w:val="14"/>
                <w:szCs w:val="14"/>
                <w:color w:val="auto"/>
              </w:rPr>
              <w:t>Total noncurrent line of credit and long-term debt</w:t>
            </w:r>
          </w:p>
        </w:tc>
        <w:tc>
          <w:tcPr>
            <w:tcW w:w="240" w:type="dxa"/>
            <w:vAlign w:val="bottom"/>
            <w:tcBorders>
              <w:top w:val="single" w:sz="8" w:color="auto"/>
              <w:bottom w:val="single" w:sz="8" w:color="auto"/>
            </w:tcBorders>
            <w:shd w:val="clear" w:color="auto" w:fill="DDDDDD"/>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272.5</w:t>
            </w:r>
          </w:p>
        </w:tc>
        <w:tc>
          <w:tcPr>
            <w:tcW w:w="80" w:type="dxa"/>
            <w:vAlign w:val="bottom"/>
            <w:tcBorders>
              <w:top w:val="single" w:sz="8" w:color="DDDDDD"/>
              <w:bottom w:val="single" w:sz="8" w:color="DDDDDD"/>
            </w:tcBorders>
            <w:shd w:val="clear" w:color="auto" w:fill="DDDDDD"/>
          </w:tcPr>
          <w:p>
            <w:pPr>
              <w:spacing w:after="0"/>
              <w:rPr>
                <w:sz w:val="16"/>
                <w:szCs w:val="16"/>
                <w:color w:val="auto"/>
              </w:rPr>
            </w:pPr>
          </w:p>
        </w:tc>
        <w:tc>
          <w:tcPr>
            <w:tcW w:w="240" w:type="dxa"/>
            <w:vAlign w:val="bottom"/>
            <w:tcBorders>
              <w:top w:val="single" w:sz="8" w:color="auto"/>
              <w:bottom w:val="single" w:sz="8" w:color="auto"/>
            </w:tcBorders>
            <w:shd w:val="clear" w:color="auto" w:fill="DDDDDD"/>
          </w:tcPr>
          <w:p>
            <w:pPr>
              <w:jc w:val="right"/>
              <w:ind w:right="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260.8</w:t>
            </w:r>
          </w:p>
        </w:tc>
      </w:tr>
      <w:tr>
        <w:trPr>
          <w:trHeight w:val="20"/>
        </w:trPr>
        <w:tc>
          <w:tcPr>
            <w:tcW w:w="736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2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DDDDDD"/>
              <w:bottom w:val="single" w:sz="8" w:color="auto"/>
            </w:tcBorders>
          </w:tcPr>
          <w:p>
            <w:pPr>
              <w:spacing w:after="0" w:line="20" w:lineRule="exact"/>
              <w:rPr>
                <w:sz w:val="1"/>
                <w:szCs w:val="1"/>
                <w:color w:val="auto"/>
              </w:rPr>
            </w:pPr>
          </w:p>
        </w:tc>
        <w:tc>
          <w:tcPr>
            <w:tcW w:w="1180" w:type="dxa"/>
            <w:vAlign w:val="bottom"/>
            <w:tcBorders>
              <w:top w:val="single" w:sz="8" w:color="DDDDDD"/>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85"/>
        <w:spacing w:after="0"/>
        <w:rPr>
          <w:sz w:val="20"/>
          <w:szCs w:val="20"/>
          <w:color w:val="auto"/>
        </w:rPr>
      </w:pPr>
      <w:r>
        <w:rPr>
          <w:rFonts w:ascii="Arial" w:cs="Arial" w:eastAsia="Arial" w:hAnsi="Arial"/>
          <w:sz w:val="14"/>
          <w:szCs w:val="14"/>
          <w:b w:val="1"/>
          <w:bCs w:val="1"/>
          <w:color w:val="auto"/>
        </w:rPr>
        <w:t>Bank of America Line of Credit</w:t>
      </w:r>
    </w:p>
    <w:p>
      <w:pPr>
        <w:spacing w:after="0" w:line="94" w:lineRule="exact"/>
        <w:rPr>
          <w:sz w:val="20"/>
          <w:szCs w:val="20"/>
          <w:color w:val="auto"/>
        </w:rPr>
      </w:pPr>
    </w:p>
    <w:p>
      <w:pPr>
        <w:ind w:left="385" w:right="300"/>
        <w:spacing w:after="0" w:line="290" w:lineRule="auto"/>
        <w:rPr>
          <w:sz w:val="20"/>
          <w:szCs w:val="20"/>
          <w:color w:val="auto"/>
        </w:rPr>
      </w:pPr>
      <w:r>
        <w:rPr>
          <w:rFonts w:ascii="Arial" w:cs="Arial" w:eastAsia="Arial" w:hAnsi="Arial"/>
          <w:sz w:val="14"/>
          <w:szCs w:val="14"/>
          <w:color w:val="auto"/>
        </w:rPr>
        <w:t>In April 2019, the Company entered into a Credit Agreement with Bank of America and an asset-backed revolving credit facility (the “Line of Credit”) was put in place with Bank of America as agent and a lender, and Barclays Bank PLC and Goldman Sachs Bank USA as additional lenders.</w:t>
      </w:r>
    </w:p>
    <w:p>
      <w:pPr>
        <w:spacing w:after="0" w:line="141" w:lineRule="exact"/>
        <w:rPr>
          <w:sz w:val="20"/>
          <w:szCs w:val="20"/>
          <w:color w:val="auto"/>
        </w:rPr>
      </w:pPr>
    </w:p>
    <w:p>
      <w:pPr>
        <w:ind w:left="385"/>
        <w:spacing w:after="0" w:line="271" w:lineRule="auto"/>
        <w:rPr>
          <w:sz w:val="20"/>
          <w:szCs w:val="20"/>
          <w:color w:val="auto"/>
        </w:rPr>
      </w:pPr>
      <w:r>
        <w:rPr>
          <w:rFonts w:ascii="Arial" w:cs="Arial" w:eastAsia="Arial" w:hAnsi="Arial"/>
          <w:sz w:val="14"/>
          <w:szCs w:val="14"/>
          <w:color w:val="auto"/>
        </w:rPr>
        <w:t>In October 2020, the Company entered into a new secured term loan senior credit agreement with Ares Corporate Opportunities Fund V, L.P. (the “Ares Facility” described below) and repaid all outstanding principal on the Line of Credit, and terminated the credit commitments. During the year ended January 31, 2021, the Company recognized a $0.6 million loss on debt extinguishment related to this transaction. There were no outstanding balances as of January 31, 2023 and 2022.</w:t>
      </w:r>
    </w:p>
    <w:p>
      <w:pPr>
        <w:spacing w:after="0" w:line="219" w:lineRule="exact"/>
        <w:rPr>
          <w:sz w:val="20"/>
          <w:szCs w:val="20"/>
          <w:color w:val="auto"/>
        </w:rPr>
      </w:pPr>
    </w:p>
    <w:p>
      <w:pPr>
        <w:ind w:left="385"/>
        <w:spacing w:after="0"/>
        <w:rPr>
          <w:sz w:val="20"/>
          <w:szCs w:val="20"/>
          <w:color w:val="auto"/>
        </w:rPr>
      </w:pPr>
      <w:r>
        <w:rPr>
          <w:rFonts w:ascii="Arial" w:cs="Arial" w:eastAsia="Arial" w:hAnsi="Arial"/>
          <w:sz w:val="14"/>
          <w:szCs w:val="14"/>
          <w:b w:val="1"/>
          <w:bCs w:val="1"/>
          <w:color w:val="auto"/>
        </w:rPr>
        <w:t>Temasek Facility</w:t>
      </w:r>
    </w:p>
    <w:p>
      <w:pPr>
        <w:spacing w:after="0" w:line="94" w:lineRule="exact"/>
        <w:rPr>
          <w:sz w:val="20"/>
          <w:szCs w:val="20"/>
          <w:color w:val="auto"/>
        </w:rPr>
      </w:pPr>
    </w:p>
    <w:p>
      <w:pPr>
        <w:ind w:left="385" w:right="200"/>
        <w:spacing w:after="0" w:line="271" w:lineRule="auto"/>
        <w:rPr>
          <w:sz w:val="20"/>
          <w:szCs w:val="20"/>
          <w:color w:val="auto"/>
        </w:rPr>
      </w:pPr>
      <w:r>
        <w:rPr>
          <w:rFonts w:ascii="Arial" w:cs="Arial" w:eastAsia="Arial" w:hAnsi="Arial"/>
          <w:sz w:val="14"/>
          <w:szCs w:val="14"/>
          <w:color w:val="auto"/>
        </w:rPr>
        <w:t>In July 2018, the Company entered into a subordinated, junior lien term loan agreement with Double Helix Pte Ltd. as administrative agent for Temasek Holdings (the “Temasek Facility”). The Company drew $100.0 million under the Temasek Facility at closing with the ability to draw an additional $100.0 million in multiple drawings at any time prior to July 23, 2020 (the “Initial Temasek Commitments”) based on meeting certain performance and financial tests at each draw.</w:t>
      </w:r>
    </w:p>
    <w:p>
      <w:pPr>
        <w:spacing w:after="0" w:line="134" w:lineRule="exact"/>
        <w:rPr>
          <w:sz w:val="20"/>
          <w:szCs w:val="20"/>
          <w:color w:val="auto"/>
        </w:rPr>
      </w:pPr>
    </w:p>
    <w:p>
      <w:pPr>
        <w:ind w:left="385" w:right="380"/>
        <w:spacing w:after="0" w:line="271" w:lineRule="auto"/>
        <w:rPr>
          <w:sz w:val="20"/>
          <w:szCs w:val="20"/>
          <w:color w:val="auto"/>
        </w:rPr>
      </w:pPr>
      <w:r>
        <w:rPr>
          <w:rFonts w:ascii="Arial" w:cs="Arial" w:eastAsia="Arial" w:hAnsi="Arial"/>
          <w:sz w:val="14"/>
          <w:szCs w:val="14"/>
          <w:color w:val="auto"/>
        </w:rPr>
        <w:t>In November 2019, the Company drew an additional $50.0 million of the Initial Temasek Commitments and amended the Temasek Facility to include an additional $30.0 million of committed availability (the “Subsequent Temasek Commitments”). In March 2020, the Company drew the remaining $50.0 million of the Initial Temasek Commitments and the $30.0 million of the Subsequent Temasek Commitments.</w:t>
      </w:r>
    </w:p>
    <w:p>
      <w:pPr>
        <w:spacing w:after="0" w:line="155" w:lineRule="exact"/>
        <w:rPr>
          <w:sz w:val="20"/>
          <w:szCs w:val="20"/>
          <w:color w:val="auto"/>
        </w:rPr>
      </w:pPr>
    </w:p>
    <w:p>
      <w:pPr>
        <w:ind w:left="385" w:right="60"/>
        <w:spacing w:after="0" w:line="271" w:lineRule="auto"/>
        <w:rPr>
          <w:sz w:val="20"/>
          <w:szCs w:val="20"/>
          <w:color w:val="auto"/>
        </w:rPr>
      </w:pPr>
      <w:r>
        <w:rPr>
          <w:rFonts w:ascii="Arial" w:cs="Arial" w:eastAsia="Arial" w:hAnsi="Arial"/>
          <w:sz w:val="14"/>
          <w:szCs w:val="14"/>
          <w:color w:val="auto"/>
        </w:rPr>
        <w:t>Prior to the termination of the Ares Facility (defined below), the Temasek Facility was both lien-subordinated and payment-subordinated to the Ares Facility (described below) pursuant to a Subordination Agreement entered into in October 2020 that functions as both a secured lender intercreditor agreement and a subordination agreement (for payment subordination); the Ares Facility was senior debt, and the Temasek facility was subordinated debt with respect to the Ares Facility.</w:t>
      </w:r>
    </w:p>
    <w:p>
      <w:pPr>
        <w:spacing w:after="0" w:line="134" w:lineRule="exact"/>
        <w:rPr>
          <w:sz w:val="20"/>
          <w:szCs w:val="20"/>
          <w:color w:val="auto"/>
        </w:rPr>
      </w:pPr>
    </w:p>
    <w:p>
      <w:pPr>
        <w:jc w:val="both"/>
        <w:ind w:left="385" w:right="20"/>
        <w:spacing w:after="0" w:line="271" w:lineRule="auto"/>
        <w:rPr>
          <w:sz w:val="20"/>
          <w:szCs w:val="20"/>
          <w:color w:val="auto"/>
        </w:rPr>
      </w:pPr>
      <w:r>
        <w:rPr>
          <w:rFonts w:ascii="Arial" w:cs="Arial" w:eastAsia="Arial" w:hAnsi="Arial"/>
          <w:sz w:val="14"/>
          <w:szCs w:val="14"/>
          <w:color w:val="auto"/>
        </w:rPr>
        <w:t>The Initial Temasek Commitments had an interest rate of 15% per annum that accrued as noncash interest. The Subsequent Temasek Commitments had a cash interest rate of 13% per annum, payable quarterly. The Temasek Facility required mandatory prepayment upon certain defined triggering events as well as optional prepayments, but such mandatory prepayments were not required to be made while the Ares Facility was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555625</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5"/>
          </w:cols>
          <w:pgMar w:left="295" w:top="32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107</w:t>
      </w:r>
    </w:p>
    <w:p>
      <w:pPr>
        <w:sectPr>
          <w:pgSz w:w="11880" w:h="15480" w:orient="portrait"/>
          <w:cols w:equalWidth="0" w:num="1">
            <w:col w:w="11245"/>
          </w:cols>
          <w:pgMar w:left="295" w:top="323" w:right="339"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In October 2021, the Company used proceeds from the IPO to pay down the Subsequent Temasek Commitments of $30.0 million outstanding principal and interest in full. Concurrently, the Company entered into an amendment to the Temasek Facility (the “2021 Temasek Facility Amendment”). The Temasek Facility as amended by the 2021 Temasek Facility Amendment is referred to as the “2021 Amended Temasek Facility”. This transaction was accounted for as a debt modification. The terms of the 2021 Temasek Facility Amendment provide for, among other things, (i) an extension of the maturity to October 2024, (ii) an outstanding principal under the 2021 Amended Temasek Facility of $271.6 million (with no additional debt proceeds having been funded and after giving effect to the repayment described below), and (iii) an amended interest rate of 12% with up to 5% payable in kind. On the effective date of the 2021 Temasek Facility Amendment, the Company paid down an additional $30.0 million of the outstanding principal of the 2021 Amended Temasek Facility, for a total of $60.0 million principal paydown on the Temasek Facility and 2021 Amended Temasek Facility.</w:t>
      </w:r>
    </w:p>
    <w:p>
      <w:pPr>
        <w:spacing w:after="0" w:line="142" w:lineRule="exact"/>
        <w:rPr>
          <w:sz w:val="20"/>
          <w:szCs w:val="20"/>
          <w:color w:val="auto"/>
        </w:rPr>
      </w:pPr>
    </w:p>
    <w:p>
      <w:pPr>
        <w:ind w:left="380" w:right="120"/>
        <w:spacing w:after="0" w:line="290" w:lineRule="auto"/>
        <w:rPr>
          <w:sz w:val="20"/>
          <w:szCs w:val="20"/>
          <w:color w:val="auto"/>
        </w:rPr>
      </w:pPr>
      <w:r>
        <w:rPr>
          <w:rFonts w:ascii="Arial" w:cs="Arial" w:eastAsia="Arial" w:hAnsi="Arial"/>
          <w:sz w:val="14"/>
          <w:szCs w:val="14"/>
          <w:color w:val="auto"/>
        </w:rPr>
        <w:t>The effective interest rate for the Temasek Facility for the period from the date of issuance through the date of the 2021 Temasek Facility Amendment was 15.95%. The debt discount associated with the Initial Temasek Commitments was fully accreted when the Company entered into the 2021 Temasek Facility Amendment.</w:t>
      </w:r>
    </w:p>
    <w:p>
      <w:pPr>
        <w:spacing w:after="0" w:line="131" w:lineRule="exact"/>
        <w:rPr>
          <w:sz w:val="20"/>
          <w:szCs w:val="20"/>
          <w:color w:val="auto"/>
        </w:rPr>
      </w:pPr>
    </w:p>
    <w:p>
      <w:pPr>
        <w:ind w:left="380"/>
        <w:spacing w:after="0" w:line="249" w:lineRule="auto"/>
        <w:rPr>
          <w:sz w:val="20"/>
          <w:szCs w:val="20"/>
          <w:color w:val="auto"/>
        </w:rPr>
      </w:pPr>
      <w:r>
        <w:rPr>
          <w:rFonts w:ascii="Arial" w:cs="Arial" w:eastAsia="Arial" w:hAnsi="Arial"/>
          <w:sz w:val="14"/>
          <w:szCs w:val="14"/>
          <w:color w:val="auto"/>
        </w:rPr>
        <w:t>In October 2021, in connection with the 2021 Amended Temasek Facility, the Company recorded a debt discount of $15.3 million, of which $0.2 million related to lender fees, $5.3 million related to the allocation of proceeds to warrants issued in relation to the 2021 Amended Temasek Facility, $1.0 million related to the extension of the term of warrants issued in relation to the Temasek Facility, and $8.8 million related to fees incurred to amend the 2021 Amended Temasek Facility. These amounts are being accreted to the principal amount of the 2021 Amended Temasek Facility through the recognition of noncash interest expense.</w:t>
      </w:r>
    </w:p>
    <w:p>
      <w:pPr>
        <w:spacing w:after="0" w:line="159" w:lineRule="exact"/>
        <w:rPr>
          <w:sz w:val="20"/>
          <w:szCs w:val="20"/>
          <w:color w:val="auto"/>
        </w:rPr>
      </w:pPr>
    </w:p>
    <w:p>
      <w:pPr>
        <w:ind w:left="380" w:right="200"/>
        <w:spacing w:after="0" w:line="247" w:lineRule="auto"/>
        <w:rPr>
          <w:sz w:val="20"/>
          <w:szCs w:val="20"/>
          <w:color w:val="auto"/>
        </w:rPr>
      </w:pPr>
      <w:r>
        <w:rPr>
          <w:rFonts w:ascii="Arial" w:cs="Arial" w:eastAsia="Arial" w:hAnsi="Arial"/>
          <w:sz w:val="14"/>
          <w:szCs w:val="14"/>
          <w:color w:val="auto"/>
        </w:rPr>
        <w:t>In January 2023, the Company entered into an amendment to the 2021 Amended Temasek Facility (“2022 Temasek Facility Amendment”). The 2021 Amended Temasek Facility as further amended by the 2022 Temasek Facility Amendment is referred to as the “2022 Amended Temasek Facility”. This transaction was accounted for as a debt</w:t>
      </w:r>
    </w:p>
    <w:p>
      <w:pPr>
        <w:spacing w:after="0" w:line="1" w:lineRule="exact"/>
        <w:rPr>
          <w:sz w:val="20"/>
          <w:szCs w:val="20"/>
          <w:color w:val="auto"/>
        </w:rPr>
      </w:pPr>
    </w:p>
    <w:p>
      <w:pPr>
        <w:ind w:left="380" w:right="140"/>
        <w:spacing w:after="0" w:line="229" w:lineRule="auto"/>
        <w:rPr>
          <w:sz w:val="20"/>
          <w:szCs w:val="20"/>
          <w:color w:val="auto"/>
        </w:rPr>
      </w:pPr>
      <w:r>
        <w:rPr>
          <w:rFonts w:ascii="Arial" w:cs="Arial" w:eastAsia="Arial" w:hAnsi="Arial"/>
          <w:sz w:val="14"/>
          <w:szCs w:val="14"/>
          <w:color w:val="auto"/>
        </w:rPr>
        <w:t>modification. The terms of the amendment provide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w:t>
      </w:r>
    </w:p>
    <w:p>
      <w:pPr>
        <w:ind w:left="380"/>
        <w:spacing w:after="0" w:line="242" w:lineRule="auto"/>
        <w:rPr>
          <w:sz w:val="20"/>
          <w:szCs w:val="20"/>
          <w:color w:val="auto"/>
        </w:rPr>
      </w:pPr>
      <w:r>
        <w:rPr>
          <w:rFonts w:ascii="Arial" w:cs="Arial" w:eastAsia="Arial" w:hAnsi="Arial"/>
          <w:sz w:val="14"/>
          <w:szCs w:val="14"/>
          <w:color w:val="auto"/>
        </w:rPr>
        <w:t>12% to 13% and annual rate increases of 1% thereafter for the duration of the 2022 Amended Temasek Facility. In connection with the 2022 Temasek Facility Amendment, the Company granted a warrant to purchase up to 2 million shares of the Company’s Class A common stock at an exercise price of $5.00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75" w:lineRule="exact"/>
        <w:rPr>
          <w:sz w:val="20"/>
          <w:szCs w:val="20"/>
          <w:color w:val="auto"/>
        </w:rPr>
      </w:pPr>
    </w:p>
    <w:p>
      <w:pPr>
        <w:ind w:left="380" w:right="34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42" w:lineRule="exact"/>
        <w:rPr>
          <w:sz w:val="20"/>
          <w:szCs w:val="20"/>
          <w:color w:val="auto"/>
        </w:rPr>
      </w:pPr>
    </w:p>
    <w:p>
      <w:pPr>
        <w:ind w:left="380" w:right="100"/>
        <w:spacing w:after="0" w:line="262" w:lineRule="auto"/>
        <w:rPr>
          <w:sz w:val="20"/>
          <w:szCs w:val="20"/>
          <w:color w:val="auto"/>
        </w:rPr>
      </w:pPr>
      <w:r>
        <w:rPr>
          <w:rFonts w:ascii="Arial" w:cs="Arial" w:eastAsia="Arial" w:hAnsi="Arial"/>
          <w:sz w:val="14"/>
          <w:szCs w:val="14"/>
          <w:color w:val="auto"/>
        </w:rPr>
        <w:t>The 2022 Amended Temasek Facility did not change the covenants under the 2021 Amended Temasek Facility, which require the Company to comply with specified nonfinancial covenants including, but not limited to, restrictions on the incurrence of debt, payment of dividends, making of investments, sale of assets, mergers and acquisitions, modifications of certain agreements and its fiscal year, and granting of liens. Additionally, the 2022 Amended Temasek Facility includes a minimum liquidity maintenance covenant of $50.0 million. The 2022 Amended Temasek Facility also contains various events of default, the occurrence of which could result in the acceleration of obligations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680720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108</w:t>
      </w:r>
    </w:p>
    <w:p>
      <w:pPr>
        <w:sectPr>
          <w:pgSz w:w="11880" w:h="15480" w:orient="portrait"/>
          <w:cols w:equalWidth="0" w:num="1">
            <w:col w:w="11260"/>
          </w:cols>
          <w:pgMar w:left="300" w:top="322" w:right="319"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Company determined that all of the embedded features of the Temasek Facility, 2021 Amended Temasek Facility, and 2022 Amended Temasek Facility were clearly and closely related to the debt host and did not require bifurcation as a derivative liability, or the fair value of the feature was immaterial to the Company’s consolidated financial statements.</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Ares Facility</w:t>
      </w:r>
    </w:p>
    <w:p>
      <w:pPr>
        <w:spacing w:after="0" w:line="94"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In October 2020, the Company entered into a senior secured term loan (the “Ares Facility”) with Alter Domus (US) LLC as administrative agent for Ares Corporate Opportunities Fund V, L.P. (“Ares”). The Company received gross proceeds equal to $75.0 million (the “Ares Original Principal”). In conjunction with the incurrence of the Ares Facility, the Company received proceeds from Ares of $25.0 million for the issuance of 1,695,955 shares of Series G redeemable preferred stock. The total transaction resulted in the receipt of $100.0 million in exchange for the Ares Facility, Series G redeemable preferred stock and issuance of common stock warrants (the “Ares Financing Transaction”).</w:t>
      </w:r>
    </w:p>
    <w:p>
      <w:pPr>
        <w:spacing w:after="0" w:line="140"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Ares Facility had an interest rate of 8% per annum accrued as noncash interest. The Ares Facility required quarterly principal payments of 0.25% of the original principal amount. The remaining principal balance would have become due in 2023. The Ares Facility required an exit payment of $1.5 million which was to be paid once the Ares Facility matured or the Ares Original Principal was paid in full.</w:t>
      </w:r>
    </w:p>
    <w:p>
      <w:pPr>
        <w:spacing w:after="0" w:line="13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Ares Facility was secured by a first priority lien over substantially all assets of the Company. The Ares Facility required the Company to comply with substantially the same specified nonfinancial covenants as the Temasek Facility, including but not limited to, restrictions on the incurrence of debt, making of investments, the payment of dividends, sale of assets, mergers and acquisitions, modifications of certain agreements and its fiscal year, and granting of liens. The Ares Facility also required the Company to meet specified financial covenants that were measured based on predefined consolidated EBITDA thresholds. The Ares Facility required mandatory prepayment upon defined triggering events and permitted optional prepayments, and certain of the mandatory prepayment triggering items were subject to a prepayment premium. The Ares Facility contained various events of default, the occurrence of which could result in the acceleration of obligations under the Ares Facility.</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effective interest rate for the period from the date of issuance through the date of repayment was 13.35%.</w:t>
      </w:r>
    </w:p>
    <w:p>
      <w:pPr>
        <w:spacing w:after="0" w:line="178" w:lineRule="exact"/>
        <w:rPr>
          <w:sz w:val="20"/>
          <w:szCs w:val="20"/>
          <w:color w:val="auto"/>
        </w:rPr>
      </w:pPr>
    </w:p>
    <w:p>
      <w:pPr>
        <w:ind w:left="380" w:right="260"/>
        <w:spacing w:after="0" w:line="290" w:lineRule="auto"/>
        <w:rPr>
          <w:sz w:val="20"/>
          <w:szCs w:val="20"/>
          <w:color w:val="auto"/>
        </w:rPr>
      </w:pPr>
      <w:r>
        <w:rPr>
          <w:rFonts w:ascii="Arial" w:cs="Arial" w:eastAsia="Arial" w:hAnsi="Arial"/>
          <w:sz w:val="14"/>
          <w:szCs w:val="14"/>
          <w:color w:val="auto"/>
        </w:rPr>
        <w:t>The Company determined that all of the embedded features of the Ares Facility were either clearly and closely related to the debt host and did not require bifurcation as a derivative liability, or the fair value of the feature was immaterial to the Company’s consolidated financial statements.</w:t>
      </w:r>
    </w:p>
    <w:p>
      <w:pPr>
        <w:spacing w:after="0" w:line="141" w:lineRule="exact"/>
        <w:rPr>
          <w:sz w:val="20"/>
          <w:szCs w:val="20"/>
          <w:color w:val="auto"/>
        </w:rPr>
      </w:pPr>
    </w:p>
    <w:p>
      <w:pPr>
        <w:ind w:left="380" w:right="320"/>
        <w:spacing w:after="0" w:line="290" w:lineRule="auto"/>
        <w:rPr>
          <w:sz w:val="20"/>
          <w:szCs w:val="20"/>
          <w:color w:val="auto"/>
        </w:rPr>
      </w:pPr>
      <w:r>
        <w:rPr>
          <w:rFonts w:ascii="Arial" w:cs="Arial" w:eastAsia="Arial" w:hAnsi="Arial"/>
          <w:sz w:val="14"/>
          <w:szCs w:val="14"/>
          <w:color w:val="auto"/>
        </w:rPr>
        <w:t>In October 2021, the Company paid down the Ares Facility outstanding principal and accrued interest in full and terminated the Ares Facility. The Company recognized a $12.2 million loss on debt extinguishment related to this transaction. There were no outstanding balances as of January 31, 2023 and 2022.</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and nonfinancial covenants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948055</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3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109</w:t>
      </w:r>
    </w:p>
    <w:p>
      <w:pPr>
        <w:sectPr>
          <w:pgSz w:w="11880" w:h="15480" w:orient="portrait"/>
          <w:cols w:equalWidth="0" w:num="1">
            <w:col w:w="11220"/>
          </w:cols>
          <w:pgMar w:left="300" w:top="322" w:right="359" w:bottom="0" w:gutter="0" w:footer="0" w:header="0"/>
          <w:type w:val="continuous"/>
        </w:sectPr>
      </w:pPr>
    </w:p>
    <w:bookmarkStart w:id="117" w:name="page118"/>
    <w:bookmarkEnd w:id="117"/>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5" w:hanging="365"/>
        <w:spacing w:after="0"/>
        <w:tabs>
          <w:tab w:leader="none" w:pos="365"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99"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The Company’s net loss before income tax benefit / (expense) from income taxes includes the following components:</w:t>
      </w:r>
    </w:p>
    <w:p>
      <w:pPr>
        <w:spacing w:after="0" w:line="232" w:lineRule="exact"/>
        <w:rPr>
          <w:sz w:val="20"/>
          <w:szCs w:val="20"/>
          <w:color w:val="auto"/>
        </w:rPr>
      </w:pPr>
    </w:p>
    <w:tbl>
      <w:tblPr>
        <w:tblLayout w:type="fixed"/>
        <w:tblInd w:w="385"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9"/>
              </w:rPr>
              <w:t>Year Ended January 31,</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4"/>
                <w:szCs w:val="14"/>
                <w:color w:val="auto"/>
              </w:rPr>
            </w:pPr>
          </w:p>
        </w:tc>
        <w:tc>
          <w:tcPr>
            <w:tcW w:w="1440" w:type="dxa"/>
            <w:vAlign w:val="bottom"/>
            <w:gridSpan w:val="5"/>
          </w:tcPr>
          <w:p>
            <w:pPr>
              <w:ind w:left="64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Domestic</w:t>
            </w:r>
          </w:p>
        </w:tc>
        <w:tc>
          <w:tcPr>
            <w:tcW w:w="480" w:type="dxa"/>
            <w:vAlign w:val="bottom"/>
            <w:tcBorders>
              <w:top w:val="single" w:sz="8" w:color="DDDDDD"/>
            </w:tcBorders>
            <w:shd w:val="clear" w:color="auto" w:fill="DDDDDD"/>
          </w:tcPr>
          <w:p>
            <w:pPr>
              <w:spacing w:after="0"/>
              <w:rPr>
                <w:sz w:val="14"/>
                <w:szCs w:val="14"/>
                <w:color w:val="auto"/>
              </w:rPr>
            </w:pPr>
          </w:p>
        </w:tc>
        <w:tc>
          <w:tcPr>
            <w:tcW w:w="1560" w:type="dxa"/>
            <w:vAlign w:val="bottom"/>
            <w:tcBorders>
              <w:top w:val="single" w:sz="8" w:color="DDDDDD"/>
            </w:tcBorders>
            <w:shd w:val="clear" w:color="auto" w:fill="DDDDDD"/>
          </w:tcPr>
          <w:p>
            <w:pPr>
              <w:spacing w:after="0"/>
              <w:rPr>
                <w:sz w:val="14"/>
                <w:szCs w:val="14"/>
                <w:color w:val="auto"/>
              </w:rPr>
            </w:pPr>
          </w:p>
        </w:tc>
        <w:tc>
          <w:tcPr>
            <w:tcW w:w="20" w:type="dxa"/>
            <w:vAlign w:val="bottom"/>
            <w:tcBorders>
              <w:top w:val="single" w:sz="8" w:color="DDDDDD"/>
            </w:tcBorders>
            <w:shd w:val="clear" w:color="auto" w:fill="DDDDDD"/>
          </w:tcPr>
          <w:p>
            <w:pPr>
              <w:spacing w:after="0"/>
              <w:rPr>
                <w:sz w:val="14"/>
                <w:szCs w:val="14"/>
                <w:color w:val="auto"/>
              </w:rPr>
            </w:pPr>
          </w:p>
        </w:tc>
        <w:tc>
          <w:tcPr>
            <w:tcW w:w="20" w:type="dxa"/>
            <w:vAlign w:val="bottom"/>
            <w:tcBorders>
              <w:top w:val="single" w:sz="8" w:color="DDDDDD"/>
            </w:tcBorders>
            <w:shd w:val="clear" w:color="auto" w:fill="DDDDDD"/>
          </w:tcPr>
          <w:p>
            <w:pPr>
              <w:spacing w:after="0"/>
              <w:rPr>
                <w:sz w:val="14"/>
                <w:szCs w:val="14"/>
                <w:color w:val="auto"/>
              </w:rPr>
            </w:pPr>
          </w:p>
        </w:tc>
        <w:tc>
          <w:tcPr>
            <w:tcW w:w="820" w:type="dxa"/>
            <w:vAlign w:val="bottom"/>
            <w:tcBorders>
              <w:top w:val="single" w:sz="8" w:color="auto"/>
            </w:tcBorders>
            <w:gridSpan w:val="2"/>
            <w:shd w:val="clear" w:color="auto" w:fill="DDDDDD"/>
          </w:tcPr>
          <w:p>
            <w:pPr>
              <w:jc w:val="right"/>
              <w:ind w:right="64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99"/>
              </w:rPr>
              <w:t>(139.5)</w:t>
            </w:r>
          </w:p>
        </w:tc>
        <w:tc>
          <w:tcPr>
            <w:tcW w:w="160" w:type="dxa"/>
            <w:vAlign w:val="bottom"/>
            <w:tcBorders>
              <w:top w:val="single" w:sz="8" w:color="DDDDDD"/>
            </w:tcBorders>
            <w:shd w:val="clear" w:color="auto" w:fill="DDDDDD"/>
          </w:tcPr>
          <w:p>
            <w:pPr>
              <w:spacing w:after="0"/>
              <w:rPr>
                <w:sz w:val="14"/>
                <w:szCs w:val="14"/>
                <w:color w:val="auto"/>
              </w:rPr>
            </w:pPr>
          </w:p>
        </w:tc>
        <w:tc>
          <w:tcPr>
            <w:tcW w:w="640" w:type="dxa"/>
            <w:vAlign w:val="bottom"/>
            <w:tcBorders>
              <w:top w:val="single" w:sz="8" w:color="auto"/>
            </w:tcBorders>
            <w:shd w:val="clear" w:color="auto" w:fill="DDDDDD"/>
          </w:tcPr>
          <w:p>
            <w:pPr>
              <w:jc w:val="right"/>
              <w:ind w:right="489"/>
              <w:spacing w:after="0"/>
              <w:rPr>
                <w:sz w:val="20"/>
                <w:szCs w:val="20"/>
                <w:color w:val="auto"/>
              </w:rPr>
            </w:pPr>
            <w:r>
              <w:rPr>
                <w:rFonts w:ascii="Arial" w:cs="Arial" w:eastAsia="Arial" w:hAnsi="Arial"/>
                <w:sz w:val="14"/>
                <w:szCs w:val="14"/>
                <w:color w:val="auto"/>
                <w:w w:val="76"/>
              </w:rPr>
              <w:t>$</w:t>
            </w:r>
          </w:p>
        </w:tc>
        <w:tc>
          <w:tcPr>
            <w:tcW w:w="20" w:type="dxa"/>
            <w:vAlign w:val="bottom"/>
            <w:tcBorders>
              <w:top w:val="single" w:sz="8" w:color="auto"/>
            </w:tcBorders>
            <w:shd w:val="clear" w:color="auto" w:fill="DDDDDD"/>
          </w:tcPr>
          <w:p>
            <w:pPr>
              <w:spacing w:after="0"/>
              <w:rPr>
                <w:sz w:val="14"/>
                <w:szCs w:val="14"/>
                <w:color w:val="auto"/>
              </w:rPr>
            </w:pPr>
          </w:p>
        </w:tc>
        <w:tc>
          <w:tcPr>
            <w:tcW w:w="60" w:type="dxa"/>
            <w:vAlign w:val="bottom"/>
            <w:tcBorders>
              <w:top w:val="single" w:sz="8" w:color="auto"/>
            </w:tcBorders>
            <w:shd w:val="clear" w:color="auto" w:fill="DDDDDD"/>
          </w:tcPr>
          <w:p>
            <w:pPr>
              <w:spacing w:after="0"/>
              <w:rPr>
                <w:sz w:val="14"/>
                <w:szCs w:val="14"/>
                <w:color w:val="auto"/>
              </w:rPr>
            </w:pPr>
          </w:p>
        </w:tc>
        <w:tc>
          <w:tcPr>
            <w:tcW w:w="5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(212.6)</w:t>
            </w:r>
          </w:p>
        </w:tc>
        <w:tc>
          <w:tcPr>
            <w:tcW w:w="160" w:type="dxa"/>
            <w:vAlign w:val="bottom"/>
            <w:tcBorders>
              <w:top w:val="single" w:sz="8" w:color="DDDDDD"/>
            </w:tcBorders>
            <w:shd w:val="clear" w:color="auto" w:fill="DDDDDD"/>
          </w:tcPr>
          <w:p>
            <w:pPr>
              <w:spacing w:after="0"/>
              <w:rPr>
                <w:sz w:val="14"/>
                <w:szCs w:val="14"/>
                <w:color w:val="auto"/>
              </w:rPr>
            </w:pPr>
          </w:p>
        </w:tc>
        <w:tc>
          <w:tcPr>
            <w:tcW w:w="1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(171.4)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Foreign</w:t>
            </w:r>
          </w:p>
        </w:tc>
        <w:tc>
          <w:tcPr>
            <w:tcW w:w="480" w:type="dxa"/>
            <w:vAlign w:val="bottom"/>
            <w:tcBorders>
              <w:bottom w:val="single" w:sz="8" w:color="DDDDDD"/>
            </w:tcBorders>
          </w:tcPr>
          <w:p>
            <w:pPr>
              <w:spacing w:after="0"/>
              <w:rPr>
                <w:sz w:val="15"/>
                <w:szCs w:val="15"/>
                <w:color w:val="auto"/>
              </w:rPr>
            </w:pPr>
          </w:p>
        </w:tc>
        <w:tc>
          <w:tcPr>
            <w:tcW w:w="156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20" w:type="dxa"/>
            <w:vAlign w:val="bottom"/>
            <w:tcBorders>
              <w:bottom w:val="single" w:sz="8" w:color="DDDDDD"/>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DDDDDD"/>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6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DDDDDD"/>
            </w:tcBorders>
            <w:shd w:val="clear" w:color="auto" w:fill="DDDDDD"/>
          </w:tcPr>
          <w:p>
            <w:pPr>
              <w:ind w:left="140"/>
              <w:spacing w:after="0"/>
              <w:rPr>
                <w:sz w:val="20"/>
                <w:szCs w:val="20"/>
                <w:color w:val="auto"/>
              </w:rPr>
            </w:pPr>
            <w:r>
              <w:rPr>
                <w:rFonts w:ascii="Arial" w:cs="Arial" w:eastAsia="Arial" w:hAnsi="Arial"/>
                <w:sz w:val="14"/>
                <w:szCs w:val="14"/>
                <w:color w:val="auto"/>
              </w:rPr>
              <w:t>Net loss before income tax benefit / (expense)</w:t>
            </w:r>
          </w:p>
        </w:tc>
        <w:tc>
          <w:tcPr>
            <w:tcW w:w="480" w:type="dxa"/>
            <w:vAlign w:val="bottom"/>
            <w:tcBorders>
              <w:bottom w:val="single" w:sz="8" w:color="DDDDDD"/>
            </w:tcBorders>
            <w:shd w:val="clear" w:color="auto" w:fill="DDDDDD"/>
          </w:tcPr>
          <w:p>
            <w:pPr>
              <w:spacing w:after="0"/>
              <w:rPr>
                <w:sz w:val="16"/>
                <w:szCs w:val="16"/>
                <w:color w:val="auto"/>
              </w:rPr>
            </w:pPr>
          </w:p>
        </w:tc>
        <w:tc>
          <w:tcPr>
            <w:tcW w:w="156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820" w:type="dxa"/>
            <w:vAlign w:val="bottom"/>
            <w:tcBorders>
              <w:bottom w:val="single" w:sz="8" w:color="auto"/>
            </w:tcBorders>
            <w:gridSpan w:val="2"/>
            <w:shd w:val="clear" w:color="auto" w:fill="DDDDDD"/>
          </w:tcPr>
          <w:p>
            <w:pPr>
              <w:jc w:val="right"/>
              <w:ind w:right="64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99"/>
              </w:rPr>
              <w:t>(138.9)</w:t>
            </w:r>
          </w:p>
        </w:tc>
        <w:tc>
          <w:tcPr>
            <w:tcW w:w="160" w:type="dxa"/>
            <w:vAlign w:val="bottom"/>
            <w:tcBorders>
              <w:bottom w:val="single" w:sz="8" w:color="DDDDDD"/>
            </w:tcBorders>
            <w:shd w:val="clear" w:color="auto" w:fill="DDDDDD"/>
          </w:tcPr>
          <w:p>
            <w:pPr>
              <w:spacing w:after="0"/>
              <w:rPr>
                <w:sz w:val="16"/>
                <w:szCs w:val="16"/>
                <w:color w:val="auto"/>
              </w:rPr>
            </w:pPr>
          </w:p>
        </w:tc>
        <w:tc>
          <w:tcPr>
            <w:tcW w:w="640" w:type="dxa"/>
            <w:vAlign w:val="bottom"/>
            <w:tcBorders>
              <w:bottom w:val="single" w:sz="8" w:color="auto"/>
            </w:tcBorders>
            <w:shd w:val="clear" w:color="auto" w:fill="DDDDDD"/>
          </w:tcPr>
          <w:p>
            <w:pPr>
              <w:jc w:val="right"/>
              <w:ind w:right="489"/>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DDDDDD"/>
          </w:tcPr>
          <w:p>
            <w:pPr>
              <w:spacing w:after="0"/>
              <w:rPr>
                <w:sz w:val="16"/>
                <w:szCs w:val="16"/>
                <w:color w:val="auto"/>
              </w:rPr>
            </w:pPr>
          </w:p>
        </w:tc>
        <w:tc>
          <w:tcPr>
            <w:tcW w:w="60" w:type="dxa"/>
            <w:vAlign w:val="bottom"/>
            <w:tcBorders>
              <w:bottom w:val="single" w:sz="8" w:color="auto"/>
            </w:tcBorders>
            <w:shd w:val="clear" w:color="auto" w:fill="DDDDDD"/>
          </w:tcPr>
          <w:p>
            <w:pPr>
              <w:spacing w:after="0"/>
              <w:rPr>
                <w:sz w:val="16"/>
                <w:szCs w:val="16"/>
                <w:color w:val="auto"/>
              </w:rPr>
            </w:pPr>
          </w:p>
        </w:tc>
        <w:tc>
          <w:tcPr>
            <w:tcW w:w="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(212.1)</w:t>
            </w:r>
          </w:p>
        </w:tc>
        <w:tc>
          <w:tcPr>
            <w:tcW w:w="160" w:type="dxa"/>
            <w:vAlign w:val="bottom"/>
            <w:tcBorders>
              <w:bottom w:val="single" w:sz="8" w:color="DDDDDD"/>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(171.1)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DDDDDD"/>
              <w:bottom w:val="single" w:sz="8" w:color="DDDDDD"/>
            </w:tcBorders>
            <w:vMerge w:val="restart"/>
          </w:tcPr>
          <w:p>
            <w:pPr>
              <w:spacing w:after="0"/>
              <w:rPr>
                <w:sz w:val="20"/>
                <w:szCs w:val="20"/>
                <w:color w:val="auto"/>
              </w:rPr>
            </w:pPr>
            <w:r>
              <w:rPr>
                <w:rFonts w:ascii="Arial" w:cs="Arial" w:eastAsia="Arial" w:hAnsi="Arial"/>
                <w:sz w:val="14"/>
                <w:szCs w:val="14"/>
                <w:color w:val="auto"/>
              </w:rPr>
              <w:t>Total income taxes allocated to operations are as follows:</w:t>
            </w:r>
          </w:p>
        </w:tc>
        <w:tc>
          <w:tcPr>
            <w:tcW w:w="48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bottom w:val="single" w:sz="8" w:color="auto"/>
            </w:tcBorders>
          </w:tcPr>
          <w:p>
            <w:pPr>
              <w:spacing w:after="0" w:line="20" w:lineRule="exact"/>
              <w:rPr>
                <w:sz w:val="1"/>
                <w:szCs w:val="1"/>
                <w:color w:val="auto"/>
              </w:rPr>
            </w:pPr>
          </w:p>
        </w:tc>
        <w:tc>
          <w:tcPr>
            <w:tcW w:w="76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bottom w:val="single" w:sz="8" w:color="auto"/>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6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6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DDDDDD"/>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DDDDDD"/>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Current provision:</w:t>
            </w:r>
          </w:p>
        </w:tc>
        <w:tc>
          <w:tcPr>
            <w:tcW w:w="480" w:type="dxa"/>
            <w:vAlign w:val="bottom"/>
            <w:tcBorders>
              <w:bottom w:val="single" w:sz="8" w:color="DDDDDD"/>
            </w:tcBorders>
            <w:shd w:val="clear" w:color="auto" w:fill="DDDDDD"/>
          </w:tcPr>
          <w:p>
            <w:pPr>
              <w:spacing w:after="0"/>
              <w:rPr>
                <w:sz w:val="14"/>
                <w:szCs w:val="14"/>
                <w:color w:val="auto"/>
              </w:rPr>
            </w:pPr>
          </w:p>
        </w:tc>
        <w:tc>
          <w:tcPr>
            <w:tcW w:w="1560" w:type="dxa"/>
            <w:vAlign w:val="bottom"/>
            <w:tcBorders>
              <w:bottom w:val="single" w:sz="8" w:color="DDDDDD"/>
            </w:tcBorders>
            <w:shd w:val="clear" w:color="auto" w:fill="DDDDDD"/>
          </w:tcPr>
          <w:p>
            <w:pPr>
              <w:spacing w:after="0"/>
              <w:rPr>
                <w:sz w:val="14"/>
                <w:szCs w:val="14"/>
                <w:color w:val="auto"/>
              </w:rPr>
            </w:pPr>
          </w:p>
        </w:tc>
        <w:tc>
          <w:tcPr>
            <w:tcW w:w="20" w:type="dxa"/>
            <w:vAlign w:val="bottom"/>
            <w:tcBorders>
              <w:bottom w:val="single" w:sz="8" w:color="DDDDDD"/>
            </w:tcBorders>
            <w:shd w:val="clear" w:color="auto" w:fill="DDDDDD"/>
          </w:tcPr>
          <w:p>
            <w:pPr>
              <w:spacing w:after="0"/>
              <w:rPr>
                <w:sz w:val="14"/>
                <w:szCs w:val="14"/>
                <w:color w:val="auto"/>
              </w:rPr>
            </w:pPr>
          </w:p>
        </w:tc>
        <w:tc>
          <w:tcPr>
            <w:tcW w:w="2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DDDDDD"/>
            </w:tcBorders>
            <w:shd w:val="clear" w:color="auto" w:fill="DDDDDD"/>
          </w:tcPr>
          <w:p>
            <w:pPr>
              <w:spacing w:after="0"/>
              <w:rPr>
                <w:sz w:val="14"/>
                <w:szCs w:val="14"/>
                <w:color w:val="auto"/>
              </w:rPr>
            </w:pPr>
          </w:p>
        </w:tc>
        <w:tc>
          <w:tcPr>
            <w:tcW w:w="760" w:type="dxa"/>
            <w:vAlign w:val="bottom"/>
            <w:tcBorders>
              <w:bottom w:val="single" w:sz="8" w:color="DDDDDD"/>
            </w:tcBorders>
            <w:shd w:val="clear" w:color="auto" w:fill="DDDDDD"/>
          </w:tcPr>
          <w:p>
            <w:pPr>
              <w:spacing w:after="0"/>
              <w:rPr>
                <w:sz w:val="14"/>
                <w:szCs w:val="14"/>
                <w:color w:val="auto"/>
              </w:rPr>
            </w:pPr>
          </w:p>
        </w:tc>
        <w:tc>
          <w:tcPr>
            <w:tcW w:w="480" w:type="dxa"/>
            <w:vAlign w:val="bottom"/>
            <w:tcBorders>
              <w:bottom w:val="single" w:sz="8" w:color="DDDDDD"/>
            </w:tcBorders>
            <w:shd w:val="clear" w:color="auto" w:fill="DDDDDD"/>
          </w:tcPr>
          <w:p>
            <w:pPr>
              <w:spacing w:after="0"/>
              <w:rPr>
                <w:sz w:val="14"/>
                <w:szCs w:val="14"/>
                <w:color w:val="auto"/>
              </w:rPr>
            </w:pPr>
          </w:p>
        </w:tc>
        <w:tc>
          <w:tcPr>
            <w:tcW w:w="160" w:type="dxa"/>
            <w:vAlign w:val="bottom"/>
            <w:tcBorders>
              <w:bottom w:val="single" w:sz="8" w:color="DDDDDD"/>
            </w:tcBorders>
            <w:shd w:val="clear" w:color="auto" w:fill="DDDDDD"/>
          </w:tcPr>
          <w:p>
            <w:pPr>
              <w:spacing w:after="0"/>
              <w:rPr>
                <w:sz w:val="14"/>
                <w:szCs w:val="14"/>
                <w:color w:val="auto"/>
              </w:rPr>
            </w:pPr>
          </w:p>
        </w:tc>
        <w:tc>
          <w:tcPr>
            <w:tcW w:w="640" w:type="dxa"/>
            <w:vAlign w:val="bottom"/>
            <w:tcBorders>
              <w:bottom w:val="single" w:sz="8" w:color="DDDDDD"/>
            </w:tcBorders>
            <w:shd w:val="clear" w:color="auto" w:fill="DDDDDD"/>
          </w:tcPr>
          <w:p>
            <w:pPr>
              <w:spacing w:after="0"/>
              <w:rPr>
                <w:sz w:val="14"/>
                <w:szCs w:val="14"/>
                <w:color w:val="auto"/>
              </w:rPr>
            </w:pPr>
          </w:p>
        </w:tc>
        <w:tc>
          <w:tcPr>
            <w:tcW w:w="2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DDDDDD"/>
            </w:tcBorders>
            <w:shd w:val="clear" w:color="auto" w:fill="DDDDDD"/>
          </w:tcPr>
          <w:p>
            <w:pPr>
              <w:spacing w:after="0"/>
              <w:rPr>
                <w:sz w:val="14"/>
                <w:szCs w:val="14"/>
                <w:color w:val="auto"/>
              </w:rPr>
            </w:pPr>
          </w:p>
        </w:tc>
        <w:tc>
          <w:tcPr>
            <w:tcW w:w="560" w:type="dxa"/>
            <w:vAlign w:val="bottom"/>
            <w:tcBorders>
              <w:bottom w:val="single" w:sz="8" w:color="DDDDDD"/>
            </w:tcBorders>
            <w:shd w:val="clear" w:color="auto" w:fill="DDDDDD"/>
          </w:tcPr>
          <w:p>
            <w:pPr>
              <w:spacing w:after="0"/>
              <w:rPr>
                <w:sz w:val="14"/>
                <w:szCs w:val="14"/>
                <w:color w:val="auto"/>
              </w:rPr>
            </w:pPr>
          </w:p>
        </w:tc>
        <w:tc>
          <w:tcPr>
            <w:tcW w:w="160" w:type="dxa"/>
            <w:vAlign w:val="bottom"/>
            <w:tcBorders>
              <w:bottom w:val="single" w:sz="8" w:color="DDDDDD"/>
            </w:tcBorders>
            <w:shd w:val="clear" w:color="auto" w:fill="DDDDDD"/>
          </w:tcPr>
          <w:p>
            <w:pPr>
              <w:spacing w:after="0"/>
              <w:rPr>
                <w:sz w:val="14"/>
                <w:szCs w:val="14"/>
                <w:color w:val="auto"/>
              </w:rPr>
            </w:pPr>
          </w:p>
        </w:tc>
        <w:tc>
          <w:tcPr>
            <w:tcW w:w="120" w:type="dxa"/>
            <w:vAlign w:val="bottom"/>
            <w:tcBorders>
              <w:bottom w:val="single" w:sz="8" w:color="DDDDDD"/>
            </w:tcBorders>
            <w:shd w:val="clear" w:color="auto" w:fill="DDDDDD"/>
          </w:tcPr>
          <w:p>
            <w:pPr>
              <w:spacing w:after="0"/>
              <w:rPr>
                <w:sz w:val="14"/>
                <w:szCs w:val="14"/>
                <w:color w:val="auto"/>
              </w:rPr>
            </w:pPr>
          </w:p>
        </w:tc>
        <w:tc>
          <w:tcPr>
            <w:tcW w:w="1160" w:type="dxa"/>
            <w:vAlign w:val="bottom"/>
            <w:tcBorders>
              <w:bottom w:val="single" w:sz="8" w:color="DDDDDD"/>
            </w:tcBorders>
            <w:shd w:val="clear" w:color="auto" w:fill="DDDDDD"/>
          </w:tcPr>
          <w:p>
            <w:pPr>
              <w:spacing w:after="0"/>
              <w:rPr>
                <w:sz w:val="14"/>
                <w:szCs w:val="14"/>
                <w:color w:val="auto"/>
              </w:rPr>
            </w:pPr>
          </w:p>
        </w:tc>
        <w:tc>
          <w:tcPr>
            <w:tcW w:w="60" w:type="dxa"/>
            <w:vAlign w:val="bottom"/>
            <w:tcBorders>
              <w:bottom w:val="single" w:sz="8" w:color="DDDDDD"/>
            </w:tcBorders>
            <w:shd w:val="clear" w:color="auto" w:fill="DDDDDD"/>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80" w:type="dxa"/>
            <w:vAlign w:val="bottom"/>
          </w:tcPr>
          <w:p>
            <w:pPr>
              <w:ind w:left="180"/>
              <w:spacing w:after="0"/>
              <w:rPr>
                <w:sz w:val="20"/>
                <w:szCs w:val="20"/>
                <w:color w:val="auto"/>
              </w:rPr>
            </w:pPr>
            <w:r>
              <w:rPr>
                <w:rFonts w:ascii="Arial" w:cs="Arial" w:eastAsia="Arial" w:hAnsi="Arial"/>
                <w:sz w:val="14"/>
                <w:szCs w:val="14"/>
                <w:color w:val="auto"/>
              </w:rPr>
              <w:t>Federal</w:t>
            </w:r>
          </w:p>
        </w:tc>
        <w:tc>
          <w:tcPr>
            <w:tcW w:w="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58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36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State and local</w:t>
            </w:r>
          </w:p>
        </w:tc>
        <w:tc>
          <w:tcPr>
            <w:tcW w:w="480" w:type="dxa"/>
            <w:vAlign w:val="bottom"/>
            <w:shd w:val="clear" w:color="auto" w:fill="DDDDDD"/>
          </w:tcPr>
          <w:p>
            <w:pPr>
              <w:spacing w:after="0"/>
              <w:rPr>
                <w:sz w:val="18"/>
                <w:szCs w:val="18"/>
                <w:color w:val="auto"/>
              </w:rPr>
            </w:pPr>
          </w:p>
        </w:tc>
        <w:tc>
          <w:tcPr>
            <w:tcW w:w="1600" w:type="dxa"/>
            <w:vAlign w:val="bottom"/>
            <w:gridSpan w:val="3"/>
            <w:shd w:val="clear" w:color="auto" w:fill="DDDDDD"/>
          </w:tcPr>
          <w:p>
            <w:pPr>
              <w:ind w:left="1420"/>
              <w:spacing w:after="0"/>
              <w:rPr>
                <w:sz w:val="20"/>
                <w:szCs w:val="20"/>
                <w:color w:val="auto"/>
              </w:rPr>
            </w:pPr>
            <w:r>
              <w:rPr>
                <w:rFonts w:ascii="Arial" w:cs="Arial" w:eastAsia="Arial" w:hAnsi="Arial"/>
                <w:sz w:val="14"/>
                <w:szCs w:val="14"/>
                <w:color w:val="auto"/>
              </w:rPr>
              <w:t>—</w:t>
            </w:r>
          </w:p>
        </w:tc>
        <w:tc>
          <w:tcPr>
            <w:tcW w:w="60" w:type="dxa"/>
            <w:vAlign w:val="bottom"/>
            <w:shd w:val="clear" w:color="auto" w:fill="DDDDDD"/>
          </w:tcPr>
          <w:p>
            <w:pPr>
              <w:spacing w:after="0"/>
              <w:rPr>
                <w:sz w:val="18"/>
                <w:szCs w:val="18"/>
                <w:color w:val="auto"/>
              </w:rPr>
            </w:pPr>
          </w:p>
        </w:tc>
        <w:tc>
          <w:tcPr>
            <w:tcW w:w="760" w:type="dxa"/>
            <w:vAlign w:val="bottom"/>
            <w:shd w:val="clear" w:color="auto" w:fill="DDDDDD"/>
          </w:tcPr>
          <w:p>
            <w:pPr>
              <w:spacing w:after="0"/>
              <w:rPr>
                <w:sz w:val="18"/>
                <w:szCs w:val="18"/>
                <w:color w:val="auto"/>
              </w:rPr>
            </w:pPr>
          </w:p>
        </w:tc>
        <w:tc>
          <w:tcPr>
            <w:tcW w:w="48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720" w:type="dxa"/>
            <w:vAlign w:val="bottom"/>
            <w:gridSpan w:val="3"/>
            <w:shd w:val="clear" w:color="auto" w:fill="DDDDDD"/>
          </w:tcPr>
          <w:p>
            <w:pPr>
              <w:ind w:left="480"/>
              <w:spacing w:after="0"/>
              <w:rPr>
                <w:sz w:val="20"/>
                <w:szCs w:val="20"/>
                <w:color w:val="auto"/>
              </w:rPr>
            </w:pPr>
            <w:r>
              <w:rPr>
                <w:rFonts w:ascii="Arial" w:cs="Arial" w:eastAsia="Arial" w:hAnsi="Arial"/>
                <w:sz w:val="14"/>
                <w:szCs w:val="14"/>
                <w:color w:val="auto"/>
              </w:rPr>
              <w:t>—</w:t>
            </w:r>
          </w:p>
        </w:tc>
        <w:tc>
          <w:tcPr>
            <w:tcW w:w="56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20" w:type="dxa"/>
            <w:vAlign w:val="bottom"/>
            <w:gridSpan w:val="2"/>
            <w:shd w:val="clear" w:color="auto" w:fill="DDDDDD"/>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5"/>
                <w:szCs w:val="15"/>
                <w:color w:val="auto"/>
              </w:rPr>
            </w:pPr>
          </w:p>
        </w:tc>
        <w:tc>
          <w:tcPr>
            <w:tcW w:w="1600" w:type="dxa"/>
            <w:vAlign w:val="bottom"/>
            <w:gridSpan w:val="3"/>
          </w:tcPr>
          <w:p>
            <w:pPr>
              <w:ind w:left="1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71"/>
        </w:trPr>
        <w:tc>
          <w:tcPr>
            <w:tcW w:w="3680" w:type="dxa"/>
            <w:vAlign w:val="bottom"/>
            <w:tcBorders>
              <w:top w:val="single" w:sz="8" w:color="DDDDDD"/>
            </w:tcBorders>
            <w:shd w:val="clear" w:color="auto" w:fill="DDDDDD"/>
          </w:tcPr>
          <w:p>
            <w:pPr>
              <w:ind w:left="260"/>
              <w:spacing w:after="0"/>
              <w:rPr>
                <w:sz w:val="20"/>
                <w:szCs w:val="20"/>
                <w:color w:val="auto"/>
              </w:rPr>
            </w:pPr>
            <w:r>
              <w:rPr>
                <w:rFonts w:ascii="Arial" w:cs="Arial" w:eastAsia="Arial" w:hAnsi="Arial"/>
                <w:sz w:val="14"/>
                <w:szCs w:val="14"/>
                <w:color w:val="auto"/>
              </w:rPr>
              <w:t>Total current provision</w:t>
            </w:r>
          </w:p>
        </w:tc>
        <w:tc>
          <w:tcPr>
            <w:tcW w:w="480" w:type="dxa"/>
            <w:vAlign w:val="bottom"/>
            <w:tcBorders>
              <w:top w:val="single" w:sz="8" w:color="auto"/>
              <w:bottom w:val="single" w:sz="8" w:color="auto"/>
            </w:tcBorders>
            <w:shd w:val="clear" w:color="auto" w:fill="DDDDDD"/>
          </w:tcPr>
          <w:p>
            <w:pPr>
              <w:spacing w:after="0"/>
              <w:rPr>
                <w:sz w:val="14"/>
                <w:szCs w:val="14"/>
                <w:color w:val="auto"/>
              </w:rPr>
            </w:pPr>
          </w:p>
        </w:tc>
        <w:tc>
          <w:tcPr>
            <w:tcW w:w="1560" w:type="dxa"/>
            <w:vAlign w:val="bottom"/>
            <w:tcBorders>
              <w:top w:val="single" w:sz="8" w:color="auto"/>
              <w:bottom w:val="single" w:sz="8" w:color="auto"/>
            </w:tcBorders>
            <w:shd w:val="clear" w:color="auto" w:fill="DDDDDD"/>
          </w:tcPr>
          <w:p>
            <w:pPr>
              <w:ind w:left="1420"/>
              <w:spacing w:after="0"/>
              <w:rPr>
                <w:sz w:val="20"/>
                <w:szCs w:val="20"/>
                <w:color w:val="auto"/>
              </w:rPr>
            </w:pPr>
            <w:r>
              <w:rPr>
                <w:rFonts w:ascii="Arial" w:cs="Arial" w:eastAsia="Arial" w:hAnsi="Arial"/>
                <w:sz w:val="14"/>
                <w:szCs w:val="14"/>
                <w:color w:val="auto"/>
                <w:w w:val="85"/>
              </w:rPr>
              <w:t>—</w:t>
            </w:r>
          </w:p>
        </w:tc>
        <w:tc>
          <w:tcPr>
            <w:tcW w:w="40" w:type="dxa"/>
            <w:vAlign w:val="bottom"/>
            <w:tcBorders>
              <w:top w:val="single" w:sz="8" w:color="DDDDDD"/>
            </w:tcBorders>
            <w:gridSpan w:val="2"/>
            <w:shd w:val="clear" w:color="auto" w:fill="DDDDDD"/>
          </w:tcPr>
          <w:p>
            <w:pPr>
              <w:spacing w:after="0"/>
              <w:rPr>
                <w:sz w:val="14"/>
                <w:szCs w:val="14"/>
                <w:color w:val="auto"/>
              </w:rPr>
            </w:pPr>
          </w:p>
        </w:tc>
        <w:tc>
          <w:tcPr>
            <w:tcW w:w="60" w:type="dxa"/>
            <w:vAlign w:val="bottom"/>
            <w:tcBorders>
              <w:top w:val="single" w:sz="8" w:color="DDDDDD"/>
            </w:tcBorders>
            <w:shd w:val="clear" w:color="auto" w:fill="DDDDDD"/>
          </w:tcPr>
          <w:p>
            <w:pPr>
              <w:spacing w:after="0"/>
              <w:rPr>
                <w:sz w:val="14"/>
                <w:szCs w:val="14"/>
                <w:color w:val="auto"/>
              </w:rPr>
            </w:pPr>
          </w:p>
        </w:tc>
        <w:tc>
          <w:tcPr>
            <w:tcW w:w="760" w:type="dxa"/>
            <w:vAlign w:val="bottom"/>
            <w:tcBorders>
              <w:top w:val="single" w:sz="8" w:color="auto"/>
              <w:bottom w:val="single" w:sz="8" w:color="auto"/>
            </w:tcBorders>
            <w:shd w:val="clear" w:color="auto" w:fill="DDDDDD"/>
          </w:tcPr>
          <w:p>
            <w:pPr>
              <w:spacing w:after="0"/>
              <w:rPr>
                <w:sz w:val="14"/>
                <w:szCs w:val="14"/>
                <w:color w:val="auto"/>
              </w:rPr>
            </w:pPr>
          </w:p>
        </w:tc>
        <w:tc>
          <w:tcPr>
            <w:tcW w:w="480" w:type="dxa"/>
            <w:vAlign w:val="bottom"/>
            <w:tcBorders>
              <w:top w:val="single" w:sz="8" w:color="auto"/>
              <w:bottom w:val="single" w:sz="8" w:color="auto"/>
            </w:tcBorders>
            <w:shd w:val="clear" w:color="auto" w:fill="DDDDDD"/>
          </w:tcPr>
          <w:p>
            <w:pPr>
              <w:spacing w:after="0"/>
              <w:rPr>
                <w:sz w:val="14"/>
                <w:szCs w:val="14"/>
                <w:color w:val="auto"/>
              </w:rPr>
            </w:pPr>
          </w:p>
        </w:tc>
        <w:tc>
          <w:tcPr>
            <w:tcW w:w="160" w:type="dxa"/>
            <w:vAlign w:val="bottom"/>
            <w:tcBorders>
              <w:top w:val="single" w:sz="8" w:color="auto"/>
              <w:bottom w:val="single" w:sz="8" w:color="auto"/>
            </w:tcBorders>
            <w:shd w:val="clear" w:color="auto" w:fill="DDDDDD"/>
          </w:tcPr>
          <w:p>
            <w:pPr>
              <w:spacing w:after="0"/>
              <w:rPr>
                <w:sz w:val="14"/>
                <w:szCs w:val="14"/>
                <w:color w:val="auto"/>
              </w:rPr>
            </w:pPr>
          </w:p>
        </w:tc>
        <w:tc>
          <w:tcPr>
            <w:tcW w:w="640" w:type="dxa"/>
            <w:vAlign w:val="bottom"/>
            <w:tcBorders>
              <w:top w:val="single" w:sz="8" w:color="auto"/>
              <w:bottom w:val="single" w:sz="8" w:color="auto"/>
            </w:tcBorders>
            <w:shd w:val="clear" w:color="auto" w:fill="DDDDDD"/>
          </w:tcPr>
          <w:p>
            <w:pPr>
              <w:ind w:left="480"/>
              <w:spacing w:after="0"/>
              <w:rPr>
                <w:sz w:val="20"/>
                <w:szCs w:val="20"/>
                <w:color w:val="auto"/>
              </w:rPr>
            </w:pPr>
            <w:r>
              <w:rPr>
                <w:rFonts w:ascii="Arial" w:cs="Arial" w:eastAsia="Arial" w:hAnsi="Arial"/>
                <w:sz w:val="14"/>
                <w:szCs w:val="14"/>
                <w:color w:val="auto"/>
                <w:w w:val="99"/>
              </w:rPr>
              <w:t>—</w:t>
            </w:r>
          </w:p>
        </w:tc>
        <w:tc>
          <w:tcPr>
            <w:tcW w:w="80" w:type="dxa"/>
            <w:vAlign w:val="bottom"/>
            <w:tcBorders>
              <w:top w:val="single" w:sz="8" w:color="DDDDDD"/>
            </w:tcBorders>
            <w:gridSpan w:val="2"/>
            <w:shd w:val="clear" w:color="auto" w:fill="DDDDDD"/>
          </w:tcPr>
          <w:p>
            <w:pPr>
              <w:spacing w:after="0"/>
              <w:rPr>
                <w:sz w:val="14"/>
                <w:szCs w:val="14"/>
                <w:color w:val="auto"/>
              </w:rPr>
            </w:pPr>
          </w:p>
        </w:tc>
        <w:tc>
          <w:tcPr>
            <w:tcW w:w="560" w:type="dxa"/>
            <w:vAlign w:val="bottom"/>
            <w:tcBorders>
              <w:top w:val="single" w:sz="8" w:color="auto"/>
              <w:bottom w:val="single" w:sz="8" w:color="auto"/>
            </w:tcBorders>
            <w:shd w:val="clear" w:color="auto" w:fill="DDDDDD"/>
          </w:tcPr>
          <w:p>
            <w:pPr>
              <w:spacing w:after="0"/>
              <w:rPr>
                <w:sz w:val="14"/>
                <w:szCs w:val="14"/>
                <w:color w:val="auto"/>
              </w:rPr>
            </w:pPr>
          </w:p>
        </w:tc>
        <w:tc>
          <w:tcPr>
            <w:tcW w:w="160" w:type="dxa"/>
            <w:vAlign w:val="bottom"/>
            <w:tcBorders>
              <w:top w:val="single" w:sz="8" w:color="auto"/>
              <w:bottom w:val="single" w:sz="8" w:color="auto"/>
            </w:tcBorders>
            <w:shd w:val="clear" w:color="auto" w:fill="DDDDDD"/>
          </w:tcPr>
          <w:p>
            <w:pPr>
              <w:spacing w:after="0"/>
              <w:rPr>
                <w:sz w:val="14"/>
                <w:szCs w:val="14"/>
                <w:color w:val="auto"/>
              </w:rPr>
            </w:pPr>
          </w:p>
        </w:tc>
        <w:tc>
          <w:tcPr>
            <w:tcW w:w="120" w:type="dxa"/>
            <w:vAlign w:val="bottom"/>
            <w:tcBorders>
              <w:top w:val="single" w:sz="8" w:color="auto"/>
              <w:bottom w:val="single" w:sz="8" w:color="auto"/>
            </w:tcBorders>
            <w:shd w:val="clear" w:color="auto" w:fill="DDDDDD"/>
          </w:tcPr>
          <w:p>
            <w:pPr>
              <w:spacing w:after="0"/>
              <w:rPr>
                <w:sz w:val="14"/>
                <w:szCs w:val="14"/>
                <w:color w:val="auto"/>
              </w:rPr>
            </w:pPr>
          </w:p>
        </w:tc>
        <w:tc>
          <w:tcPr>
            <w:tcW w:w="1220" w:type="dxa"/>
            <w:vAlign w:val="bottom"/>
            <w:tcBorders>
              <w:top w:val="single" w:sz="8" w:color="auto"/>
              <w:bottom w:val="single" w:sz="8" w:color="auto"/>
            </w:tcBorders>
            <w:gridSpan w:val="2"/>
            <w:shd w:val="clear" w:color="auto" w:fill="DDDDDD"/>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0"/>
        </w:trPr>
        <w:tc>
          <w:tcPr>
            <w:tcW w:w="3680" w:type="dxa"/>
            <w:vAlign w:val="bottom"/>
          </w:tcPr>
          <w:p>
            <w:pPr>
              <w:ind w:left="20"/>
              <w:spacing w:after="0"/>
              <w:rPr>
                <w:sz w:val="20"/>
                <w:szCs w:val="20"/>
                <w:color w:val="auto"/>
              </w:rPr>
            </w:pPr>
            <w:r>
              <w:rPr>
                <w:rFonts w:ascii="Arial" w:cs="Arial" w:eastAsia="Arial" w:hAnsi="Arial"/>
                <w:sz w:val="14"/>
                <w:szCs w:val="14"/>
                <w:color w:val="auto"/>
              </w:rPr>
              <w:t>Deferred provision:</w:t>
            </w:r>
          </w:p>
        </w:tc>
        <w:tc>
          <w:tcPr>
            <w:tcW w:w="4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Federal</w:t>
            </w:r>
          </w:p>
        </w:tc>
        <w:tc>
          <w:tcPr>
            <w:tcW w:w="480" w:type="dxa"/>
            <w:vAlign w:val="bottom"/>
            <w:shd w:val="clear" w:color="auto" w:fill="DDDDDD"/>
          </w:tcPr>
          <w:p>
            <w:pPr>
              <w:spacing w:after="0"/>
              <w:rPr>
                <w:sz w:val="15"/>
                <w:szCs w:val="15"/>
                <w:color w:val="auto"/>
              </w:rPr>
            </w:pPr>
          </w:p>
        </w:tc>
        <w:tc>
          <w:tcPr>
            <w:tcW w:w="1600" w:type="dxa"/>
            <w:vAlign w:val="bottom"/>
            <w:gridSpan w:val="3"/>
            <w:shd w:val="clear" w:color="auto" w:fill="DDDDDD"/>
          </w:tcPr>
          <w:p>
            <w:pPr>
              <w:ind w:left="1420"/>
              <w:spacing w:after="0"/>
              <w:rPr>
                <w:sz w:val="20"/>
                <w:szCs w:val="20"/>
                <w:color w:val="auto"/>
              </w:rPr>
            </w:pPr>
            <w:r>
              <w:rPr>
                <w:rFonts w:ascii="Arial" w:cs="Arial" w:eastAsia="Arial" w:hAnsi="Arial"/>
                <w:sz w:val="14"/>
                <w:szCs w:val="14"/>
                <w:color w:val="auto"/>
              </w:rPr>
              <w:t>—</w:t>
            </w:r>
          </w:p>
        </w:tc>
        <w:tc>
          <w:tcPr>
            <w:tcW w:w="6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48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720" w:type="dxa"/>
            <w:vAlign w:val="bottom"/>
            <w:gridSpan w:val="3"/>
            <w:shd w:val="clear" w:color="auto" w:fill="DDDDDD"/>
          </w:tcPr>
          <w:p>
            <w:pPr>
              <w:ind w:left="480"/>
              <w:spacing w:after="0"/>
              <w:rPr>
                <w:sz w:val="20"/>
                <w:szCs w:val="20"/>
                <w:color w:val="auto"/>
              </w:rPr>
            </w:pPr>
            <w:r>
              <w:rPr>
                <w:rFonts w:ascii="Arial" w:cs="Arial" w:eastAsia="Arial" w:hAnsi="Arial"/>
                <w:sz w:val="14"/>
                <w:szCs w:val="14"/>
                <w:color w:val="auto"/>
              </w:rPr>
              <w:t>—</w:t>
            </w:r>
          </w:p>
        </w:tc>
        <w:tc>
          <w:tcPr>
            <w:tcW w:w="56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220" w:type="dxa"/>
            <w:vAlign w:val="bottom"/>
            <w:gridSpan w:val="2"/>
            <w:shd w:val="clear" w:color="auto" w:fill="DDDDDD"/>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680" w:type="dxa"/>
            <w:vAlign w:val="bottom"/>
          </w:tcPr>
          <w:p>
            <w:pPr>
              <w:ind w:left="180"/>
              <w:spacing w:after="0"/>
              <w:rPr>
                <w:sz w:val="20"/>
                <w:szCs w:val="20"/>
                <w:color w:val="auto"/>
              </w:rPr>
            </w:pPr>
            <w:r>
              <w:rPr>
                <w:rFonts w:ascii="Arial" w:cs="Arial" w:eastAsia="Arial" w:hAnsi="Arial"/>
                <w:sz w:val="14"/>
                <w:szCs w:val="14"/>
                <w:color w:val="auto"/>
              </w:rPr>
              <w:t>State and local</w:t>
            </w:r>
          </w:p>
        </w:tc>
        <w:tc>
          <w:tcPr>
            <w:tcW w:w="480" w:type="dxa"/>
            <w:vAlign w:val="bottom"/>
          </w:tcPr>
          <w:p>
            <w:pPr>
              <w:spacing w:after="0"/>
              <w:rPr>
                <w:sz w:val="15"/>
                <w:szCs w:val="15"/>
                <w:color w:val="auto"/>
              </w:rPr>
            </w:pPr>
          </w:p>
        </w:tc>
        <w:tc>
          <w:tcPr>
            <w:tcW w:w="1600" w:type="dxa"/>
            <w:vAlign w:val="bottom"/>
            <w:gridSpan w:val="3"/>
          </w:tcPr>
          <w:p>
            <w:pPr>
              <w:ind w:left="1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tcPr>
          <w:p>
            <w:pPr>
              <w:ind w:left="48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ind w:left="1060"/>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0"/>
        </w:trPr>
        <w:tc>
          <w:tcPr>
            <w:tcW w:w="36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Foreign</w:t>
            </w:r>
          </w:p>
        </w:tc>
        <w:tc>
          <w:tcPr>
            <w:tcW w:w="480" w:type="dxa"/>
            <w:vAlign w:val="bottom"/>
            <w:tcBorders>
              <w:bottom w:val="single" w:sz="8" w:color="auto"/>
            </w:tcBorders>
            <w:shd w:val="clear" w:color="auto" w:fill="DDDDDD"/>
          </w:tcPr>
          <w:p>
            <w:pPr>
              <w:spacing w:after="0"/>
              <w:rPr>
                <w:sz w:val="15"/>
                <w:szCs w:val="15"/>
                <w:color w:val="auto"/>
              </w:rPr>
            </w:pP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760" w:type="dxa"/>
            <w:vAlign w:val="bottom"/>
            <w:tcBorders>
              <w:bottom w:val="single" w:sz="8" w:color="auto"/>
            </w:tcBorders>
            <w:shd w:val="clear" w:color="auto" w:fill="DDDDDD"/>
          </w:tcPr>
          <w:p>
            <w:pPr>
              <w:spacing w:after="0"/>
              <w:rPr>
                <w:sz w:val="15"/>
                <w:szCs w:val="15"/>
                <w:color w:val="auto"/>
              </w:rPr>
            </w:pPr>
          </w:p>
        </w:tc>
        <w:tc>
          <w:tcPr>
            <w:tcW w:w="480" w:type="dxa"/>
            <w:vAlign w:val="bottom"/>
            <w:tcBorders>
              <w:bottom w:val="single" w:sz="8" w:color="auto"/>
            </w:tcBorders>
            <w:shd w:val="clear" w:color="auto" w:fill="DDDDDD"/>
          </w:tcPr>
          <w:p>
            <w:pPr>
              <w:spacing w:after="0"/>
              <w:rPr>
                <w:sz w:val="15"/>
                <w:szCs w:val="15"/>
                <w:color w:val="auto"/>
              </w:rPr>
            </w:pPr>
          </w:p>
        </w:tc>
        <w:tc>
          <w:tcPr>
            <w:tcW w:w="80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shd w:val="clear" w:color="auto" w:fill="DDDDDD"/>
          </w:tcPr>
          <w:p>
            <w:pPr>
              <w:spacing w:after="0"/>
              <w:rPr>
                <w:sz w:val="15"/>
                <w:szCs w:val="15"/>
                <w:color w:val="auto"/>
              </w:rPr>
            </w:pPr>
          </w:p>
        </w:tc>
        <w:tc>
          <w:tcPr>
            <w:tcW w:w="60" w:type="dxa"/>
            <w:vAlign w:val="bottom"/>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22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DDDDDD"/>
            </w:tcBorders>
          </w:tcPr>
          <w:p>
            <w:pPr>
              <w:ind w:left="260"/>
              <w:spacing w:after="0"/>
              <w:rPr>
                <w:sz w:val="20"/>
                <w:szCs w:val="20"/>
                <w:color w:val="auto"/>
              </w:rPr>
            </w:pPr>
            <w:r>
              <w:rPr>
                <w:rFonts w:ascii="Arial" w:cs="Arial" w:eastAsia="Arial" w:hAnsi="Arial"/>
                <w:sz w:val="14"/>
                <w:szCs w:val="14"/>
                <w:color w:val="auto"/>
              </w:rPr>
              <w:t>Total deferred provision</w:t>
            </w:r>
          </w:p>
        </w:tc>
        <w:tc>
          <w:tcPr>
            <w:tcW w:w="4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DDDDDD"/>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DDDDDD"/>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income tax benefit / (expense)</w:t>
            </w:r>
          </w:p>
        </w:tc>
        <w:tc>
          <w:tcPr>
            <w:tcW w:w="480" w:type="dxa"/>
            <w:vAlign w:val="bottom"/>
            <w:tcBorders>
              <w:bottom w:val="single" w:sz="8" w:color="auto"/>
            </w:tcBorders>
            <w:shd w:val="clear" w:color="auto" w:fill="DDDDDD"/>
          </w:tcPr>
          <w:p>
            <w:pPr>
              <w:jc w:val="right"/>
              <w:ind w:right="30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DDDDDD"/>
          </w:tcPr>
          <w:p>
            <w:pPr>
              <w:spacing w:after="0"/>
              <w:rPr>
                <w:sz w:val="16"/>
                <w:szCs w:val="16"/>
                <w:color w:val="auto"/>
              </w:rPr>
            </w:pPr>
          </w:p>
        </w:tc>
        <w:tc>
          <w:tcPr>
            <w:tcW w:w="20" w:type="dxa"/>
            <w:vAlign w:val="bottom"/>
            <w:tcBorders>
              <w:bottom w:val="single" w:sz="8" w:color="DDDDDD"/>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589"/>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DDDDDD"/>
          </w:tcPr>
          <w:p>
            <w:pPr>
              <w:spacing w:after="0"/>
              <w:rPr>
                <w:sz w:val="16"/>
                <w:szCs w:val="16"/>
                <w:color w:val="auto"/>
              </w:rPr>
            </w:pPr>
          </w:p>
        </w:tc>
        <w:tc>
          <w:tcPr>
            <w:tcW w:w="800" w:type="dxa"/>
            <w:vAlign w:val="bottom"/>
            <w:tcBorders>
              <w:bottom w:val="single" w:sz="8" w:color="auto"/>
            </w:tcBorders>
            <w:gridSpan w:val="2"/>
            <w:shd w:val="clear" w:color="auto" w:fill="DDDDDD"/>
          </w:tcPr>
          <w:p>
            <w:pPr>
              <w:jc w:val="right"/>
              <w:spacing w:after="0"/>
              <w:rPr>
                <w:sz w:val="20"/>
                <w:szCs w:val="20"/>
                <w:color w:val="auto"/>
              </w:rPr>
            </w:pPr>
            <w:r>
              <w:rPr>
                <w:rFonts w:ascii="Arial" w:cs="Arial" w:eastAsia="Arial" w:hAnsi="Arial"/>
                <w:sz w:val="14"/>
                <w:szCs w:val="14"/>
                <w:color w:val="auto"/>
              </w:rPr>
              <w:t>0.3</w:t>
            </w:r>
          </w:p>
        </w:tc>
        <w:tc>
          <w:tcPr>
            <w:tcW w:w="20" w:type="dxa"/>
            <w:vAlign w:val="bottom"/>
            <w:tcBorders>
              <w:bottom w:val="single" w:sz="8" w:color="auto"/>
            </w:tcBorders>
            <w:shd w:val="clear" w:color="auto" w:fill="DDDDDD"/>
          </w:tcPr>
          <w:p>
            <w:pPr>
              <w:spacing w:after="0"/>
              <w:rPr>
                <w:sz w:val="16"/>
                <w:szCs w:val="16"/>
                <w:color w:val="auto"/>
              </w:rPr>
            </w:pPr>
          </w:p>
        </w:tc>
        <w:tc>
          <w:tcPr>
            <w:tcW w:w="60" w:type="dxa"/>
            <w:vAlign w:val="bottom"/>
            <w:tcBorders>
              <w:bottom w:val="single" w:sz="8" w:color="DDDDDD"/>
            </w:tcBorders>
            <w:shd w:val="clear" w:color="auto" w:fill="DDDDDD"/>
          </w:tcPr>
          <w:p>
            <w:pPr>
              <w:spacing w:after="0"/>
              <w:rPr>
                <w:sz w:val="16"/>
                <w:szCs w:val="16"/>
                <w:color w:val="auto"/>
              </w:rPr>
            </w:pPr>
          </w:p>
        </w:tc>
        <w:tc>
          <w:tcPr>
            <w:tcW w:w="560" w:type="dxa"/>
            <w:vAlign w:val="bottom"/>
            <w:tcBorders>
              <w:bottom w:val="single" w:sz="8" w:color="auto"/>
            </w:tcBorders>
            <w:shd w:val="clear" w:color="auto" w:fill="DDDDDD"/>
          </w:tcPr>
          <w:p>
            <w:pPr>
              <w:jc w:val="right"/>
              <w:ind w:right="38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1220" w:type="dxa"/>
            <w:vAlign w:val="bottom"/>
            <w:tcBorders>
              <w:bottom w:val="single" w:sz="8" w:color="auto"/>
            </w:tcBorders>
            <w:gridSpan w:val="2"/>
            <w:shd w:val="clear" w:color="auto" w:fill="DDDDDD"/>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DDDDDD"/>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56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760" w:type="dxa"/>
            <w:vAlign w:val="bottom"/>
            <w:tcBorders>
              <w:top w:val="single" w:sz="8" w:color="DDDDDD"/>
              <w:bottom w:val="single" w:sz="8" w:color="auto"/>
            </w:tcBorders>
          </w:tcPr>
          <w:p>
            <w:pPr>
              <w:spacing w:after="0" w:line="20" w:lineRule="exact"/>
              <w:rPr>
                <w:sz w:val="1"/>
                <w:szCs w:val="1"/>
                <w:color w:val="auto"/>
              </w:rPr>
            </w:pPr>
          </w:p>
        </w:tc>
        <w:tc>
          <w:tcPr>
            <w:tcW w:w="48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640" w:type="dxa"/>
            <w:vAlign w:val="bottom"/>
            <w:tcBorders>
              <w:top w:val="single" w:sz="8" w:color="DDDDDD"/>
              <w:bottom w:val="single" w:sz="8" w:color="auto"/>
            </w:tcBorders>
          </w:tcPr>
          <w:p>
            <w:pPr>
              <w:spacing w:after="0" w:line="20" w:lineRule="exact"/>
              <w:rPr>
                <w:sz w:val="1"/>
                <w:szCs w:val="1"/>
                <w:color w:val="auto"/>
              </w:rPr>
            </w:pPr>
          </w:p>
        </w:tc>
        <w:tc>
          <w:tcPr>
            <w:tcW w:w="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560" w:type="dxa"/>
            <w:vAlign w:val="bottom"/>
            <w:tcBorders>
              <w:top w:val="single" w:sz="8" w:color="DDDDDD"/>
              <w:bottom w:val="single" w:sz="8" w:color="auto"/>
            </w:tcBorders>
          </w:tcPr>
          <w:p>
            <w:pPr>
              <w:spacing w:after="0" w:line="20" w:lineRule="exact"/>
              <w:rPr>
                <w:sz w:val="1"/>
                <w:szCs w:val="1"/>
                <w:color w:val="auto"/>
              </w:rPr>
            </w:pPr>
          </w:p>
        </w:tc>
        <w:tc>
          <w:tcPr>
            <w:tcW w:w="1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116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728345</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385"/>
          </w:cols>
          <w:pgMar w:left="295" w:top="322"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485"/>
        <w:spacing w:after="0"/>
        <w:rPr>
          <w:sz w:val="20"/>
          <w:szCs w:val="20"/>
          <w:color w:val="auto"/>
        </w:rPr>
      </w:pPr>
      <w:r>
        <w:rPr>
          <w:rFonts w:ascii="Arial" w:cs="Arial" w:eastAsia="Arial" w:hAnsi="Arial"/>
          <w:sz w:val="19"/>
          <w:szCs w:val="19"/>
          <w:color w:val="auto"/>
        </w:rPr>
        <w:t>110</w:t>
      </w:r>
    </w:p>
    <w:p>
      <w:pPr>
        <w:sectPr>
          <w:pgSz w:w="11880" w:h="15480" w:orient="portrait"/>
          <w:cols w:equalWidth="0" w:num="1">
            <w:col w:w="10385"/>
          </w:cols>
          <w:pgMar w:left="295" w:top="322" w:right="1199"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significant components of the Company’s net deferred tax assets (liabilities) are as follows:</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1240" w:type="dxa"/>
            <w:vAlign w:val="bottom"/>
            <w:tcBorders>
              <w:bottom w:val="single" w:sz="8" w:color="auto"/>
            </w:tcBorders>
          </w:tcPr>
          <w:p>
            <w:pPr>
              <w:spacing w:after="0"/>
              <w:rPr>
                <w:sz w:val="16"/>
                <w:szCs w:val="16"/>
                <w:color w:val="auto"/>
              </w:rPr>
            </w:pPr>
          </w:p>
        </w:tc>
      </w:tr>
      <w:tr>
        <w:trPr>
          <w:trHeight w:val="171"/>
        </w:trPr>
        <w:tc>
          <w:tcPr>
            <w:tcW w:w="5580" w:type="dxa"/>
            <w:vAlign w:val="bottom"/>
            <w:tcBorders>
              <w:bottom w:val="single" w:sz="8" w:color="DDDDD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DDDDDD"/>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b w:val="1"/>
                <w:bCs w:val="1"/>
                <w:color w:val="auto"/>
              </w:rPr>
              <w:t>2022</w:t>
            </w:r>
          </w:p>
        </w:tc>
      </w:tr>
      <w:tr>
        <w:trPr>
          <w:trHeight w:val="172"/>
        </w:trPr>
        <w:tc>
          <w:tcPr>
            <w:tcW w:w="5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Deferred tax assets:</w:t>
            </w:r>
          </w:p>
        </w:tc>
        <w:tc>
          <w:tcPr>
            <w:tcW w:w="1240" w:type="dxa"/>
            <w:vAlign w:val="bottom"/>
            <w:tcBorders>
              <w:bottom w:val="single" w:sz="8" w:color="DDDDDD"/>
            </w:tcBorders>
            <w:shd w:val="clear" w:color="auto" w:fill="DDDDDD"/>
          </w:tcPr>
          <w:p>
            <w:pPr>
              <w:spacing w:after="0"/>
              <w:rPr>
                <w:sz w:val="14"/>
                <w:szCs w:val="14"/>
                <w:color w:val="auto"/>
              </w:rPr>
            </w:pPr>
          </w:p>
        </w:tc>
        <w:tc>
          <w:tcPr>
            <w:tcW w:w="800" w:type="dxa"/>
            <w:vAlign w:val="bottom"/>
            <w:tcBorders>
              <w:bottom w:val="single" w:sz="8" w:color="DDDDDD"/>
            </w:tcBorders>
            <w:shd w:val="clear" w:color="auto" w:fill="DDDDDD"/>
          </w:tcPr>
          <w:p>
            <w:pPr>
              <w:spacing w:after="0"/>
              <w:rPr>
                <w:sz w:val="14"/>
                <w:szCs w:val="14"/>
                <w:color w:val="auto"/>
              </w:rPr>
            </w:pPr>
          </w:p>
        </w:tc>
        <w:tc>
          <w:tcPr>
            <w:tcW w:w="100" w:type="dxa"/>
            <w:vAlign w:val="bottom"/>
            <w:tcBorders>
              <w:bottom w:val="single" w:sz="8" w:color="DDDDDD"/>
            </w:tcBorders>
            <w:shd w:val="clear" w:color="auto" w:fill="DDDDDD"/>
          </w:tcPr>
          <w:p>
            <w:pPr>
              <w:spacing w:after="0"/>
              <w:rPr>
                <w:sz w:val="14"/>
                <w:szCs w:val="14"/>
                <w:color w:val="auto"/>
              </w:rPr>
            </w:pPr>
          </w:p>
        </w:tc>
        <w:tc>
          <w:tcPr>
            <w:tcW w:w="800" w:type="dxa"/>
            <w:vAlign w:val="bottom"/>
            <w:tcBorders>
              <w:bottom w:val="single" w:sz="8" w:color="DDDDDD"/>
            </w:tcBorders>
            <w:shd w:val="clear" w:color="auto" w:fill="DDDDDD"/>
          </w:tcPr>
          <w:p>
            <w:pPr>
              <w:spacing w:after="0"/>
              <w:rPr>
                <w:sz w:val="14"/>
                <w:szCs w:val="14"/>
                <w:color w:val="auto"/>
              </w:rPr>
            </w:pPr>
          </w:p>
        </w:tc>
        <w:tc>
          <w:tcPr>
            <w:tcW w:w="1240" w:type="dxa"/>
            <w:vAlign w:val="bottom"/>
            <w:tcBorders>
              <w:bottom w:val="single" w:sz="8" w:color="DDDDDD"/>
            </w:tcBorders>
            <w:shd w:val="clear" w:color="auto" w:fill="DDDDDD"/>
          </w:tcPr>
          <w:p>
            <w:pPr>
              <w:spacing w:after="0"/>
              <w:rPr>
                <w:sz w:val="14"/>
                <w:szCs w:val="14"/>
                <w:color w:val="auto"/>
              </w:rPr>
            </w:pPr>
          </w:p>
        </w:tc>
      </w:tr>
      <w:tr>
        <w:trPr>
          <w:trHeight w:val="211"/>
        </w:trPr>
        <w:tc>
          <w:tcPr>
            <w:tcW w:w="5580" w:type="dxa"/>
            <w:vAlign w:val="bottom"/>
          </w:tcPr>
          <w:p>
            <w:pPr>
              <w:ind w:left="180"/>
              <w:spacing w:after="0"/>
              <w:rPr>
                <w:sz w:val="20"/>
                <w:szCs w:val="20"/>
                <w:color w:val="auto"/>
              </w:rPr>
            </w:pPr>
            <w:r>
              <w:rPr>
                <w:rFonts w:ascii="Arial" w:cs="Arial" w:eastAsia="Arial" w:hAnsi="Arial"/>
                <w:sz w:val="14"/>
                <w:szCs w:val="14"/>
                <w:color w:val="auto"/>
              </w:rPr>
              <w:t>Federal and state net operating loss carryforwards</w:t>
            </w:r>
          </w:p>
        </w:tc>
        <w:tc>
          <w:tcPr>
            <w:tcW w:w="1240" w:type="dxa"/>
            <w:vAlign w:val="bottom"/>
          </w:tcPr>
          <w:p>
            <w:pPr>
              <w:jc w:val="right"/>
              <w:ind w:right="106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8"/>
                <w:szCs w:val="18"/>
                <w:color w:val="auto"/>
              </w:rPr>
            </w:pPr>
          </w:p>
        </w:tc>
        <w:tc>
          <w:tcPr>
            <w:tcW w:w="800" w:type="dxa"/>
            <w:vAlign w:val="bottom"/>
          </w:tcPr>
          <w:p>
            <w:pPr>
              <w:jc w:val="right"/>
              <w:ind w:right="6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213"/>
        </w:trPr>
        <w:tc>
          <w:tcPr>
            <w:tcW w:w="5580" w:type="dxa"/>
            <w:vAlign w:val="bottom"/>
            <w:shd w:val="clear" w:color="auto" w:fill="DDDDDD"/>
          </w:tcPr>
          <w:p>
            <w:pPr>
              <w:ind w:left="160"/>
              <w:spacing w:after="0"/>
              <w:rPr>
                <w:sz w:val="20"/>
                <w:szCs w:val="20"/>
                <w:color w:val="auto"/>
              </w:rPr>
            </w:pPr>
            <w:r>
              <w:rPr>
                <w:rFonts w:ascii="Arial" w:cs="Arial" w:eastAsia="Arial" w:hAnsi="Arial"/>
                <w:sz w:val="14"/>
                <w:szCs w:val="14"/>
                <w:color w:val="auto"/>
              </w:rPr>
              <w:t>Customer credit liabilities</w:t>
            </w:r>
          </w:p>
        </w:tc>
        <w:tc>
          <w:tcPr>
            <w:tcW w:w="1240" w:type="dxa"/>
            <w:vAlign w:val="bottom"/>
            <w:shd w:val="clear" w:color="auto" w:fill="DDDDDD"/>
          </w:tcPr>
          <w:p>
            <w:pPr>
              <w:spacing w:after="0"/>
              <w:rPr>
                <w:sz w:val="18"/>
                <w:szCs w:val="18"/>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w:t>
            </w:r>
          </w:p>
        </w:tc>
      </w:tr>
      <w:tr>
        <w:trPr>
          <w:trHeight w:val="180"/>
        </w:trPr>
        <w:tc>
          <w:tcPr>
            <w:tcW w:w="5580" w:type="dxa"/>
            <w:vAlign w:val="bottom"/>
          </w:tcPr>
          <w:p>
            <w:pPr>
              <w:ind w:left="180"/>
              <w:spacing w:after="0"/>
              <w:rPr>
                <w:sz w:val="20"/>
                <w:szCs w:val="20"/>
                <w:color w:val="auto"/>
              </w:rPr>
            </w:pPr>
            <w:r>
              <w:rPr>
                <w:rFonts w:ascii="Arial" w:cs="Arial" w:eastAsia="Arial" w:hAnsi="Arial"/>
                <w:sz w:val="14"/>
                <w:szCs w:val="14"/>
                <w:color w:val="auto"/>
              </w:rPr>
              <w:t>Interest limitation</w:t>
            </w:r>
          </w:p>
        </w:tc>
        <w:tc>
          <w:tcPr>
            <w:tcW w:w="1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40.5</w:t>
            </w:r>
          </w:p>
        </w:tc>
      </w:tr>
      <w:tr>
        <w:trPr>
          <w:trHeight w:val="180"/>
        </w:trPr>
        <w:tc>
          <w:tcPr>
            <w:tcW w:w="55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Capitalized R&amp;D expenses</w:t>
            </w:r>
          </w:p>
        </w:tc>
        <w:tc>
          <w:tcPr>
            <w:tcW w:w="1240" w:type="dxa"/>
            <w:vAlign w:val="bottom"/>
            <w:shd w:val="clear" w:color="auto" w:fill="DDDDDD"/>
          </w:tcPr>
          <w:p>
            <w:pPr>
              <w:spacing w:after="0"/>
              <w:rPr>
                <w:sz w:val="15"/>
                <w:szCs w:val="15"/>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580" w:type="dxa"/>
            <w:vAlign w:val="bottom"/>
          </w:tcPr>
          <w:p>
            <w:pPr>
              <w:ind w:left="180"/>
              <w:spacing w:after="0"/>
              <w:rPr>
                <w:sz w:val="20"/>
                <w:szCs w:val="20"/>
                <w:color w:val="auto"/>
              </w:rPr>
            </w:pPr>
            <w:r>
              <w:rPr>
                <w:rFonts w:ascii="Arial" w:cs="Arial" w:eastAsia="Arial" w:hAnsi="Arial"/>
                <w:sz w:val="14"/>
                <w:szCs w:val="14"/>
                <w:color w:val="auto"/>
              </w:rPr>
              <w:t>Tax credits</w:t>
            </w:r>
          </w:p>
        </w:tc>
        <w:tc>
          <w:tcPr>
            <w:tcW w:w="1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55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Share-based compensation</w:t>
            </w:r>
          </w:p>
        </w:tc>
        <w:tc>
          <w:tcPr>
            <w:tcW w:w="1240" w:type="dxa"/>
            <w:vAlign w:val="bottom"/>
            <w:shd w:val="clear" w:color="auto" w:fill="DDDDDD"/>
          </w:tcPr>
          <w:p>
            <w:pPr>
              <w:spacing w:after="0"/>
              <w:rPr>
                <w:sz w:val="15"/>
                <w:szCs w:val="15"/>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DDDDDD"/>
          </w:tcPr>
          <w:p>
            <w:pPr>
              <w:spacing w:after="0"/>
              <w:rPr>
                <w:sz w:val="15"/>
                <w:szCs w:val="15"/>
                <w:color w:val="auto"/>
              </w:rPr>
            </w:pPr>
          </w:p>
        </w:tc>
        <w:tc>
          <w:tcPr>
            <w:tcW w:w="800" w:type="dxa"/>
            <w:vAlign w:val="bottom"/>
            <w:shd w:val="clear" w:color="auto" w:fill="DDDDDD"/>
          </w:tcPr>
          <w:p>
            <w:pPr>
              <w:spacing w:after="0"/>
              <w:rPr>
                <w:sz w:val="15"/>
                <w:szCs w:val="15"/>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5580" w:type="dxa"/>
            <w:vAlign w:val="bottom"/>
          </w:tcPr>
          <w:p>
            <w:pPr>
              <w:ind w:left="180"/>
              <w:spacing w:after="0"/>
              <w:rPr>
                <w:sz w:val="20"/>
                <w:szCs w:val="20"/>
                <w:color w:val="auto"/>
              </w:rPr>
            </w:pPr>
            <w:r>
              <w:rPr>
                <w:rFonts w:ascii="Arial" w:cs="Arial" w:eastAsia="Arial" w:hAnsi="Arial"/>
                <w:sz w:val="14"/>
                <w:szCs w:val="14"/>
                <w:color w:val="auto"/>
              </w:rPr>
              <w:t>Operating lease liabilities</w:t>
            </w:r>
          </w:p>
        </w:tc>
        <w:tc>
          <w:tcPr>
            <w:tcW w:w="1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00"/>
        </w:trPr>
        <w:tc>
          <w:tcPr>
            <w:tcW w:w="5580" w:type="dxa"/>
            <w:vAlign w:val="bottom"/>
            <w:tcBorders>
              <w:bottom w:val="single" w:sz="8" w:color="DDDDDD"/>
            </w:tcBorders>
            <w:shd w:val="clear" w:color="auto" w:fill="DDDDDD"/>
          </w:tcPr>
          <w:p>
            <w:pPr>
              <w:ind w:left="180"/>
              <w:spacing w:after="0"/>
              <w:rPr>
                <w:sz w:val="20"/>
                <w:szCs w:val="20"/>
                <w:color w:val="auto"/>
              </w:rPr>
            </w:pPr>
            <w:r>
              <w:rPr>
                <w:rFonts w:ascii="Arial" w:cs="Arial" w:eastAsia="Arial" w:hAnsi="Arial"/>
                <w:sz w:val="14"/>
                <w:szCs w:val="14"/>
                <w:color w:val="auto"/>
              </w:rPr>
              <w:t>Other</w:t>
            </w:r>
          </w:p>
        </w:tc>
        <w:tc>
          <w:tcPr>
            <w:tcW w:w="1240" w:type="dxa"/>
            <w:vAlign w:val="bottom"/>
            <w:tcBorders>
              <w:bottom w:val="single" w:sz="8" w:color="auto"/>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DDDDDD"/>
            </w:tcBorders>
            <w:shd w:val="clear" w:color="auto" w:fill="DDDDDD"/>
          </w:tcPr>
          <w:p>
            <w:pPr>
              <w:spacing w:after="0"/>
              <w:rPr>
                <w:sz w:val="17"/>
                <w:szCs w:val="17"/>
                <w:color w:val="auto"/>
              </w:rPr>
            </w:pPr>
          </w:p>
        </w:tc>
        <w:tc>
          <w:tcPr>
            <w:tcW w:w="80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0.4</w:t>
            </w:r>
          </w:p>
        </w:tc>
      </w:tr>
      <w:tr>
        <w:trPr>
          <w:trHeight w:val="151"/>
        </w:trPr>
        <w:tc>
          <w:tcPr>
            <w:tcW w:w="5580" w:type="dxa"/>
            <w:vAlign w:val="bottom"/>
            <w:tcBorders>
              <w:bottom w:val="single" w:sz="8" w:color="DDDDDD"/>
            </w:tcBorders>
          </w:tcPr>
          <w:p>
            <w:pPr>
              <w:ind w:left="260"/>
              <w:spacing w:after="0" w:line="151" w:lineRule="exact"/>
              <w:rPr>
                <w:sz w:val="20"/>
                <w:szCs w:val="20"/>
                <w:color w:val="auto"/>
              </w:rPr>
            </w:pPr>
            <w:r>
              <w:rPr>
                <w:rFonts w:ascii="Arial" w:cs="Arial" w:eastAsia="Arial" w:hAnsi="Arial"/>
                <w:sz w:val="14"/>
                <w:szCs w:val="14"/>
                <w:color w:val="auto"/>
              </w:rPr>
              <w:t>Total deferred tax assets</w:t>
            </w:r>
          </w:p>
        </w:tc>
        <w:tc>
          <w:tcPr>
            <w:tcW w:w="1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240.7</w:t>
            </w:r>
          </w:p>
        </w:tc>
        <w:tc>
          <w:tcPr>
            <w:tcW w:w="100" w:type="dxa"/>
            <w:vAlign w:val="bottom"/>
            <w:tcBorders>
              <w:bottom w:val="single" w:sz="8" w:color="DDDDDD"/>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color w:val="auto"/>
              </w:rPr>
              <w:t>214.4</w:t>
            </w:r>
          </w:p>
        </w:tc>
      </w:tr>
      <w:tr>
        <w:trPr>
          <w:trHeight w:val="172"/>
        </w:trPr>
        <w:tc>
          <w:tcPr>
            <w:tcW w:w="5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Deferred tax liabilities:</w:t>
            </w:r>
          </w:p>
        </w:tc>
        <w:tc>
          <w:tcPr>
            <w:tcW w:w="1240" w:type="dxa"/>
            <w:vAlign w:val="bottom"/>
            <w:tcBorders>
              <w:bottom w:val="single" w:sz="8" w:color="DDDDDD"/>
            </w:tcBorders>
            <w:shd w:val="clear" w:color="auto" w:fill="DDDDDD"/>
          </w:tcPr>
          <w:p>
            <w:pPr>
              <w:spacing w:after="0"/>
              <w:rPr>
                <w:sz w:val="14"/>
                <w:szCs w:val="14"/>
                <w:color w:val="auto"/>
              </w:rPr>
            </w:pPr>
          </w:p>
        </w:tc>
        <w:tc>
          <w:tcPr>
            <w:tcW w:w="800" w:type="dxa"/>
            <w:vAlign w:val="bottom"/>
            <w:tcBorders>
              <w:bottom w:val="single" w:sz="8" w:color="DDDDDD"/>
            </w:tcBorders>
            <w:shd w:val="clear" w:color="auto" w:fill="DDDDDD"/>
          </w:tcPr>
          <w:p>
            <w:pPr>
              <w:spacing w:after="0"/>
              <w:rPr>
                <w:sz w:val="14"/>
                <w:szCs w:val="14"/>
                <w:color w:val="auto"/>
              </w:rPr>
            </w:pPr>
          </w:p>
        </w:tc>
        <w:tc>
          <w:tcPr>
            <w:tcW w:w="100" w:type="dxa"/>
            <w:vAlign w:val="bottom"/>
            <w:tcBorders>
              <w:bottom w:val="single" w:sz="8" w:color="DDDDDD"/>
            </w:tcBorders>
            <w:shd w:val="clear" w:color="auto" w:fill="DDDDDD"/>
          </w:tcPr>
          <w:p>
            <w:pPr>
              <w:spacing w:after="0"/>
              <w:rPr>
                <w:sz w:val="14"/>
                <w:szCs w:val="14"/>
                <w:color w:val="auto"/>
              </w:rPr>
            </w:pPr>
          </w:p>
        </w:tc>
        <w:tc>
          <w:tcPr>
            <w:tcW w:w="800" w:type="dxa"/>
            <w:vAlign w:val="bottom"/>
            <w:tcBorders>
              <w:bottom w:val="single" w:sz="8" w:color="DDDDDD"/>
            </w:tcBorders>
            <w:shd w:val="clear" w:color="auto" w:fill="DDDDDD"/>
          </w:tcPr>
          <w:p>
            <w:pPr>
              <w:spacing w:after="0"/>
              <w:rPr>
                <w:sz w:val="14"/>
                <w:szCs w:val="14"/>
                <w:color w:val="auto"/>
              </w:rPr>
            </w:pPr>
          </w:p>
        </w:tc>
        <w:tc>
          <w:tcPr>
            <w:tcW w:w="1240" w:type="dxa"/>
            <w:vAlign w:val="bottom"/>
            <w:tcBorders>
              <w:bottom w:val="single" w:sz="8" w:color="DDDDDD"/>
            </w:tcBorders>
            <w:shd w:val="clear" w:color="auto" w:fill="DDDDDD"/>
          </w:tcPr>
          <w:p>
            <w:pPr>
              <w:spacing w:after="0"/>
              <w:rPr>
                <w:sz w:val="14"/>
                <w:szCs w:val="14"/>
                <w:color w:val="auto"/>
              </w:rPr>
            </w:pPr>
          </w:p>
        </w:tc>
      </w:tr>
      <w:tr>
        <w:trPr>
          <w:trHeight w:val="180"/>
        </w:trPr>
        <w:tc>
          <w:tcPr>
            <w:tcW w:w="5580" w:type="dxa"/>
            <w:vAlign w:val="bottom"/>
          </w:tcPr>
          <w:p>
            <w:pPr>
              <w:ind w:left="180"/>
              <w:spacing w:after="0"/>
              <w:rPr>
                <w:sz w:val="20"/>
                <w:szCs w:val="20"/>
                <w:color w:val="auto"/>
              </w:rPr>
            </w:pPr>
            <w:r>
              <w:rPr>
                <w:rFonts w:ascii="Arial" w:cs="Arial" w:eastAsia="Arial" w:hAnsi="Arial"/>
                <w:sz w:val="14"/>
                <w:szCs w:val="14"/>
                <w:color w:val="auto"/>
              </w:rPr>
              <w:t>Fixed assets</w:t>
            </w:r>
          </w:p>
        </w:tc>
        <w:tc>
          <w:tcPr>
            <w:tcW w:w="1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5580" w:type="dxa"/>
            <w:vAlign w:val="bottom"/>
            <w:shd w:val="clear" w:color="auto" w:fill="DDDDDD"/>
          </w:tcPr>
          <w:p>
            <w:pPr>
              <w:ind w:left="180"/>
              <w:spacing w:after="0"/>
              <w:rPr>
                <w:sz w:val="20"/>
                <w:szCs w:val="20"/>
                <w:color w:val="auto"/>
              </w:rPr>
            </w:pPr>
            <w:r>
              <w:rPr>
                <w:rFonts w:ascii="Arial" w:cs="Arial" w:eastAsia="Arial" w:hAnsi="Arial"/>
                <w:sz w:val="14"/>
                <w:szCs w:val="14"/>
                <w:color w:val="auto"/>
              </w:rPr>
              <w:t>Operating lease right-of-use assets</w:t>
            </w:r>
          </w:p>
        </w:tc>
        <w:tc>
          <w:tcPr>
            <w:tcW w:w="1240" w:type="dxa"/>
            <w:vAlign w:val="bottom"/>
            <w:tcBorders>
              <w:bottom w:val="single" w:sz="8" w:color="auto"/>
            </w:tcBorders>
            <w:shd w:val="clear" w:color="auto" w:fill="DDDDDD"/>
          </w:tcPr>
          <w:p>
            <w:pPr>
              <w:spacing w:after="0"/>
              <w:rPr>
                <w:sz w:val="15"/>
                <w:szCs w:val="15"/>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DDDDDD"/>
          </w:tcPr>
          <w:p>
            <w:pPr>
              <w:spacing w:after="0"/>
              <w:rPr>
                <w:sz w:val="15"/>
                <w:szCs w:val="15"/>
                <w:color w:val="auto"/>
              </w:rPr>
            </w:pPr>
          </w:p>
        </w:tc>
        <w:tc>
          <w:tcPr>
            <w:tcW w:w="800" w:type="dxa"/>
            <w:vAlign w:val="bottom"/>
            <w:tcBorders>
              <w:bottom w:val="single" w:sz="8" w:color="auto"/>
            </w:tcBorders>
            <w:shd w:val="clear" w:color="auto" w:fill="DDDDDD"/>
          </w:tcPr>
          <w:p>
            <w:pPr>
              <w:spacing w:after="0"/>
              <w:rPr>
                <w:sz w:val="15"/>
                <w:szCs w:val="15"/>
                <w:color w:val="auto"/>
              </w:rPr>
            </w:pP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5580" w:type="dxa"/>
            <w:vAlign w:val="bottom"/>
            <w:tcBorders>
              <w:bottom w:val="single" w:sz="8" w:color="DDDDDD"/>
            </w:tcBorders>
          </w:tcPr>
          <w:p>
            <w:pPr>
              <w:ind w:left="260"/>
              <w:spacing w:after="0"/>
              <w:rPr>
                <w:sz w:val="20"/>
                <w:szCs w:val="20"/>
                <w:color w:val="auto"/>
              </w:rPr>
            </w:pPr>
            <w:r>
              <w:rPr>
                <w:rFonts w:ascii="Arial" w:cs="Arial" w:eastAsia="Arial" w:hAnsi="Arial"/>
                <w:sz w:val="14"/>
                <w:szCs w:val="14"/>
                <w:color w:val="auto"/>
              </w:rPr>
              <w:t>Total deferred tax liabilities</w:t>
            </w:r>
          </w:p>
        </w:tc>
        <w:tc>
          <w:tcPr>
            <w:tcW w:w="1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DDDDDD"/>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r>
      <w:tr>
        <w:trPr>
          <w:trHeight w:val="192"/>
        </w:trPr>
        <w:tc>
          <w:tcPr>
            <w:tcW w:w="558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deferred tax assets before valuation allowance</w:t>
            </w:r>
          </w:p>
        </w:tc>
        <w:tc>
          <w:tcPr>
            <w:tcW w:w="1240" w:type="dxa"/>
            <w:vAlign w:val="bottom"/>
            <w:shd w:val="clear" w:color="auto" w:fill="DDDDDD"/>
          </w:tcPr>
          <w:p>
            <w:pPr>
              <w:spacing w:after="0"/>
              <w:rPr>
                <w:sz w:val="16"/>
                <w:szCs w:val="16"/>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2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201.3</w:t>
            </w:r>
          </w:p>
        </w:tc>
      </w:tr>
      <w:tr>
        <w:trPr>
          <w:trHeight w:val="180"/>
        </w:trPr>
        <w:tc>
          <w:tcPr>
            <w:tcW w:w="55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Less valuation allowance</w:t>
            </w:r>
          </w:p>
        </w:tc>
        <w:tc>
          <w:tcPr>
            <w:tcW w:w="1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DDDDDD"/>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r>
      <w:tr>
        <w:trPr>
          <w:trHeight w:val="196"/>
        </w:trPr>
        <w:tc>
          <w:tcPr>
            <w:tcW w:w="5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Net deferred tax assets</w:t>
            </w:r>
          </w:p>
        </w:tc>
        <w:tc>
          <w:tcPr>
            <w:tcW w:w="1240" w:type="dxa"/>
            <w:vAlign w:val="bottom"/>
            <w:tcBorders>
              <w:bottom w:val="single" w:sz="8" w:color="auto"/>
            </w:tcBorders>
            <w:shd w:val="clear" w:color="auto" w:fill="DDDDDD"/>
          </w:tcPr>
          <w:p>
            <w:pPr>
              <w:jc w:val="right"/>
              <w:ind w:right="106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DDDDDD"/>
            </w:tcBorders>
            <w:shd w:val="clear" w:color="auto" w:fill="DDDDDD"/>
          </w:tcPr>
          <w:p>
            <w:pPr>
              <w:spacing w:after="0"/>
              <w:rPr>
                <w:sz w:val="16"/>
                <w:szCs w:val="16"/>
                <w:color w:val="auto"/>
              </w:rPr>
            </w:pPr>
          </w:p>
        </w:tc>
        <w:tc>
          <w:tcPr>
            <w:tcW w:w="800" w:type="dxa"/>
            <w:vAlign w:val="bottom"/>
            <w:tcBorders>
              <w:bottom w:val="single" w:sz="8" w:color="auto"/>
            </w:tcBorders>
            <w:shd w:val="clear" w:color="auto" w:fill="DDDDDD"/>
          </w:tcPr>
          <w:p>
            <w:pPr>
              <w:jc w:val="right"/>
              <w:ind w:right="6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0.3</w:t>
            </w:r>
          </w:p>
        </w:tc>
      </w:tr>
      <w:tr>
        <w:trPr>
          <w:trHeight w:val="20"/>
        </w:trPr>
        <w:tc>
          <w:tcPr>
            <w:tcW w:w="5580" w:type="dxa"/>
            <w:vAlign w:val="bottom"/>
            <w:tcBorders>
              <w:top w:val="single" w:sz="8" w:color="DDDDDD"/>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00" w:type="dxa"/>
            <w:vAlign w:val="bottom"/>
            <w:tcBorders>
              <w:top w:val="single" w:sz="8" w:color="DDDDDD"/>
              <w:bottom w:val="single" w:sz="8" w:color="auto"/>
            </w:tcBorders>
          </w:tcPr>
          <w:p>
            <w:pPr>
              <w:spacing w:after="0" w:line="20" w:lineRule="exact"/>
              <w:rPr>
                <w:sz w:val="1"/>
                <w:szCs w:val="1"/>
                <w:color w:val="auto"/>
              </w:rPr>
            </w:pPr>
          </w:p>
        </w:tc>
        <w:tc>
          <w:tcPr>
            <w:tcW w:w="1240" w:type="dxa"/>
            <w:vAlign w:val="bottom"/>
            <w:tcBorders>
              <w:top w:val="single" w:sz="8" w:color="DDDDDD"/>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80" w:right="200"/>
        <w:spacing w:after="0" w:line="271" w:lineRule="auto"/>
        <w:rPr>
          <w:sz w:val="20"/>
          <w:szCs w:val="20"/>
          <w:color w:val="auto"/>
        </w:rPr>
      </w:pPr>
      <w:r>
        <w:rPr>
          <w:rFonts w:ascii="Arial" w:cs="Arial" w:eastAsia="Arial" w:hAnsi="Arial"/>
          <w:sz w:val="14"/>
          <w:szCs w:val="14"/>
          <w:color w:val="auto"/>
        </w:rPr>
        <w:t>Provisions enacted in the Tax Reform Act in December 2017 related to the capitalization of research and experimental expenditures became effective on January 1, 2022. These provisions require us to capitalize research and experimental expenditures and amortize them for tax purposes over five or fifteen years, depending on where the research is conducted. The capitalized expenses do not significantly impact our effective tax rate.</w:t>
      </w:r>
    </w:p>
    <w:p>
      <w:pPr>
        <w:spacing w:after="0" w:line="155" w:lineRule="exact"/>
        <w:rPr>
          <w:sz w:val="20"/>
          <w:szCs w:val="20"/>
          <w:color w:val="auto"/>
        </w:rPr>
      </w:pPr>
    </w:p>
    <w:p>
      <w:pPr>
        <w:ind w:left="380" w:right="140"/>
        <w:spacing w:after="0" w:line="271" w:lineRule="auto"/>
        <w:rPr>
          <w:sz w:val="20"/>
          <w:szCs w:val="20"/>
          <w:color w:val="auto"/>
        </w:rPr>
      </w:pPr>
      <w:r>
        <w:rPr>
          <w:rFonts w:ascii="Arial" w:cs="Arial" w:eastAsia="Arial" w:hAnsi="Arial"/>
          <w:sz w:val="14"/>
          <w:szCs w:val="14"/>
          <w:color w:val="auto"/>
        </w:rPr>
        <w:t>As of January 31, 2023 and 2022, the Company maintained a valuation allowance against all of its U.S. deferred tax assets since, in the judgment of management, the realization of these assets was not considered more likely than not. The net change in the total valuation allowance for the years ended January 31, 2023 and 2022 was an increase of $31.4 million and $42.0 million, respectively. The Company’s deferred tax assets are included in other assets on the consolidated balance sheets.</w:t>
      </w:r>
    </w:p>
    <w:p>
      <w:pPr>
        <w:spacing w:after="0" w:line="155"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January 31, 2023, the Company had federal net operating loss tax carryforwards of approximately $596.0 million. Approximately $152.0 million of the net operating loss carryforwards will expire at various times through 2038, while $444.0 million will not expire.</w:t>
      </w:r>
    </w:p>
    <w:p>
      <w:pPr>
        <w:spacing w:after="0" w:line="141" w:lineRule="exact"/>
        <w:rPr>
          <w:sz w:val="20"/>
          <w:szCs w:val="20"/>
          <w:color w:val="auto"/>
        </w:rPr>
      </w:pPr>
    </w:p>
    <w:p>
      <w:pPr>
        <w:ind w:left="380" w:right="40"/>
        <w:spacing w:after="0" w:line="262" w:lineRule="auto"/>
        <w:rPr>
          <w:sz w:val="20"/>
          <w:szCs w:val="20"/>
          <w:color w:val="auto"/>
        </w:rPr>
      </w:pPr>
      <w:r>
        <w:rPr>
          <w:rFonts w:ascii="Arial" w:cs="Arial" w:eastAsia="Arial" w:hAnsi="Arial"/>
          <w:sz w:val="14"/>
          <w:szCs w:val="14"/>
          <w:color w:val="auto"/>
        </w:rPr>
        <w:t>In general, under Section 382 of the Internal Revenue Code of 1986, as amended (the “Code”), a corporation that undergoes an “ownership change” is subject to limitations on its ability to utilize its net operating losses (“NOLs”) to offset future taxable income. The Company has determined that as of March 2021, it had undergone one ownership change on February 16, 2010, and its NOLs arising before that date are subject to Section 382 limitations. These limitations will not materially limit the use of such NOLs to offset the Company’s future taxable income. Any ownership change occurring after March 2021 may result in the imposition of additional limitations on the Company’s ability to utilize NOLs existing at the time of the ownership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560070</wp:posOffset>
            </wp:positionV>
            <wp:extent cx="3238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0"/>
          </w:cols>
          <w:pgMar w:left="300" w:top="322"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111</w:t>
      </w:r>
    </w:p>
    <w:p>
      <w:pPr>
        <w:sectPr>
          <w:pgSz w:w="11880" w:h="15480" w:orient="portrait"/>
          <w:cols w:equalWidth="0" w:num="1">
            <w:col w:w="11200"/>
          </w:cols>
          <w:pgMar w:left="300" w:top="322" w:right="379" w:bottom="0" w:gutter="0" w:footer="0" w:header="0"/>
          <w:type w:val="continuous"/>
        </w:sectPr>
      </w:pPr>
    </w:p>
    <w:bookmarkStart w:id="119" w:name="page120"/>
    <w:bookmarkEnd w:id="119"/>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260"/>
        <w:spacing w:after="0" w:line="290" w:lineRule="auto"/>
        <w:rPr>
          <w:sz w:val="20"/>
          <w:szCs w:val="20"/>
          <w:color w:val="auto"/>
        </w:rPr>
      </w:pPr>
      <w:r>
        <w:rPr>
          <w:rFonts w:ascii="Arial" w:cs="Arial" w:eastAsia="Arial" w:hAnsi="Arial"/>
          <w:sz w:val="14"/>
          <w:szCs w:val="14"/>
          <w:color w:val="auto"/>
        </w:rPr>
        <w:t>The benefit for income taxes differs from the amount computed by applying the statutory U.S. Federal income tax rate to pretax loss because of the effect of the following items:</w:t>
      </w:r>
    </w:p>
    <w:p>
      <w:pPr>
        <w:spacing w:after="0" w:line="173"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Year Ended January 31,</w:t>
      </w:r>
    </w:p>
    <w:p>
      <w:pPr>
        <w:spacing w:after="0" w:line="2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4380" w:type="dxa"/>
            <w:vAlign w:val="bottom"/>
            <w:tcBorders>
              <w:bottom w:val="single" w:sz="8" w:color="DDDDDD"/>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DDDDDD"/>
            </w:tcBorders>
          </w:tcPr>
          <w:p>
            <w:pPr>
              <w:spacing w:after="0"/>
              <w:rPr>
                <w:sz w:val="14"/>
                <w:szCs w:val="14"/>
                <w:color w:val="auto"/>
              </w:rPr>
            </w:pPr>
          </w:p>
        </w:tc>
        <w:tc>
          <w:tcPr>
            <w:tcW w:w="1920" w:type="dxa"/>
            <w:vAlign w:val="bottom"/>
            <w:tcBorders>
              <w:top w:val="single" w:sz="8" w:color="auto"/>
              <w:bottom w:val="single" w:sz="8" w:color="auto"/>
            </w:tcBorders>
          </w:tcPr>
          <w:p>
            <w:pPr>
              <w:jc w:val="right"/>
              <w:ind w:right="7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DDDDDD"/>
            </w:tcBorders>
          </w:tcPr>
          <w:p>
            <w:pPr>
              <w:spacing w:after="0"/>
              <w:rPr>
                <w:sz w:val="14"/>
                <w:szCs w:val="14"/>
                <w:color w:val="auto"/>
              </w:rPr>
            </w:pPr>
          </w:p>
        </w:tc>
        <w:tc>
          <w:tcPr>
            <w:tcW w:w="190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rPr>
              <w:t>2021</w:t>
            </w:r>
          </w:p>
        </w:tc>
      </w:tr>
      <w:tr>
        <w:trPr>
          <w:trHeight w:val="171"/>
        </w:trPr>
        <w:tc>
          <w:tcPr>
            <w:tcW w:w="438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Compute “expected” tax benefit</w:t>
            </w:r>
          </w:p>
        </w:tc>
        <w:tc>
          <w:tcPr>
            <w:tcW w:w="1220" w:type="dxa"/>
            <w:vAlign w:val="bottom"/>
            <w:shd w:val="clear" w:color="auto" w:fill="DDDDDD"/>
          </w:tcPr>
          <w:p>
            <w:pPr>
              <w:spacing w:after="0"/>
              <w:rPr>
                <w:sz w:val="14"/>
                <w:szCs w:val="14"/>
                <w:color w:val="auto"/>
              </w:rPr>
            </w:pP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21.00 %</w:t>
            </w:r>
          </w:p>
        </w:tc>
        <w:tc>
          <w:tcPr>
            <w:tcW w:w="100" w:type="dxa"/>
            <w:vAlign w:val="bottom"/>
            <w:shd w:val="clear" w:color="auto" w:fill="DDDDDD"/>
          </w:tcPr>
          <w:p>
            <w:pPr>
              <w:spacing w:after="0"/>
              <w:rPr>
                <w:sz w:val="14"/>
                <w:szCs w:val="14"/>
                <w:color w:val="auto"/>
              </w:rPr>
            </w:pPr>
          </w:p>
        </w:tc>
        <w:tc>
          <w:tcPr>
            <w:tcW w:w="1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21.00 %</w:t>
            </w:r>
          </w:p>
        </w:tc>
        <w:tc>
          <w:tcPr>
            <w:tcW w:w="80" w:type="dxa"/>
            <w:vAlign w:val="bottom"/>
            <w:shd w:val="clear" w:color="auto" w:fill="DDDDDD"/>
          </w:tcPr>
          <w:p>
            <w:pPr>
              <w:spacing w:after="0"/>
              <w:rPr>
                <w:sz w:val="14"/>
                <w:szCs w:val="14"/>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21.00 %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6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(0.01)%</w:t>
            </w:r>
          </w:p>
        </w:tc>
        <w:tc>
          <w:tcPr>
            <w:tcW w:w="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180"/>
        </w:trPr>
        <w:tc>
          <w:tcPr>
            <w:tcW w:w="5600" w:type="dxa"/>
            <w:vAlign w:val="bottom"/>
            <w:gridSpan w:val="2"/>
            <w:shd w:val="clear" w:color="auto" w:fill="DDDDDD"/>
          </w:tcPr>
          <w:p>
            <w:pPr>
              <w:ind w:left="20"/>
              <w:spacing w:after="0"/>
              <w:rPr>
                <w:sz w:val="20"/>
                <w:szCs w:val="20"/>
                <w:color w:val="auto"/>
              </w:rPr>
            </w:pPr>
            <w:r>
              <w:rPr>
                <w:rFonts w:ascii="Arial" w:cs="Arial" w:eastAsia="Arial" w:hAnsi="Arial"/>
                <w:sz w:val="14"/>
                <w:szCs w:val="14"/>
                <w:color w:val="auto"/>
              </w:rPr>
              <w:t>Valuation of warrants</w:t>
            </w:r>
          </w:p>
        </w:tc>
        <w:tc>
          <w:tcPr>
            <w:tcW w:w="780" w:type="dxa"/>
            <w:vAlign w:val="bottom"/>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 %</w:t>
            </w:r>
          </w:p>
        </w:tc>
        <w:tc>
          <w:tcPr>
            <w:tcW w:w="1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(2.47)%</w:t>
            </w:r>
          </w:p>
        </w:tc>
        <w:tc>
          <w:tcPr>
            <w:tcW w:w="80" w:type="dxa"/>
            <w:vAlign w:val="bottom"/>
            <w:shd w:val="clear" w:color="auto" w:fill="DDDDDD"/>
          </w:tcPr>
          <w:p>
            <w:pPr>
              <w:spacing w:after="0"/>
              <w:rPr>
                <w:sz w:val="15"/>
                <w:szCs w:val="15"/>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Nondeductible transaction costs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920" w:type="dxa"/>
            <w:vAlign w:val="bottom"/>
          </w:tcPr>
          <w:p>
            <w:pPr>
              <w:jc w:val="right"/>
              <w:spacing w:after="0"/>
              <w:rPr>
                <w:sz w:val="20"/>
                <w:szCs w:val="20"/>
                <w:color w:val="auto"/>
              </w:rPr>
            </w:pPr>
            <w:r>
              <w:rPr>
                <w:rFonts w:ascii="Arial" w:cs="Arial" w:eastAsia="Arial" w:hAnsi="Arial"/>
                <w:sz w:val="14"/>
                <w:szCs w:val="14"/>
                <w:color w:val="auto"/>
              </w:rPr>
              <w:t>(0.44)%</w:t>
            </w:r>
          </w:p>
        </w:tc>
        <w:tc>
          <w:tcPr>
            <w:tcW w:w="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shd w:val="clear" w:color="auto" w:fill="DDDDDD"/>
          </w:tcPr>
          <w:p>
            <w:pPr>
              <w:ind w:left="20"/>
              <w:spacing w:after="0"/>
              <w:rPr>
                <w:sz w:val="20"/>
                <w:szCs w:val="20"/>
                <w:color w:val="auto"/>
              </w:rPr>
            </w:pPr>
            <w:r>
              <w:rPr>
                <w:rFonts w:ascii="Arial" w:cs="Arial" w:eastAsia="Arial" w:hAnsi="Arial"/>
                <w:sz w:val="14"/>
                <w:szCs w:val="14"/>
                <w:color w:val="auto"/>
              </w:rPr>
              <w:t>Nondeductible compensation</w:t>
            </w: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DDDDDD"/>
          </w:tcPr>
          <w:p>
            <w:pPr>
              <w:spacing w:after="0"/>
              <w:rPr>
                <w:sz w:val="15"/>
                <w:szCs w:val="15"/>
                <w:color w:val="auto"/>
              </w:rPr>
            </w:pPr>
          </w:p>
        </w:tc>
        <w:tc>
          <w:tcPr>
            <w:tcW w:w="1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(1.17)%</w:t>
            </w:r>
          </w:p>
        </w:tc>
        <w:tc>
          <w:tcPr>
            <w:tcW w:w="80" w:type="dxa"/>
            <w:vAlign w:val="bottom"/>
            <w:shd w:val="clear" w:color="auto" w:fill="DDDDDD"/>
          </w:tcPr>
          <w:p>
            <w:pPr>
              <w:spacing w:after="0"/>
              <w:rPr>
                <w:sz w:val="15"/>
                <w:szCs w:val="15"/>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68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(0.35)%</w:t>
            </w:r>
          </w:p>
        </w:tc>
        <w:tc>
          <w:tcPr>
            <w:tcW w:w="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(0.38)%</w:t>
            </w:r>
          </w:p>
        </w:tc>
      </w:tr>
      <w:tr>
        <w:trPr>
          <w:trHeight w:val="180"/>
        </w:trPr>
        <w:tc>
          <w:tcPr>
            <w:tcW w:w="5600" w:type="dxa"/>
            <w:vAlign w:val="bottom"/>
            <w:gridSpan w:val="2"/>
            <w:shd w:val="clear" w:color="auto" w:fill="DDDDDD"/>
          </w:tcPr>
          <w:p>
            <w:pPr>
              <w:ind w:left="20"/>
              <w:spacing w:after="0"/>
              <w:rPr>
                <w:sz w:val="20"/>
                <w:szCs w:val="20"/>
                <w:color w:val="auto"/>
              </w:rPr>
            </w:pPr>
            <w:r>
              <w:rPr>
                <w:rFonts w:ascii="Arial" w:cs="Arial" w:eastAsia="Arial" w:hAnsi="Arial"/>
                <w:sz w:val="14"/>
                <w:szCs w:val="14"/>
                <w:color w:val="auto"/>
              </w:rPr>
              <w:t>Current year change in valuation allowance</w:t>
            </w: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(19.34)%</w:t>
            </w:r>
          </w:p>
        </w:tc>
        <w:tc>
          <w:tcPr>
            <w:tcW w:w="100" w:type="dxa"/>
            <w:vAlign w:val="bottom"/>
            <w:shd w:val="clear" w:color="auto" w:fill="DDDDDD"/>
          </w:tcPr>
          <w:p>
            <w:pPr>
              <w:spacing w:after="0"/>
              <w:rPr>
                <w:sz w:val="15"/>
                <w:szCs w:val="15"/>
                <w:color w:val="auto"/>
              </w:rPr>
            </w:pPr>
          </w:p>
        </w:tc>
        <w:tc>
          <w:tcPr>
            <w:tcW w:w="1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(16.90)%</w:t>
            </w:r>
          </w:p>
        </w:tc>
        <w:tc>
          <w:tcPr>
            <w:tcW w:w="80" w:type="dxa"/>
            <w:vAlign w:val="bottom"/>
            <w:shd w:val="clear" w:color="auto" w:fill="DDDDDD"/>
          </w:tcPr>
          <w:p>
            <w:pPr>
              <w:spacing w:after="0"/>
              <w:rPr>
                <w:sz w:val="15"/>
                <w:szCs w:val="15"/>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(21.55)%</w:t>
            </w:r>
          </w:p>
        </w:tc>
      </w:tr>
      <w:tr>
        <w:trPr>
          <w:trHeight w:val="180"/>
        </w:trPr>
        <w:tc>
          <w:tcPr>
            <w:tcW w:w="438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Other</w:t>
            </w:r>
          </w:p>
        </w:tc>
        <w:tc>
          <w:tcPr>
            <w:tcW w:w="1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DDDDDD"/>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0.48 %</w:t>
            </w:r>
          </w:p>
        </w:tc>
        <w:tc>
          <w:tcPr>
            <w:tcW w:w="80" w:type="dxa"/>
            <w:vAlign w:val="bottom"/>
            <w:tcBorders>
              <w:bottom w:val="single" w:sz="8" w:color="DDDDDD"/>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0.94 %</w:t>
            </w:r>
          </w:p>
        </w:tc>
      </w:tr>
      <w:tr>
        <w:trPr>
          <w:trHeight w:val="191"/>
        </w:trPr>
        <w:tc>
          <w:tcPr>
            <w:tcW w:w="5600" w:type="dxa"/>
            <w:vAlign w:val="bottom"/>
            <w:gridSpan w:val="2"/>
            <w:shd w:val="clear" w:color="auto" w:fill="DDDDDD"/>
          </w:tcPr>
          <w:p>
            <w:pPr>
              <w:ind w:left="20"/>
              <w:spacing w:after="0"/>
              <w:rPr>
                <w:sz w:val="20"/>
                <w:szCs w:val="20"/>
                <w:color w:val="auto"/>
              </w:rPr>
            </w:pPr>
            <w:r>
              <w:rPr>
                <w:rFonts w:ascii="Arial" w:cs="Arial" w:eastAsia="Arial" w:hAnsi="Arial"/>
                <w:sz w:val="14"/>
                <w:szCs w:val="14"/>
                <w:color w:val="auto"/>
              </w:rPr>
              <w:t>Income tax benefit (expense)</w:t>
            </w:r>
          </w:p>
        </w:tc>
        <w:tc>
          <w:tcPr>
            <w:tcW w:w="6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0.22 %</w:t>
            </w:r>
          </w:p>
        </w:tc>
        <w:tc>
          <w:tcPr>
            <w:tcW w:w="100" w:type="dxa"/>
            <w:vAlign w:val="bottom"/>
            <w:shd w:val="clear" w:color="auto" w:fill="DDDDDD"/>
          </w:tcPr>
          <w:p>
            <w:pPr>
              <w:spacing w:after="0"/>
              <w:rPr>
                <w:sz w:val="16"/>
                <w:szCs w:val="16"/>
                <w:color w:val="auto"/>
              </w:rPr>
            </w:pPr>
          </w:p>
        </w:tc>
        <w:tc>
          <w:tcPr>
            <w:tcW w:w="19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0.14 %</w:t>
            </w:r>
          </w:p>
        </w:tc>
        <w:tc>
          <w:tcPr>
            <w:tcW w:w="80" w:type="dxa"/>
            <w:vAlign w:val="bottom"/>
            <w:shd w:val="clear" w:color="auto" w:fill="DDDDDD"/>
          </w:tcPr>
          <w:p>
            <w:pPr>
              <w:spacing w:after="0"/>
              <w:rPr>
                <w:sz w:val="16"/>
                <w:szCs w:val="16"/>
                <w:color w:val="auto"/>
              </w:rPr>
            </w:pPr>
          </w:p>
        </w:tc>
        <w:tc>
          <w:tcPr>
            <w:tcW w:w="19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 %</w:t>
            </w:r>
          </w:p>
        </w:tc>
      </w:tr>
      <w:tr>
        <w:trPr>
          <w:trHeight w:val="20"/>
        </w:trPr>
        <w:tc>
          <w:tcPr>
            <w:tcW w:w="4380" w:type="dxa"/>
            <w:vAlign w:val="bottom"/>
            <w:tcBorders>
              <w:top w:val="single" w:sz="8" w:color="DDDDDD"/>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380" w:right="60"/>
        <w:spacing w:after="0" w:line="271" w:lineRule="auto"/>
        <w:rPr>
          <w:sz w:val="20"/>
          <w:szCs w:val="20"/>
          <w:color w:val="auto"/>
        </w:rPr>
      </w:pPr>
      <w:r>
        <w:rPr>
          <w:rFonts w:ascii="Arial" w:cs="Arial" w:eastAsia="Arial" w:hAnsi="Arial"/>
          <w:sz w:val="14"/>
          <w:szCs w:val="14"/>
          <w:color w:val="auto"/>
        </w:rPr>
        <w:t>The Company has not recognized deferred tax liabilities for outside basis differences (including undistributed earnings) relating to the Company’s foreign subsidiary because such amounts have been indefinitely reinvested. The Company has determined that it is impracticable to estimate the unrecorded deferred tax liability associated with the foreign subsidiary for which the Company is asserting indefinite reinvestment.</w:t>
      </w:r>
    </w:p>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the unrecognized tax benefit activity for the periods indicated:</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456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171"/>
        </w:trPr>
        <w:tc>
          <w:tcPr>
            <w:tcW w:w="4560" w:type="dxa"/>
            <w:vAlign w:val="bottom"/>
            <w:tcBorders>
              <w:bottom w:val="single" w:sz="8" w:color="DDDDDD"/>
            </w:tcBorders>
          </w:tcPr>
          <w:p>
            <w:pPr>
              <w:spacing w:after="0"/>
              <w:rPr>
                <w:sz w:val="14"/>
                <w:szCs w:val="14"/>
                <w:color w:val="auto"/>
              </w:rPr>
            </w:pPr>
          </w:p>
        </w:tc>
        <w:tc>
          <w:tcPr>
            <w:tcW w:w="1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DDDDD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DDDD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71"/>
        </w:trPr>
        <w:tc>
          <w:tcPr>
            <w:tcW w:w="4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Balance as of the beginning of the period</w:t>
            </w:r>
          </w:p>
        </w:tc>
        <w:tc>
          <w:tcPr>
            <w:tcW w:w="1340" w:type="dxa"/>
            <w:vAlign w:val="bottom"/>
            <w:shd w:val="clear" w:color="auto" w:fill="DDDDDD"/>
          </w:tcPr>
          <w:p>
            <w:pPr>
              <w:jc w:val="right"/>
              <w:ind w:right="1169"/>
              <w:spacing w:after="0"/>
              <w:rPr>
                <w:sz w:val="20"/>
                <w:szCs w:val="20"/>
                <w:color w:val="auto"/>
              </w:rPr>
            </w:pPr>
            <w:r>
              <w:rPr>
                <w:rFonts w:ascii="Arial" w:cs="Arial" w:eastAsia="Arial" w:hAnsi="Arial"/>
                <w:sz w:val="14"/>
                <w:szCs w:val="14"/>
                <w:color w:val="auto"/>
              </w:rPr>
              <w:t>$</w:t>
            </w:r>
          </w:p>
        </w:tc>
        <w:tc>
          <w:tcPr>
            <w:tcW w:w="5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DDDDDD"/>
          </w:tcPr>
          <w:p>
            <w:pPr>
              <w:spacing w:after="0"/>
              <w:rPr>
                <w:sz w:val="14"/>
                <w:szCs w:val="14"/>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DDDDDD"/>
          </w:tcPr>
          <w:p>
            <w:pPr>
              <w:spacing w:after="0"/>
              <w:rPr>
                <w:sz w:val="14"/>
                <w:szCs w:val="14"/>
                <w:color w:val="auto"/>
              </w:rPr>
            </w:pPr>
          </w:p>
        </w:tc>
        <w:tc>
          <w:tcPr>
            <w:tcW w:w="440" w:type="dxa"/>
            <w:vAlign w:val="bottom"/>
            <w:shd w:val="clear" w:color="auto" w:fill="DDDDDD"/>
          </w:tcPr>
          <w:p>
            <w:pPr>
              <w:jc w:val="right"/>
              <w:ind w:right="2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color w:val="auto"/>
              </w:rPr>
              <w:t>Additions based on tax positions related to the current year</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4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Additions for tax positions of prior years</w:t>
            </w:r>
          </w:p>
        </w:tc>
        <w:tc>
          <w:tcPr>
            <w:tcW w:w="1340" w:type="dxa"/>
            <w:vAlign w:val="bottom"/>
            <w:shd w:val="clear" w:color="auto" w:fill="DDDDDD"/>
          </w:tcPr>
          <w:p>
            <w:pPr>
              <w:spacing w:after="0"/>
              <w:rPr>
                <w:sz w:val="15"/>
                <w:szCs w:val="15"/>
                <w:color w:val="auto"/>
              </w:rPr>
            </w:pPr>
          </w:p>
        </w:tc>
        <w:tc>
          <w:tcPr>
            <w:tcW w:w="6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5"/>
                <w:szCs w:val="15"/>
                <w:color w:val="auto"/>
              </w:rPr>
            </w:pPr>
          </w:p>
        </w:tc>
        <w:tc>
          <w:tcPr>
            <w:tcW w:w="18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DDDDDD"/>
          </w:tcPr>
          <w:p>
            <w:pPr>
              <w:spacing w:after="0"/>
              <w:rPr>
                <w:sz w:val="15"/>
                <w:szCs w:val="15"/>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0.4</w:t>
            </w: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color w:val="auto"/>
              </w:rPr>
              <w:t>Reductions for tax positions of prior years</w:t>
            </w:r>
          </w:p>
        </w:tc>
        <w:tc>
          <w:tcPr>
            <w:tcW w:w="1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60" w:type="dxa"/>
            <w:vAlign w:val="bottom"/>
            <w:shd w:val="clear" w:color="auto" w:fill="DDDDDD"/>
          </w:tcPr>
          <w:p>
            <w:pPr>
              <w:ind w:left="20"/>
              <w:spacing w:after="0"/>
              <w:rPr>
                <w:sz w:val="20"/>
                <w:szCs w:val="20"/>
                <w:color w:val="auto"/>
              </w:rPr>
            </w:pPr>
            <w:r>
              <w:rPr>
                <w:rFonts w:ascii="Arial" w:cs="Arial" w:eastAsia="Arial" w:hAnsi="Arial"/>
                <w:sz w:val="14"/>
                <w:szCs w:val="14"/>
                <w:color w:val="auto"/>
              </w:rPr>
              <w:t>Lapse of statute of limitations</w:t>
            </w:r>
          </w:p>
        </w:tc>
        <w:tc>
          <w:tcPr>
            <w:tcW w:w="1340" w:type="dxa"/>
            <w:vAlign w:val="bottom"/>
            <w:shd w:val="clear" w:color="auto" w:fill="DDDDDD"/>
          </w:tcPr>
          <w:p>
            <w:pPr>
              <w:spacing w:after="0"/>
              <w:rPr>
                <w:sz w:val="15"/>
                <w:szCs w:val="15"/>
                <w:color w:val="auto"/>
              </w:rPr>
            </w:pPr>
          </w:p>
        </w:tc>
        <w:tc>
          <w:tcPr>
            <w:tcW w:w="62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5"/>
                <w:szCs w:val="15"/>
                <w:color w:val="auto"/>
              </w:rPr>
            </w:pPr>
          </w:p>
        </w:tc>
        <w:tc>
          <w:tcPr>
            <w:tcW w:w="1820" w:type="dxa"/>
            <w:vAlign w:val="bottom"/>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DDDDDD"/>
          </w:tcPr>
          <w:p>
            <w:pPr>
              <w:spacing w:after="0"/>
              <w:rPr>
                <w:sz w:val="15"/>
                <w:szCs w:val="15"/>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6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56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as of the end of the period</w:t>
            </w:r>
          </w:p>
        </w:tc>
        <w:tc>
          <w:tcPr>
            <w:tcW w:w="1340" w:type="dxa"/>
            <w:vAlign w:val="bottom"/>
            <w:tcBorders>
              <w:top w:val="single" w:sz="8" w:color="auto"/>
              <w:bottom w:val="single" w:sz="8" w:color="auto"/>
            </w:tcBorders>
            <w:shd w:val="clear" w:color="auto" w:fill="DDDDDD"/>
          </w:tcPr>
          <w:p>
            <w:pPr>
              <w:jc w:val="right"/>
              <w:ind w:right="1169"/>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top w:val="single" w:sz="8" w:color="DDDDDD"/>
              <w:bottom w:val="single" w:sz="8" w:color="DDDDDD"/>
            </w:tcBorders>
            <w:shd w:val="clear" w:color="auto" w:fill="DDDDDD"/>
          </w:tcPr>
          <w:p>
            <w:pPr>
              <w:spacing w:after="0"/>
              <w:rPr>
                <w:sz w:val="16"/>
                <w:szCs w:val="16"/>
                <w:color w:val="auto"/>
              </w:rPr>
            </w:pPr>
          </w:p>
        </w:tc>
        <w:tc>
          <w:tcPr>
            <w:tcW w:w="1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0.7</w:t>
            </w:r>
          </w:p>
        </w:tc>
        <w:tc>
          <w:tcPr>
            <w:tcW w:w="80" w:type="dxa"/>
            <w:vAlign w:val="bottom"/>
            <w:tcBorders>
              <w:top w:val="single" w:sz="8" w:color="DDDDDD"/>
              <w:bottom w:val="single" w:sz="8" w:color="DDDDDD"/>
            </w:tcBorders>
            <w:shd w:val="clear" w:color="auto" w:fill="DDDDDD"/>
          </w:tcPr>
          <w:p>
            <w:pPr>
              <w:spacing w:after="0"/>
              <w:rPr>
                <w:sz w:val="16"/>
                <w:szCs w:val="16"/>
                <w:color w:val="auto"/>
              </w:rPr>
            </w:pPr>
          </w:p>
        </w:tc>
        <w:tc>
          <w:tcPr>
            <w:tcW w:w="440" w:type="dxa"/>
            <w:vAlign w:val="bottom"/>
            <w:tcBorders>
              <w:top w:val="single" w:sz="8" w:color="auto"/>
              <w:bottom w:val="single" w:sz="8" w:color="auto"/>
            </w:tcBorders>
            <w:shd w:val="clear" w:color="auto" w:fill="DDDDDD"/>
          </w:tcPr>
          <w:p>
            <w:pPr>
              <w:jc w:val="right"/>
              <w:ind w:right="26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4560" w:type="dxa"/>
            <w:vAlign w:val="bottom"/>
            <w:tcBorders>
              <w:top w:val="single" w:sz="8" w:color="DDDDDD"/>
            </w:tcBorders>
          </w:tcPr>
          <w:p>
            <w:pPr>
              <w:spacing w:after="0" w:line="20" w:lineRule="exact"/>
              <w:rPr>
                <w:sz w:val="1"/>
                <w:szCs w:val="1"/>
                <w:color w:val="auto"/>
              </w:rPr>
            </w:pPr>
          </w:p>
        </w:tc>
        <w:tc>
          <w:tcPr>
            <w:tcW w:w="1340" w:type="dxa"/>
            <w:vAlign w:val="bottom"/>
            <w:tcBorders>
              <w:top w:val="single" w:sz="8" w:color="DDDDDD"/>
              <w:bottom w:val="single" w:sz="8" w:color="auto"/>
            </w:tcBorders>
          </w:tcPr>
          <w:p>
            <w:pPr>
              <w:spacing w:after="0" w:line="20" w:lineRule="exact"/>
              <w:rPr>
                <w:sz w:val="1"/>
                <w:szCs w:val="1"/>
                <w:color w:val="auto"/>
              </w:rPr>
            </w:pPr>
          </w:p>
        </w:tc>
        <w:tc>
          <w:tcPr>
            <w:tcW w:w="5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00" w:type="dxa"/>
            <w:vAlign w:val="bottom"/>
            <w:tcBorders>
              <w:top w:val="single" w:sz="8" w:color="DDDDDD"/>
              <w:bottom w:val="single" w:sz="8" w:color="auto"/>
            </w:tcBorders>
          </w:tcPr>
          <w:p>
            <w:pPr>
              <w:spacing w:after="0" w:line="20" w:lineRule="exact"/>
              <w:rPr>
                <w:sz w:val="1"/>
                <w:szCs w:val="1"/>
                <w:color w:val="auto"/>
              </w:rPr>
            </w:pPr>
          </w:p>
        </w:tc>
        <w:tc>
          <w:tcPr>
            <w:tcW w:w="17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40" w:type="dxa"/>
            <w:vAlign w:val="bottom"/>
            <w:tcBorders>
              <w:top w:val="single" w:sz="8" w:color="DDDDDD"/>
              <w:bottom w:val="single" w:sz="8" w:color="auto"/>
            </w:tcBorders>
          </w:tcPr>
          <w:p>
            <w:pPr>
              <w:spacing w:after="0" w:line="20" w:lineRule="exact"/>
              <w:rPr>
                <w:sz w:val="1"/>
                <w:szCs w:val="1"/>
                <w:color w:val="auto"/>
              </w:rPr>
            </w:pPr>
          </w:p>
        </w:tc>
        <w:tc>
          <w:tcPr>
            <w:tcW w:w="1400" w:type="dxa"/>
            <w:vAlign w:val="bottom"/>
            <w:tcBorders>
              <w:top w:val="single" w:sz="8" w:color="DDDDDD"/>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amount of unrecognized tax benefits included on the consolidated balance sheets as of January 31, 2023 and 2022 are $0.9 million and $0.7 million, respectively.</w:t>
      </w:r>
    </w:p>
    <w:p>
      <w:pPr>
        <w:spacing w:after="0" w:line="200"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555625</wp:posOffset>
            </wp:positionV>
            <wp:extent cx="3238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0"/>
          </w:cols>
          <w:pgMar w:left="300" w:top="322"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112</w:t>
      </w:r>
    </w:p>
    <w:p>
      <w:pPr>
        <w:sectPr>
          <w:pgSz w:w="11880" w:h="15480" w:orient="portrait"/>
          <w:cols w:equalWidth="0" w:num="1">
            <w:col w:w="11200"/>
          </w:cols>
          <w:pgMar w:left="300" w:top="322" w:right="379"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right="360"/>
        <w:spacing w:after="0" w:line="271" w:lineRule="auto"/>
        <w:rPr>
          <w:sz w:val="20"/>
          <w:szCs w:val="20"/>
          <w:color w:val="auto"/>
        </w:rPr>
      </w:pPr>
      <w:r>
        <w:rPr>
          <w:rFonts w:ascii="Arial" w:cs="Arial" w:eastAsia="Arial" w:hAnsi="Arial"/>
          <w:sz w:val="14"/>
          <w:szCs w:val="14"/>
          <w:color w:val="auto"/>
        </w:rPr>
        <w:t>The Company is subject to United States federal and state taxation, as well as subject to taxation in Ireland. The Company may be subject to examination by the Internal Revenue Service (“IRS”) and as of January 31, 2023, tax year 2019 and years filed thereafter remain open to examination. These examinations may result in proposed adjustments to the Company’s income tax liability or tax attributes with respect to years under examination as well as subsequent periods.</w:t>
      </w:r>
    </w:p>
    <w:p>
      <w:pPr>
        <w:spacing w:after="0" w:line="155"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and deductions, and the allocation of income among the jurisdictions in which the Company operates. A significant period of time may elapse between the filing of an income tax return and the ultimate resolution of an issue raised by a revenue authority with respect to that return. Any adjustments as a result of any examination may result in additional taxes or penalties against the Company. If the ultimate result of these audits differs from original or adjusted estimates, they could have a material impact on the Company’s tax provision.</w:t>
      </w:r>
    </w:p>
    <w:p>
      <w:pPr>
        <w:spacing w:after="0" w:line="163" w:lineRule="exact"/>
        <w:rPr>
          <w:sz w:val="20"/>
          <w:szCs w:val="20"/>
          <w:color w:val="auto"/>
        </w:rPr>
      </w:pPr>
    </w:p>
    <w:p>
      <w:pPr>
        <w:ind w:left="380" w:right="100"/>
        <w:spacing w:after="0" w:line="262" w:lineRule="auto"/>
        <w:rPr>
          <w:sz w:val="20"/>
          <w:szCs w:val="20"/>
          <w:color w:val="auto"/>
        </w:rPr>
      </w:pPr>
      <w:r>
        <w:rPr>
          <w:rFonts w:ascii="Arial" w:cs="Arial" w:eastAsia="Arial" w:hAnsi="Arial"/>
          <w:sz w:val="14"/>
          <w:szCs w:val="14"/>
          <w:color w:val="auto"/>
        </w:rPr>
        <w:t>On March 27, 2020, the Coronavirus Aid, Relief, and Economic Security Act (“CARES Act”) was enacted and signed into law. Among other things, the CARES Act has modified the Internal Revenue Code of 1986, as amended, including, but not limited to: (1) modifications to the business interest deduction limitation for tax years 2021 and 2020; (2) a technical correction of the recovery period of qualified improvement property from 39 to 15 years; and (3) a repeal of the 80% taxable income limitation on the deduction of NOLs for tax years beginning before January 1, 2021 as well as a five-year carryback period allowed for NOLs generated in tax years beginning after December 31, 2017 and before January 1, 2021.</w:t>
      </w:r>
    </w:p>
    <w:p>
      <w:pPr>
        <w:spacing w:after="0" w:line="161" w:lineRule="exact"/>
        <w:rPr>
          <w:sz w:val="20"/>
          <w:szCs w:val="20"/>
          <w:color w:val="auto"/>
        </w:rPr>
      </w:pPr>
    </w:p>
    <w:p>
      <w:pPr>
        <w:ind w:left="380" w:right="200"/>
        <w:spacing w:after="0" w:line="290" w:lineRule="auto"/>
        <w:rPr>
          <w:sz w:val="20"/>
          <w:szCs w:val="20"/>
          <w:color w:val="auto"/>
        </w:rPr>
      </w:pPr>
      <w:r>
        <w:rPr>
          <w:rFonts w:ascii="Arial" w:cs="Arial" w:eastAsia="Arial" w:hAnsi="Arial"/>
          <w:sz w:val="14"/>
          <w:szCs w:val="14"/>
          <w:color w:val="auto"/>
        </w:rPr>
        <w:t>Under ASC 740, the effects of new legislation must be recognized in the period of enactment. Therefore, the effects of the CARES Act was accounted for in the year ended January 31, 2021. The Company evaluated the provisions of the CARES Act and determined that there is no material impact for the year ended January 31, 2021.</w:t>
      </w:r>
    </w:p>
    <w:p>
      <w:pPr>
        <w:spacing w:after="0" w:line="141" w:lineRule="exact"/>
        <w:rPr>
          <w:sz w:val="20"/>
          <w:szCs w:val="20"/>
          <w:color w:val="auto"/>
        </w:rPr>
      </w:pPr>
    </w:p>
    <w:p>
      <w:pPr>
        <w:ind w:left="380" w:right="360"/>
        <w:spacing w:after="0" w:line="271" w:lineRule="auto"/>
        <w:rPr>
          <w:sz w:val="20"/>
          <w:szCs w:val="20"/>
          <w:color w:val="auto"/>
        </w:rPr>
      </w:pPr>
      <w:r>
        <w:rPr>
          <w:rFonts w:ascii="Arial" w:cs="Arial" w:eastAsia="Arial" w:hAnsi="Arial"/>
          <w:sz w:val="14"/>
          <w:szCs w:val="14"/>
          <w:color w:val="auto"/>
        </w:rPr>
        <w:t>On August 16, 2022, Congress passed the Inflation Reduction Act of 2022. The key tax provisions applicable to the Company are a 15% corporate minimum tax on book income and a 1% excise tax on stock repurchases effective January 1, 2023. We do not expect these tax law changes to have a material impact on the Companies consolidated financial position; however, we will continue to evaluate their impact as further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434975</wp:posOffset>
            </wp:positionV>
            <wp:extent cx="3238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32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ectPr>
          <w:pgSz w:w="11880" w:h="15480" w:orient="portrait"/>
          <w:cols w:equalWidth="0" w:num="1">
            <w:col w:w="11280"/>
          </w:cols>
          <w:pgMar w:left="300" w:top="322" w:right="299" w:bottom="0" w:gutter="0" w:footer="0" w:header="0"/>
          <w:type w:val="continuous"/>
        </w:sectPr>
      </w:pPr>
    </w:p>
    <w:bookmarkStart w:id="121" w:name="page122"/>
    <w:bookmarkEnd w:id="121"/>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5" w:hanging="385"/>
        <w:spacing w:after="0"/>
        <w:tabs>
          <w:tab w:leader="none" w:pos="385"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color w:val="auto"/>
        </w:rPr>
        <w:t>Accrued Expenses and Other Current Liabilities</w:t>
      </w:r>
    </w:p>
    <w:p>
      <w:pPr>
        <w:spacing w:after="0" w:line="93"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Accrued expenses and other current liabilities consisted of the following:</w:t>
      </w:r>
    </w:p>
    <w:p>
      <w:pPr>
        <w:spacing w:after="0" w:line="219" w:lineRule="exact"/>
        <w:rPr>
          <w:sz w:val="20"/>
          <w:szCs w:val="20"/>
          <w:color w:val="auto"/>
        </w:rPr>
      </w:pPr>
    </w:p>
    <w:tbl>
      <w:tblPr>
        <w:tblLayout w:type="fixed"/>
        <w:tblInd w:w="385" w:type="dxa"/>
        <w:tblCellMar>
          <w:top w:w="0" w:type="dxa"/>
          <w:left w:w="0" w:type="dxa"/>
          <w:bottom w:w="0" w:type="dxa"/>
          <w:right w:w="0" w:type="dxa"/>
        </w:tblCellMar>
      </w:tblPr>
      <w:tr>
        <w:trPr>
          <w:trHeight w:val="157"/>
        </w:trPr>
        <w:tc>
          <w:tcPr>
            <w:tcW w:w="7280" w:type="dxa"/>
            <w:vAlign w:val="bottom"/>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280" w:type="dxa"/>
            <w:vAlign w:val="bottom"/>
            <w:tcBorders>
              <w:bottom w:val="single" w:sz="8" w:color="DDDDDD"/>
            </w:tcBorders>
          </w:tcPr>
          <w:p>
            <w:pPr>
              <w:spacing w:after="0"/>
              <w:rPr>
                <w:sz w:val="13"/>
                <w:szCs w:val="13"/>
                <w:color w:val="auto"/>
              </w:rPr>
            </w:pPr>
          </w:p>
        </w:tc>
        <w:tc>
          <w:tcPr>
            <w:tcW w:w="1060" w:type="dxa"/>
            <w:vAlign w:val="bottom"/>
            <w:tcBorders>
              <w:bottom w:val="single" w:sz="8" w:color="auto"/>
            </w:tcBorders>
          </w:tcPr>
          <w:p>
            <w:pPr>
              <w:jc w:val="right"/>
              <w:ind w:right="156"/>
              <w:spacing w:after="0"/>
              <w:rPr>
                <w:sz w:val="20"/>
                <w:szCs w:val="20"/>
                <w:color w:val="auto"/>
              </w:rPr>
            </w:pPr>
            <w:r>
              <w:rPr>
                <w:rFonts w:ascii="Arial" w:cs="Arial" w:eastAsia="Arial" w:hAnsi="Arial"/>
                <w:sz w:val="11"/>
                <w:szCs w:val="11"/>
                <w:b w:val="1"/>
                <w:bCs w:val="1"/>
                <w:color w:val="auto"/>
              </w:rPr>
              <w:t>2023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DDDDDD"/>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2022</w:t>
            </w:r>
          </w:p>
        </w:tc>
      </w:tr>
      <w:tr>
        <w:trPr>
          <w:trHeight w:val="205"/>
        </w:trPr>
        <w:tc>
          <w:tcPr>
            <w:tcW w:w="7280" w:type="dxa"/>
            <w:vAlign w:val="bottom"/>
            <w:shd w:val="clear" w:color="auto" w:fill="DDDDDD"/>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60" w:type="dxa"/>
            <w:vAlign w:val="bottom"/>
            <w:shd w:val="clear" w:color="auto" w:fill="DDDDDD"/>
          </w:tcPr>
          <w:p>
            <w:pPr>
              <w:jc w:val="right"/>
              <w:ind w:right="916"/>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220" w:type="dxa"/>
            <w:vAlign w:val="bottom"/>
            <w:shd w:val="clear" w:color="auto" w:fill="DDDDDD"/>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8.6</w:t>
            </w: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color w:val="auto"/>
              </w:rPr>
              <w:t>Revenue share payable</w:t>
            </w: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4"/>
        </w:trPr>
        <w:tc>
          <w:tcPr>
            <w:tcW w:w="7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7280" w:type="dxa"/>
            <w:vAlign w:val="bottom"/>
            <w:shd w:val="clear" w:color="auto" w:fill="DDDDDD"/>
          </w:tcPr>
          <w:p>
            <w:pPr>
              <w:ind w:left="20"/>
              <w:spacing w:after="0"/>
              <w:rPr>
                <w:sz w:val="20"/>
                <w:szCs w:val="20"/>
                <w:color w:val="auto"/>
              </w:rPr>
            </w:pPr>
            <w:r>
              <w:rPr>
                <w:rFonts w:ascii="Arial" w:cs="Arial" w:eastAsia="Arial" w:hAnsi="Arial"/>
                <w:sz w:val="14"/>
                <w:szCs w:val="14"/>
                <w:color w:val="auto"/>
              </w:rPr>
              <w:t>Accrued interest</w:t>
            </w:r>
          </w:p>
        </w:tc>
        <w:tc>
          <w:tcPr>
            <w:tcW w:w="1060" w:type="dxa"/>
            <w:vAlign w:val="bottom"/>
            <w:shd w:val="clear" w:color="auto" w:fill="DDDDDD"/>
          </w:tcPr>
          <w:p>
            <w:pPr>
              <w:spacing w:after="0"/>
              <w:rPr>
                <w:sz w:val="18"/>
                <w:szCs w:val="18"/>
                <w:color w:val="auto"/>
              </w:rPr>
            </w:pP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DDDDDD"/>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w:t>
            </w: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color w:val="auto"/>
              </w:rPr>
              <w:t>Accrued payroll related expenses</w:t>
            </w: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4"/>
        </w:trPr>
        <w:tc>
          <w:tcPr>
            <w:tcW w:w="7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7280" w:type="dxa"/>
            <w:vAlign w:val="bottom"/>
            <w:shd w:val="clear" w:color="auto" w:fill="DDDDDD"/>
          </w:tcPr>
          <w:p>
            <w:pPr>
              <w:ind w:left="20"/>
              <w:spacing w:after="0"/>
              <w:rPr>
                <w:sz w:val="20"/>
                <w:szCs w:val="20"/>
                <w:color w:val="auto"/>
              </w:rPr>
            </w:pPr>
            <w:r>
              <w:rPr>
                <w:rFonts w:ascii="Arial" w:cs="Arial" w:eastAsia="Arial" w:hAnsi="Arial"/>
                <w:sz w:val="14"/>
                <w:szCs w:val="14"/>
                <w:color w:val="auto"/>
              </w:rPr>
              <w:t>Short-term financing</w:t>
            </w:r>
          </w:p>
        </w:tc>
        <w:tc>
          <w:tcPr>
            <w:tcW w:w="1060" w:type="dxa"/>
            <w:vAlign w:val="bottom"/>
            <w:shd w:val="clear" w:color="auto" w:fill="DDDDDD"/>
          </w:tcPr>
          <w:p>
            <w:pPr>
              <w:spacing w:after="0"/>
              <w:rPr>
                <w:sz w:val="18"/>
                <w:szCs w:val="18"/>
                <w:color w:val="auto"/>
              </w:rPr>
            </w:pPr>
          </w:p>
        </w:tc>
        <w:tc>
          <w:tcPr>
            <w:tcW w:w="540" w:type="dxa"/>
            <w:vAlign w:val="bottom"/>
            <w:gridSpan w:val="3"/>
            <w:shd w:val="clear" w:color="auto" w:fill="DDDDDD"/>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DDDDDD"/>
          </w:tcPr>
          <w:p>
            <w:pPr>
              <w:spacing w:after="0"/>
              <w:rPr>
                <w:sz w:val="18"/>
                <w:szCs w:val="18"/>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3.5</w:t>
            </w: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
        </w:trPr>
        <w:tc>
          <w:tcPr>
            <w:tcW w:w="7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72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Gift card liability</w:t>
            </w:r>
          </w:p>
        </w:tc>
        <w:tc>
          <w:tcPr>
            <w:tcW w:w="1060" w:type="dxa"/>
            <w:vAlign w:val="bottom"/>
            <w:tcBorders>
              <w:bottom w:val="single" w:sz="8" w:color="auto"/>
            </w:tcBorders>
            <w:shd w:val="clear" w:color="auto" w:fill="DDDDDD"/>
          </w:tcPr>
          <w:p>
            <w:pPr>
              <w:spacing w:after="0"/>
              <w:rPr>
                <w:sz w:val="20"/>
                <w:szCs w:val="20"/>
                <w:color w:val="auto"/>
              </w:rPr>
            </w:pPr>
          </w:p>
        </w:tc>
        <w:tc>
          <w:tcPr>
            <w:tcW w:w="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spacing w:after="0"/>
              <w:rPr>
                <w:sz w:val="20"/>
                <w:szCs w:val="20"/>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0.6</w:t>
            </w:r>
          </w:p>
        </w:tc>
      </w:tr>
      <w:tr>
        <w:trPr>
          <w:trHeight w:val="160"/>
        </w:trPr>
        <w:tc>
          <w:tcPr>
            <w:tcW w:w="7280" w:type="dxa"/>
            <w:vAlign w:val="bottom"/>
          </w:tcPr>
          <w:p>
            <w:pPr>
              <w:ind w:left="360"/>
              <w:spacing w:after="0"/>
              <w:rPr>
                <w:sz w:val="20"/>
                <w:szCs w:val="20"/>
                <w:color w:val="auto"/>
              </w:rPr>
            </w:pPr>
            <w:r>
              <w:rPr>
                <w:rFonts w:ascii="Arial" w:cs="Arial" w:eastAsia="Arial" w:hAnsi="Arial"/>
                <w:sz w:val="14"/>
                <w:szCs w:val="14"/>
                <w:color w:val="auto"/>
              </w:rPr>
              <w:t>Accrued expenses and other current liabilities</w:t>
            </w:r>
          </w:p>
        </w:tc>
        <w:tc>
          <w:tcPr>
            <w:tcW w:w="1060" w:type="dxa"/>
            <w:vAlign w:val="bottom"/>
          </w:tcPr>
          <w:p>
            <w:pPr>
              <w:jc w:val="right"/>
              <w:ind w:right="916"/>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4"/>
        </w:trPr>
        <w:tc>
          <w:tcPr>
            <w:tcW w:w="72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65" w:hanging="365"/>
        <w:spacing w:after="0"/>
        <w:tabs>
          <w:tab w:leader="none" w:pos="365" w:val="left"/>
        </w:tabs>
        <w:numPr>
          <w:ilvl w:val="0"/>
          <w:numId w:val="64"/>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93" w:lineRule="exact"/>
        <w:rPr>
          <w:rFonts w:ascii="Arial" w:cs="Arial" w:eastAsia="Arial" w:hAnsi="Arial"/>
          <w:sz w:val="14"/>
          <w:szCs w:val="14"/>
          <w:b w:val="1"/>
          <w:bCs w:val="1"/>
          <w:color w:val="auto"/>
        </w:rPr>
      </w:pPr>
    </w:p>
    <w:p>
      <w:pPr>
        <w:ind w:left="385" w:right="5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41" w:lineRule="exact"/>
        <w:rPr>
          <w:rFonts w:ascii="Arial" w:cs="Arial" w:eastAsia="Arial" w:hAnsi="Arial"/>
          <w:sz w:val="14"/>
          <w:szCs w:val="14"/>
          <w:b w:val="1"/>
          <w:bCs w:val="1"/>
          <w:color w:val="auto"/>
        </w:rPr>
      </w:pPr>
    </w:p>
    <w:p>
      <w:pPr>
        <w:ind w:left="385" w:right="2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January 31, 2023 and 2022,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141" w:lineRule="exact"/>
        <w:rPr>
          <w:rFonts w:ascii="Arial" w:cs="Arial" w:eastAsia="Arial" w:hAnsi="Arial"/>
          <w:sz w:val="14"/>
          <w:szCs w:val="14"/>
          <w:b w:val="1"/>
          <w:bCs w:val="1"/>
          <w:color w:val="auto"/>
        </w:rPr>
      </w:pPr>
    </w:p>
    <w:p>
      <w:pPr>
        <w:ind w:left="385"/>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consolidated balance sheet. Refer to Note 8 - Long-Term Debt. The Company estimates the fair value of its long-term debt based on recently reported market transactions for similar financial instruments by companies with similar credit ratings and, as such, are classified as Level 2 within the fair value hierarchy. As of January 31, 2023, the estimated fair value of the Company’s long-term debt approximates its carrying value.</w:t>
      </w:r>
    </w:p>
    <w:p>
      <w:pPr>
        <w:spacing w:after="0" w:line="154" w:lineRule="exact"/>
        <w:rPr>
          <w:rFonts w:ascii="Arial" w:cs="Arial" w:eastAsia="Arial" w:hAnsi="Arial"/>
          <w:sz w:val="14"/>
          <w:szCs w:val="14"/>
          <w:b w:val="1"/>
          <w:bCs w:val="1"/>
          <w:color w:val="auto"/>
        </w:rPr>
      </w:pPr>
    </w:p>
    <w:p>
      <w:pPr>
        <w:ind w:left="385"/>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Company’s warrant liabilities were reported at fair value on the Company’s consolidated balance sheet. The warrant liabilities were valued using a Black-Scholes option pricing model. The assumptions used in preparing the model include estimates such as volatility, contractual terms, dividend yield, expiration dates and risk-free interest rates. Prior to the Company’s IPO, this valuation model used unobservable market share price input on a recurring basis, and therefore was considered a Level 3 liability.</w:t>
      </w:r>
    </w:p>
    <w:p>
      <w:pPr>
        <w:spacing w:after="0" w:line="133"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a roll forward of the fair value of the Level 3 liabilities for the year ended January 31, 2022:</w:t>
      </w:r>
    </w:p>
    <w:p>
      <w:pPr>
        <w:spacing w:after="0" w:line="205" w:lineRule="exact"/>
        <w:rPr>
          <w:sz w:val="20"/>
          <w:szCs w:val="20"/>
          <w:color w:val="auto"/>
        </w:rPr>
      </w:pPr>
    </w:p>
    <w:tbl>
      <w:tblPr>
        <w:tblLayout w:type="fixed"/>
        <w:tblInd w:w="385" w:type="dxa"/>
        <w:tblCellMar>
          <w:top w:w="0" w:type="dxa"/>
          <w:left w:w="0" w:type="dxa"/>
          <w:bottom w:w="0" w:type="dxa"/>
          <w:right w:w="0" w:type="dxa"/>
        </w:tblCellMar>
      </w:tblPr>
      <w:tr>
        <w:trPr>
          <w:trHeight w:val="126"/>
        </w:trPr>
        <w:tc>
          <w:tcPr>
            <w:tcW w:w="8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jc w:val="right"/>
              <w:ind w:right="433"/>
              <w:spacing w:after="0"/>
              <w:rPr>
                <w:sz w:val="20"/>
                <w:szCs w:val="20"/>
                <w:color w:val="auto"/>
              </w:rPr>
            </w:pPr>
            <w:r>
              <w:rPr>
                <w:rFonts w:ascii="Arial" w:cs="Arial" w:eastAsia="Arial" w:hAnsi="Arial"/>
                <w:sz w:val="11"/>
                <w:szCs w:val="11"/>
                <w:b w:val="1"/>
                <w:bCs w:val="1"/>
                <w:color w:val="auto"/>
              </w:rPr>
              <w:t>Warrant</w:t>
            </w:r>
          </w:p>
        </w:tc>
      </w:tr>
      <w:tr>
        <w:trPr>
          <w:trHeight w:val="153"/>
        </w:trPr>
        <w:tc>
          <w:tcPr>
            <w:tcW w:w="8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433"/>
              <w:spacing w:after="0"/>
              <w:rPr>
                <w:sz w:val="20"/>
                <w:szCs w:val="20"/>
                <w:color w:val="auto"/>
              </w:rPr>
            </w:pPr>
            <w:r>
              <w:rPr>
                <w:rFonts w:ascii="Arial" w:cs="Arial" w:eastAsia="Arial" w:hAnsi="Arial"/>
                <w:sz w:val="11"/>
                <w:szCs w:val="11"/>
                <w:b w:val="1"/>
                <w:bCs w:val="1"/>
                <w:color w:val="auto"/>
              </w:rPr>
              <w:t>Liability</w:t>
            </w:r>
          </w:p>
        </w:tc>
      </w:tr>
      <w:tr>
        <w:trPr>
          <w:trHeight w:val="212"/>
        </w:trPr>
        <w:tc>
          <w:tcPr>
            <w:tcW w:w="88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Balance as of January 31, 2021</w:t>
            </w:r>
          </w:p>
        </w:tc>
        <w:tc>
          <w:tcPr>
            <w:tcW w:w="300" w:type="dxa"/>
            <w:vAlign w:val="bottom"/>
            <w:shd w:val="clear" w:color="auto" w:fill="DDDDDD"/>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11.8</w:t>
            </w:r>
          </w:p>
        </w:tc>
      </w:tr>
      <w:tr>
        <w:trPr>
          <w:trHeight w:val="188"/>
        </w:trPr>
        <w:tc>
          <w:tcPr>
            <w:tcW w:w="8840" w:type="dxa"/>
            <w:vAlign w:val="bottom"/>
          </w:tcPr>
          <w:p>
            <w:pPr>
              <w:ind w:left="360"/>
              <w:spacing w:after="0"/>
              <w:rPr>
                <w:sz w:val="20"/>
                <w:szCs w:val="20"/>
                <w:color w:val="auto"/>
              </w:rPr>
            </w:pPr>
            <w:r>
              <w:rPr>
                <w:rFonts w:ascii="Arial" w:cs="Arial" w:eastAsia="Arial" w:hAnsi="Arial"/>
                <w:sz w:val="14"/>
                <w:szCs w:val="14"/>
                <w:color w:val="auto"/>
              </w:rPr>
              <w:t>Issuance of common stock warrants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
        </w:trPr>
        <w:tc>
          <w:tcPr>
            <w:tcW w:w="8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88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Changes in estimated fair value</w:t>
            </w:r>
          </w:p>
        </w:tc>
        <w:tc>
          <w:tcPr>
            <w:tcW w:w="300" w:type="dxa"/>
            <w:vAlign w:val="bottom"/>
            <w:tcBorders>
              <w:bottom w:val="single" w:sz="8" w:color="DDDDDD"/>
            </w:tcBorders>
            <w:shd w:val="clear" w:color="auto" w:fill="DDDDDD"/>
          </w:tcPr>
          <w:p>
            <w:pPr>
              <w:spacing w:after="0"/>
              <w:rPr>
                <w:sz w:val="16"/>
                <w:szCs w:val="16"/>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24.4</w:t>
            </w:r>
          </w:p>
        </w:tc>
      </w:tr>
      <w:tr>
        <w:trPr>
          <w:trHeight w:val="188"/>
        </w:trPr>
        <w:tc>
          <w:tcPr>
            <w:tcW w:w="8840" w:type="dxa"/>
            <w:vAlign w:val="bottom"/>
          </w:tcPr>
          <w:p>
            <w:pPr>
              <w:ind w:left="360"/>
              <w:spacing w:after="0"/>
              <w:rPr>
                <w:sz w:val="20"/>
                <w:szCs w:val="20"/>
                <w:color w:val="auto"/>
              </w:rPr>
            </w:pPr>
            <w:r>
              <w:rPr>
                <w:rFonts w:ascii="Arial" w:cs="Arial" w:eastAsia="Arial" w:hAnsi="Arial"/>
                <w:sz w:val="14"/>
                <w:szCs w:val="14"/>
                <w:color w:val="auto"/>
              </w:rPr>
              <w:t>Exercise of warrants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4"/>
        </w:trPr>
        <w:tc>
          <w:tcPr>
            <w:tcW w:w="8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2"/>
        </w:trPr>
        <w:tc>
          <w:tcPr>
            <w:tcW w:w="88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Reclassification to equity-classified warrants</w:t>
            </w:r>
          </w:p>
        </w:tc>
        <w:tc>
          <w:tcPr>
            <w:tcW w:w="300" w:type="dxa"/>
            <w:vAlign w:val="bottom"/>
            <w:tcBorders>
              <w:bottom w:val="single" w:sz="8" w:color="DDDDDD"/>
            </w:tcBorders>
            <w:shd w:val="clear" w:color="auto" w:fill="DDDDDD"/>
          </w:tcPr>
          <w:p>
            <w:pPr>
              <w:spacing w:after="0"/>
              <w:rPr>
                <w:sz w:val="18"/>
                <w:szCs w:val="18"/>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w:t>
            </w:r>
          </w:p>
        </w:tc>
      </w:tr>
      <w:tr>
        <w:trPr>
          <w:trHeight w:val="179"/>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Balance as of January 31, 2022</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8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3238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5"/>
          </w:cols>
          <w:pgMar w:left="295" w:top="32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4"/>
        <w:spacing w:after="0"/>
        <w:rPr>
          <w:sz w:val="20"/>
          <w:szCs w:val="20"/>
          <w:color w:val="auto"/>
        </w:rPr>
      </w:pPr>
      <w:r>
        <w:rPr>
          <w:rFonts w:ascii="Arial" w:cs="Arial" w:eastAsia="Arial" w:hAnsi="Arial"/>
          <w:sz w:val="19"/>
          <w:szCs w:val="19"/>
          <w:color w:val="auto"/>
        </w:rPr>
        <w:t>114</w:t>
      </w:r>
    </w:p>
    <w:p>
      <w:pPr>
        <w:sectPr>
          <w:pgSz w:w="11880" w:h="15480" w:orient="portrait"/>
          <w:cols w:equalWidth="0" w:num="1">
            <w:col w:w="11265"/>
          </w:cols>
          <w:pgMar w:left="295" w:top="322" w:right="319" w:bottom="0" w:gutter="0" w:footer="0" w:header="0"/>
          <w:type w:val="continuous"/>
        </w:sectPr>
      </w:pPr>
    </w:p>
    <w:bookmarkStart w:id="122" w:name="page123"/>
    <w:bookmarkEnd w:id="122"/>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5"/>
        <w:spacing w:after="0" w:line="290" w:lineRule="auto"/>
        <w:rPr>
          <w:sz w:val="20"/>
          <w:szCs w:val="20"/>
          <w:color w:val="auto"/>
        </w:rPr>
      </w:pPr>
      <w:r>
        <w:rPr>
          <w:rFonts w:ascii="Arial" w:cs="Arial" w:eastAsia="Arial" w:hAnsi="Arial"/>
          <w:sz w:val="14"/>
          <w:szCs w:val="14"/>
          <w:color w:val="auto"/>
        </w:rPr>
        <w:t>The Company issued a warrant for 40,828 shares of common stock with a fair value at issuance of $0.5 million, included in the gain / (loss) on warrant liability revaluation, net on the consolidated statement of operations for the year ended January 31, 2022.</w:t>
      </w:r>
    </w:p>
    <w:p>
      <w:pPr>
        <w:spacing w:after="0" w:line="141" w:lineRule="exact"/>
        <w:rPr>
          <w:sz w:val="20"/>
          <w:szCs w:val="20"/>
          <w:color w:val="auto"/>
        </w:rPr>
      </w:pPr>
    </w:p>
    <w:p>
      <w:pPr>
        <w:ind w:left="385" w:right="40"/>
        <w:spacing w:after="0" w:line="290" w:lineRule="auto"/>
        <w:rPr>
          <w:sz w:val="20"/>
          <w:szCs w:val="20"/>
          <w:color w:val="auto"/>
        </w:rPr>
      </w:pPr>
      <w:r>
        <w:rPr>
          <w:rFonts w:ascii="Arial" w:cs="Arial" w:eastAsia="Arial" w:hAnsi="Arial"/>
          <w:sz w:val="14"/>
          <w:szCs w:val="14"/>
          <w:color w:val="auto"/>
        </w:rPr>
        <w:t>The warrants for 1,651,701 and 40,828 shares of common stock, respectively, were automatically exercised and converted to an aggregate of 1,691,723 shares of Class A common stock through cashless exercise upon completion of the Company’s IPO. These warrants were adjusted to a fair value of $35.5 million immediately prior to exercise.</w:t>
      </w:r>
    </w:p>
    <w:p>
      <w:pPr>
        <w:spacing w:after="0" w:line="110" w:lineRule="exact"/>
        <w:rPr>
          <w:sz w:val="20"/>
          <w:szCs w:val="20"/>
          <w:color w:val="auto"/>
        </w:rPr>
      </w:pPr>
    </w:p>
    <w:p>
      <w:pPr>
        <w:ind w:left="385" w:right="140"/>
        <w:spacing w:after="0" w:line="239" w:lineRule="auto"/>
        <w:rPr>
          <w:sz w:val="20"/>
          <w:szCs w:val="20"/>
          <w:color w:val="auto"/>
        </w:rPr>
      </w:pPr>
      <w:r>
        <w:rPr>
          <w:rFonts w:ascii="Arial" w:cs="Arial" w:eastAsia="Arial" w:hAnsi="Arial"/>
          <w:sz w:val="14"/>
          <w:szCs w:val="14"/>
          <w:color w:val="auto"/>
        </w:rPr>
        <w:t>The warrants for an aggregate of 88,037 shares of Series D redeemable preferred stock were converted to warrants for shares of Class A common stock as of the effective date of the IPO. These warrants were reclassified to stockholders’ equity as of the effective date of the IPO, as the redemption provision from the shares underlying these</w:t>
      </w:r>
    </w:p>
    <w:p>
      <w:pPr>
        <w:spacing w:after="0" w:line="1" w:lineRule="exact"/>
        <w:rPr>
          <w:sz w:val="20"/>
          <w:szCs w:val="20"/>
          <w:color w:val="auto"/>
        </w:rPr>
      </w:pPr>
    </w:p>
    <w:p>
      <w:pPr>
        <w:ind w:left="385"/>
        <w:spacing w:after="0"/>
        <w:rPr>
          <w:sz w:val="20"/>
          <w:szCs w:val="20"/>
          <w:color w:val="auto"/>
        </w:rPr>
      </w:pPr>
      <w:r>
        <w:rPr>
          <w:rFonts w:ascii="Arial" w:cs="Arial" w:eastAsia="Arial" w:hAnsi="Arial"/>
          <w:sz w:val="14"/>
          <w:szCs w:val="14"/>
          <w:color w:val="auto"/>
        </w:rPr>
        <w:t>warrants was eliminated. These warrants were adjusted to fair value of $1.2 million immediately prior to reclassification.</w:t>
      </w:r>
    </w:p>
    <w:p>
      <w:pPr>
        <w:spacing w:after="0" w:line="154" w:lineRule="exact"/>
        <w:rPr>
          <w:sz w:val="20"/>
          <w:szCs w:val="20"/>
          <w:color w:val="auto"/>
        </w:rPr>
      </w:pPr>
    </w:p>
    <w:p>
      <w:pPr>
        <w:ind w:left="385"/>
        <w:spacing w:after="0"/>
        <w:rPr>
          <w:sz w:val="20"/>
          <w:szCs w:val="20"/>
          <w:color w:val="auto"/>
        </w:rPr>
      </w:pPr>
      <w:r>
        <w:rPr>
          <w:rFonts w:ascii="Arial" w:cs="Arial" w:eastAsia="Arial" w:hAnsi="Arial"/>
          <w:sz w:val="14"/>
          <w:szCs w:val="14"/>
          <w:color w:val="auto"/>
        </w:rPr>
        <w:t>There were no outstanding liability-classified warrants as of January 31, 2023 and 2022.</w:t>
      </w:r>
    </w:p>
    <w:p>
      <w:pPr>
        <w:spacing w:after="0" w:line="263" w:lineRule="exact"/>
        <w:rPr>
          <w:sz w:val="20"/>
          <w:szCs w:val="20"/>
          <w:color w:val="auto"/>
        </w:rPr>
      </w:pPr>
    </w:p>
    <w:p>
      <w:pPr>
        <w:ind w:left="385" w:hanging="385"/>
        <w:spacing w:after="0"/>
        <w:tabs>
          <w:tab w:leader="none" w:pos="385"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Preferred Stock</w:t>
      </w:r>
    </w:p>
    <w:p>
      <w:pPr>
        <w:spacing w:after="0" w:line="178" w:lineRule="exact"/>
        <w:rPr>
          <w:rFonts w:ascii="Arial" w:cs="Arial" w:eastAsia="Arial" w:hAnsi="Arial"/>
          <w:sz w:val="14"/>
          <w:szCs w:val="14"/>
          <w:b w:val="1"/>
          <w:bCs w:val="1"/>
          <w:color w:val="auto"/>
        </w:rPr>
      </w:pPr>
    </w:p>
    <w:p>
      <w:pPr>
        <w:ind w:left="385" w:right="2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2021, the Company sold 4,145,650 shares of Series G redeemable preferred stock in exchange for $57.6 million. During the year ended January 31, 2022, the Company sold an additional 1,437,541 shares of Series G redeemable preferred stock in exchange for $21.2 million. Upon consummation of the IPO, the Company accreted the carrying value of $409.3 million of the redeemable preferred stock to the liquidation value of $414.9 million and the Company’s 32,575,462 outstanding shares of redeemable preferred stock were converted into 32,575,462 shares of the Company’s Class A common stock. The accretion to liquidation value did not have a net impact on the Company’s additional paid-in capital. There was no outstanding redeemable preferred stock as of January 31, 2023 and 2022.</w:t>
      </w:r>
    </w:p>
    <w:p>
      <w:pPr>
        <w:spacing w:after="0" w:line="141"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Redemption</w:t>
      </w:r>
    </w:p>
    <w:p>
      <w:pPr>
        <w:spacing w:after="0" w:line="91" w:lineRule="exact"/>
        <w:rPr>
          <w:rFonts w:ascii="Arial" w:cs="Arial" w:eastAsia="Arial" w:hAnsi="Arial"/>
          <w:sz w:val="14"/>
          <w:szCs w:val="14"/>
          <w:b w:val="1"/>
          <w:bCs w:val="1"/>
          <w:color w:val="auto"/>
        </w:rPr>
      </w:pPr>
    </w:p>
    <w:p>
      <w:pPr>
        <w:ind w:left="385" w:right="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redeemable preferred stock was redeemable upon a liquidation event, such as voluntary or involuntary liquidation, dissolution, or winding up of the Company, which is outside of the Company’s control. Accordingly, these shares were considered contingently redeemable and were classified outside of stockholders’ deficit as mezzanine equity on the consolidated balance sheets. The Company accreted the carrying values of the redeemable preferred stock to their liquidation values upon the Company’s IPO.</w:t>
      </w:r>
    </w:p>
    <w:p>
      <w:pPr>
        <w:spacing w:after="0" w:line="218" w:lineRule="exact"/>
        <w:rPr>
          <w:rFonts w:ascii="Arial" w:cs="Arial" w:eastAsia="Arial" w:hAnsi="Arial"/>
          <w:sz w:val="14"/>
          <w:szCs w:val="14"/>
          <w:b w:val="1"/>
          <w:bCs w:val="1"/>
          <w:color w:val="auto"/>
        </w:rPr>
      </w:pPr>
    </w:p>
    <w:p>
      <w:pPr>
        <w:ind w:left="385" w:right="9440" w:hanging="385"/>
        <w:spacing w:after="0" w:line="379" w:lineRule="auto"/>
        <w:tabs>
          <w:tab w:leader="none" w:pos="38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Common Stock</w:t>
      </w:r>
    </w:p>
    <w:p>
      <w:pPr>
        <w:ind w:left="385"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241"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5" w:right="1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January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547370</wp:posOffset>
            </wp:positionV>
            <wp:extent cx="3238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5"/>
          </w:cols>
          <w:pgMar w:left="295" w:top="3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4"/>
        <w:spacing w:after="0"/>
        <w:rPr>
          <w:sz w:val="20"/>
          <w:szCs w:val="20"/>
          <w:color w:val="auto"/>
        </w:rPr>
      </w:pPr>
      <w:r>
        <w:rPr>
          <w:rFonts w:ascii="Arial" w:cs="Arial" w:eastAsia="Arial" w:hAnsi="Arial"/>
          <w:sz w:val="19"/>
          <w:szCs w:val="19"/>
          <w:color w:val="auto"/>
        </w:rPr>
        <w:t>115</w:t>
      </w:r>
    </w:p>
    <w:p>
      <w:pPr>
        <w:sectPr>
          <w:pgSz w:w="11880" w:h="15480" w:orient="portrait"/>
          <w:cols w:equalWidth="0" w:num="1">
            <w:col w:w="11225"/>
          </w:cols>
          <w:pgMar w:left="295" w:top="322" w:right="359" w:bottom="0" w:gutter="0" w:footer="0" w:header="0"/>
          <w:type w:val="continuous"/>
        </w:sectPr>
      </w:pPr>
    </w:p>
    <w:bookmarkStart w:id="123" w:name="page124"/>
    <w:bookmarkEnd w:id="123"/>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07"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January 31, 2023 and 2022, the Company had the following outstanding warrants: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rPr>
              <w:t>January 31, 2023</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47"/>
        </w:trPr>
        <w:tc>
          <w:tcPr>
            <w:tcW w:w="2840" w:type="dxa"/>
            <w:vAlign w:val="bottom"/>
          </w:tcPr>
          <w:p>
            <w:pPr>
              <w:spacing w:after="0"/>
              <w:rPr>
                <w:sz w:val="12"/>
                <w:szCs w:val="12"/>
                <w:color w:val="auto"/>
              </w:rPr>
            </w:pPr>
          </w:p>
        </w:tc>
        <w:tc>
          <w:tcPr>
            <w:tcW w:w="920" w:type="dxa"/>
            <w:vAlign w:val="bottom"/>
          </w:tcPr>
          <w:p>
            <w:pPr>
              <w:jc w:val="center"/>
              <w:ind w:left="44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right"/>
              <w:ind w:right="37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2"/>
                <w:szCs w:val="12"/>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40" w:type="dxa"/>
            <w:vAlign w:val="bottom"/>
          </w:tcPr>
          <w:p>
            <w:pPr>
              <w:spacing w:after="0"/>
              <w:rPr>
                <w:sz w:val="12"/>
                <w:szCs w:val="12"/>
                <w:color w:val="auto"/>
              </w:rPr>
            </w:pPr>
          </w:p>
        </w:tc>
        <w:tc>
          <w:tcPr>
            <w:tcW w:w="1200" w:type="dxa"/>
            <w:vAlign w:val="bottom"/>
          </w:tcPr>
          <w:p>
            <w:pPr>
              <w:jc w:val="right"/>
              <w:ind w:right="391"/>
              <w:spacing w:after="0"/>
              <w:rPr>
                <w:sz w:val="20"/>
                <w:szCs w:val="20"/>
                <w:color w:val="auto"/>
              </w:rPr>
            </w:pPr>
            <w:r>
              <w:rPr>
                <w:rFonts w:ascii="Arial" w:cs="Arial" w:eastAsia="Arial" w:hAnsi="Arial"/>
                <w:sz w:val="11"/>
                <w:szCs w:val="11"/>
                <w:b w:val="1"/>
                <w:bCs w:val="1"/>
                <w:color w:val="auto"/>
              </w:rPr>
              <w:t>Fair Value</w:t>
            </w:r>
          </w:p>
        </w:tc>
      </w:tr>
      <w:tr>
        <w:trPr>
          <w:trHeight w:val="167"/>
        </w:trPr>
        <w:tc>
          <w:tcPr>
            <w:tcW w:w="2840" w:type="dxa"/>
            <w:vAlign w:val="bottom"/>
          </w:tcPr>
          <w:p>
            <w:pPr>
              <w:ind w:left="82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6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7"/>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Price</w:t>
            </w:r>
          </w:p>
        </w:tc>
        <w:tc>
          <w:tcPr>
            <w:tcW w:w="240" w:type="dxa"/>
            <w:vAlign w:val="bottom"/>
          </w:tcPr>
          <w:p>
            <w:pPr>
              <w:spacing w:after="0"/>
              <w:rPr>
                <w:sz w:val="14"/>
                <w:szCs w:val="14"/>
                <w:color w:val="auto"/>
              </w:rPr>
            </w:pPr>
          </w:p>
        </w:tc>
        <w:tc>
          <w:tcPr>
            <w:tcW w:w="1200" w:type="dxa"/>
            <w:vAlign w:val="bottom"/>
          </w:tcPr>
          <w:p>
            <w:pPr>
              <w:jc w:val="right"/>
              <w:ind w:right="351"/>
              <w:spacing w:after="0"/>
              <w:rPr>
                <w:sz w:val="20"/>
                <w:szCs w:val="20"/>
                <w:color w:val="auto"/>
              </w:rPr>
            </w:pPr>
            <w:r>
              <w:rPr>
                <w:rFonts w:ascii="Arial" w:cs="Arial" w:eastAsia="Arial" w:hAnsi="Arial"/>
                <w:sz w:val="11"/>
                <w:szCs w:val="11"/>
                <w:b w:val="1"/>
                <w:bCs w:val="1"/>
                <w:color w:val="auto"/>
              </w:rPr>
              <w:t>at Issuance</w:t>
            </w:r>
          </w:p>
        </w:tc>
      </w:tr>
      <w:tr>
        <w:trPr>
          <w:trHeight w:val="195"/>
        </w:trPr>
        <w:tc>
          <w:tcPr>
            <w:tcW w:w="28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DDDDDD"/>
          </w:tcPr>
          <w:p>
            <w:pPr>
              <w:spacing w:after="0"/>
              <w:rPr>
                <w:sz w:val="16"/>
                <w:szCs w:val="16"/>
                <w:color w:val="auto"/>
              </w:rPr>
            </w:pPr>
          </w:p>
        </w:tc>
        <w:tc>
          <w:tcPr>
            <w:tcW w:w="50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144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144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280" w:type="dxa"/>
            <w:vAlign w:val="bottom"/>
            <w:tcBorders>
              <w:top w:val="single" w:sz="8" w:color="auto"/>
            </w:tcBorders>
            <w:shd w:val="clear" w:color="auto" w:fill="DDDDDD"/>
          </w:tcPr>
          <w:p>
            <w:pPr>
              <w:spacing w:after="0"/>
              <w:rPr>
                <w:sz w:val="16"/>
                <w:szCs w:val="16"/>
                <w:color w:val="auto"/>
              </w:rPr>
            </w:pPr>
          </w:p>
        </w:tc>
        <w:tc>
          <w:tcPr>
            <w:tcW w:w="116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DDDDDD"/>
            </w:tcBorders>
            <w:shd w:val="clear" w:color="auto" w:fill="DDDDDD"/>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40" w:type="dxa"/>
            <w:vAlign w:val="bottom"/>
          </w:tcPr>
          <w:p>
            <w:pPr>
              <w:jc w:val="right"/>
              <w:spacing w:after="0"/>
              <w:rPr>
                <w:sz w:val="20"/>
                <w:szCs w:val="20"/>
                <w:color w:val="auto"/>
              </w:rPr>
            </w:pPr>
            <w:r>
              <w:rPr>
                <w:rFonts w:ascii="Arial" w:cs="Arial" w:eastAsia="Arial" w:hAnsi="Arial"/>
                <w:sz w:val="14"/>
                <w:szCs w:val="14"/>
                <w:color w:val="auto"/>
              </w:rPr>
              <w:t>82,891</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0.3</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Jun-17</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18,236</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40" w:type="dxa"/>
            <w:vAlign w:val="bottom"/>
          </w:tcPr>
          <w:p>
            <w:pPr>
              <w:jc w:val="right"/>
              <w:spacing w:after="0"/>
              <w:rPr>
                <w:sz w:val="20"/>
                <w:szCs w:val="20"/>
                <w:color w:val="auto"/>
              </w:rPr>
            </w:pPr>
            <w:r>
              <w:rPr>
                <w:rFonts w:ascii="Arial" w:cs="Arial" w:eastAsia="Arial" w:hAnsi="Arial"/>
                <w:sz w:val="14"/>
                <w:szCs w:val="14"/>
                <w:color w:val="auto"/>
              </w:rPr>
              <w:t>14,920</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0.1</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Jan-18</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16,578</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40" w:type="dxa"/>
            <w:vAlign w:val="bottom"/>
          </w:tcPr>
          <w:p>
            <w:pPr>
              <w:jc w:val="right"/>
              <w:spacing w:after="0"/>
              <w:rPr>
                <w:sz w:val="20"/>
                <w:szCs w:val="20"/>
                <w:color w:val="auto"/>
              </w:rPr>
            </w:pPr>
            <w:r>
              <w:rPr>
                <w:rFonts w:ascii="Arial" w:cs="Arial" w:eastAsia="Arial" w:hAnsi="Arial"/>
                <w:sz w:val="14"/>
                <w:szCs w:val="14"/>
                <w:color w:val="auto"/>
              </w:rPr>
              <w:t>16,578</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0.1</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Nov-15</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35,215</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0.2</w:t>
            </w:r>
          </w:p>
        </w:tc>
      </w:tr>
      <w:tr>
        <w:trPr>
          <w:trHeight w:val="188"/>
        </w:trPr>
        <w:tc>
          <w:tcPr>
            <w:tcW w:w="2840" w:type="dxa"/>
            <w:vAlign w:val="bottom"/>
          </w:tcPr>
          <w:p>
            <w:pPr>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40" w:type="dxa"/>
            <w:vAlign w:val="bottom"/>
          </w:tcPr>
          <w:p>
            <w:pPr>
              <w:jc w:val="right"/>
              <w:spacing w:after="0"/>
              <w:rPr>
                <w:sz w:val="20"/>
                <w:szCs w:val="20"/>
                <w:color w:val="auto"/>
              </w:rPr>
            </w:pPr>
            <w:r>
              <w:rPr>
                <w:rFonts w:ascii="Arial" w:cs="Arial" w:eastAsia="Arial" w:hAnsi="Arial"/>
                <w:sz w:val="14"/>
                <w:szCs w:val="14"/>
                <w:color w:val="auto"/>
              </w:rPr>
              <w:t>28,172</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0.2</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Sep-16</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24,650</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Oct-21</w:t>
            </w:r>
          </w:p>
        </w:tc>
        <w:tc>
          <w:tcPr>
            <w:tcW w:w="1440" w:type="dxa"/>
            <w:vAlign w:val="bottom"/>
          </w:tcPr>
          <w:p>
            <w:pPr>
              <w:jc w:val="right"/>
              <w:spacing w:after="0"/>
              <w:rPr>
                <w:sz w:val="20"/>
                <w:szCs w:val="20"/>
                <w:color w:val="auto"/>
              </w:rPr>
            </w:pPr>
            <w:r>
              <w:rPr>
                <w:rFonts w:ascii="Arial" w:cs="Arial" w:eastAsia="Arial" w:hAnsi="Arial"/>
                <w:sz w:val="14"/>
                <w:szCs w:val="14"/>
                <w:color w:val="auto"/>
              </w:rPr>
              <w:t>394,343</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5.3</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Double Helix (Temasek)</w:t>
            </w:r>
          </w:p>
        </w:tc>
        <w:tc>
          <w:tcPr>
            <w:tcW w:w="920" w:type="dxa"/>
            <w:vAlign w:val="bottom"/>
            <w:tcBorders>
              <w:bottom w:val="single" w:sz="8" w:color="DDDDDD"/>
            </w:tcBorders>
            <w:shd w:val="clear" w:color="auto" w:fill="DDDDDD"/>
          </w:tcPr>
          <w:p>
            <w:pPr>
              <w:spacing w:after="0"/>
              <w:rPr>
                <w:sz w:val="18"/>
                <w:szCs w:val="18"/>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Jan-23</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Borders>
              <w:bottom w:val="single" w:sz="8" w:color="DDDDDD"/>
            </w:tcBorders>
            <w:shd w:val="clear" w:color="auto" w:fill="DDDDDD"/>
          </w:tcPr>
          <w:p>
            <w:pPr>
              <w:spacing w:after="0"/>
              <w:rPr>
                <w:sz w:val="18"/>
                <w:szCs w:val="18"/>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5.00</w:t>
            </w:r>
          </w:p>
        </w:tc>
        <w:tc>
          <w:tcPr>
            <w:tcW w:w="8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6.9</w:t>
            </w:r>
          </w:p>
        </w:tc>
      </w:tr>
      <w:tr>
        <w:trPr>
          <w:trHeight w:val="178"/>
        </w:trPr>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2,631,583</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13.4</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The warrant for 730,000 shares of common stock issued to Double Helix (Temasek) in July 2018 with an exercise price of $27.40 per share expired unexercised during the year ended January 31, 2023.</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See Note 8 - Long-Term Debt for details of the warrants issued to Temasek in January 2023.</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1"/>
                <w:szCs w:val="11"/>
                <w:b w:val="1"/>
                <w:bCs w:val="1"/>
                <w:color w:val="auto"/>
              </w:rPr>
              <w:t>January 31, 2022</w:t>
            </w: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36"/>
        </w:trPr>
        <w:tc>
          <w:tcPr>
            <w:tcW w:w="2840" w:type="dxa"/>
            <w:vAlign w:val="bottom"/>
          </w:tcPr>
          <w:p>
            <w:pPr>
              <w:spacing w:after="0"/>
              <w:rPr>
                <w:sz w:val="11"/>
                <w:szCs w:val="11"/>
                <w:color w:val="auto"/>
              </w:rPr>
            </w:pPr>
          </w:p>
        </w:tc>
        <w:tc>
          <w:tcPr>
            <w:tcW w:w="920" w:type="dxa"/>
            <w:vAlign w:val="bottom"/>
          </w:tcPr>
          <w:p>
            <w:pPr>
              <w:jc w:val="center"/>
              <w:ind w:left="443"/>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jc w:val="right"/>
              <w:ind w:right="37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rPr>
              <w:t>Class of</w:t>
            </w: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Exercise</w:t>
            </w:r>
          </w:p>
        </w:tc>
        <w:tc>
          <w:tcPr>
            <w:tcW w:w="240" w:type="dxa"/>
            <w:vAlign w:val="bottom"/>
          </w:tcPr>
          <w:p>
            <w:pPr>
              <w:spacing w:after="0"/>
              <w:rPr>
                <w:sz w:val="11"/>
                <w:szCs w:val="11"/>
                <w:color w:val="auto"/>
              </w:rPr>
            </w:pPr>
          </w:p>
        </w:tc>
        <w:tc>
          <w:tcPr>
            <w:tcW w:w="1200" w:type="dxa"/>
            <w:vAlign w:val="bottom"/>
          </w:tcPr>
          <w:p>
            <w:pPr>
              <w:jc w:val="right"/>
              <w:ind w:right="391"/>
              <w:spacing w:after="0"/>
              <w:rPr>
                <w:sz w:val="20"/>
                <w:szCs w:val="20"/>
                <w:color w:val="auto"/>
              </w:rPr>
            </w:pPr>
            <w:r>
              <w:rPr>
                <w:rFonts w:ascii="Arial" w:cs="Arial" w:eastAsia="Arial" w:hAnsi="Arial"/>
                <w:sz w:val="11"/>
                <w:szCs w:val="11"/>
                <w:b w:val="1"/>
                <w:bCs w:val="1"/>
                <w:color w:val="auto"/>
              </w:rPr>
              <w:t>Fair Value</w:t>
            </w:r>
          </w:p>
        </w:tc>
      </w:tr>
      <w:tr>
        <w:trPr>
          <w:trHeight w:val="173"/>
        </w:trPr>
        <w:tc>
          <w:tcPr>
            <w:tcW w:w="2840" w:type="dxa"/>
            <w:vAlign w:val="bottom"/>
          </w:tcPr>
          <w:p>
            <w:pPr>
              <w:ind w:left="820"/>
              <w:spacing w:after="0"/>
              <w:rPr>
                <w:sz w:val="20"/>
                <w:szCs w:val="20"/>
                <w:color w:val="auto"/>
              </w:rPr>
            </w:pPr>
            <w:r>
              <w:rPr>
                <w:rFonts w:ascii="Arial" w:cs="Arial" w:eastAsia="Arial" w:hAnsi="Arial"/>
                <w:sz w:val="11"/>
                <w:szCs w:val="11"/>
                <w:b w:val="1"/>
                <w:bCs w:val="1"/>
                <w:color w:val="auto"/>
              </w:rPr>
              <w:t>Outstanding Warrants</w:t>
            </w:r>
          </w:p>
        </w:tc>
        <w:tc>
          <w:tcPr>
            <w:tcW w:w="920" w:type="dxa"/>
            <w:vAlign w:val="bottom"/>
          </w:tcPr>
          <w:p>
            <w:pPr>
              <w:jc w:val="center"/>
              <w:ind w:left="463"/>
              <w:spacing w:after="0"/>
              <w:rPr>
                <w:sz w:val="20"/>
                <w:szCs w:val="20"/>
                <w:color w:val="auto"/>
              </w:rPr>
            </w:pPr>
            <w:r>
              <w:rPr>
                <w:rFonts w:ascii="Arial" w:cs="Arial" w:eastAsia="Arial" w:hAnsi="Arial"/>
                <w:sz w:val="11"/>
                <w:szCs w:val="11"/>
                <w:b w:val="1"/>
                <w:bCs w:val="1"/>
                <w:color w:val="auto"/>
              </w:rPr>
              <w:t>Issued</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45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5"/>
                <w:szCs w:val="15"/>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1"/>
                <w:szCs w:val="11"/>
                <w:b w:val="1"/>
                <w:bCs w:val="1"/>
                <w:color w:val="auto"/>
                <w:w w:val="97"/>
              </w:rPr>
              <w:t>Shares</w:t>
            </w: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Price</w:t>
            </w:r>
          </w:p>
        </w:tc>
        <w:tc>
          <w:tcPr>
            <w:tcW w:w="240" w:type="dxa"/>
            <w:vAlign w:val="bottom"/>
          </w:tcPr>
          <w:p>
            <w:pPr>
              <w:spacing w:after="0"/>
              <w:rPr>
                <w:sz w:val="15"/>
                <w:szCs w:val="15"/>
                <w:color w:val="auto"/>
              </w:rPr>
            </w:pPr>
          </w:p>
        </w:tc>
        <w:tc>
          <w:tcPr>
            <w:tcW w:w="1200" w:type="dxa"/>
            <w:vAlign w:val="bottom"/>
          </w:tcPr>
          <w:p>
            <w:pPr>
              <w:jc w:val="right"/>
              <w:ind w:right="351"/>
              <w:spacing w:after="0"/>
              <w:rPr>
                <w:sz w:val="20"/>
                <w:szCs w:val="20"/>
                <w:color w:val="auto"/>
              </w:rPr>
            </w:pPr>
            <w:r>
              <w:rPr>
                <w:rFonts w:ascii="Arial" w:cs="Arial" w:eastAsia="Arial" w:hAnsi="Arial"/>
                <w:sz w:val="11"/>
                <w:szCs w:val="11"/>
                <w:b w:val="1"/>
                <w:bCs w:val="1"/>
                <w:color w:val="auto"/>
              </w:rPr>
              <w:t>at Issuance</w:t>
            </w:r>
          </w:p>
        </w:tc>
      </w:tr>
      <w:tr>
        <w:trPr>
          <w:trHeight w:val="200"/>
        </w:trPr>
        <w:tc>
          <w:tcPr>
            <w:tcW w:w="284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Equity classified:</w:t>
            </w:r>
          </w:p>
        </w:tc>
        <w:tc>
          <w:tcPr>
            <w:tcW w:w="920" w:type="dxa"/>
            <w:vAlign w:val="bottom"/>
            <w:tcBorders>
              <w:top w:val="single" w:sz="8" w:color="auto"/>
            </w:tcBorders>
            <w:shd w:val="clear" w:color="auto" w:fill="DDDDDD"/>
          </w:tcPr>
          <w:p>
            <w:pPr>
              <w:spacing w:after="0"/>
              <w:rPr>
                <w:sz w:val="17"/>
                <w:szCs w:val="17"/>
                <w:color w:val="auto"/>
              </w:rPr>
            </w:pPr>
          </w:p>
        </w:tc>
        <w:tc>
          <w:tcPr>
            <w:tcW w:w="50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280" w:type="dxa"/>
            <w:vAlign w:val="bottom"/>
            <w:tcBorders>
              <w:top w:val="single" w:sz="8" w:color="auto"/>
            </w:tcBorders>
            <w:shd w:val="clear" w:color="auto" w:fill="DDDDDD"/>
          </w:tcPr>
          <w:p>
            <w:pPr>
              <w:spacing w:after="0"/>
              <w:rPr>
                <w:sz w:val="17"/>
                <w:szCs w:val="17"/>
                <w:color w:val="auto"/>
              </w:rPr>
            </w:pPr>
          </w:p>
        </w:tc>
        <w:tc>
          <w:tcPr>
            <w:tcW w:w="1160" w:type="dxa"/>
            <w:vAlign w:val="bottom"/>
            <w:tcBorders>
              <w:top w:val="single" w:sz="8" w:color="auto"/>
            </w:tcBorders>
            <w:shd w:val="clear" w:color="auto" w:fill="DDDDDD"/>
          </w:tcPr>
          <w:p>
            <w:pPr>
              <w:spacing w:after="0"/>
              <w:rPr>
                <w:sz w:val="17"/>
                <w:szCs w:val="17"/>
                <w:color w:val="auto"/>
              </w:rPr>
            </w:pPr>
          </w:p>
        </w:tc>
        <w:tc>
          <w:tcPr>
            <w:tcW w:w="8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200" w:type="dxa"/>
            <w:vAlign w:val="bottom"/>
            <w:tcBorders>
              <w:top w:val="single" w:sz="8" w:color="auto"/>
            </w:tcBorders>
            <w:shd w:val="clear" w:color="auto" w:fill="DDDDDD"/>
          </w:tcPr>
          <w:p>
            <w:pPr>
              <w:spacing w:after="0"/>
              <w:rPr>
                <w:sz w:val="17"/>
                <w:szCs w:val="17"/>
                <w:color w:val="auto"/>
              </w:rPr>
            </w:pP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Nov-16</w:t>
            </w:r>
          </w:p>
        </w:tc>
        <w:tc>
          <w:tcPr>
            <w:tcW w:w="1440" w:type="dxa"/>
            <w:vAlign w:val="bottom"/>
          </w:tcPr>
          <w:p>
            <w:pPr>
              <w:jc w:val="right"/>
              <w:spacing w:after="0"/>
              <w:rPr>
                <w:sz w:val="20"/>
                <w:szCs w:val="20"/>
                <w:color w:val="auto"/>
              </w:rPr>
            </w:pPr>
            <w:r>
              <w:rPr>
                <w:rFonts w:ascii="Arial" w:cs="Arial" w:eastAsia="Arial" w:hAnsi="Arial"/>
                <w:sz w:val="14"/>
                <w:szCs w:val="14"/>
                <w:color w:val="auto"/>
              </w:rPr>
              <w:t>82,891</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  $</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0.3</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Jun-17</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18,236</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Sep-17</w:t>
            </w:r>
          </w:p>
        </w:tc>
        <w:tc>
          <w:tcPr>
            <w:tcW w:w="1440" w:type="dxa"/>
            <w:vAlign w:val="bottom"/>
          </w:tcPr>
          <w:p>
            <w:pPr>
              <w:jc w:val="right"/>
              <w:spacing w:after="0"/>
              <w:rPr>
                <w:sz w:val="20"/>
                <w:szCs w:val="20"/>
                <w:color w:val="auto"/>
              </w:rPr>
            </w:pPr>
            <w:r>
              <w:rPr>
                <w:rFonts w:ascii="Arial" w:cs="Arial" w:eastAsia="Arial" w:hAnsi="Arial"/>
                <w:sz w:val="14"/>
                <w:szCs w:val="14"/>
                <w:color w:val="auto"/>
              </w:rPr>
              <w:t>14,920</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0.1</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Jan-18</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16,578</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Apr-18</w:t>
            </w:r>
          </w:p>
        </w:tc>
        <w:tc>
          <w:tcPr>
            <w:tcW w:w="1440" w:type="dxa"/>
            <w:vAlign w:val="bottom"/>
          </w:tcPr>
          <w:p>
            <w:pPr>
              <w:jc w:val="right"/>
              <w:spacing w:after="0"/>
              <w:rPr>
                <w:sz w:val="20"/>
                <w:szCs w:val="20"/>
                <w:color w:val="auto"/>
              </w:rPr>
            </w:pPr>
            <w:r>
              <w:rPr>
                <w:rFonts w:ascii="Arial" w:cs="Arial" w:eastAsia="Arial" w:hAnsi="Arial"/>
                <w:sz w:val="14"/>
                <w:szCs w:val="14"/>
                <w:color w:val="auto"/>
              </w:rPr>
              <w:t>16,578</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0.1</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Nov-15</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35,215</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0.2</w:t>
            </w:r>
          </w:p>
        </w:tc>
      </w:tr>
      <w:tr>
        <w:trPr>
          <w:trHeight w:val="188"/>
        </w:trPr>
        <w:tc>
          <w:tcPr>
            <w:tcW w:w="2840" w:type="dxa"/>
            <w:vAlign w:val="bottom"/>
          </w:tcPr>
          <w:p>
            <w:pPr>
              <w:spacing w:after="0"/>
              <w:rPr>
                <w:sz w:val="20"/>
                <w:szCs w:val="20"/>
                <w:color w:val="auto"/>
              </w:rPr>
            </w:pPr>
            <w:r>
              <w:rPr>
                <w:rFonts w:ascii="Arial" w:cs="Arial" w:eastAsia="Arial" w:hAnsi="Arial"/>
                <w:sz w:val="14"/>
                <w:szCs w:val="14"/>
                <w:color w:val="auto"/>
              </w:rPr>
              <w:t>TriplePoint</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Jun-16</w:t>
            </w:r>
          </w:p>
        </w:tc>
        <w:tc>
          <w:tcPr>
            <w:tcW w:w="1440" w:type="dxa"/>
            <w:vAlign w:val="bottom"/>
          </w:tcPr>
          <w:p>
            <w:pPr>
              <w:jc w:val="right"/>
              <w:spacing w:after="0"/>
              <w:rPr>
                <w:sz w:val="20"/>
                <w:szCs w:val="20"/>
                <w:color w:val="auto"/>
              </w:rPr>
            </w:pPr>
            <w:r>
              <w:rPr>
                <w:rFonts w:ascii="Arial" w:cs="Arial" w:eastAsia="Arial" w:hAnsi="Arial"/>
                <w:sz w:val="14"/>
                <w:szCs w:val="14"/>
                <w:color w:val="auto"/>
              </w:rPr>
              <w:t>28,172</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0.2</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TriplePoint</w:t>
            </w:r>
          </w:p>
        </w:tc>
        <w:tc>
          <w:tcPr>
            <w:tcW w:w="92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Sep-16</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24,650</w:t>
            </w:r>
          </w:p>
        </w:tc>
        <w:tc>
          <w:tcPr>
            <w:tcW w:w="80" w:type="dxa"/>
            <w:vAlign w:val="bottom"/>
            <w:tcBorders>
              <w:bottom w:val="single" w:sz="8" w:color="DDDDDD"/>
            </w:tcBorders>
            <w:shd w:val="clear" w:color="auto" w:fill="DDDDDD"/>
          </w:tcPr>
          <w:p>
            <w:pPr>
              <w:spacing w:after="0"/>
              <w:rPr>
                <w:sz w:val="16"/>
                <w:szCs w:val="16"/>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17.04</w:t>
            </w:r>
          </w:p>
        </w:tc>
        <w:tc>
          <w:tcPr>
            <w:tcW w:w="80" w:type="dxa"/>
            <w:vAlign w:val="bottom"/>
            <w:tcBorders>
              <w:bottom w:val="single" w:sz="8" w:color="DDDDDD"/>
            </w:tcBorders>
            <w:shd w:val="clear" w:color="auto" w:fill="DDDDDD"/>
          </w:tcPr>
          <w:p>
            <w:pPr>
              <w:spacing w:after="0"/>
              <w:rPr>
                <w:sz w:val="16"/>
                <w:szCs w:val="16"/>
                <w:color w:val="auto"/>
              </w:rPr>
            </w:pPr>
          </w:p>
        </w:tc>
        <w:tc>
          <w:tcPr>
            <w:tcW w:w="240" w:type="dxa"/>
            <w:vAlign w:val="bottom"/>
            <w:tcBorders>
              <w:bottom w:val="single" w:sz="8" w:color="DDDDDD"/>
            </w:tcBorders>
            <w:shd w:val="clear" w:color="auto" w:fill="DDDDDD"/>
          </w:tcPr>
          <w:p>
            <w:pPr>
              <w:spacing w:after="0"/>
              <w:rPr>
                <w:sz w:val="16"/>
                <w:szCs w:val="16"/>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0.1</w:t>
            </w:r>
          </w:p>
        </w:tc>
      </w:tr>
      <w:tr>
        <w:trPr>
          <w:trHeight w:val="188"/>
        </w:trPr>
        <w:tc>
          <w:tcPr>
            <w:tcW w:w="2840" w:type="dxa"/>
            <w:vAlign w:val="bottom"/>
          </w:tcPr>
          <w:p>
            <w:pPr>
              <w:spacing w:after="0"/>
              <w:rPr>
                <w:sz w:val="20"/>
                <w:szCs w:val="20"/>
                <w:color w:val="auto"/>
              </w:rPr>
            </w:pPr>
            <w:r>
              <w:rPr>
                <w:rFonts w:ascii="Arial" w:cs="Arial" w:eastAsia="Arial" w:hAnsi="Arial"/>
                <w:sz w:val="14"/>
                <w:szCs w:val="14"/>
                <w:color w:val="auto"/>
              </w:rPr>
              <w:t>Double Helix (Temasek)</w:t>
            </w:r>
          </w:p>
        </w:tc>
        <w:tc>
          <w:tcPr>
            <w:tcW w:w="9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Jul-18</w:t>
            </w:r>
          </w:p>
        </w:tc>
        <w:tc>
          <w:tcPr>
            <w:tcW w:w="1440" w:type="dxa"/>
            <w:vAlign w:val="bottom"/>
          </w:tcPr>
          <w:p>
            <w:pPr>
              <w:jc w:val="right"/>
              <w:spacing w:after="0"/>
              <w:rPr>
                <w:sz w:val="20"/>
                <w:szCs w:val="20"/>
                <w:color w:val="auto"/>
              </w:rPr>
            </w:pPr>
            <w:r>
              <w:rPr>
                <w:rFonts w:ascii="Arial" w:cs="Arial" w:eastAsia="Arial" w:hAnsi="Arial"/>
                <w:sz w:val="14"/>
                <w:szCs w:val="14"/>
                <w:color w:val="auto"/>
              </w:rPr>
              <w:t>730,000</w:t>
            </w:r>
          </w:p>
        </w:tc>
        <w:tc>
          <w:tcPr>
            <w:tcW w:w="80" w:type="dxa"/>
            <w:vAlign w:val="bottom"/>
          </w:tcPr>
          <w:p>
            <w:pPr>
              <w:spacing w:after="0"/>
              <w:rPr>
                <w:sz w:val="16"/>
                <w:szCs w:val="16"/>
                <w:color w:val="auto"/>
              </w:rPr>
            </w:pPr>
          </w:p>
        </w:tc>
        <w:tc>
          <w:tcPr>
            <w:tcW w:w="1800" w:type="dxa"/>
            <w:vAlign w:val="bottom"/>
            <w:gridSpan w:val="3"/>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Pr>
          <w:p>
            <w:pPr>
              <w:jc w:val="right"/>
              <w:spacing w:after="0"/>
              <w:rPr>
                <w:sz w:val="20"/>
                <w:szCs w:val="20"/>
                <w:color w:val="auto"/>
              </w:rPr>
            </w:pPr>
            <w:r>
              <w:rPr>
                <w:rFonts w:ascii="Arial" w:cs="Arial" w:eastAsia="Arial" w:hAnsi="Arial"/>
                <w:sz w:val="14"/>
                <w:szCs w:val="14"/>
                <w:color w:val="auto"/>
              </w:rPr>
              <w:t>27.40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color w:val="auto"/>
              </w:rPr>
              <w:t>1.3</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2"/>
        </w:trPr>
        <w:tc>
          <w:tcPr>
            <w:tcW w:w="2840" w:type="dxa"/>
            <w:vAlign w:val="bottom"/>
            <w:tcBorders>
              <w:bottom w:val="single" w:sz="8" w:color="DDDDDD"/>
            </w:tcBorders>
            <w:shd w:val="clear" w:color="auto" w:fill="DDDDDD"/>
          </w:tcPr>
          <w:p>
            <w:pPr>
              <w:spacing w:after="0"/>
              <w:rPr>
                <w:sz w:val="20"/>
                <w:szCs w:val="20"/>
                <w:color w:val="auto"/>
              </w:rPr>
            </w:pPr>
            <w:r>
              <w:rPr>
                <w:rFonts w:ascii="Arial" w:cs="Arial" w:eastAsia="Arial" w:hAnsi="Arial"/>
                <w:sz w:val="14"/>
                <w:szCs w:val="14"/>
                <w:color w:val="auto"/>
              </w:rPr>
              <w:t>Double Helix (Temasek)</w:t>
            </w:r>
          </w:p>
        </w:tc>
        <w:tc>
          <w:tcPr>
            <w:tcW w:w="920" w:type="dxa"/>
            <w:vAlign w:val="bottom"/>
            <w:tcBorders>
              <w:bottom w:val="single" w:sz="8" w:color="DDDDDD"/>
            </w:tcBorders>
            <w:shd w:val="clear" w:color="auto" w:fill="DDDDDD"/>
          </w:tcPr>
          <w:p>
            <w:pPr>
              <w:spacing w:after="0"/>
              <w:rPr>
                <w:sz w:val="18"/>
                <w:szCs w:val="18"/>
                <w:color w:val="auto"/>
              </w:rPr>
            </w:pPr>
          </w:p>
        </w:tc>
        <w:tc>
          <w:tcPr>
            <w:tcW w:w="58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Arial" w:cs="Arial" w:eastAsia="Arial" w:hAnsi="Arial"/>
                <w:sz w:val="14"/>
                <w:szCs w:val="14"/>
                <w:color w:val="auto"/>
              </w:rPr>
              <w:t>Oct-21</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394,343</w:t>
            </w:r>
          </w:p>
        </w:tc>
        <w:tc>
          <w:tcPr>
            <w:tcW w:w="80" w:type="dxa"/>
            <w:vAlign w:val="bottom"/>
            <w:tcBorders>
              <w:bottom w:val="single" w:sz="8" w:color="DDDDDD"/>
            </w:tcBorders>
            <w:shd w:val="clear" w:color="auto" w:fill="DDDDDD"/>
          </w:tcPr>
          <w:p>
            <w:pPr>
              <w:spacing w:after="0"/>
              <w:rPr>
                <w:sz w:val="18"/>
                <w:szCs w:val="18"/>
                <w:color w:val="auto"/>
              </w:rPr>
            </w:pPr>
          </w:p>
        </w:tc>
        <w:tc>
          <w:tcPr>
            <w:tcW w:w="1800" w:type="dxa"/>
            <w:vAlign w:val="bottom"/>
            <w:tcBorders>
              <w:bottom w:val="single" w:sz="8" w:color="DDDDDD"/>
            </w:tcBorders>
            <w:gridSpan w:val="3"/>
            <w:shd w:val="clear" w:color="auto" w:fill="DDDDDD"/>
          </w:tcPr>
          <w:p>
            <w:pPr>
              <w:ind w:left="840"/>
              <w:spacing w:after="0"/>
              <w:rPr>
                <w:sz w:val="20"/>
                <w:szCs w:val="20"/>
                <w:color w:val="auto"/>
              </w:rPr>
            </w:pPr>
            <w:r>
              <w:rPr>
                <w:rFonts w:ascii="Arial" w:cs="Arial" w:eastAsia="Arial" w:hAnsi="Arial"/>
                <w:sz w:val="14"/>
                <w:szCs w:val="14"/>
                <w:color w:val="auto"/>
              </w:rPr>
              <w:t>Common</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21.00</w:t>
            </w:r>
          </w:p>
        </w:tc>
        <w:tc>
          <w:tcPr>
            <w:tcW w:w="8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200" w:type="dxa"/>
            <w:vAlign w:val="bottom"/>
            <w:tcBorders>
              <w:bottom w:val="single" w:sz="8" w:color="DDDDDD"/>
            </w:tcBorders>
            <w:shd w:val="clear" w:color="auto" w:fill="DDDDDD"/>
          </w:tcPr>
          <w:p>
            <w:pPr>
              <w:jc w:val="right"/>
              <w:ind w:right="11"/>
              <w:spacing w:after="0"/>
              <w:rPr>
                <w:sz w:val="20"/>
                <w:szCs w:val="20"/>
                <w:color w:val="auto"/>
              </w:rPr>
            </w:pPr>
            <w:r>
              <w:rPr>
                <w:rFonts w:ascii="Arial" w:cs="Arial" w:eastAsia="Arial" w:hAnsi="Arial"/>
                <w:sz w:val="14"/>
                <w:szCs w:val="14"/>
                <w:color w:val="auto"/>
              </w:rPr>
              <w:t>5.3</w:t>
            </w:r>
          </w:p>
        </w:tc>
      </w:tr>
      <w:tr>
        <w:trPr>
          <w:trHeight w:val="178"/>
        </w:trPr>
        <w:tc>
          <w:tcPr>
            <w:tcW w:w="2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1,361,583</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7.8</w:t>
            </w:r>
          </w:p>
        </w:tc>
      </w:tr>
      <w:tr>
        <w:trPr>
          <w:trHeight w:val="24"/>
        </w:trPr>
        <w:tc>
          <w:tcPr>
            <w:tcW w:w="2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There were no outstanding liability-classified warrants as of January 31, 2023 and 2022.</w:t>
      </w:r>
    </w:p>
    <w:p>
      <w:pPr>
        <w:spacing w:after="0" w:line="200" w:lineRule="exact"/>
        <w:rPr>
          <w:sz w:val="20"/>
          <w:szCs w:val="20"/>
          <w:color w:val="auto"/>
        </w:rPr>
      </w:pPr>
    </w:p>
    <w:p>
      <w:pPr>
        <w:jc w:val="both"/>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U.S. Treasury yield curves.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434340</wp:posOffset>
            </wp:positionV>
            <wp:extent cx="3238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80"/>
          </w:cols>
          <w:pgMar w:left="300" w:top="322"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116</w:t>
      </w:r>
    </w:p>
    <w:p>
      <w:pPr>
        <w:sectPr>
          <w:pgSz w:w="11880" w:h="15480" w:orient="portrait"/>
          <w:cols w:equalWidth="0" w:num="1">
            <w:col w:w="11080"/>
          </w:cols>
          <w:pgMar w:left="300" w:top="322" w:right="499" w:bottom="0" w:gutter="0" w:footer="0" w:header="0"/>
          <w:type w:val="continuous"/>
        </w:sectPr>
      </w:pPr>
    </w:p>
    <w:bookmarkStart w:id="124" w:name="page125"/>
    <w:bookmarkEnd w:id="124"/>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16153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p>
      <w:pPr>
        <w:ind w:left="385"/>
        <w:spacing w:after="0" w:line="262" w:lineRule="auto"/>
        <w:rPr>
          <w:sz w:val="20"/>
          <w:szCs w:val="20"/>
          <w:color w:val="auto"/>
        </w:rPr>
      </w:pPr>
      <w:r>
        <w:rPr>
          <w:rFonts w:ascii="Arial" w:cs="Arial" w:eastAsia="Arial" w:hAnsi="Arial"/>
          <w:sz w:val="14"/>
          <w:szCs w:val="14"/>
          <w:color w:val="auto"/>
        </w:rPr>
        <w:t>The Company issued preferred and common stock warrants in conjunction with the issuance of long-term debt. The preferred stock warrants were accounted for as liabilities primarily because the shares underlying the warrants contained contingent redemption features outside the control of the Company. The liability classified warrants were subject to remeasurement at each balance sheet date. With each such re-measurement, the liability classified warrants were adjusted to current fair value recognized as a gain or loss in the consolidated statements of operations. The Company reassessed the classification of the warrants at each balance sheet date. If the classification changed as a result of events during the period, the warrants were reclassified as of the date of the event that caused the reclassification.</w:t>
      </w:r>
    </w:p>
    <w:p>
      <w:pPr>
        <w:spacing w:after="0" w:line="140" w:lineRule="exact"/>
        <w:rPr>
          <w:sz w:val="20"/>
          <w:szCs w:val="20"/>
          <w:color w:val="auto"/>
        </w:rPr>
      </w:pPr>
    </w:p>
    <w:p>
      <w:pPr>
        <w:ind w:left="385" w:right="140"/>
        <w:spacing w:after="0" w:line="290" w:lineRule="auto"/>
        <w:rPr>
          <w:sz w:val="20"/>
          <w:szCs w:val="20"/>
          <w:color w:val="auto"/>
        </w:rPr>
      </w:pPr>
      <w:r>
        <w:rPr>
          <w:rFonts w:ascii="Arial" w:cs="Arial" w:eastAsia="Arial" w:hAnsi="Arial"/>
          <w:sz w:val="14"/>
          <w:szCs w:val="14"/>
          <w:color w:val="auto"/>
        </w:rPr>
        <w:t>As of January 31, 2023 and 2022, all outstanding warrants were equity-classified and recorded as additional paid-in capital. Equity-classified contracts are not subsequently remeasured unless reclassification is required from equity to liability classification.</w:t>
      </w:r>
    </w:p>
    <w:p>
      <w:pPr>
        <w:spacing w:after="0" w:line="205" w:lineRule="exact"/>
        <w:rPr>
          <w:sz w:val="20"/>
          <w:szCs w:val="20"/>
          <w:color w:val="auto"/>
        </w:rPr>
      </w:pPr>
    </w:p>
    <w:p>
      <w:pPr>
        <w:ind w:left="385" w:hanging="385"/>
        <w:spacing w:after="0"/>
        <w:tabs>
          <w:tab w:leader="none" w:pos="385"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01"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197" w:lineRule="exact"/>
        <w:rPr>
          <w:rFonts w:ascii="Arial" w:cs="Arial" w:eastAsia="Arial" w:hAnsi="Arial"/>
          <w:sz w:val="14"/>
          <w:szCs w:val="14"/>
          <w:b w:val="1"/>
          <w:bCs w:val="1"/>
          <w:color w:val="auto"/>
        </w:rPr>
      </w:pPr>
    </w:p>
    <w:p>
      <w:pPr>
        <w:ind w:left="385"/>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165"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Amended and Restated 2021 Incentive Award Plan</w:t>
      </w:r>
    </w:p>
    <w:p>
      <w:pPr>
        <w:spacing w:after="0" w:line="197" w:lineRule="exact"/>
        <w:rPr>
          <w:rFonts w:ascii="Arial" w:cs="Arial" w:eastAsia="Arial" w:hAnsi="Arial"/>
          <w:sz w:val="14"/>
          <w:szCs w:val="14"/>
          <w:b w:val="1"/>
          <w:bCs w:val="1"/>
          <w:color w:val="auto"/>
        </w:rPr>
      </w:pPr>
    </w:p>
    <w:p>
      <w:pPr>
        <w:ind w:left="385" w:right="6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year ended January 31, 2023 have a shorter vesting period of one to two years. As of January 31, 2023, there were 7,224,952 shares of Class A common stock available for issuance under the 2021 Plan. There will not be any further equity grants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560705</wp:posOffset>
            </wp:positionV>
            <wp:extent cx="3238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45"/>
          </w:cols>
          <w:pgMar w:left="295" w:top="322"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4"/>
        <w:spacing w:after="0"/>
        <w:rPr>
          <w:sz w:val="20"/>
          <w:szCs w:val="20"/>
          <w:color w:val="auto"/>
        </w:rPr>
      </w:pPr>
      <w:r>
        <w:rPr>
          <w:rFonts w:ascii="Arial" w:cs="Arial" w:eastAsia="Arial" w:hAnsi="Arial"/>
          <w:sz w:val="19"/>
          <w:szCs w:val="19"/>
          <w:color w:val="auto"/>
        </w:rPr>
        <w:t>117</w:t>
      </w:r>
    </w:p>
    <w:p>
      <w:pPr>
        <w:sectPr>
          <w:pgSz w:w="11880" w:h="15480" w:orient="portrait"/>
          <w:cols w:equalWidth="0" w:num="1">
            <w:col w:w="11245"/>
          </w:cols>
          <w:pgMar w:left="295" w:top="322" w:right="339" w:bottom="0" w:gutter="0" w:footer="0" w:header="0"/>
          <w:type w:val="continuous"/>
        </w:sectPr>
      </w:pPr>
    </w:p>
    <w:bookmarkStart w:id="125" w:name="page126"/>
    <w:bookmarkEnd w:id="125"/>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 weighted-average assumptions for grants made during the periods presented, were as follows:</w:t>
      </w:r>
    </w:p>
    <w:p>
      <w:pPr>
        <w:spacing w:after="0" w:line="191"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ind w:left="1180"/>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DDDDDD"/>
            </w:tcBorders>
          </w:tcPr>
          <w:p>
            <w:pPr>
              <w:spacing w:after="0"/>
              <w:rPr>
                <w:sz w:val="13"/>
                <w:szCs w:val="13"/>
                <w:color w:val="auto"/>
              </w:rPr>
            </w:pPr>
          </w:p>
        </w:tc>
        <w:tc>
          <w:tcPr>
            <w:tcW w:w="1720" w:type="dxa"/>
            <w:vAlign w:val="bottom"/>
            <w:tcBorders>
              <w:bottom w:val="single" w:sz="8" w:color="auto"/>
            </w:tcBorders>
            <w:gridSpan w:val="2"/>
          </w:tcPr>
          <w:p>
            <w:pPr>
              <w:jc w:val="right"/>
              <w:ind w:right="498"/>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DDDDDD"/>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86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Valuation assumptions:</w:t>
            </w:r>
          </w:p>
        </w:tc>
        <w:tc>
          <w:tcPr>
            <w:tcW w:w="280" w:type="dxa"/>
            <w:vAlign w:val="bottom"/>
            <w:tcBorders>
              <w:bottom w:val="single" w:sz="8" w:color="DDDDDD"/>
            </w:tcBorders>
            <w:shd w:val="clear" w:color="auto" w:fill="DDDDDD"/>
          </w:tcPr>
          <w:p>
            <w:pPr>
              <w:spacing w:after="0"/>
              <w:rPr>
                <w:sz w:val="15"/>
                <w:szCs w:val="15"/>
                <w:color w:val="auto"/>
              </w:rPr>
            </w:pPr>
          </w:p>
        </w:tc>
        <w:tc>
          <w:tcPr>
            <w:tcW w:w="144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26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70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860" w:type="dxa"/>
            <w:vAlign w:val="bottom"/>
            <w:tcBorders>
              <w:bottom w:val="single" w:sz="8" w:color="DDDDDD"/>
            </w:tcBorders>
            <w:shd w:val="clear" w:color="auto" w:fill="DDDDDD"/>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360"/>
              <w:spacing w:after="0"/>
              <w:rPr>
                <w:sz w:val="20"/>
                <w:szCs w:val="20"/>
                <w:color w:val="auto"/>
              </w:rPr>
            </w:pPr>
            <w:r>
              <w:rPr>
                <w:rFonts w:ascii="Arial" w:cs="Arial" w:eastAsia="Arial" w:hAnsi="Arial"/>
                <w:sz w:val="14"/>
                <w:szCs w:val="14"/>
                <w:color w:val="auto"/>
              </w:rPr>
              <w:t>Expected dividend yield</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120" w:type="dxa"/>
            <w:vAlign w:val="bottom"/>
            <w:gridSpan w:val="4"/>
          </w:tcPr>
          <w:p>
            <w:pPr>
              <w:jc w:val="right"/>
              <w:ind w:right="743"/>
              <w:spacing w:after="0"/>
              <w:rPr>
                <w:sz w:val="20"/>
                <w:szCs w:val="20"/>
                <w:color w:val="auto"/>
              </w:rPr>
            </w:pPr>
            <w:r>
              <w:rPr>
                <w:rFonts w:ascii="Arial" w:cs="Arial" w:eastAsia="Arial" w:hAnsi="Arial"/>
                <w:sz w:val="14"/>
                <w:szCs w:val="14"/>
                <w:color w:val="auto"/>
                <w:w w:val="98"/>
              </w:rPr>
              <w:t>— %</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4"/>
                <w:szCs w:val="14"/>
                <w:color w:val="auto"/>
              </w:rPr>
              <w:t>— %</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Expected volatility</w:t>
            </w:r>
          </w:p>
        </w:tc>
        <w:tc>
          <w:tcPr>
            <w:tcW w:w="2060" w:type="dxa"/>
            <w:vAlign w:val="bottom"/>
            <w:tcBorders>
              <w:bottom w:val="single" w:sz="8" w:color="DDDDDD"/>
            </w:tcBorders>
            <w:gridSpan w:val="4"/>
            <w:shd w:val="clear" w:color="auto" w:fill="DDDDDD"/>
          </w:tcPr>
          <w:p>
            <w:pPr>
              <w:jc w:val="right"/>
              <w:ind w:right="20"/>
              <w:spacing w:after="0"/>
              <w:rPr>
                <w:sz w:val="20"/>
                <w:szCs w:val="20"/>
                <w:color w:val="auto"/>
              </w:rPr>
            </w:pPr>
            <w:r>
              <w:rPr>
                <w:rFonts w:ascii="Arial" w:cs="Arial" w:eastAsia="Arial" w:hAnsi="Arial"/>
                <w:sz w:val="14"/>
                <w:szCs w:val="14"/>
                <w:color w:val="auto"/>
              </w:rPr>
              <w:t>68.26 %</w:t>
            </w:r>
          </w:p>
        </w:tc>
        <w:tc>
          <w:tcPr>
            <w:tcW w:w="8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63.91 %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360"/>
              <w:spacing w:after="0"/>
              <w:rPr>
                <w:sz w:val="20"/>
                <w:szCs w:val="20"/>
                <w:color w:val="auto"/>
              </w:rPr>
            </w:pPr>
            <w:r>
              <w:rPr>
                <w:rFonts w:ascii="Arial" w:cs="Arial" w:eastAsia="Arial" w:hAnsi="Arial"/>
                <w:sz w:val="14"/>
                <w:szCs w:val="14"/>
                <w:color w:val="auto"/>
              </w:rPr>
              <w:t>Expected term (in years)</w:t>
            </w:r>
          </w:p>
        </w:tc>
        <w:tc>
          <w:tcPr>
            <w:tcW w:w="2060" w:type="dxa"/>
            <w:vAlign w:val="bottom"/>
            <w:gridSpan w:val="4"/>
          </w:tcPr>
          <w:p>
            <w:pPr>
              <w:jc w:val="right"/>
              <w:ind w:right="100"/>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Arial" w:cs="Arial" w:eastAsia="Arial" w:hAnsi="Arial"/>
                <w:sz w:val="14"/>
                <w:szCs w:val="14"/>
                <w:color w:val="auto"/>
              </w:rPr>
              <w:t>4.89</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Risk-free interest rate</w:t>
            </w:r>
          </w:p>
        </w:tc>
        <w:tc>
          <w:tcPr>
            <w:tcW w:w="2060" w:type="dxa"/>
            <w:vAlign w:val="bottom"/>
            <w:tcBorders>
              <w:bottom w:val="single" w:sz="8" w:color="DDDDDD"/>
            </w:tcBorders>
            <w:gridSpan w:val="4"/>
            <w:shd w:val="clear" w:color="auto" w:fill="DDDDDD"/>
          </w:tcPr>
          <w:p>
            <w:pPr>
              <w:jc w:val="right"/>
              <w:ind w:right="20"/>
              <w:spacing w:after="0"/>
              <w:rPr>
                <w:sz w:val="20"/>
                <w:szCs w:val="20"/>
                <w:color w:val="auto"/>
              </w:rPr>
            </w:pPr>
            <w:r>
              <w:rPr>
                <w:rFonts w:ascii="Arial" w:cs="Arial" w:eastAsia="Arial" w:hAnsi="Arial"/>
                <w:sz w:val="14"/>
                <w:szCs w:val="14"/>
                <w:color w:val="auto"/>
              </w:rPr>
              <w:t>1.02 %</w:t>
            </w:r>
          </w:p>
        </w:tc>
        <w:tc>
          <w:tcPr>
            <w:tcW w:w="8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0.34 %</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Stock Options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40" w:type="dxa"/>
            <w:vAlign w:val="bottom"/>
          </w:tcPr>
          <w:p>
            <w:pPr>
              <w:spacing w:after="0"/>
              <w:rPr>
                <w:sz w:val="20"/>
                <w:szCs w:val="20"/>
                <w:color w:val="auto"/>
              </w:rPr>
            </w:pPr>
            <w:r>
              <w:rPr>
                <w:rFonts w:ascii="Arial" w:cs="Arial" w:eastAsia="Arial" w:hAnsi="Arial"/>
                <w:sz w:val="14"/>
                <w:szCs w:val="14"/>
                <w:color w:val="auto"/>
              </w:rPr>
              <w:t>Stock option activity during the period indicated is as follows: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2"/>
        </w:trPr>
        <w:tc>
          <w:tcPr>
            <w:tcW w:w="4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left="3"/>
              <w:spacing w:after="0"/>
              <w:rPr>
                <w:sz w:val="20"/>
                <w:szCs w:val="20"/>
                <w:color w:val="auto"/>
              </w:rPr>
            </w:pPr>
            <w:r>
              <w:rPr>
                <w:rFonts w:ascii="Arial" w:cs="Arial" w:eastAsia="Arial" w:hAnsi="Arial"/>
                <w:sz w:val="11"/>
                <w:szCs w:val="11"/>
                <w:b w:val="1"/>
                <w:bCs w:val="1"/>
                <w:color w:val="auto"/>
              </w:rPr>
              <w:t>Weighted</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left="3"/>
              <w:spacing w:after="0"/>
              <w:rPr>
                <w:sz w:val="20"/>
                <w:szCs w:val="20"/>
                <w:color w:val="auto"/>
              </w:rPr>
            </w:pPr>
            <w:r>
              <w:rPr>
                <w:rFonts w:ascii="Arial" w:cs="Arial" w:eastAsia="Arial" w:hAnsi="Arial"/>
                <w:sz w:val="11"/>
                <w:szCs w:val="11"/>
                <w:b w:val="1"/>
                <w:bCs w:val="1"/>
                <w:color w:val="auto"/>
              </w:rPr>
              <w:t>Average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Contract</w:t>
            </w:r>
          </w:p>
        </w:tc>
        <w:tc>
          <w:tcPr>
            <w:tcW w:w="260" w:type="dxa"/>
            <w:vAlign w:val="bottom"/>
          </w:tcPr>
          <w:p>
            <w:pPr>
              <w:spacing w:after="0"/>
              <w:rPr>
                <w:sz w:val="11"/>
                <w:szCs w:val="11"/>
                <w:color w:val="auto"/>
              </w:rPr>
            </w:pPr>
          </w:p>
        </w:tc>
        <w:tc>
          <w:tcPr>
            <w:tcW w:w="1160" w:type="dxa"/>
            <w:vAlign w:val="bottom"/>
          </w:tcPr>
          <w:p>
            <w:pPr>
              <w:jc w:val="center"/>
              <w:ind w:right="176"/>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8"/>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jc w:val="right"/>
              <w:ind w:right="378"/>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left="3"/>
              <w:spacing w:after="0"/>
              <w:rPr>
                <w:sz w:val="20"/>
                <w:szCs w:val="20"/>
                <w:color w:val="auto"/>
              </w:rPr>
            </w:pPr>
            <w:r>
              <w:rPr>
                <w:rFonts w:ascii="Arial" w:cs="Arial" w:eastAsia="Arial" w:hAnsi="Arial"/>
                <w:sz w:val="11"/>
                <w:szCs w:val="11"/>
                <w:b w:val="1"/>
                <w:bCs w:val="1"/>
                <w:color w:val="auto"/>
              </w:rPr>
              <w:t>Exercise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Term</w:t>
            </w:r>
          </w:p>
        </w:tc>
        <w:tc>
          <w:tcPr>
            <w:tcW w:w="260" w:type="dxa"/>
            <w:vAlign w:val="bottom"/>
          </w:tcPr>
          <w:p>
            <w:pPr>
              <w:spacing w:after="0"/>
              <w:rPr>
                <w:sz w:val="11"/>
                <w:szCs w:val="11"/>
                <w:color w:val="auto"/>
              </w:rPr>
            </w:pPr>
          </w:p>
        </w:tc>
        <w:tc>
          <w:tcPr>
            <w:tcW w:w="1160" w:type="dxa"/>
            <w:vAlign w:val="bottom"/>
          </w:tcPr>
          <w:p>
            <w:pPr>
              <w:jc w:val="center"/>
              <w:ind w:right="17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73"/>
        </w:trPr>
        <w:tc>
          <w:tcPr>
            <w:tcW w:w="4040" w:type="dxa"/>
            <w:vAlign w:val="bottom"/>
            <w:tcBorders>
              <w:bottom w:val="single" w:sz="8" w:color="DDDDDD"/>
            </w:tcBorders>
          </w:tcPr>
          <w:p>
            <w:pPr>
              <w:spacing w:after="0"/>
              <w:rPr>
                <w:sz w:val="15"/>
                <w:szCs w:val="15"/>
                <w:color w:val="auto"/>
              </w:rPr>
            </w:pPr>
          </w:p>
        </w:tc>
        <w:tc>
          <w:tcPr>
            <w:tcW w:w="280" w:type="dxa"/>
            <w:vAlign w:val="bottom"/>
            <w:tcBorders>
              <w:bottom w:val="single" w:sz="8" w:color="DDDDDD"/>
            </w:tcBorders>
          </w:tcPr>
          <w:p>
            <w:pPr>
              <w:spacing w:after="0"/>
              <w:rPr>
                <w:sz w:val="15"/>
                <w:szCs w:val="15"/>
                <w:color w:val="auto"/>
              </w:rPr>
            </w:pPr>
          </w:p>
        </w:tc>
        <w:tc>
          <w:tcPr>
            <w:tcW w:w="1440" w:type="dxa"/>
            <w:vAlign w:val="bottom"/>
            <w:tcBorders>
              <w:bottom w:val="single" w:sz="8" w:color="auto"/>
            </w:tcBorders>
          </w:tcPr>
          <w:p>
            <w:pPr>
              <w:jc w:val="right"/>
              <w:ind w:right="458"/>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left="3"/>
              <w:spacing w:after="0"/>
              <w:rPr>
                <w:sz w:val="20"/>
                <w:szCs w:val="20"/>
                <w:color w:val="auto"/>
              </w:rPr>
            </w:pPr>
            <w:r>
              <w:rPr>
                <w:rFonts w:ascii="Arial" w:cs="Arial" w:eastAsia="Arial" w:hAnsi="Arial"/>
                <w:sz w:val="11"/>
                <w:szCs w:val="11"/>
                <w:b w:val="1"/>
                <w:bCs w:val="1"/>
                <w:color w:val="auto"/>
              </w:rPr>
              <w:t>Price</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DDDDDD"/>
            </w:tcBorders>
          </w:tcPr>
          <w:p>
            <w:pPr>
              <w:spacing w:after="0"/>
              <w:rPr>
                <w:sz w:val="15"/>
                <w:szCs w:val="15"/>
                <w:color w:val="auto"/>
              </w:rPr>
            </w:pPr>
          </w:p>
        </w:tc>
        <w:tc>
          <w:tcPr>
            <w:tcW w:w="14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91"/>
        </w:trPr>
        <w:tc>
          <w:tcPr>
            <w:tcW w:w="40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Balances as of January 31, 2022</w:t>
            </w:r>
          </w:p>
        </w:tc>
        <w:tc>
          <w:tcPr>
            <w:tcW w:w="17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4"/>
                <w:szCs w:val="14"/>
                <w:color w:val="auto"/>
              </w:rPr>
              <w:t>9,470,170</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7.33</w:t>
            </w:r>
          </w:p>
        </w:tc>
        <w:tc>
          <w:tcPr>
            <w:tcW w:w="80" w:type="dxa"/>
            <w:vAlign w:val="bottom"/>
            <w:tcBorders>
              <w:bottom w:val="single" w:sz="8" w:color="DDDDDD"/>
            </w:tcBorders>
            <w:shd w:val="clear" w:color="auto" w:fill="DDDDDD"/>
          </w:tcPr>
          <w:p>
            <w:pPr>
              <w:spacing w:after="0"/>
              <w:rPr>
                <w:sz w:val="16"/>
                <w:szCs w:val="16"/>
                <w:color w:val="auto"/>
              </w:rPr>
            </w:pPr>
          </w:p>
        </w:tc>
        <w:tc>
          <w:tcPr>
            <w:tcW w:w="1440" w:type="dxa"/>
            <w:vAlign w:val="bottom"/>
            <w:tcBorders>
              <w:bottom w:val="single" w:sz="8" w:color="DDDDDD"/>
            </w:tcBorders>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7.17</w:t>
            </w: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8"/>
        </w:trPr>
        <w:tc>
          <w:tcPr>
            <w:tcW w:w="4040" w:type="dxa"/>
            <w:vAlign w:val="bottom"/>
          </w:tcPr>
          <w:p>
            <w:pPr>
              <w:ind w:left="360"/>
              <w:spacing w:after="0"/>
              <w:rPr>
                <w:sz w:val="20"/>
                <w:szCs w:val="20"/>
                <w:color w:val="auto"/>
              </w:rPr>
            </w:pPr>
            <w:r>
              <w:rPr>
                <w:rFonts w:ascii="Arial" w:cs="Arial" w:eastAsia="Arial" w:hAnsi="Arial"/>
                <w:sz w:val="14"/>
                <w:szCs w:val="14"/>
                <w:color w:val="auto"/>
              </w:rPr>
              <w:t>Granted</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Exercised</w:t>
            </w:r>
          </w:p>
        </w:tc>
        <w:tc>
          <w:tcPr>
            <w:tcW w:w="1720" w:type="dxa"/>
            <w:vAlign w:val="bottom"/>
            <w:tcBorders>
              <w:bottom w:val="single" w:sz="8" w:color="DDDDDD"/>
            </w:tcBorders>
            <w:gridSpan w:val="2"/>
            <w:shd w:val="clear" w:color="auto" w:fill="DDDDDD"/>
          </w:tcPr>
          <w:p>
            <w:pPr>
              <w:jc w:val="right"/>
              <w:spacing w:after="0"/>
              <w:rPr>
                <w:sz w:val="20"/>
                <w:szCs w:val="20"/>
                <w:color w:val="auto"/>
              </w:rPr>
            </w:pPr>
            <w:r>
              <w:rPr>
                <w:rFonts w:ascii="Arial" w:cs="Arial" w:eastAsia="Arial" w:hAnsi="Arial"/>
                <w:sz w:val="14"/>
                <w:szCs w:val="14"/>
                <w:color w:val="auto"/>
              </w:rPr>
              <w:t>(13,100)</w:t>
            </w: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70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2.84</w:t>
            </w:r>
          </w:p>
        </w:tc>
        <w:tc>
          <w:tcPr>
            <w:tcW w:w="80" w:type="dxa"/>
            <w:vAlign w:val="bottom"/>
            <w:tcBorders>
              <w:bottom w:val="single" w:sz="8" w:color="DDDDDD"/>
            </w:tcBorders>
            <w:shd w:val="clear" w:color="auto" w:fill="DDDDDD"/>
          </w:tcPr>
          <w:p>
            <w:pPr>
              <w:spacing w:after="0"/>
              <w:rPr>
                <w:sz w:val="16"/>
                <w:szCs w:val="16"/>
                <w:color w:val="auto"/>
              </w:rPr>
            </w:pPr>
          </w:p>
        </w:tc>
        <w:tc>
          <w:tcPr>
            <w:tcW w:w="860" w:type="dxa"/>
            <w:vAlign w:val="bottom"/>
            <w:tcBorders>
              <w:bottom w:val="single" w:sz="8" w:color="DDDDDD"/>
            </w:tcBorders>
            <w:shd w:val="clear" w:color="auto" w:fill="DDDDDD"/>
          </w:tcPr>
          <w:p>
            <w:pPr>
              <w:spacing w:after="0"/>
              <w:rPr>
                <w:sz w:val="16"/>
                <w:szCs w:val="16"/>
                <w:color w:val="auto"/>
              </w:rPr>
            </w:pPr>
          </w:p>
        </w:tc>
        <w:tc>
          <w:tcPr>
            <w:tcW w:w="580" w:type="dxa"/>
            <w:vAlign w:val="bottom"/>
            <w:tcBorders>
              <w:bottom w:val="single" w:sz="8" w:color="DDDDDD"/>
            </w:tcBorders>
            <w:shd w:val="clear" w:color="auto" w:fill="DDDDDD"/>
          </w:tcPr>
          <w:p>
            <w:pPr>
              <w:spacing w:after="0"/>
              <w:rPr>
                <w:sz w:val="16"/>
                <w:szCs w:val="16"/>
                <w:color w:val="auto"/>
              </w:rPr>
            </w:pP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1160" w:type="dxa"/>
            <w:vAlign w:val="bottom"/>
            <w:tcBorders>
              <w:bottom w:val="single" w:sz="8" w:color="DDDDDD"/>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4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(1,396,423)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7.40</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40" w:type="dxa"/>
            <w:vAlign w:val="bottom"/>
            <w:tcBorders>
              <w:bottom w:val="single" w:sz="8" w:color="DDDDDD"/>
            </w:tcBorders>
          </w:tcPr>
          <w:p>
            <w:pPr>
              <w:spacing w:after="0"/>
              <w:rPr>
                <w:sz w:val="2"/>
                <w:szCs w:val="2"/>
                <w:color w:val="auto"/>
              </w:rPr>
            </w:pPr>
          </w:p>
        </w:tc>
        <w:tc>
          <w:tcPr>
            <w:tcW w:w="280" w:type="dxa"/>
            <w:vAlign w:val="bottom"/>
            <w:tcBorders>
              <w:bottom w:val="single" w:sz="8" w:color="DDDDDD"/>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60" w:type="dxa"/>
            <w:vAlign w:val="bottom"/>
            <w:tcBorders>
              <w:bottom w:val="single" w:sz="8" w:color="DDDDDD"/>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700" w:type="dxa"/>
            <w:vAlign w:val="bottom"/>
            <w:tcBorders>
              <w:bottom w:val="single" w:sz="8" w:color="DDDDDD"/>
            </w:tcBorders>
          </w:tcPr>
          <w:p>
            <w:pPr>
              <w:spacing w:after="0"/>
              <w:rPr>
                <w:sz w:val="2"/>
                <w:szCs w:val="2"/>
                <w:color w:val="auto"/>
              </w:rPr>
            </w:pPr>
          </w:p>
        </w:tc>
        <w:tc>
          <w:tcPr>
            <w:tcW w:w="400" w:type="dxa"/>
            <w:vAlign w:val="bottom"/>
            <w:tcBorders>
              <w:bottom w:val="single" w:sz="8" w:color="DDDDDD"/>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1440" w:type="dxa"/>
            <w:vAlign w:val="bottom"/>
            <w:tcBorders>
              <w:bottom w:val="single" w:sz="8" w:color="DDDDDD"/>
            </w:tcBorders>
            <w:gridSpan w:val="2"/>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60" w:type="dxa"/>
            <w:vAlign w:val="bottom"/>
            <w:tcBorders>
              <w:bottom w:val="single" w:sz="8" w:color="DDDDDD"/>
            </w:tcBorders>
          </w:tcPr>
          <w:p>
            <w:pPr>
              <w:spacing w:after="0"/>
              <w:rPr>
                <w:sz w:val="2"/>
                <w:szCs w:val="2"/>
                <w:color w:val="auto"/>
              </w:rPr>
            </w:pPr>
          </w:p>
        </w:tc>
        <w:tc>
          <w:tcPr>
            <w:tcW w:w="11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0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Balances as of January 31, 2023</w:t>
            </w:r>
          </w:p>
        </w:tc>
        <w:tc>
          <w:tcPr>
            <w:tcW w:w="280" w:type="dxa"/>
            <w:vAlign w:val="bottom"/>
            <w:tcBorders>
              <w:bottom w:val="single" w:sz="8" w:color="DDDDDD"/>
            </w:tcBorders>
            <w:shd w:val="clear" w:color="auto" w:fill="DDDDDD"/>
          </w:tcPr>
          <w:p>
            <w:pPr>
              <w:spacing w:after="0"/>
              <w:rPr>
                <w:sz w:val="19"/>
                <w:szCs w:val="19"/>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8,060,647</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DDDDDD"/>
            </w:tcBorders>
            <w:shd w:val="clear" w:color="auto" w:fill="DDDDDD"/>
          </w:tcPr>
          <w:p>
            <w:pPr>
              <w:spacing w:after="0"/>
              <w:rPr>
                <w:sz w:val="19"/>
                <w:szCs w:val="19"/>
                <w:color w:val="auto"/>
              </w:rPr>
            </w:pPr>
          </w:p>
        </w:tc>
        <w:tc>
          <w:tcPr>
            <w:tcW w:w="7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7.33</w:t>
            </w:r>
          </w:p>
        </w:tc>
        <w:tc>
          <w:tcPr>
            <w:tcW w:w="80" w:type="dxa"/>
            <w:vAlign w:val="bottom"/>
            <w:tcBorders>
              <w:bottom w:val="single" w:sz="8" w:color="DDDDDD"/>
            </w:tcBorders>
            <w:shd w:val="clear" w:color="auto" w:fill="DDDDDD"/>
          </w:tcPr>
          <w:p>
            <w:pPr>
              <w:spacing w:after="0"/>
              <w:rPr>
                <w:sz w:val="19"/>
                <w:szCs w:val="19"/>
                <w:color w:val="auto"/>
              </w:rPr>
            </w:pPr>
          </w:p>
        </w:tc>
        <w:tc>
          <w:tcPr>
            <w:tcW w:w="1440" w:type="dxa"/>
            <w:vAlign w:val="bottom"/>
            <w:tcBorders>
              <w:bottom w:val="single" w:sz="8" w:color="DDDDDD"/>
            </w:tcBorders>
            <w:gridSpan w:val="2"/>
            <w:shd w:val="clear" w:color="auto" w:fill="DDDDDD"/>
          </w:tcPr>
          <w:p>
            <w:pPr>
              <w:jc w:val="right"/>
              <w:ind w:right="20"/>
              <w:spacing w:after="0"/>
              <w:rPr>
                <w:sz w:val="20"/>
                <w:szCs w:val="20"/>
                <w:color w:val="auto"/>
              </w:rPr>
            </w:pPr>
            <w:r>
              <w:rPr>
                <w:rFonts w:ascii="Arial" w:cs="Arial" w:eastAsia="Arial" w:hAnsi="Arial"/>
                <w:sz w:val="14"/>
                <w:szCs w:val="14"/>
                <w:color w:val="auto"/>
              </w:rPr>
              <w:t>6.37</w:t>
            </w:r>
          </w:p>
        </w:tc>
        <w:tc>
          <w:tcPr>
            <w:tcW w:w="80" w:type="dxa"/>
            <w:vAlign w:val="bottom"/>
            <w:tcBorders>
              <w:bottom w:val="single" w:sz="8" w:color="DDDDDD"/>
            </w:tcBorders>
            <w:shd w:val="clear" w:color="auto" w:fill="DDDDDD"/>
          </w:tcPr>
          <w:p>
            <w:pPr>
              <w:spacing w:after="0"/>
              <w:rPr>
                <w:sz w:val="19"/>
                <w:szCs w:val="19"/>
                <w:color w:val="auto"/>
              </w:rPr>
            </w:pPr>
          </w:p>
        </w:tc>
        <w:tc>
          <w:tcPr>
            <w:tcW w:w="260" w:type="dxa"/>
            <w:vAlign w:val="bottom"/>
            <w:tcBorders>
              <w:bottom w:val="single" w:sz="8" w:color="DDDDDD"/>
            </w:tcBorders>
            <w:shd w:val="clear" w:color="auto" w:fill="DDDDDD"/>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4"/>
                <w:szCs w:val="14"/>
                <w:color w:val="auto"/>
              </w:rPr>
              <w:t>Exercisable as of January 31, 2023</w:t>
            </w: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7.16</w:t>
            </w:r>
          </w:p>
        </w:tc>
        <w:tc>
          <w:tcPr>
            <w:tcW w:w="80" w:type="dxa"/>
            <w:vAlign w:val="bottom"/>
          </w:tcPr>
          <w:p>
            <w:pPr>
              <w:spacing w:after="0" w:line="20" w:lineRule="exact"/>
              <w:rPr>
                <w:sz w:val="1"/>
                <w:szCs w:val="1"/>
                <w:color w:val="auto"/>
              </w:rPr>
            </w:pPr>
          </w:p>
        </w:tc>
        <w:tc>
          <w:tcPr>
            <w:tcW w:w="14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5.76</w:t>
            </w:r>
          </w:p>
        </w:tc>
        <w:tc>
          <w:tcPr>
            <w:tcW w:w="80" w:type="dxa"/>
            <w:vAlign w:val="bottom"/>
          </w:tcPr>
          <w:p>
            <w:pPr>
              <w:spacing w:after="0" w:line="20" w:lineRule="exact"/>
              <w:rPr>
                <w:sz w:val="1"/>
                <w:szCs w:val="1"/>
                <w:color w:val="auto"/>
              </w:rPr>
            </w:pPr>
          </w:p>
        </w:tc>
        <w:tc>
          <w:tcPr>
            <w:tcW w:w="260" w:type="dxa"/>
            <w:vAlign w:val="bottom"/>
            <w:vMerge w:val="restart"/>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line="20" w:lineRule="exact"/>
              <w:rPr>
                <w:sz w:val="1"/>
                <w:szCs w:val="1"/>
                <w:color w:val="auto"/>
              </w:rPr>
            </w:pPr>
          </w:p>
        </w:tc>
      </w:tr>
      <w:tr>
        <w:trPr>
          <w:trHeight w:val="152"/>
        </w:trPr>
        <w:tc>
          <w:tcPr>
            <w:tcW w:w="4040" w:type="dxa"/>
            <w:vAlign w:val="bottom"/>
            <w:vMerge w:val="continue"/>
          </w:tcPr>
          <w:p>
            <w:pPr>
              <w:spacing w:after="0"/>
              <w:rPr>
                <w:sz w:val="13"/>
                <w:szCs w:val="13"/>
                <w:color w:val="auto"/>
              </w:rPr>
            </w:pPr>
          </w:p>
        </w:tc>
        <w:tc>
          <w:tcPr>
            <w:tcW w:w="1720" w:type="dxa"/>
            <w:vAlign w:val="bottom"/>
            <w:gridSpan w:val="2"/>
          </w:tcPr>
          <w:p>
            <w:pPr>
              <w:jc w:val="right"/>
              <w:spacing w:after="0" w:line="152" w:lineRule="exact"/>
              <w:rPr>
                <w:sz w:val="20"/>
                <w:szCs w:val="20"/>
                <w:color w:val="auto"/>
              </w:rPr>
            </w:pPr>
            <w:r>
              <w:rPr>
                <w:rFonts w:ascii="Arial" w:cs="Arial" w:eastAsia="Arial" w:hAnsi="Arial"/>
                <w:sz w:val="14"/>
                <w:szCs w:val="14"/>
                <w:color w:val="auto"/>
              </w:rPr>
              <w:t>5,831,046</w:t>
            </w:r>
          </w:p>
        </w:tc>
        <w:tc>
          <w:tcPr>
            <w:tcW w:w="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80" w:right="240"/>
        <w:spacing w:after="0" w:line="290" w:lineRule="auto"/>
        <w:rPr>
          <w:sz w:val="20"/>
          <w:szCs w:val="20"/>
          <w:color w:val="auto"/>
        </w:rPr>
      </w:pPr>
      <w:r>
        <w:rPr>
          <w:rFonts w:ascii="Arial" w:cs="Arial" w:eastAsia="Arial" w:hAnsi="Arial"/>
          <w:sz w:val="14"/>
          <w:szCs w:val="14"/>
          <w:color w:val="auto"/>
        </w:rPr>
        <w:t>There were no stock options granted during the year ended January 31, 2023. The total intrinsic value of stock options exercised for the year ended January 31, 2023 was nominal.</w:t>
      </w:r>
    </w:p>
    <w:p>
      <w:pPr>
        <w:spacing w:after="0" w:line="120"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As of January 31, 2023, there was $8.4 million of unrecognized compensation cost related to stock options granted that is expected to be recognized over a weighted average period of 2.2 years.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584200</wp:posOffset>
            </wp:positionV>
            <wp:extent cx="3238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60"/>
          </w:cols>
          <w:pgMar w:left="300" w:top="322"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118</w:t>
      </w:r>
    </w:p>
    <w:p>
      <w:pPr>
        <w:sectPr>
          <w:pgSz w:w="11880" w:h="15480" w:orient="portrait"/>
          <w:cols w:equalWidth="0" w:num="1">
            <w:col w:w="11260"/>
          </w:cols>
          <w:pgMar w:left="300" w:top="322" w:right="319"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6153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1"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On October 26, 2020, the Company’s Board approved a one-time stock option repricing, which repriced certain outstanding stock options held by then current employees and directors with an option exercise price of $12.43 and above. There were 2,565,149 outstanding eligible stock options that were amended to reduce such exercise price to $7.01 per share, the current fair market value of the Company’s common stock on the date of the approval of the repricing. Except for the modified exercise price, all other terms and conditions of each of the eligible stock options remained in full force and effect. The repricing was recorded as a stock option modification whereby the incremental fair value of each option was determined using the Black-Scholes option pricing model at the date of the modification, and $1.2 million was recognized related to vested options as incremental compensation expense during the year ended January 31, 2021. The Company is recognizing the remaining $1.1 million of incremental compensation costs on a straight-line basis over the remaining requisite service period.</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30"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21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7"/>
        </w:trPr>
        <w:tc>
          <w:tcPr>
            <w:tcW w:w="738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216"/>
              <w:spacing w:after="0"/>
              <w:rPr>
                <w:sz w:val="20"/>
                <w:szCs w:val="20"/>
                <w:color w:val="auto"/>
              </w:rPr>
            </w:pPr>
            <w:r>
              <w:rPr>
                <w:rFonts w:ascii="Arial" w:cs="Arial" w:eastAsia="Arial" w:hAnsi="Arial"/>
                <w:sz w:val="11"/>
                <w:szCs w:val="11"/>
                <w:b w:val="1"/>
                <w:bCs w:val="1"/>
                <w:color w:val="auto"/>
              </w:rPr>
              <w:t>Grant-Date</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jc w:val="center"/>
              <w:ind w:right="216"/>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62"/>
        </w:trPr>
        <w:tc>
          <w:tcPr>
            <w:tcW w:w="7380" w:type="dxa"/>
            <w:vAlign w:val="bottom"/>
            <w:tcBorders>
              <w:bottom w:val="single" w:sz="8" w:color="DDDDDD"/>
            </w:tcBorders>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DDDDD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190"/>
        </w:trPr>
        <w:tc>
          <w:tcPr>
            <w:tcW w:w="73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Unvested and outstanding as of January 31, 2022</w:t>
            </w:r>
          </w:p>
        </w:tc>
        <w:tc>
          <w:tcPr>
            <w:tcW w:w="1440" w:type="dxa"/>
            <w:vAlign w:val="bottom"/>
            <w:tcBorders>
              <w:bottom w:val="single" w:sz="8" w:color="DDDDDD"/>
            </w:tcBorders>
            <w:shd w:val="clear" w:color="auto" w:fill="DDDDDD"/>
          </w:tcPr>
          <w:p>
            <w:pPr>
              <w:jc w:val="center"/>
              <w:ind w:left="613"/>
              <w:spacing w:after="0"/>
              <w:rPr>
                <w:sz w:val="20"/>
                <w:szCs w:val="20"/>
                <w:color w:val="auto"/>
              </w:rPr>
            </w:pPr>
            <w:r>
              <w:rPr>
                <w:rFonts w:ascii="Arial" w:cs="Arial" w:eastAsia="Arial" w:hAnsi="Arial"/>
                <w:sz w:val="14"/>
                <w:szCs w:val="14"/>
                <w:color w:val="auto"/>
              </w:rPr>
              <w:t>2,428,574</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8"/>
        </w:trPr>
        <w:tc>
          <w:tcPr>
            <w:tcW w:w="7380" w:type="dxa"/>
            <w:vAlign w:val="bottom"/>
          </w:tcPr>
          <w:p>
            <w:pPr>
              <w:ind w:left="360"/>
              <w:spacing w:after="0"/>
              <w:rPr>
                <w:sz w:val="20"/>
                <w:szCs w:val="20"/>
                <w:color w:val="auto"/>
              </w:rPr>
            </w:pPr>
            <w:r>
              <w:rPr>
                <w:rFonts w:ascii="Arial" w:cs="Arial" w:eastAsia="Arial" w:hAnsi="Arial"/>
                <w:sz w:val="14"/>
                <w:szCs w:val="14"/>
                <w:color w:val="auto"/>
              </w:rPr>
              <w:t>Granted</w:t>
            </w:r>
          </w:p>
        </w:tc>
        <w:tc>
          <w:tcPr>
            <w:tcW w:w="1440" w:type="dxa"/>
            <w:vAlign w:val="bottom"/>
          </w:tcPr>
          <w:p>
            <w:pPr>
              <w:jc w:val="center"/>
              <w:ind w:left="613"/>
              <w:spacing w:after="0"/>
              <w:rPr>
                <w:sz w:val="20"/>
                <w:szCs w:val="20"/>
                <w:color w:val="auto"/>
              </w:rPr>
            </w:pPr>
            <w:r>
              <w:rPr>
                <w:rFonts w:ascii="Arial" w:cs="Arial" w:eastAsia="Arial" w:hAnsi="Arial"/>
                <w:sz w:val="14"/>
                <w:szCs w:val="14"/>
                <w:color w:val="auto"/>
              </w:rPr>
              <w:t>6,693,775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4"/>
        </w:trPr>
        <w:tc>
          <w:tcPr>
            <w:tcW w:w="7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38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Vested/Released</w:t>
            </w:r>
          </w:p>
        </w:tc>
        <w:tc>
          <w:tcPr>
            <w:tcW w:w="1440" w:type="dxa"/>
            <w:vAlign w:val="bottom"/>
            <w:tcBorders>
              <w:bottom w:val="single" w:sz="8" w:color="DDDDDD"/>
            </w:tcBorders>
            <w:shd w:val="clear" w:color="auto" w:fill="DDDDDD"/>
          </w:tcPr>
          <w:p>
            <w:pPr>
              <w:jc w:val="center"/>
              <w:ind w:left="593"/>
              <w:spacing w:after="0"/>
              <w:rPr>
                <w:sz w:val="20"/>
                <w:szCs w:val="20"/>
                <w:color w:val="auto"/>
              </w:rPr>
            </w:pPr>
            <w:r>
              <w:rPr>
                <w:rFonts w:ascii="Arial" w:cs="Arial" w:eastAsia="Arial" w:hAnsi="Arial"/>
                <w:sz w:val="14"/>
                <w:szCs w:val="14"/>
                <w:color w:val="auto"/>
              </w:rPr>
              <w:t>(1,972,890)</w:t>
            </w:r>
          </w:p>
        </w:tc>
        <w:tc>
          <w:tcPr>
            <w:tcW w:w="80" w:type="dxa"/>
            <w:vAlign w:val="bottom"/>
            <w:tcBorders>
              <w:bottom w:val="single" w:sz="8" w:color="DDDDDD"/>
            </w:tcBorders>
            <w:shd w:val="clear" w:color="auto" w:fill="DDDDDD"/>
          </w:tcPr>
          <w:p>
            <w:pPr>
              <w:spacing w:after="0"/>
              <w:rPr>
                <w:sz w:val="16"/>
                <w:szCs w:val="16"/>
                <w:color w:val="auto"/>
              </w:rPr>
            </w:pPr>
          </w:p>
        </w:tc>
        <w:tc>
          <w:tcPr>
            <w:tcW w:w="260" w:type="dxa"/>
            <w:vAlign w:val="bottom"/>
            <w:tcBorders>
              <w:bottom w:val="single" w:sz="8" w:color="DDDDDD"/>
            </w:tcBorders>
            <w:shd w:val="clear" w:color="auto" w:fill="DDDDDD"/>
          </w:tcPr>
          <w:p>
            <w:pPr>
              <w:spacing w:after="0"/>
              <w:rPr>
                <w:sz w:val="16"/>
                <w:szCs w:val="16"/>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8"/>
        </w:trPr>
        <w:tc>
          <w:tcPr>
            <w:tcW w:w="73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40" w:type="dxa"/>
            <w:vAlign w:val="bottom"/>
          </w:tcPr>
          <w:p>
            <w:pPr>
              <w:jc w:val="center"/>
              <w:ind w:left="593"/>
              <w:spacing w:after="0"/>
              <w:rPr>
                <w:sz w:val="20"/>
                <w:szCs w:val="20"/>
                <w:color w:val="auto"/>
              </w:rPr>
            </w:pPr>
            <w:r>
              <w:rPr>
                <w:rFonts w:ascii="Arial" w:cs="Arial" w:eastAsia="Arial" w:hAnsi="Arial"/>
                <w:sz w:val="14"/>
                <w:szCs w:val="14"/>
                <w:color w:val="auto"/>
              </w:rPr>
              <w:t>(1,173,338)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4"/>
        </w:trPr>
        <w:tc>
          <w:tcPr>
            <w:tcW w:w="7380" w:type="dxa"/>
            <w:vAlign w:val="bottom"/>
            <w:tcBorders>
              <w:bottom w:val="single" w:sz="8" w:color="DDDDDD"/>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260" w:type="dxa"/>
            <w:vAlign w:val="bottom"/>
            <w:tcBorders>
              <w:bottom w:val="single" w:sz="8" w:color="DDDDDD"/>
            </w:tcBorders>
          </w:tcPr>
          <w:p>
            <w:pPr>
              <w:spacing w:after="0"/>
              <w:rPr>
                <w:sz w:val="2"/>
                <w:szCs w:val="2"/>
                <w:color w:val="auto"/>
              </w:rPr>
            </w:pPr>
          </w:p>
        </w:tc>
        <w:tc>
          <w:tcPr>
            <w:tcW w:w="118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3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Unvested and outstanding as of January 31, 2023</w:t>
            </w:r>
          </w:p>
        </w:tc>
        <w:tc>
          <w:tcPr>
            <w:tcW w:w="1440" w:type="dxa"/>
            <w:vAlign w:val="bottom"/>
            <w:tcBorders>
              <w:bottom w:val="single" w:sz="8" w:color="auto"/>
            </w:tcBorders>
            <w:shd w:val="clear" w:color="auto" w:fill="DDDDDD"/>
          </w:tcPr>
          <w:p>
            <w:pPr>
              <w:jc w:val="center"/>
              <w:ind w:left="613"/>
              <w:spacing w:after="0"/>
              <w:rPr>
                <w:sz w:val="20"/>
                <w:szCs w:val="20"/>
                <w:color w:val="auto"/>
              </w:rPr>
            </w:pPr>
            <w:r>
              <w:rPr>
                <w:rFonts w:ascii="Arial" w:cs="Arial" w:eastAsia="Arial" w:hAnsi="Arial"/>
                <w:sz w:val="14"/>
                <w:szCs w:val="14"/>
                <w:color w:val="auto"/>
              </w:rPr>
              <w:t>5,976,121</w:t>
            </w:r>
          </w:p>
        </w:tc>
        <w:tc>
          <w:tcPr>
            <w:tcW w:w="340" w:type="dxa"/>
            <w:vAlign w:val="bottom"/>
            <w:tcBorders>
              <w:bottom w:val="single" w:sz="8" w:color="DDDDDD"/>
            </w:tcBorders>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0"/>
        </w:trPr>
        <w:tc>
          <w:tcPr>
            <w:tcW w:w="7380" w:type="dxa"/>
            <w:vAlign w:val="bottom"/>
            <w:tcBorders>
              <w:top w:val="single" w:sz="8" w:color="DDDDDD"/>
            </w:tcBorders>
          </w:tcPr>
          <w:p>
            <w:pPr>
              <w:spacing w:after="0" w:line="20" w:lineRule="exact"/>
              <w:rPr>
                <w:sz w:val="1"/>
                <w:szCs w:val="1"/>
                <w:color w:val="auto"/>
              </w:rPr>
            </w:pPr>
          </w:p>
        </w:tc>
        <w:tc>
          <w:tcPr>
            <w:tcW w:w="144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118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left="380" w:right="340"/>
        <w:spacing w:after="0" w:line="290" w:lineRule="auto"/>
        <w:rPr>
          <w:sz w:val="20"/>
          <w:szCs w:val="20"/>
          <w:color w:val="auto"/>
        </w:rPr>
      </w:pPr>
      <w:r>
        <w:rPr>
          <w:rFonts w:ascii="Arial" w:cs="Arial" w:eastAsia="Arial" w:hAnsi="Arial"/>
          <w:sz w:val="14"/>
          <w:szCs w:val="14"/>
          <w:color w:val="auto"/>
        </w:rPr>
        <w:t>As of January 31, 2023, there was $14.7 million of unrecognized compensation cost related to RSUs granted that is expected to be recognized over a weighted average period of 1.5 years.</w:t>
      </w:r>
    </w:p>
    <w:p>
      <w:pPr>
        <w:spacing w:after="0" w:line="141" w:lineRule="exact"/>
        <w:rPr>
          <w:sz w:val="20"/>
          <w:szCs w:val="20"/>
          <w:color w:val="auto"/>
        </w:rPr>
      </w:pPr>
    </w:p>
    <w:p>
      <w:pPr>
        <w:jc w:val="both"/>
        <w:ind w:left="380" w:right="120"/>
        <w:spacing w:after="0" w:line="271" w:lineRule="auto"/>
        <w:rPr>
          <w:sz w:val="20"/>
          <w:szCs w:val="20"/>
          <w:color w:val="auto"/>
        </w:rPr>
      </w:pPr>
      <w:r>
        <w:rPr>
          <w:rFonts w:ascii="Arial" w:cs="Arial" w:eastAsia="Arial" w:hAnsi="Arial"/>
          <w:sz w:val="14"/>
          <w:szCs w:val="14"/>
          <w:color w:val="auto"/>
        </w:rPr>
        <w:t>During the year ended January 31, 2022, the Company recognized $14.4 million of compensation cost upon effectiveness of the Company’s IPO, related to (i) certain RSUs that contain both service-based and liquidity-based vesting conditions satisfied upon the effectiveness of the registration statement and (ii) the fully vested portion of certain RSU awards that were granted upon the effectiveness of the IPO.</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92" w:lineRule="exact"/>
        <w:rPr>
          <w:sz w:val="20"/>
          <w:szCs w:val="20"/>
          <w:color w:val="auto"/>
        </w:rPr>
      </w:pPr>
    </w:p>
    <w:p>
      <w:pPr>
        <w:ind w:left="380" w:right="380"/>
        <w:spacing w:after="0" w:line="290" w:lineRule="auto"/>
        <w:rPr>
          <w:sz w:val="20"/>
          <w:szCs w:val="20"/>
          <w:color w:val="auto"/>
        </w:rPr>
      </w:pPr>
      <w:r>
        <w:rPr>
          <w:rFonts w:ascii="Arial" w:cs="Arial" w:eastAsia="Arial" w:hAnsi="Arial"/>
          <w:sz w:val="14"/>
          <w:szCs w:val="14"/>
          <w:color w:val="auto"/>
        </w:rPr>
        <w:t>The classification of share-based compensation for the years ended January 31, 2023, 2022 and 2021, respectively, presented within each line item of the consolidated statements of operations is as follows:</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5980" w:type="dxa"/>
            <w:vAlign w:val="bottom"/>
            <w:tcBorders>
              <w:bottom w:val="single" w:sz="8" w:color="DDDDDD"/>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57"/>
        </w:trPr>
        <w:tc>
          <w:tcPr>
            <w:tcW w:w="5980" w:type="dxa"/>
            <w:vAlign w:val="bottom"/>
            <w:shd w:val="clear" w:color="auto" w:fill="DDDDDD"/>
          </w:tcPr>
          <w:p>
            <w:pPr>
              <w:spacing w:after="0"/>
              <w:rPr>
                <w:sz w:val="13"/>
                <w:szCs w:val="13"/>
                <w:color w:val="auto"/>
              </w:rPr>
            </w:pPr>
          </w:p>
        </w:tc>
        <w:tc>
          <w:tcPr>
            <w:tcW w:w="960" w:type="dxa"/>
            <w:vAlign w:val="bottom"/>
            <w:tcBorders>
              <w:bottom w:val="single" w:sz="8" w:color="auto"/>
            </w:tcBorders>
            <w:shd w:val="clear" w:color="auto" w:fill="DDDDDD"/>
          </w:tcPr>
          <w:p>
            <w:pPr>
              <w:jc w:val="right"/>
              <w:ind w:right="54"/>
              <w:spacing w:after="0"/>
              <w:rPr>
                <w:sz w:val="20"/>
                <w:szCs w:val="20"/>
                <w:color w:val="auto"/>
              </w:rPr>
            </w:pPr>
            <w:r>
              <w:rPr>
                <w:rFonts w:ascii="Arial" w:cs="Arial" w:eastAsia="Arial" w:hAnsi="Arial"/>
                <w:sz w:val="11"/>
                <w:szCs w:val="11"/>
                <w:b w:val="1"/>
                <w:bCs w:val="1"/>
                <w:color w:val="auto"/>
              </w:rPr>
              <w:t>2023</w:t>
            </w:r>
          </w:p>
        </w:tc>
        <w:tc>
          <w:tcPr>
            <w:tcW w:w="460" w:type="dxa"/>
            <w:vAlign w:val="bottom"/>
            <w:tcBorders>
              <w:bottom w:val="single" w:sz="8" w:color="auto"/>
            </w:tcBorders>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40" w:type="dxa"/>
            <w:vAlign w:val="bottom"/>
            <w:tcBorders>
              <w:bottom w:val="single" w:sz="8" w:color="auto"/>
            </w:tcBorders>
            <w:shd w:val="clear" w:color="auto" w:fill="DDDDDD"/>
          </w:tcPr>
          <w:p>
            <w:pPr>
              <w:spacing w:after="0"/>
              <w:rPr>
                <w:sz w:val="13"/>
                <w:szCs w:val="13"/>
                <w:color w:val="auto"/>
              </w:rPr>
            </w:pPr>
          </w:p>
        </w:tc>
        <w:tc>
          <w:tcPr>
            <w:tcW w:w="1100" w:type="dxa"/>
            <w:vAlign w:val="bottom"/>
            <w:tcBorders>
              <w:bottom w:val="single" w:sz="8" w:color="auto"/>
            </w:tcBorders>
            <w:shd w:val="clear" w:color="auto" w:fill="DDDDDD"/>
          </w:tcPr>
          <w:p>
            <w:pPr>
              <w:jc w:val="right"/>
              <w:ind w:right="532"/>
              <w:spacing w:after="0"/>
              <w:rPr>
                <w:sz w:val="20"/>
                <w:szCs w:val="20"/>
                <w:color w:val="auto"/>
              </w:rPr>
            </w:pPr>
            <w:r>
              <w:rPr>
                <w:rFonts w:ascii="Arial" w:cs="Arial" w:eastAsia="Arial" w:hAnsi="Arial"/>
                <w:sz w:val="11"/>
                <w:szCs w:val="11"/>
                <w:b w:val="1"/>
                <w:bCs w:val="1"/>
                <w:color w:val="auto"/>
              </w:rPr>
              <w:t>2022</w:t>
            </w:r>
          </w:p>
        </w:tc>
        <w:tc>
          <w:tcPr>
            <w:tcW w:w="80" w:type="dxa"/>
            <w:vAlign w:val="bottom"/>
            <w:shd w:val="clear" w:color="auto" w:fill="DDDDDD"/>
          </w:tcPr>
          <w:p>
            <w:pPr>
              <w:spacing w:after="0"/>
              <w:rPr>
                <w:sz w:val="13"/>
                <w:szCs w:val="13"/>
                <w:color w:val="auto"/>
              </w:rPr>
            </w:pPr>
          </w:p>
        </w:tc>
        <w:tc>
          <w:tcPr>
            <w:tcW w:w="340" w:type="dxa"/>
            <w:vAlign w:val="bottom"/>
            <w:tcBorders>
              <w:bottom w:val="single" w:sz="8" w:color="auto"/>
            </w:tcBorders>
            <w:shd w:val="clear" w:color="auto" w:fill="DDDDDD"/>
          </w:tcPr>
          <w:p>
            <w:pPr>
              <w:spacing w:after="0"/>
              <w:rPr>
                <w:sz w:val="13"/>
                <w:szCs w:val="13"/>
                <w:color w:val="auto"/>
              </w:rPr>
            </w:pPr>
          </w:p>
        </w:tc>
        <w:tc>
          <w:tcPr>
            <w:tcW w:w="1100" w:type="dxa"/>
            <w:vAlign w:val="bottom"/>
            <w:tcBorders>
              <w:bottom w:val="single" w:sz="8" w:color="auto"/>
            </w:tcBorders>
            <w:shd w:val="clear" w:color="auto" w:fill="DDDDDD"/>
          </w:tcPr>
          <w:p>
            <w:pPr>
              <w:jc w:val="right"/>
              <w:ind w:right="532"/>
              <w:spacing w:after="0"/>
              <w:rPr>
                <w:sz w:val="20"/>
                <w:szCs w:val="20"/>
                <w:color w:val="auto"/>
              </w:rPr>
            </w:pPr>
            <w:r>
              <w:rPr>
                <w:rFonts w:ascii="Arial" w:cs="Arial" w:eastAsia="Arial" w:hAnsi="Arial"/>
                <w:sz w:val="11"/>
                <w:szCs w:val="11"/>
                <w:b w:val="1"/>
                <w:bCs w:val="1"/>
                <w:color w:val="auto"/>
              </w:rPr>
              <w:t>2021</w:t>
            </w:r>
          </w:p>
        </w:tc>
      </w:tr>
      <w:tr>
        <w:trPr>
          <w:trHeight w:val="179"/>
        </w:trPr>
        <w:tc>
          <w:tcPr>
            <w:tcW w:w="598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960" w:type="dxa"/>
            <w:vAlign w:val="bottom"/>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340" w:type="dxa"/>
            <w:vAlign w:val="bottom"/>
          </w:tcPr>
          <w:p>
            <w:pPr>
              <w:jc w:val="right"/>
              <w:ind w:right="174"/>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4"/>
        </w:trPr>
        <w:tc>
          <w:tcPr>
            <w:tcW w:w="5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2"/>
        </w:trPr>
        <w:tc>
          <w:tcPr>
            <w:tcW w:w="59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Marketing</w:t>
            </w:r>
          </w:p>
        </w:tc>
        <w:tc>
          <w:tcPr>
            <w:tcW w:w="960" w:type="dxa"/>
            <w:vAlign w:val="bottom"/>
            <w:tcBorders>
              <w:bottom w:val="single" w:sz="8" w:color="DDDDDD"/>
            </w:tcBorders>
            <w:shd w:val="clear" w:color="auto" w:fill="DDDDDD"/>
          </w:tcPr>
          <w:p>
            <w:pPr>
              <w:spacing w:after="0"/>
              <w:rPr>
                <w:sz w:val="16"/>
                <w:szCs w:val="16"/>
                <w:color w:val="auto"/>
              </w:rPr>
            </w:pPr>
          </w:p>
        </w:tc>
        <w:tc>
          <w:tcPr>
            <w:tcW w:w="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0.5</w:t>
            </w:r>
          </w:p>
        </w:tc>
        <w:tc>
          <w:tcPr>
            <w:tcW w:w="80" w:type="dxa"/>
            <w:vAlign w:val="bottom"/>
            <w:tcBorders>
              <w:bottom w:val="single" w:sz="8" w:color="DDDDDD"/>
            </w:tcBorders>
            <w:shd w:val="clear" w:color="auto" w:fill="DDDDDD"/>
          </w:tcPr>
          <w:p>
            <w:pPr>
              <w:spacing w:after="0"/>
              <w:rPr>
                <w:sz w:val="16"/>
                <w:szCs w:val="16"/>
                <w:color w:val="auto"/>
              </w:rPr>
            </w:pPr>
          </w:p>
        </w:tc>
        <w:tc>
          <w:tcPr>
            <w:tcW w:w="340" w:type="dxa"/>
            <w:vAlign w:val="bottom"/>
            <w:tcBorders>
              <w:bottom w:val="single" w:sz="8" w:color="DDDDDD"/>
            </w:tcBorders>
            <w:shd w:val="clear" w:color="auto" w:fill="DDDDDD"/>
          </w:tcPr>
          <w:p>
            <w:pPr>
              <w:spacing w:after="0"/>
              <w:rPr>
                <w:sz w:val="16"/>
                <w:szCs w:val="16"/>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DDDDDD"/>
            </w:tcBorders>
            <w:shd w:val="clear" w:color="auto" w:fill="DDDDDD"/>
          </w:tcPr>
          <w:p>
            <w:pPr>
              <w:spacing w:after="0"/>
              <w:rPr>
                <w:sz w:val="16"/>
                <w:szCs w:val="16"/>
                <w:color w:val="auto"/>
              </w:rPr>
            </w:pPr>
          </w:p>
        </w:tc>
        <w:tc>
          <w:tcPr>
            <w:tcW w:w="340" w:type="dxa"/>
            <w:vAlign w:val="bottom"/>
            <w:tcBorders>
              <w:bottom w:val="single" w:sz="8" w:color="DDDDDD"/>
            </w:tcBorders>
            <w:shd w:val="clear" w:color="auto" w:fill="DDDDDD"/>
          </w:tcPr>
          <w:p>
            <w:pPr>
              <w:spacing w:after="0"/>
              <w:rPr>
                <w:sz w:val="16"/>
                <w:szCs w:val="16"/>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0.4</w:t>
            </w:r>
          </w:p>
        </w:tc>
      </w:tr>
      <w:tr>
        <w:trPr>
          <w:trHeight w:val="188"/>
        </w:trPr>
        <w:tc>
          <w:tcPr>
            <w:tcW w:w="59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4"/>
        </w:trPr>
        <w:tc>
          <w:tcPr>
            <w:tcW w:w="5980" w:type="dxa"/>
            <w:vAlign w:val="bottom"/>
            <w:tcBorders>
              <w:bottom w:val="single" w:sz="8" w:color="DDDDDD"/>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6"/>
        </w:trPr>
        <w:tc>
          <w:tcPr>
            <w:tcW w:w="5980" w:type="dxa"/>
            <w:vAlign w:val="bottom"/>
            <w:tcBorders>
              <w:bottom w:val="single" w:sz="8" w:color="DDDDDD"/>
            </w:tcBorders>
            <w:shd w:val="clear" w:color="auto" w:fill="DDDDDD"/>
          </w:tcPr>
          <w:p>
            <w:pPr>
              <w:ind w:left="360"/>
              <w:spacing w:after="0"/>
              <w:rPr>
                <w:sz w:val="20"/>
                <w:szCs w:val="20"/>
                <w:color w:val="auto"/>
              </w:rPr>
            </w:pPr>
            <w:r>
              <w:rPr>
                <w:rFonts w:ascii="Arial" w:cs="Arial" w:eastAsia="Arial" w:hAnsi="Arial"/>
                <w:sz w:val="14"/>
                <w:szCs w:val="14"/>
                <w:color w:val="auto"/>
              </w:rPr>
              <w:t>Total share-based compensation</w:t>
            </w:r>
          </w:p>
        </w:tc>
        <w:tc>
          <w:tcPr>
            <w:tcW w:w="960" w:type="dxa"/>
            <w:vAlign w:val="bottom"/>
            <w:tcBorders>
              <w:bottom w:val="single" w:sz="8" w:color="auto"/>
            </w:tcBorders>
            <w:shd w:val="clear" w:color="auto" w:fill="DDDDDD"/>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7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26.6</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5980" w:type="dxa"/>
            <w:vAlign w:val="bottom"/>
            <w:tcBorders>
              <w:top w:val="single" w:sz="8" w:color="DDDDDD"/>
            </w:tcBorders>
          </w:tcPr>
          <w:p>
            <w:pPr>
              <w:spacing w:after="0" w:line="20" w:lineRule="exact"/>
              <w:rPr>
                <w:sz w:val="1"/>
                <w:szCs w:val="1"/>
                <w:color w:val="auto"/>
              </w:rPr>
            </w:pPr>
          </w:p>
        </w:tc>
        <w:tc>
          <w:tcPr>
            <w:tcW w:w="960" w:type="dxa"/>
            <w:vAlign w:val="bottom"/>
            <w:tcBorders>
              <w:top w:val="single" w:sz="8" w:color="DDDDDD"/>
              <w:bottom w:val="single" w:sz="8" w:color="auto"/>
            </w:tcBorders>
          </w:tcPr>
          <w:p>
            <w:pPr>
              <w:spacing w:after="0" w:line="20" w:lineRule="exact"/>
              <w:rPr>
                <w:sz w:val="1"/>
                <w:szCs w:val="1"/>
                <w:color w:val="auto"/>
              </w:rPr>
            </w:pPr>
          </w:p>
        </w:tc>
        <w:tc>
          <w:tcPr>
            <w:tcW w:w="4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485775</wp:posOffset>
            </wp:positionV>
            <wp:extent cx="3238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322"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119</w:t>
      </w:r>
    </w:p>
    <w:p>
      <w:pPr>
        <w:sectPr>
          <w:pgSz w:w="11880" w:h="15480" w:orient="portrait"/>
          <w:cols w:equalWidth="0" w:num="1">
            <w:col w:w="11220"/>
          </w:cols>
          <w:pgMar w:left="300" w:top="322" w:right="359" w:bottom="0" w:gutter="0" w:footer="0" w:header="0"/>
          <w:type w:val="continuous"/>
        </w:sectPr>
      </w:pPr>
    </w:p>
    <w:bookmarkStart w:id="127" w:name="page128"/>
    <w:bookmarkEnd w:id="127"/>
    <w:p>
      <w:pPr>
        <w:ind w:left="5"/>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153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85" w:hanging="385"/>
        <w:spacing w:after="0"/>
        <w:tabs>
          <w:tab w:leader="none" w:pos="385" w:val="left"/>
        </w:tabs>
        <w:numPr>
          <w:ilvl w:val="0"/>
          <w:numId w:val="67"/>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5" w:right="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133" w:lineRule="exact"/>
        <w:rPr>
          <w:rFonts w:ascii="Arial" w:cs="Arial" w:eastAsia="Arial" w:hAnsi="Arial"/>
          <w:sz w:val="14"/>
          <w:szCs w:val="14"/>
          <w:b w:val="1"/>
          <w:bCs w:val="1"/>
          <w:color w:val="auto"/>
        </w:rPr>
      </w:pPr>
    </w:p>
    <w:p>
      <w:pPr>
        <w:ind w:left="385"/>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229" w:lineRule="exact"/>
        <w:rPr>
          <w:sz w:val="20"/>
          <w:szCs w:val="20"/>
          <w:color w:val="auto"/>
        </w:rPr>
      </w:pPr>
    </w:p>
    <w:tbl>
      <w:tblPr>
        <w:tblLayout w:type="fixed"/>
        <w:tblInd w:w="385"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rPr>
              <w:t>Year Ended January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76"/>
        </w:trPr>
        <w:tc>
          <w:tcPr>
            <w:tcW w:w="632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DDDDDD"/>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94"/>
        </w:trPr>
        <w:tc>
          <w:tcPr>
            <w:tcW w:w="632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Numerator:</w:t>
            </w:r>
          </w:p>
        </w:tc>
        <w:tc>
          <w:tcPr>
            <w:tcW w:w="34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100" w:type="dxa"/>
            <w:vAlign w:val="bottom"/>
            <w:shd w:val="clear" w:color="auto" w:fill="DDDDDD"/>
          </w:tcPr>
          <w:p>
            <w:pPr>
              <w:spacing w:after="0"/>
              <w:rPr>
                <w:sz w:val="16"/>
                <w:szCs w:val="16"/>
                <w:color w:val="auto"/>
              </w:rPr>
            </w:pPr>
          </w:p>
        </w:tc>
      </w:tr>
      <w:tr>
        <w:trPr>
          <w:trHeight w:val="211"/>
        </w:trPr>
        <w:tc>
          <w:tcPr>
            <w:tcW w:w="632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r>
      <w:tr>
        <w:trPr>
          <w:trHeight w:val="20"/>
        </w:trPr>
        <w:tc>
          <w:tcPr>
            <w:tcW w:w="632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4"/>
        </w:trPr>
        <w:tc>
          <w:tcPr>
            <w:tcW w:w="632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Denominator:</w:t>
            </w:r>
          </w:p>
        </w:tc>
        <w:tc>
          <w:tcPr>
            <w:tcW w:w="34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6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c>
          <w:tcPr>
            <w:tcW w:w="8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100" w:type="dxa"/>
            <w:vAlign w:val="bottom"/>
            <w:shd w:val="clear" w:color="auto" w:fill="DDDDDD"/>
          </w:tcPr>
          <w:p>
            <w:pPr>
              <w:spacing w:after="0"/>
              <w:rPr>
                <w:sz w:val="15"/>
                <w:szCs w:val="15"/>
                <w:color w:val="auto"/>
              </w:rPr>
            </w:pPr>
          </w:p>
        </w:tc>
      </w:tr>
      <w:tr>
        <w:trPr>
          <w:trHeight w:val="173"/>
        </w:trPr>
        <w:tc>
          <w:tcPr>
            <w:tcW w:w="632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 to common</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6"/>
        </w:trPr>
        <w:tc>
          <w:tcPr>
            <w:tcW w:w="6320" w:type="dxa"/>
            <w:vAlign w:val="bottom"/>
          </w:tcPr>
          <w:p>
            <w:pPr>
              <w:ind w:left="520"/>
              <w:spacing w:after="0"/>
              <w:rPr>
                <w:sz w:val="20"/>
                <w:szCs w:val="20"/>
                <w:color w:val="auto"/>
              </w:rPr>
            </w:pPr>
            <w:r>
              <w:rPr>
                <w:rFonts w:ascii="Arial" w:cs="Arial" w:eastAsia="Arial" w:hAnsi="Arial"/>
                <w:sz w:val="14"/>
                <w:szCs w:val="14"/>
                <w:color w:val="auto"/>
              </w:rPr>
              <w:t>stockholders, basic and diluted</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64,254,930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24,874,061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11,138,851</w:t>
            </w:r>
          </w:p>
        </w:tc>
      </w:tr>
      <w:tr>
        <w:trPr>
          <w:trHeight w:val="23"/>
        </w:trPr>
        <w:tc>
          <w:tcPr>
            <w:tcW w:w="632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63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40" w:type="dxa"/>
            <w:vAlign w:val="bottom"/>
            <w:tcBorders>
              <w:bottom w:val="single" w:sz="8" w:color="auto"/>
            </w:tcBorders>
            <w:shd w:val="clear" w:color="auto" w:fill="DDDDDD"/>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(2.16)</w:t>
            </w:r>
          </w:p>
        </w:tc>
        <w:tc>
          <w:tcPr>
            <w:tcW w:w="80" w:type="dxa"/>
            <w:vAlign w:val="bottom"/>
            <w:tcBorders>
              <w:bottom w:val="single" w:sz="8" w:color="DDDDDD"/>
            </w:tcBorders>
            <w:shd w:val="clear" w:color="auto" w:fill="DDDDDD"/>
          </w:tcPr>
          <w:p>
            <w:pPr>
              <w:spacing w:after="0"/>
              <w:rPr>
                <w:sz w:val="19"/>
                <w:szCs w:val="19"/>
                <w:color w:val="auto"/>
              </w:rPr>
            </w:pPr>
          </w:p>
        </w:tc>
        <w:tc>
          <w:tcPr>
            <w:tcW w:w="360" w:type="dxa"/>
            <w:vAlign w:val="bottom"/>
            <w:tcBorders>
              <w:bottom w:val="single" w:sz="8" w:color="auto"/>
            </w:tcBorders>
            <w:shd w:val="clear" w:color="auto" w:fill="DDDDDD"/>
          </w:tcPr>
          <w:p>
            <w:pPr>
              <w:jc w:val="right"/>
              <w:ind w:right="194"/>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(8.51)</w:t>
            </w:r>
          </w:p>
        </w:tc>
        <w:tc>
          <w:tcPr>
            <w:tcW w:w="8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(15.36)</w:t>
            </w:r>
          </w:p>
        </w:tc>
      </w:tr>
      <w:tr>
        <w:trPr>
          <w:trHeight w:val="20"/>
        </w:trPr>
        <w:tc>
          <w:tcPr>
            <w:tcW w:w="632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6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100" w:type="dxa"/>
            <w:vAlign w:val="bottom"/>
            <w:tcBorders>
              <w:top w:val="single" w:sz="8" w:color="DDDDDD"/>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85" w:right="380"/>
        <w:spacing w:after="0" w:line="290"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were excluded from the computation of diluted loss per share attributable to common stockholders because including them would have been anti-dilutive:</w:t>
      </w:r>
    </w:p>
    <w:p>
      <w:pPr>
        <w:spacing w:after="0" w:line="171" w:lineRule="exact"/>
        <w:rPr>
          <w:sz w:val="20"/>
          <w:szCs w:val="20"/>
          <w:color w:val="auto"/>
        </w:rPr>
      </w:pPr>
    </w:p>
    <w:tbl>
      <w:tblPr>
        <w:tblLayout w:type="fixed"/>
        <w:tblInd w:w="385"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1440" w:type="dxa"/>
            <w:vAlign w:val="bottom"/>
            <w:tcBorders>
              <w:bottom w:val="single" w:sz="8" w:color="auto"/>
            </w:tcBorders>
          </w:tcPr>
          <w:p>
            <w:pPr>
              <w:spacing w:after="0"/>
              <w:rPr>
                <w:sz w:val="14"/>
                <w:szCs w:val="14"/>
                <w:color w:val="auto"/>
              </w:rPr>
            </w:pPr>
          </w:p>
        </w:tc>
      </w:tr>
      <w:tr>
        <w:trPr>
          <w:trHeight w:val="171"/>
        </w:trPr>
        <w:tc>
          <w:tcPr>
            <w:tcW w:w="6280" w:type="dxa"/>
            <w:vAlign w:val="bottom"/>
          </w:tcPr>
          <w:p>
            <w:pPr>
              <w:spacing w:after="0"/>
              <w:rPr>
                <w:sz w:val="14"/>
                <w:szCs w:val="14"/>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2023</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4"/>
                <w:szCs w:val="14"/>
                <w:color w:val="auto"/>
              </w:rPr>
            </w:pPr>
          </w:p>
        </w:tc>
        <w:tc>
          <w:tcPr>
            <w:tcW w:w="1440" w:type="dxa"/>
            <w:vAlign w:val="bottom"/>
            <w:tcBorders>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2021</w:t>
            </w:r>
          </w:p>
        </w:tc>
      </w:tr>
      <w:tr>
        <w:trPr>
          <w:trHeight w:val="157"/>
        </w:trPr>
        <w:tc>
          <w:tcPr>
            <w:tcW w:w="6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92"/>
        </w:trPr>
        <w:tc>
          <w:tcPr>
            <w:tcW w:w="62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Redeemable preferred stock</w:t>
            </w:r>
          </w:p>
        </w:tc>
        <w:tc>
          <w:tcPr>
            <w:tcW w:w="15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31,137,921</w:t>
            </w: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460" w:type="dxa"/>
            <w:vAlign w:val="bottom"/>
          </w:tcPr>
          <w:p>
            <w:pPr>
              <w:jc w:val="right"/>
              <w:spacing w:after="0"/>
              <w:rPr>
                <w:sz w:val="20"/>
                <w:szCs w:val="20"/>
                <w:color w:val="auto"/>
              </w:rPr>
            </w:pPr>
            <w:r>
              <w:rPr>
                <w:rFonts w:ascii="Arial" w:cs="Arial" w:eastAsia="Arial" w:hAnsi="Arial"/>
                <w:sz w:val="14"/>
                <w:szCs w:val="14"/>
                <w:color w:val="auto"/>
              </w:rPr>
              <w:t>8,060,647</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9,470,170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6,060,107</w:t>
            </w:r>
          </w:p>
        </w:tc>
      </w:tr>
      <w:tr>
        <w:trPr>
          <w:trHeight w:val="23"/>
        </w:trPr>
        <w:tc>
          <w:tcPr>
            <w:tcW w:w="6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192"/>
        </w:trPr>
        <w:tc>
          <w:tcPr>
            <w:tcW w:w="62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Common stock warrants</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2,631,583</w:t>
            </w:r>
          </w:p>
        </w:tc>
        <w:tc>
          <w:tcPr>
            <w:tcW w:w="80" w:type="dxa"/>
            <w:vAlign w:val="bottom"/>
            <w:tcBorders>
              <w:bottom w:val="single" w:sz="8" w:color="DDDDDD"/>
            </w:tcBorders>
            <w:shd w:val="clear" w:color="auto" w:fill="DDDDDD"/>
          </w:tcPr>
          <w:p>
            <w:pPr>
              <w:spacing w:after="0"/>
              <w:rPr>
                <w:sz w:val="16"/>
                <w:szCs w:val="16"/>
                <w:color w:val="auto"/>
              </w:rPr>
            </w:pP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1,361,583</w:t>
            </w:r>
          </w:p>
        </w:tc>
        <w:tc>
          <w:tcPr>
            <w:tcW w:w="80" w:type="dxa"/>
            <w:vAlign w:val="bottom"/>
            <w:tcBorders>
              <w:bottom w:val="single" w:sz="8" w:color="DDDDDD"/>
            </w:tcBorders>
            <w:shd w:val="clear" w:color="auto" w:fill="DDDDDD"/>
          </w:tcPr>
          <w:p>
            <w:pPr>
              <w:spacing w:after="0"/>
              <w:rPr>
                <w:sz w:val="16"/>
                <w:szCs w:val="16"/>
                <w:color w:val="auto"/>
              </w:rPr>
            </w:pPr>
          </w:p>
        </w:tc>
        <w:tc>
          <w:tcPr>
            <w:tcW w:w="14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2,530,904</w:t>
            </w:r>
          </w:p>
        </w:tc>
      </w:tr>
      <w:tr>
        <w:trPr>
          <w:trHeight w:val="189"/>
        </w:trPr>
        <w:tc>
          <w:tcPr>
            <w:tcW w:w="6280" w:type="dxa"/>
            <w:vAlign w:val="bottom"/>
          </w:tcPr>
          <w:p>
            <w:pPr>
              <w:ind w:left="20"/>
              <w:spacing w:after="0"/>
              <w:rPr>
                <w:sz w:val="20"/>
                <w:szCs w:val="20"/>
                <w:color w:val="auto"/>
              </w:rPr>
            </w:pPr>
            <w:r>
              <w:rPr>
                <w:rFonts w:ascii="Arial" w:cs="Arial" w:eastAsia="Arial" w:hAnsi="Arial"/>
                <w:sz w:val="14"/>
                <w:szCs w:val="14"/>
                <w:color w:val="auto"/>
              </w:rPr>
              <w:t>Preferred stock warrants</w:t>
            </w: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164,664</w:t>
            </w:r>
          </w:p>
        </w:tc>
      </w:tr>
      <w:tr>
        <w:trPr>
          <w:trHeight w:val="23"/>
        </w:trPr>
        <w:tc>
          <w:tcPr>
            <w:tcW w:w="6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2"/>
        </w:trPr>
        <w:tc>
          <w:tcPr>
            <w:tcW w:w="62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RSUs</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5,976,121</w:t>
            </w:r>
          </w:p>
        </w:tc>
        <w:tc>
          <w:tcPr>
            <w:tcW w:w="80" w:type="dxa"/>
            <w:vAlign w:val="bottom"/>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2,428,574</w:t>
            </w:r>
          </w:p>
        </w:tc>
        <w:tc>
          <w:tcPr>
            <w:tcW w:w="80" w:type="dxa"/>
            <w:vAlign w:val="bottom"/>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6280" w:type="dxa"/>
            <w:vAlign w:val="bottom"/>
          </w:tcPr>
          <w:p>
            <w:pPr>
              <w:ind w:left="360"/>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16,668,351</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13,260,327</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39,893,596</w:t>
            </w:r>
          </w:p>
        </w:tc>
      </w:tr>
      <w:tr>
        <w:trPr>
          <w:trHeight w:val="20"/>
        </w:trPr>
        <w:tc>
          <w:tcPr>
            <w:tcW w:w="6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5" w:right="140"/>
        <w:spacing w:after="0" w:line="290" w:lineRule="auto"/>
        <w:rPr>
          <w:sz w:val="20"/>
          <w:szCs w:val="20"/>
          <w:color w:val="auto"/>
        </w:rPr>
      </w:pPr>
      <w:r>
        <w:rPr>
          <w:rFonts w:ascii="Arial" w:cs="Arial" w:eastAsia="Arial" w:hAnsi="Arial"/>
          <w:sz w:val="14"/>
          <w:szCs w:val="14"/>
          <w:color w:val="auto"/>
        </w:rPr>
        <w:t>As of January 31, 2021, RSUs to be settled in 1,509,601 shares of common stock were excluded from the table above because they were subject to liquidity-based vesting conditions that were not satisfied.</w:t>
      </w:r>
    </w:p>
    <w:p>
      <w:pPr>
        <w:spacing w:after="0" w:line="205" w:lineRule="exact"/>
        <w:rPr>
          <w:sz w:val="20"/>
          <w:szCs w:val="20"/>
          <w:color w:val="auto"/>
        </w:rPr>
      </w:pPr>
    </w:p>
    <w:p>
      <w:pPr>
        <w:ind w:left="385" w:hanging="385"/>
        <w:spacing w:after="0"/>
        <w:tabs>
          <w:tab w:leader="none" w:pos="385" w:val="left"/>
        </w:tabs>
        <w:numPr>
          <w:ilvl w:val="0"/>
          <w:numId w:val="68"/>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5" w:right="3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January 31, 2023 and 2022 of $9.1 million and $12.0 million, primarily to satisfy security deposit requirements on its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5"/>
          </w:cols>
          <w:pgMar w:left="295" w:top="323"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84"/>
        <w:spacing w:after="0"/>
        <w:rPr>
          <w:sz w:val="20"/>
          <w:szCs w:val="20"/>
          <w:color w:val="auto"/>
        </w:rPr>
      </w:pPr>
      <w:r>
        <w:rPr>
          <w:rFonts w:ascii="Arial" w:cs="Arial" w:eastAsia="Arial" w:hAnsi="Arial"/>
          <w:sz w:val="19"/>
          <w:szCs w:val="19"/>
          <w:color w:val="auto"/>
        </w:rPr>
        <w:t>120</w:t>
      </w:r>
    </w:p>
    <w:p>
      <w:pPr>
        <w:sectPr>
          <w:pgSz w:w="11880" w:h="15480" w:orient="portrait"/>
          <w:cols w:equalWidth="0" w:num="1">
            <w:col w:w="11205"/>
          </w:cols>
          <w:pgMar w:left="295" w:top="323" w:right="379" w:bottom="0" w:gutter="0" w:footer="0" w:header="0"/>
          <w:type w:val="continuous"/>
        </w:sectPr>
      </w:pPr>
    </w:p>
    <w:bookmarkStart w:id="128" w:name="page129"/>
    <w:bookmarkEnd w:id="128"/>
    <w:p>
      <w:pPr>
        <w:spacing w:after="0"/>
        <w:rPr>
          <w:sz w:val="20"/>
          <w:szCs w:val="20"/>
          <w:color w:val="auto"/>
        </w:rPr>
      </w:pPr>
      <w:r>
        <w:rPr>
          <w:rFonts w:ascii="Arial" w:cs="Arial" w:eastAsia="Arial" w:hAnsi="Arial"/>
          <w:sz w:val="14"/>
          <w:szCs w:val="14"/>
          <w:b w:val="1"/>
          <w:bCs w:val="1"/>
          <w:color w:val="auto"/>
        </w:rPr>
        <w:t>RENT THE RUNWAY,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716153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92" w:lineRule="exact"/>
        <w:rPr>
          <w:sz w:val="20"/>
          <w:szCs w:val="20"/>
          <w:color w:val="auto"/>
        </w:rPr>
      </w:pPr>
    </w:p>
    <w:p>
      <w:pPr>
        <w:ind w:left="380" w:right="180"/>
        <w:spacing w:after="0" w:line="265" w:lineRule="auto"/>
        <w:rPr>
          <w:sz w:val="20"/>
          <w:szCs w:val="20"/>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159" w:lineRule="exact"/>
        <w:rPr>
          <w:sz w:val="20"/>
          <w:szCs w:val="20"/>
          <w:color w:val="auto"/>
        </w:rPr>
      </w:pPr>
    </w:p>
    <w:p>
      <w:pPr>
        <w:ind w:left="380"/>
        <w:spacing w:after="0" w:line="259"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complaint alleges that the defendants violated Sections 11 and 15 of the Securities Act of 1933, as amended,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xml:space="preserve"> the Company’s growth at the time of the IPO. The lawsuit seeks, among other things, compensatory damages, an award of attorneys’ fees and costs and such other relief as deemed just and proper by the court. The Company intends to vigorously defend against these claims. The Company believes it has meritorious defenses to the claims of the plaintiff and members of the class and any liability for the alleged claims is not currently probable and the potential loss or range of loss is not reasonably estimable.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723265</wp:posOffset>
            </wp:positionV>
            <wp:extent cx="3238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00"/>
          </w:cols>
          <w:pgMar w:left="300" w:top="32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121</w:t>
      </w:r>
    </w:p>
    <w:p>
      <w:pPr>
        <w:sectPr>
          <w:pgSz w:w="11880" w:h="15480" w:orient="portrait"/>
          <w:cols w:equalWidth="0" w:num="1">
            <w:col w:w="11200"/>
          </w:cols>
          <w:pgMar w:left="300" w:top="321" w:right="379"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Annual Report on Form 10-K,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January 31, 2023 because of the material weaknesses in our internal control over financial reporting described below.</w:t>
      </w:r>
    </w:p>
    <w:p>
      <w:pPr>
        <w:spacing w:after="0" w:line="55"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consolidated financial statements as included in Part II, Item 8 of this Annual Report on Form 10-K present fairly, in all material respects, the Company's financial condition, results of operations and cash flows as of and for the periods presented in accordance with generally accepted accounting principles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00"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under the Exchange Act. Our management, under the supervision and with the participation of our principal executive officer and principal financial officer, conducted an assessment of the effectiveness of our internal control over financial reporting as of January 31, 2023, based on the framework and criteria established in Internal Control - Integrated Framework (2013) issued by the Committee of Sponsoring Organizations of the Treadway Commission. Based on this assessment, management concluded that, as of January 31, 2023, our internal control over financial reporting was not effective due to the existence of material weaknesses described below.</w:t>
      </w:r>
    </w:p>
    <w:p>
      <w:pPr>
        <w:spacing w:after="0" w:line="1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In connection with the audit of our financial statements as of and for the year ended January 31,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49"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561975</wp:posOffset>
            </wp:positionV>
            <wp:extent cx="3238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20"/>
          </w:cols>
          <w:pgMar w:left="300" w:top="101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122</w:t>
      </w:r>
    </w:p>
    <w:p>
      <w:pPr>
        <w:sectPr>
          <w:pgSz w:w="11880" w:h="15480" w:orient="portrait"/>
          <w:cols w:equalWidth="0" w:num="1">
            <w:col w:w="11220"/>
          </w:cols>
          <w:pgMar w:left="300" w:top="1011" w:right="359" w:bottom="0" w:gutter="0" w:footer="0" w:header="0"/>
          <w:type w:val="continuous"/>
        </w:sectPr>
      </w:pPr>
    </w:p>
    <w:bookmarkStart w:id="130" w:name="page131"/>
    <w:bookmarkEnd w:id="130"/>
    <w:p>
      <w:pPr>
        <w:jc w:val="both"/>
        <w:ind w:right="10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consolidated financial statements. However, each of these material weaknesses could result in a misstatement of substantially all account balances or disclosures that would result in a material misstatement to our annual or interim consolidated financial statements that would not be prevented or detected.</w:t>
      </w:r>
    </w:p>
    <w:p>
      <w:pPr>
        <w:spacing w:after="0" w:line="155" w:lineRule="exact"/>
        <w:rPr>
          <w:sz w:val="20"/>
          <w:szCs w:val="20"/>
          <w:color w:val="auto"/>
        </w:rPr>
      </w:pPr>
    </w:p>
    <w:p>
      <w:pPr>
        <w:ind w:right="300"/>
        <w:spacing w:after="0" w:line="274" w:lineRule="auto"/>
        <w:rPr>
          <w:sz w:val="20"/>
          <w:szCs w:val="20"/>
          <w:color w:val="auto"/>
        </w:rPr>
      </w:pPr>
      <w:r>
        <w:rPr>
          <w:rFonts w:ascii="Arial" w:cs="Arial" w:eastAsia="Arial" w:hAnsi="Arial"/>
          <w:sz w:val="14"/>
          <w:szCs w:val="14"/>
          <w:color w:val="auto"/>
        </w:rPr>
        <w:t>This Annual Report on Form 10-K does not include an attestation report of the Company’s independent registered public accounting firm regarding internal control over financial reporting pursuant to the JOBS Act because the Company is an “emerging growth company” as defined in Rule 12b-2 under the Exchange Act.</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We continue to implement measures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4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75" w:lineRule="exact"/>
        <w:rPr>
          <w:sz w:val="20"/>
          <w:szCs w:val="20"/>
          <w:color w:val="auto"/>
        </w:rPr>
      </w:pPr>
    </w:p>
    <w:p>
      <w:pPr>
        <w:ind w:right="240"/>
        <w:spacing w:after="0" w:line="274"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January 31, 2023, that have materially affected, or are reasonably likely to materially affect, the Company’s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20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On April 7, 2023, the Company’s Board of Directors elected Emil Michael to serve as a Class III director, effective May 1, 2023 (the “Effective Date”). Mr. Michael was also appointed to serve as a member of the Company’s Nominating and ESG Committee, effective on the Effective Date. Mr. Michael will receive an annual cash retainer of $40,000 and an award of 29,516 restricted stock units (“RSUs”) to be granted immediately following the Company’s 2023 annual meeting of stockholders. The RSU award will vest as of the earlier of (i) the first anniversary of the date of grant or (ii) immediately before the next annual meeting of stockholders following the date of RSU grant, subject to Mr. Michael’s continued service through such vesting date. The Company expects to enter into the Company’s standard form of indemnification agreement with Mr.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560070</wp:posOffset>
            </wp:positionV>
            <wp:extent cx="3238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757"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123</w:t>
      </w:r>
    </w:p>
    <w:p>
      <w:pPr>
        <w:sectPr>
          <w:pgSz w:w="11880" w:h="15480" w:orient="portrait"/>
          <w:cols w:equalWidth="0" w:num="1">
            <w:col w:w="11280"/>
          </w:cols>
          <w:pgMar w:left="300" w:top="757" w:right="299"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584835</wp:posOffset>
            </wp:positionV>
            <wp:extent cx="3238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139"/>
          </w:cols>
          <w:pgMar w:left="300" w:top="10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124</w:t>
      </w:r>
    </w:p>
    <w:p>
      <w:pPr>
        <w:sectPr>
          <w:pgSz w:w="11880" w:h="15480" w:orient="portrait"/>
          <w:cols w:equalWidth="0" w:num="1">
            <w:col w:w="10139"/>
          </w:cols>
          <w:pgMar w:left="300" w:top="1010" w:right="1440" w:bottom="0" w:gutter="0" w:footer="0" w:header="0"/>
          <w:type w:val="continuous"/>
        </w:sectPr>
      </w:pPr>
    </w:p>
    <w:bookmarkStart w:id="132" w:name="page133"/>
    <w:bookmarkEnd w:id="132"/>
    <w:p>
      <w:pPr>
        <w:jc w:val="center"/>
        <w:ind w:right="-259"/>
        <w:spacing w:after="0"/>
        <w:rPr>
          <w:sz w:val="20"/>
          <w:szCs w:val="20"/>
          <w:color w:val="auto"/>
        </w:rPr>
      </w:pPr>
      <w:r>
        <w:rPr>
          <w:rFonts w:ascii="Arial" w:cs="Arial" w:eastAsia="Arial" w:hAnsi="Arial"/>
          <w:sz w:val="14"/>
          <w:szCs w:val="14"/>
          <w:b w:val="1"/>
          <w:bCs w:val="1"/>
          <w:color w:val="auto"/>
        </w:rPr>
        <w:t>Part III</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information required by this item is incorporated by reference from our Proxy Statement for the 2023 Annual Meeting of Stockholders (“Proxy Statement”) to be filed with the SEC within 120 days of the year ended January 31, 2023.</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required by this item is incorporated by reference from our Proxy Statement.</w:t>
      </w:r>
    </w:p>
    <w:p>
      <w:pPr>
        <w:spacing w:after="0" w:line="26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462915</wp:posOffset>
            </wp:positionV>
            <wp:extent cx="3238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20"/>
          </w:cols>
          <w:pgMar w:left="300" w:top="756" w:right="5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9"/>
          <w:szCs w:val="19"/>
          <w:color w:val="auto"/>
        </w:rPr>
        <w:t>125</w:t>
      </w:r>
    </w:p>
    <w:p>
      <w:pPr>
        <w:sectPr>
          <w:pgSz w:w="11880" w:h="15480" w:orient="portrait"/>
          <w:cols w:equalWidth="0" w:num="1">
            <w:col w:w="11020"/>
          </w:cols>
          <w:pgMar w:left="300" w:top="756" w:right="559"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documents are filed as part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1.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Our consolidated financial statements are listed in the “Financial Statements and Supplementary Data” under Part II, Item 8, of this Annual Report on Form 10-K.</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2. Financial Statement Schedules</w:t>
      </w:r>
    </w:p>
    <w:p>
      <w:pPr>
        <w:spacing w:after="0" w:line="200" w:lineRule="exact"/>
        <w:rPr>
          <w:sz w:val="20"/>
          <w:szCs w:val="20"/>
          <w:color w:val="auto"/>
        </w:rPr>
      </w:pPr>
    </w:p>
    <w:p>
      <w:pPr>
        <w:ind w:right="680"/>
        <w:spacing w:after="0" w:line="290" w:lineRule="auto"/>
        <w:rPr>
          <w:sz w:val="20"/>
          <w:szCs w:val="20"/>
          <w:color w:val="auto"/>
        </w:rPr>
      </w:pPr>
      <w:r>
        <w:rPr>
          <w:rFonts w:ascii="Arial" w:cs="Arial" w:eastAsia="Arial" w:hAnsi="Arial"/>
          <w:sz w:val="14"/>
          <w:szCs w:val="14"/>
          <w:color w:val="auto"/>
        </w:rPr>
        <w:t>All financial statement schedules have been omitted because they are not required or are not applicable, or the required information is shown in our consolidated financial statements or the notes thereto.</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3.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Incorporated by Reference</w:t>
            </w:r>
          </w:p>
        </w:tc>
        <w:tc>
          <w:tcPr>
            <w:tcW w:w="9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Exhibit</w:t>
            </w:r>
          </w:p>
        </w:tc>
        <w:tc>
          <w:tcPr>
            <w:tcW w:w="5420" w:type="dxa"/>
            <w:vAlign w:val="bottom"/>
            <w:vMerge w:val="restart"/>
          </w:tcPr>
          <w:p>
            <w:pPr>
              <w:spacing w:after="0"/>
              <w:rPr>
                <w:sz w:val="20"/>
                <w:szCs w:val="20"/>
                <w:color w:val="auto"/>
              </w:rPr>
            </w:pPr>
            <w:r>
              <w:rPr>
                <w:rFonts w:ascii="Arial" w:cs="Arial" w:eastAsia="Arial" w:hAnsi="Arial"/>
                <w:sz w:val="11"/>
                <w:szCs w:val="11"/>
                <w:b w:val="1"/>
                <w:bCs w:val="1"/>
                <w:color w:val="auto"/>
              </w:rPr>
              <w:t>Description of Exhibit</w:t>
            </w:r>
          </w:p>
        </w:tc>
        <w:tc>
          <w:tcPr>
            <w:tcW w:w="60" w:type="dxa"/>
            <w:vAlign w:val="bottom"/>
            <w:vMerge w:val="restart"/>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vMerge w:val="restart"/>
          </w:tcPr>
          <w:p>
            <w:pPr>
              <w:spacing w:after="0"/>
              <w:rPr>
                <w:sz w:val="11"/>
                <w:szCs w:val="11"/>
                <w:color w:val="auto"/>
              </w:rPr>
            </w:pPr>
          </w:p>
        </w:tc>
        <w:tc>
          <w:tcPr>
            <w:tcW w:w="11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File No.</w:t>
            </w:r>
          </w:p>
        </w:tc>
        <w:tc>
          <w:tcPr>
            <w:tcW w:w="80" w:type="dxa"/>
            <w:vAlign w:val="bottom"/>
            <w:vMerge w:val="restart"/>
          </w:tcPr>
          <w:p>
            <w:pPr>
              <w:spacing w:after="0"/>
              <w:rPr>
                <w:sz w:val="11"/>
                <w:szCs w:val="11"/>
                <w:color w:val="auto"/>
              </w:rPr>
            </w:pPr>
          </w:p>
        </w:tc>
        <w:tc>
          <w:tcPr>
            <w:tcW w:w="70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w w:val="98"/>
              </w:rPr>
              <w:t>Exhibit</w:t>
            </w:r>
          </w:p>
        </w:tc>
        <w:tc>
          <w:tcPr>
            <w:tcW w:w="60" w:type="dxa"/>
            <w:vAlign w:val="bottom"/>
            <w:vMerge w:val="restart"/>
          </w:tcPr>
          <w:p>
            <w:pPr>
              <w:spacing w:after="0"/>
              <w:rPr>
                <w:sz w:val="11"/>
                <w:szCs w:val="11"/>
                <w:color w:val="auto"/>
              </w:rPr>
            </w:pPr>
          </w:p>
        </w:tc>
        <w:tc>
          <w:tcPr>
            <w:tcW w:w="980" w:type="dxa"/>
            <w:vAlign w:val="bottom"/>
            <w:vMerge w:val="restart"/>
          </w:tcPr>
          <w:p>
            <w:pPr>
              <w:jc w:val="right"/>
              <w:ind w:right="330"/>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1"/>
                <w:szCs w:val="11"/>
                <w:color w:val="auto"/>
              </w:rPr>
            </w:pPr>
          </w:p>
        </w:tc>
        <w:tc>
          <w:tcPr>
            <w:tcW w:w="1200" w:type="dxa"/>
            <w:vAlign w:val="bottom"/>
          </w:tcPr>
          <w:p>
            <w:pPr>
              <w:ind w:left="20"/>
              <w:spacing w:after="0"/>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3"/>
                <w:szCs w:val="13"/>
                <w:color w:val="auto"/>
              </w:rPr>
            </w:pPr>
          </w:p>
        </w:tc>
        <w:tc>
          <w:tcPr>
            <w:tcW w:w="542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242"/>
        </w:trPr>
        <w:tc>
          <w:tcPr>
            <w:tcW w:w="760" w:type="dxa"/>
            <w:vAlign w:val="bottom"/>
          </w:tcPr>
          <w:p>
            <w:pP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Amended &amp; Restated Certificate of Incorporation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Amended &amp; Restated Bylaws</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Specimen Class A common stock certificate</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60" w:type="dxa"/>
            <w:vAlign w:val="bottom"/>
          </w:tcPr>
          <w:p>
            <w:pPr>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Eighth Amended and Restated Investors’ Rights Agreement (the “IRA”) by and among</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10/04/2021</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the Company and certain of its stockholders, dated April 30, 2020, as amended by</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80" w:type="dxa"/>
            <w:vAlign w:val="bottom"/>
            <w:gridSpan w:val="2"/>
          </w:tcPr>
          <w:p>
            <w:pPr>
              <w:spacing w:after="0" w:line="159" w:lineRule="exact"/>
              <w:rPr>
                <w:sz w:val="20"/>
                <w:szCs w:val="20"/>
                <w:color w:val="auto"/>
              </w:rPr>
            </w:pPr>
            <w:r>
              <w:rPr>
                <w:rFonts w:ascii="Arial" w:cs="Arial" w:eastAsia="Arial" w:hAnsi="Arial"/>
                <w:sz w:val="14"/>
                <w:szCs w:val="14"/>
                <w:color w:val="auto"/>
              </w:rPr>
              <w:t>that amendment No. 1 to the IRA, dated October 26, 2020 and that amendment No. 2</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to the IRA, dated April 30, 2021</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Description of Capital Stock</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10-K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04/14/2022</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2009 Stock Incentive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Incentive Stock Option Agreement (2009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Nonstatutory Stock Option Agreement (2009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2019 Stock Incentive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Incentive Stock Option Agreement (2019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Nonstatutory Stock Option Agreement (2019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Restricted Stock Unit Agreement (2019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7"/>
                <w:szCs w:val="17"/>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Amended and Restated 2021 Incentive Award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Stock Option Agreement (2021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10.10</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60" w:type="dxa"/>
            <w:vAlign w:val="bottom"/>
          </w:tcPr>
          <w:p>
            <w:pPr>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14"/>
                <w:szCs w:val="14"/>
                <w:color w:val="auto"/>
              </w:rPr>
              <w:t>Form of Restricted Stock Unit Agreement (2021 Plan)</w:t>
            </w: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S-1/A</w:t>
            </w:r>
          </w:p>
        </w:tc>
        <w:tc>
          <w:tcPr>
            <w:tcW w:w="1160" w:type="dxa"/>
            <w:vAlign w:val="bottom"/>
          </w:tcPr>
          <w:p>
            <w:pPr>
              <w:ind w:left="20"/>
              <w:spacing w:after="0"/>
              <w:rPr>
                <w:sz w:val="20"/>
                <w:szCs w:val="20"/>
                <w:color w:val="auto"/>
              </w:rPr>
            </w:pPr>
            <w:r>
              <w:rPr>
                <w:rFonts w:ascii="Arial" w:cs="Arial" w:eastAsia="Arial" w:hAnsi="Arial"/>
                <w:sz w:val="14"/>
                <w:szCs w:val="14"/>
                <w:color w:val="auto"/>
              </w:rPr>
              <w:t>333-260027</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10.11</w:t>
            </w:r>
          </w:p>
        </w:tc>
        <w:tc>
          <w:tcPr>
            <w:tcW w:w="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10/18/2021</w:t>
            </w: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534670</wp:posOffset>
            </wp:positionV>
            <wp:extent cx="3238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280"/>
          </w:cols>
          <w:pgMar w:left="300" w:top="101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126</w:t>
      </w:r>
    </w:p>
    <w:p>
      <w:pPr>
        <w:sectPr>
          <w:pgSz w:w="11880" w:h="15480" w:orient="portrait"/>
          <w:cols w:equalWidth="0" w:num="1">
            <w:col w:w="11280"/>
          </w:cols>
          <w:pgMar w:left="300" w:top="1011" w:right="299"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color w:val="auto"/>
              </w:rPr>
              <w:t>10.11+</w:t>
            </w:r>
          </w:p>
        </w:tc>
        <w:tc>
          <w:tcPr>
            <w:tcW w:w="5660" w:type="dxa"/>
            <w:vAlign w:val="bottom"/>
          </w:tcPr>
          <w:p>
            <w:pPr>
              <w:ind w:left="200"/>
              <w:spacing w:after="0"/>
              <w:rPr>
                <w:sz w:val="20"/>
                <w:szCs w:val="20"/>
                <w:color w:val="auto"/>
              </w:rPr>
            </w:pPr>
            <w:r>
              <w:rPr>
                <w:rFonts w:ascii="Arial" w:cs="Arial" w:eastAsia="Arial" w:hAnsi="Arial"/>
                <w:sz w:val="14"/>
                <w:szCs w:val="14"/>
                <w:color w:val="auto"/>
              </w:rPr>
              <w:t>Form of Restricted Stock Unit Agreement (2021 Plan) (Mandatory Sell-to-Cover</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10.12</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Election)</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7"/>
        </w:trPr>
        <w:tc>
          <w:tcPr>
            <w:tcW w:w="640" w:type="dxa"/>
            <w:vAlign w:val="bottom"/>
          </w:tcPr>
          <w:p>
            <w:pPr>
              <w:spacing w:after="0"/>
              <w:rPr>
                <w:sz w:val="20"/>
                <w:szCs w:val="20"/>
                <w:color w:val="auto"/>
              </w:rPr>
            </w:pPr>
            <w:r>
              <w:rPr>
                <w:rFonts w:ascii="Arial" w:cs="Arial" w:eastAsia="Arial" w:hAnsi="Arial"/>
                <w:sz w:val="14"/>
                <w:szCs w:val="14"/>
                <w:color w:val="auto"/>
              </w:rPr>
              <w:t>10.12+</w:t>
            </w:r>
          </w:p>
        </w:tc>
        <w:tc>
          <w:tcPr>
            <w:tcW w:w="5660" w:type="dxa"/>
            <w:vAlign w:val="bottom"/>
          </w:tcPr>
          <w:p>
            <w:pPr>
              <w:ind w:left="200"/>
              <w:spacing w:after="0"/>
              <w:rPr>
                <w:sz w:val="20"/>
                <w:szCs w:val="20"/>
                <w:color w:val="auto"/>
              </w:rPr>
            </w:pPr>
            <w:r>
              <w:rPr>
                <w:rFonts w:ascii="Arial" w:cs="Arial" w:eastAsia="Arial" w:hAnsi="Arial"/>
                <w:sz w:val="14"/>
                <w:szCs w:val="14"/>
                <w:color w:val="auto"/>
              </w:rPr>
              <w:t>Form of Indemnification Agreement between the Company and each of its directors</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and executive officers</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4"/>
        </w:trPr>
        <w:tc>
          <w:tcPr>
            <w:tcW w:w="640" w:type="dxa"/>
            <w:vAlign w:val="bottom"/>
          </w:tcPr>
          <w:p>
            <w:pPr>
              <w:spacing w:after="0"/>
              <w:rPr>
                <w:sz w:val="20"/>
                <w:szCs w:val="20"/>
                <w:color w:val="auto"/>
              </w:rPr>
            </w:pPr>
            <w:r>
              <w:rPr>
                <w:rFonts w:ascii="Arial" w:cs="Arial" w:eastAsia="Arial" w:hAnsi="Arial"/>
                <w:sz w:val="14"/>
                <w:szCs w:val="14"/>
                <w:color w:val="auto"/>
              </w:rPr>
              <w:t>10.13+</w:t>
            </w:r>
          </w:p>
        </w:tc>
        <w:tc>
          <w:tcPr>
            <w:tcW w:w="5660" w:type="dxa"/>
            <w:vAlign w:val="bottom"/>
          </w:tcPr>
          <w:p>
            <w:pPr>
              <w:ind w:left="200"/>
              <w:spacing w:after="0"/>
              <w:rPr>
                <w:sz w:val="20"/>
                <w:szCs w:val="20"/>
                <w:color w:val="auto"/>
              </w:rPr>
            </w:pPr>
            <w:r>
              <w:rPr>
                <w:rFonts w:ascii="Arial" w:cs="Arial" w:eastAsia="Arial" w:hAnsi="Arial"/>
                <w:sz w:val="14"/>
                <w:szCs w:val="14"/>
                <w:color w:val="auto"/>
              </w:rPr>
              <w:t>Non-Employee Director Compensation Program</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10.13</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244"/>
        </w:trPr>
        <w:tc>
          <w:tcPr>
            <w:tcW w:w="640" w:type="dxa"/>
            <w:vAlign w:val="bottom"/>
          </w:tcPr>
          <w:p>
            <w:pPr>
              <w:spacing w:after="0"/>
              <w:rPr>
                <w:sz w:val="20"/>
                <w:szCs w:val="20"/>
                <w:color w:val="auto"/>
              </w:rPr>
            </w:pPr>
            <w:r>
              <w:rPr>
                <w:rFonts w:ascii="Arial" w:cs="Arial" w:eastAsia="Arial" w:hAnsi="Arial"/>
                <w:sz w:val="14"/>
                <w:szCs w:val="14"/>
                <w:color w:val="auto"/>
              </w:rPr>
              <w:t>10.14+</w:t>
            </w:r>
          </w:p>
        </w:tc>
        <w:tc>
          <w:tcPr>
            <w:tcW w:w="5660" w:type="dxa"/>
            <w:vAlign w:val="bottom"/>
          </w:tcPr>
          <w:p>
            <w:pPr>
              <w:ind w:left="200"/>
              <w:spacing w:after="0"/>
              <w:rPr>
                <w:sz w:val="20"/>
                <w:szCs w:val="20"/>
                <w:color w:val="auto"/>
              </w:rPr>
            </w:pPr>
            <w:r>
              <w:rPr>
                <w:rFonts w:ascii="Arial" w:cs="Arial" w:eastAsia="Arial" w:hAnsi="Arial"/>
                <w:sz w:val="14"/>
                <w:szCs w:val="14"/>
                <w:color w:val="auto"/>
              </w:rPr>
              <w:t>2021 Employee Stock Purchase Plan</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10.14</w:t>
            </w:r>
          </w:p>
        </w:tc>
        <w:tc>
          <w:tcPr>
            <w:tcW w:w="880" w:type="dxa"/>
            <w:vAlign w:val="bottom"/>
          </w:tcPr>
          <w:p>
            <w:pPr>
              <w:jc w:val="right"/>
              <w:spacing w:after="0"/>
              <w:rPr>
                <w:sz w:val="20"/>
                <w:szCs w:val="20"/>
                <w:color w:val="auto"/>
              </w:rPr>
            </w:pPr>
            <w:r>
              <w:rPr>
                <w:rFonts w:ascii="Arial" w:cs="Arial" w:eastAsia="Arial" w:hAnsi="Arial"/>
                <w:sz w:val="14"/>
                <w:szCs w:val="14"/>
                <w:color w:val="auto"/>
              </w:rPr>
              <w:t>10/22/2021</w:t>
            </w:r>
          </w:p>
        </w:tc>
      </w:tr>
      <w:tr>
        <w:trPr>
          <w:trHeight w:val="244"/>
        </w:trPr>
        <w:tc>
          <w:tcPr>
            <w:tcW w:w="640" w:type="dxa"/>
            <w:vAlign w:val="bottom"/>
          </w:tcPr>
          <w:p>
            <w:pPr>
              <w:spacing w:after="0"/>
              <w:rPr>
                <w:sz w:val="20"/>
                <w:szCs w:val="20"/>
                <w:color w:val="auto"/>
              </w:rPr>
            </w:pPr>
            <w:r>
              <w:rPr>
                <w:rFonts w:ascii="Arial" w:cs="Arial" w:eastAsia="Arial" w:hAnsi="Arial"/>
                <w:sz w:val="14"/>
                <w:szCs w:val="14"/>
                <w:color w:val="auto"/>
              </w:rPr>
              <w:t>10.15+</w:t>
            </w:r>
          </w:p>
        </w:tc>
        <w:tc>
          <w:tcPr>
            <w:tcW w:w="5660" w:type="dxa"/>
            <w:vAlign w:val="bottom"/>
          </w:tcPr>
          <w:p>
            <w:pPr>
              <w:ind w:left="200"/>
              <w:spacing w:after="0"/>
              <w:rPr>
                <w:sz w:val="20"/>
                <w:szCs w:val="20"/>
                <w:color w:val="auto"/>
              </w:rPr>
            </w:pPr>
            <w:r>
              <w:rPr>
                <w:rFonts w:ascii="Arial" w:cs="Arial" w:eastAsia="Arial" w:hAnsi="Arial"/>
                <w:sz w:val="14"/>
                <w:szCs w:val="14"/>
                <w:color w:val="auto"/>
              </w:rPr>
              <w:t>Executive Severance Plan</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10.19</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202"/>
        </w:trPr>
        <w:tc>
          <w:tcPr>
            <w:tcW w:w="640" w:type="dxa"/>
            <w:vAlign w:val="bottom"/>
          </w:tcPr>
          <w:p>
            <w:pPr>
              <w:spacing w:after="0"/>
              <w:rPr>
                <w:sz w:val="20"/>
                <w:szCs w:val="20"/>
                <w:color w:val="auto"/>
              </w:rPr>
            </w:pPr>
            <w:r>
              <w:rPr>
                <w:rFonts w:ascii="Arial" w:cs="Arial" w:eastAsia="Arial" w:hAnsi="Arial"/>
                <w:sz w:val="14"/>
                <w:szCs w:val="14"/>
                <w:color w:val="auto"/>
              </w:rPr>
              <w:t>10.16+</w:t>
            </w:r>
          </w:p>
        </w:tc>
        <w:tc>
          <w:tcPr>
            <w:tcW w:w="5660" w:type="dxa"/>
            <w:vAlign w:val="bottom"/>
          </w:tcPr>
          <w:p>
            <w:pPr>
              <w:ind w:left="200"/>
              <w:spacing w:after="0"/>
              <w:rPr>
                <w:sz w:val="20"/>
                <w:szCs w:val="20"/>
                <w:color w:val="auto"/>
              </w:rPr>
            </w:pPr>
            <w:r>
              <w:rPr>
                <w:rFonts w:ascii="Arial" w:cs="Arial" w:eastAsia="Arial" w:hAnsi="Arial"/>
                <w:sz w:val="14"/>
                <w:szCs w:val="14"/>
                <w:color w:val="auto"/>
              </w:rPr>
              <w:t>Amended and Restated Executive Severance Plan</w:t>
            </w:r>
          </w:p>
        </w:tc>
        <w:tc>
          <w:tcPr>
            <w:tcW w:w="580" w:type="dxa"/>
            <w:vAlign w:val="bottom"/>
          </w:tcPr>
          <w:p>
            <w:pPr>
              <w:ind w:left="60"/>
              <w:spacing w:after="0"/>
              <w:rPr>
                <w:sz w:val="20"/>
                <w:szCs w:val="20"/>
                <w:color w:val="auto"/>
              </w:rPr>
            </w:pPr>
            <w:r>
              <w:rPr>
                <w:rFonts w:ascii="Arial" w:cs="Arial" w:eastAsia="Arial" w:hAnsi="Arial"/>
                <w:sz w:val="14"/>
                <w:szCs w:val="14"/>
                <w:color w:val="auto"/>
              </w:rPr>
              <w:t>10-Q</w:t>
            </w:r>
          </w:p>
        </w:tc>
        <w:tc>
          <w:tcPr>
            <w:tcW w:w="1340" w:type="dxa"/>
            <w:vAlign w:val="bottom"/>
          </w:tcPr>
          <w:p>
            <w:pPr>
              <w:ind w:left="180"/>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10.9</w:t>
            </w:r>
          </w:p>
        </w:tc>
        <w:tc>
          <w:tcPr>
            <w:tcW w:w="880" w:type="dxa"/>
            <w:vAlign w:val="bottom"/>
          </w:tcPr>
          <w:p>
            <w:pPr>
              <w:jc w:val="right"/>
              <w:spacing w:after="0"/>
              <w:rPr>
                <w:sz w:val="20"/>
                <w:szCs w:val="20"/>
                <w:color w:val="auto"/>
              </w:rPr>
            </w:pPr>
            <w:r>
              <w:rPr>
                <w:rFonts w:ascii="Arial" w:cs="Arial" w:eastAsia="Arial" w:hAnsi="Arial"/>
                <w:sz w:val="14"/>
                <w:szCs w:val="14"/>
                <w:color w:val="auto"/>
              </w:rPr>
              <w:t>12/10/2021</w:t>
            </w:r>
          </w:p>
        </w:tc>
      </w:tr>
      <w:tr>
        <w:trPr>
          <w:trHeight w:val="175"/>
        </w:trPr>
        <w:tc>
          <w:tcPr>
            <w:tcW w:w="640" w:type="dxa"/>
            <w:vAlign w:val="bottom"/>
          </w:tcPr>
          <w:p>
            <w:pPr>
              <w:spacing w:after="0"/>
              <w:rPr>
                <w:sz w:val="20"/>
                <w:szCs w:val="20"/>
                <w:color w:val="auto"/>
              </w:rPr>
            </w:pPr>
            <w:r>
              <w:rPr>
                <w:rFonts w:ascii="Arial" w:cs="Arial" w:eastAsia="Arial" w:hAnsi="Arial"/>
                <w:sz w:val="14"/>
                <w:szCs w:val="14"/>
                <w:color w:val="auto"/>
              </w:rPr>
              <w:t>10.17+</w:t>
            </w:r>
          </w:p>
        </w:tc>
        <w:tc>
          <w:tcPr>
            <w:tcW w:w="5660" w:type="dxa"/>
            <w:vAlign w:val="bottom"/>
          </w:tcPr>
          <w:p>
            <w:pPr>
              <w:ind w:left="200"/>
              <w:spacing w:after="0"/>
              <w:rPr>
                <w:sz w:val="20"/>
                <w:szCs w:val="20"/>
                <w:color w:val="auto"/>
              </w:rPr>
            </w:pPr>
            <w:r>
              <w:rPr>
                <w:rFonts w:ascii="Arial" w:cs="Arial" w:eastAsia="Arial" w:hAnsi="Arial"/>
                <w:sz w:val="14"/>
                <w:szCs w:val="14"/>
                <w:color w:val="auto"/>
              </w:rPr>
              <w:t>Amended and Restated Employment Agreement, by and between the Company and</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10.15</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Jennifer Y. Hyman, dated October 5, 2021</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5"/>
        </w:trPr>
        <w:tc>
          <w:tcPr>
            <w:tcW w:w="640" w:type="dxa"/>
            <w:vAlign w:val="bottom"/>
          </w:tcPr>
          <w:p>
            <w:pPr>
              <w:spacing w:after="0"/>
              <w:rPr>
                <w:sz w:val="20"/>
                <w:szCs w:val="20"/>
                <w:color w:val="auto"/>
              </w:rPr>
            </w:pPr>
            <w:r>
              <w:rPr>
                <w:rFonts w:ascii="Arial" w:cs="Arial" w:eastAsia="Arial" w:hAnsi="Arial"/>
                <w:sz w:val="14"/>
                <w:szCs w:val="14"/>
                <w:color w:val="auto"/>
              </w:rPr>
              <w:t>10.18</w:t>
            </w:r>
          </w:p>
        </w:tc>
        <w:tc>
          <w:tcPr>
            <w:tcW w:w="5660" w:type="dxa"/>
            <w:vAlign w:val="bottom"/>
          </w:tcPr>
          <w:p>
            <w:pPr>
              <w:ind w:left="200"/>
              <w:spacing w:after="0"/>
              <w:rPr>
                <w:sz w:val="20"/>
                <w:szCs w:val="20"/>
                <w:color w:val="auto"/>
              </w:rPr>
            </w:pPr>
            <w:r>
              <w:rPr>
                <w:rFonts w:ascii="Arial" w:cs="Arial" w:eastAsia="Arial" w:hAnsi="Arial"/>
                <w:sz w:val="14"/>
                <w:szCs w:val="14"/>
                <w:color w:val="auto"/>
              </w:rPr>
              <w:t>Amendment to Amended and Restated Employment Agreement by and between the</w:t>
            </w:r>
          </w:p>
        </w:tc>
        <w:tc>
          <w:tcPr>
            <w:tcW w:w="580" w:type="dxa"/>
            <w:vAlign w:val="bottom"/>
          </w:tcPr>
          <w:p>
            <w:pPr>
              <w:ind w:left="60"/>
              <w:spacing w:after="0"/>
              <w:rPr>
                <w:sz w:val="20"/>
                <w:szCs w:val="20"/>
                <w:color w:val="auto"/>
              </w:rPr>
            </w:pPr>
            <w:r>
              <w:rPr>
                <w:rFonts w:ascii="Arial" w:cs="Arial" w:eastAsia="Arial" w:hAnsi="Arial"/>
                <w:sz w:val="14"/>
                <w:szCs w:val="14"/>
                <w:color w:val="auto"/>
              </w:rPr>
              <w:t>10-Q</w:t>
            </w:r>
          </w:p>
        </w:tc>
        <w:tc>
          <w:tcPr>
            <w:tcW w:w="1340" w:type="dxa"/>
            <w:vAlign w:val="bottom"/>
          </w:tcPr>
          <w:p>
            <w:pPr>
              <w:ind w:left="180"/>
              <w:spacing w:after="0"/>
              <w:rPr>
                <w:sz w:val="20"/>
                <w:szCs w:val="20"/>
                <w:color w:val="auto"/>
              </w:rPr>
            </w:pPr>
            <w:r>
              <w:rPr>
                <w:rFonts w:ascii="Arial" w:cs="Arial" w:eastAsia="Arial" w:hAnsi="Arial"/>
                <w:sz w:val="14"/>
                <w:szCs w:val="14"/>
                <w:color w:val="auto"/>
              </w:rPr>
              <w:t>001-40958</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w:t>
            </w:r>
          </w:p>
        </w:tc>
        <w:tc>
          <w:tcPr>
            <w:tcW w:w="880" w:type="dxa"/>
            <w:vAlign w:val="bottom"/>
          </w:tcPr>
          <w:p>
            <w:pPr>
              <w:jc w:val="right"/>
              <w:spacing w:after="0"/>
              <w:rPr>
                <w:sz w:val="20"/>
                <w:szCs w:val="20"/>
                <w:color w:val="auto"/>
              </w:rPr>
            </w:pPr>
            <w:r>
              <w:rPr>
                <w:rFonts w:ascii="Arial" w:cs="Arial" w:eastAsia="Arial" w:hAnsi="Arial"/>
                <w:sz w:val="14"/>
                <w:szCs w:val="14"/>
                <w:color w:val="auto"/>
              </w:rPr>
              <w:t>6/10/2022</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Company and Jennifer Y. Hyman</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8"/>
        </w:trPr>
        <w:tc>
          <w:tcPr>
            <w:tcW w:w="640" w:type="dxa"/>
            <w:vAlign w:val="bottom"/>
          </w:tcPr>
          <w:p>
            <w:pPr>
              <w:spacing w:after="0" w:line="158" w:lineRule="exact"/>
              <w:rPr>
                <w:sz w:val="20"/>
                <w:szCs w:val="20"/>
                <w:color w:val="auto"/>
              </w:rPr>
            </w:pPr>
            <w:r>
              <w:rPr>
                <w:rFonts w:ascii="Arial" w:cs="Arial" w:eastAsia="Arial" w:hAnsi="Arial"/>
                <w:sz w:val="14"/>
                <w:szCs w:val="14"/>
                <w:color w:val="auto"/>
              </w:rPr>
              <w:t>10.19+</w:t>
            </w:r>
          </w:p>
        </w:tc>
        <w:tc>
          <w:tcPr>
            <w:tcW w:w="5660" w:type="dxa"/>
            <w:vAlign w:val="bottom"/>
          </w:tcPr>
          <w:p>
            <w:pPr>
              <w:ind w:left="200"/>
              <w:spacing w:after="0" w:line="158" w:lineRule="exact"/>
              <w:rPr>
                <w:sz w:val="20"/>
                <w:szCs w:val="20"/>
                <w:color w:val="auto"/>
              </w:rPr>
            </w:pPr>
            <w:r>
              <w:rPr>
                <w:rFonts w:ascii="Arial" w:cs="Arial" w:eastAsia="Arial" w:hAnsi="Arial"/>
                <w:sz w:val="14"/>
                <w:szCs w:val="14"/>
                <w:color w:val="auto"/>
              </w:rPr>
              <w:t>Offer Letter, by and between the Company and Scarlett O’Sullivan, dated September</w:t>
            </w:r>
          </w:p>
        </w:tc>
        <w:tc>
          <w:tcPr>
            <w:tcW w:w="580" w:type="dxa"/>
            <w:vAlign w:val="bottom"/>
          </w:tcPr>
          <w:p>
            <w:pPr>
              <w:ind w:left="60"/>
              <w:spacing w:after="0" w:line="158" w:lineRule="exact"/>
              <w:rPr>
                <w:sz w:val="20"/>
                <w:szCs w:val="20"/>
                <w:color w:val="auto"/>
              </w:rPr>
            </w:pPr>
            <w:r>
              <w:rPr>
                <w:rFonts w:ascii="Arial" w:cs="Arial" w:eastAsia="Arial" w:hAnsi="Arial"/>
                <w:sz w:val="14"/>
                <w:szCs w:val="14"/>
                <w:color w:val="auto"/>
              </w:rPr>
              <w:t>S-1/A</w:t>
            </w:r>
          </w:p>
        </w:tc>
        <w:tc>
          <w:tcPr>
            <w:tcW w:w="1340" w:type="dxa"/>
            <w:vAlign w:val="bottom"/>
          </w:tcPr>
          <w:p>
            <w:pPr>
              <w:ind w:left="180"/>
              <w:spacing w:after="0" w:line="158" w:lineRule="exact"/>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line="158" w:lineRule="exact"/>
              <w:rPr>
                <w:sz w:val="20"/>
                <w:szCs w:val="20"/>
                <w:color w:val="auto"/>
              </w:rPr>
            </w:pPr>
            <w:r>
              <w:rPr>
                <w:rFonts w:ascii="Arial" w:cs="Arial" w:eastAsia="Arial" w:hAnsi="Arial"/>
                <w:sz w:val="14"/>
                <w:szCs w:val="14"/>
                <w:color w:val="auto"/>
              </w:rPr>
              <w:t>10.16</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10/18/2021</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4, 2015.</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43"/>
        </w:trPr>
        <w:tc>
          <w:tcPr>
            <w:tcW w:w="640" w:type="dxa"/>
            <w:vAlign w:val="bottom"/>
          </w:tcPr>
          <w:p>
            <w:pPr>
              <w:spacing w:after="0" w:line="143" w:lineRule="exact"/>
              <w:rPr>
                <w:sz w:val="20"/>
                <w:szCs w:val="20"/>
                <w:color w:val="auto"/>
              </w:rPr>
            </w:pPr>
            <w:r>
              <w:rPr>
                <w:rFonts w:ascii="Arial" w:cs="Arial" w:eastAsia="Arial" w:hAnsi="Arial"/>
                <w:sz w:val="14"/>
                <w:szCs w:val="14"/>
                <w:color w:val="auto"/>
              </w:rPr>
              <w:t>10.20+</w:t>
            </w:r>
          </w:p>
        </w:tc>
        <w:tc>
          <w:tcPr>
            <w:tcW w:w="5660" w:type="dxa"/>
            <w:vAlign w:val="bottom"/>
          </w:tcPr>
          <w:p>
            <w:pPr>
              <w:ind w:left="200"/>
              <w:spacing w:after="0" w:line="143" w:lineRule="exact"/>
              <w:rPr>
                <w:sz w:val="20"/>
                <w:szCs w:val="20"/>
                <w:color w:val="auto"/>
              </w:rPr>
            </w:pPr>
            <w:r>
              <w:rPr>
                <w:rFonts w:ascii="Arial" w:cs="Arial" w:eastAsia="Arial" w:hAnsi="Arial"/>
                <w:sz w:val="14"/>
                <w:szCs w:val="14"/>
                <w:color w:val="auto"/>
              </w:rPr>
              <w:t>Offer Letter, by and between the Company and Anushka Salinas, dated January 20,</w:t>
            </w:r>
          </w:p>
        </w:tc>
        <w:tc>
          <w:tcPr>
            <w:tcW w:w="580" w:type="dxa"/>
            <w:vAlign w:val="bottom"/>
          </w:tcPr>
          <w:p>
            <w:pPr>
              <w:ind w:left="60"/>
              <w:spacing w:after="0" w:line="143" w:lineRule="exact"/>
              <w:rPr>
                <w:sz w:val="20"/>
                <w:szCs w:val="20"/>
                <w:color w:val="auto"/>
              </w:rPr>
            </w:pPr>
            <w:r>
              <w:rPr>
                <w:rFonts w:ascii="Arial" w:cs="Arial" w:eastAsia="Arial" w:hAnsi="Arial"/>
                <w:sz w:val="14"/>
                <w:szCs w:val="14"/>
                <w:color w:val="auto"/>
              </w:rPr>
              <w:t>S-1/A</w:t>
            </w:r>
          </w:p>
        </w:tc>
        <w:tc>
          <w:tcPr>
            <w:tcW w:w="1340" w:type="dxa"/>
            <w:vAlign w:val="bottom"/>
          </w:tcPr>
          <w:p>
            <w:pPr>
              <w:ind w:left="180"/>
              <w:spacing w:after="0" w:line="143" w:lineRule="exact"/>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line="143" w:lineRule="exact"/>
              <w:rPr>
                <w:sz w:val="20"/>
                <w:szCs w:val="20"/>
                <w:color w:val="auto"/>
              </w:rPr>
            </w:pPr>
            <w:r>
              <w:rPr>
                <w:rFonts w:ascii="Arial" w:cs="Arial" w:eastAsia="Arial" w:hAnsi="Arial"/>
                <w:sz w:val="14"/>
                <w:szCs w:val="14"/>
                <w:color w:val="auto"/>
              </w:rPr>
              <w:t>10.17</w:t>
            </w: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10/18/2021</w:t>
            </w: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2017.</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640" w:type="dxa"/>
            <w:vAlign w:val="bottom"/>
          </w:tcPr>
          <w:p>
            <w:pPr>
              <w:spacing w:after="0"/>
              <w:rPr>
                <w:sz w:val="20"/>
                <w:szCs w:val="20"/>
                <w:color w:val="auto"/>
              </w:rPr>
            </w:pPr>
            <w:r>
              <w:rPr>
                <w:rFonts w:ascii="Arial" w:cs="Arial" w:eastAsia="Arial" w:hAnsi="Arial"/>
                <w:sz w:val="14"/>
                <w:szCs w:val="14"/>
                <w:color w:val="auto"/>
              </w:rPr>
              <w:t>10.21+</w:t>
            </w:r>
          </w:p>
        </w:tc>
        <w:tc>
          <w:tcPr>
            <w:tcW w:w="5660" w:type="dxa"/>
            <w:vAlign w:val="bottom"/>
          </w:tcPr>
          <w:p>
            <w:pPr>
              <w:ind w:left="200"/>
              <w:spacing w:after="0"/>
              <w:rPr>
                <w:sz w:val="20"/>
                <w:szCs w:val="20"/>
                <w:color w:val="auto"/>
              </w:rPr>
            </w:pPr>
            <w:r>
              <w:rPr>
                <w:rFonts w:ascii="Arial" w:cs="Arial" w:eastAsia="Arial" w:hAnsi="Arial"/>
                <w:sz w:val="14"/>
                <w:szCs w:val="14"/>
                <w:color w:val="auto"/>
              </w:rPr>
              <w:t>Offer Letter, by and between the Company and Brian Donato, dated January 17, 2017</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10.18</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42"/>
        </w:trPr>
        <w:tc>
          <w:tcPr>
            <w:tcW w:w="640" w:type="dxa"/>
            <w:vAlign w:val="bottom"/>
          </w:tcPr>
          <w:p>
            <w:pPr>
              <w:spacing w:after="0" w:line="142" w:lineRule="exact"/>
              <w:rPr>
                <w:sz w:val="20"/>
                <w:szCs w:val="20"/>
                <w:color w:val="auto"/>
              </w:rPr>
            </w:pPr>
            <w:r>
              <w:rPr>
                <w:rFonts w:ascii="Arial" w:cs="Arial" w:eastAsia="Arial" w:hAnsi="Arial"/>
                <w:sz w:val="14"/>
                <w:szCs w:val="14"/>
                <w:color w:val="auto"/>
              </w:rPr>
              <w:t>10.22†</w:t>
            </w:r>
          </w:p>
        </w:tc>
        <w:tc>
          <w:tcPr>
            <w:tcW w:w="5660" w:type="dxa"/>
            <w:vAlign w:val="bottom"/>
          </w:tcPr>
          <w:p>
            <w:pPr>
              <w:ind w:left="200"/>
              <w:spacing w:after="0" w:line="142" w:lineRule="exact"/>
              <w:rPr>
                <w:sz w:val="20"/>
                <w:szCs w:val="20"/>
                <w:color w:val="auto"/>
              </w:rPr>
            </w:pPr>
            <w:r>
              <w:rPr>
                <w:rFonts w:ascii="Arial" w:cs="Arial" w:eastAsia="Arial" w:hAnsi="Arial"/>
                <w:sz w:val="14"/>
                <w:szCs w:val="14"/>
                <w:color w:val="auto"/>
              </w:rPr>
              <w:t>Seventh Amendment to the Credit Agreement dated as of July 23, 2018, dated as of</w:t>
            </w:r>
          </w:p>
        </w:tc>
        <w:tc>
          <w:tcPr>
            <w:tcW w:w="580" w:type="dxa"/>
            <w:vAlign w:val="bottom"/>
          </w:tcPr>
          <w:p>
            <w:pPr>
              <w:ind w:left="60"/>
              <w:spacing w:after="0" w:line="142" w:lineRule="exact"/>
              <w:rPr>
                <w:sz w:val="20"/>
                <w:szCs w:val="20"/>
                <w:color w:val="auto"/>
              </w:rPr>
            </w:pPr>
            <w:r>
              <w:rPr>
                <w:rFonts w:ascii="Arial" w:cs="Arial" w:eastAsia="Arial" w:hAnsi="Arial"/>
                <w:sz w:val="14"/>
                <w:szCs w:val="14"/>
                <w:color w:val="auto"/>
              </w:rPr>
              <w:t>S-1/A</w:t>
            </w:r>
          </w:p>
        </w:tc>
        <w:tc>
          <w:tcPr>
            <w:tcW w:w="1340" w:type="dxa"/>
            <w:vAlign w:val="bottom"/>
          </w:tcPr>
          <w:p>
            <w:pPr>
              <w:ind w:left="180"/>
              <w:spacing w:after="0" w:line="142" w:lineRule="exact"/>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line="142" w:lineRule="exact"/>
              <w:rPr>
                <w:sz w:val="20"/>
                <w:szCs w:val="20"/>
                <w:color w:val="auto"/>
              </w:rPr>
            </w:pPr>
            <w:r>
              <w:rPr>
                <w:rFonts w:ascii="Arial" w:cs="Arial" w:eastAsia="Arial" w:hAnsi="Arial"/>
                <w:sz w:val="14"/>
                <w:szCs w:val="14"/>
                <w:color w:val="auto"/>
              </w:rPr>
              <w:t>10.20</w:t>
            </w: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10/18/2021</w:t>
            </w:r>
          </w:p>
        </w:tc>
      </w:tr>
      <w:tr>
        <w:trPr>
          <w:trHeight w:val="144"/>
        </w:trPr>
        <w:tc>
          <w:tcPr>
            <w:tcW w:w="640" w:type="dxa"/>
            <w:vAlign w:val="bottom"/>
          </w:tcPr>
          <w:p>
            <w:pPr>
              <w:spacing w:after="0"/>
              <w:rPr>
                <w:sz w:val="12"/>
                <w:szCs w:val="12"/>
                <w:color w:val="auto"/>
              </w:rPr>
            </w:pPr>
          </w:p>
        </w:tc>
        <w:tc>
          <w:tcPr>
            <w:tcW w:w="5660" w:type="dxa"/>
            <w:vAlign w:val="bottom"/>
          </w:tcPr>
          <w:p>
            <w:pPr>
              <w:ind w:left="200"/>
              <w:spacing w:after="0" w:line="145" w:lineRule="exact"/>
              <w:rPr>
                <w:sz w:val="20"/>
                <w:szCs w:val="20"/>
                <w:color w:val="auto"/>
              </w:rPr>
            </w:pPr>
            <w:r>
              <w:rPr>
                <w:rFonts w:ascii="Arial" w:cs="Arial" w:eastAsia="Arial" w:hAnsi="Arial"/>
                <w:sz w:val="14"/>
                <w:szCs w:val="14"/>
                <w:color w:val="auto"/>
              </w:rPr>
              <w:t>October 18, 2021 (as previously amended on December 21, 2018, April 24, 2019,</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42"/>
        </w:trPr>
        <w:tc>
          <w:tcPr>
            <w:tcW w:w="640" w:type="dxa"/>
            <w:vAlign w:val="bottom"/>
          </w:tcPr>
          <w:p>
            <w:pPr>
              <w:spacing w:after="0"/>
              <w:rPr>
                <w:sz w:val="12"/>
                <w:szCs w:val="12"/>
                <w:color w:val="auto"/>
              </w:rPr>
            </w:pPr>
          </w:p>
        </w:tc>
        <w:tc>
          <w:tcPr>
            <w:tcW w:w="5660" w:type="dxa"/>
            <w:vAlign w:val="bottom"/>
          </w:tcPr>
          <w:p>
            <w:pPr>
              <w:ind w:left="200"/>
              <w:spacing w:after="0" w:line="142" w:lineRule="exact"/>
              <w:rPr>
                <w:sz w:val="20"/>
                <w:szCs w:val="20"/>
                <w:color w:val="auto"/>
              </w:rPr>
            </w:pPr>
            <w:r>
              <w:rPr>
                <w:rFonts w:ascii="Arial" w:cs="Arial" w:eastAsia="Arial" w:hAnsi="Arial"/>
                <w:sz w:val="14"/>
                <w:szCs w:val="14"/>
                <w:color w:val="auto"/>
              </w:rPr>
              <w:t>November 26, 2019, June 2, 2020, August 18, 2020, and October 26, 2020), and as</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8"/>
        </w:trPr>
        <w:tc>
          <w:tcPr>
            <w:tcW w:w="640" w:type="dxa"/>
            <w:vAlign w:val="bottom"/>
          </w:tcPr>
          <w:p>
            <w:pPr>
              <w:spacing w:after="0"/>
              <w:rPr>
                <w:sz w:val="11"/>
                <w:szCs w:val="11"/>
                <w:color w:val="auto"/>
              </w:rPr>
            </w:pPr>
          </w:p>
        </w:tc>
        <w:tc>
          <w:tcPr>
            <w:tcW w:w="5660" w:type="dxa"/>
            <w:vAlign w:val="bottom"/>
          </w:tcPr>
          <w:p>
            <w:pPr>
              <w:ind w:left="200"/>
              <w:spacing w:after="0" w:line="138" w:lineRule="exact"/>
              <w:rPr>
                <w:sz w:val="20"/>
                <w:szCs w:val="20"/>
                <w:color w:val="auto"/>
              </w:rPr>
            </w:pPr>
            <w:r>
              <w:rPr>
                <w:rFonts w:ascii="Arial" w:cs="Arial" w:eastAsia="Arial" w:hAnsi="Arial"/>
                <w:sz w:val="14"/>
                <w:szCs w:val="14"/>
                <w:color w:val="auto"/>
              </w:rPr>
              <w:t>may be further amended, restated, supplemented or otherwise modified in accordance</w:t>
            </w:r>
          </w:p>
        </w:tc>
        <w:tc>
          <w:tcPr>
            <w:tcW w:w="5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5660" w:type="dxa"/>
            <w:vAlign w:val="bottom"/>
          </w:tcPr>
          <w:p>
            <w:pPr>
              <w:ind w:left="200"/>
              <w:spacing w:after="0" w:line="145" w:lineRule="exact"/>
              <w:rPr>
                <w:sz w:val="20"/>
                <w:szCs w:val="20"/>
                <w:color w:val="auto"/>
              </w:rPr>
            </w:pPr>
            <w:r>
              <w:rPr>
                <w:rFonts w:ascii="Arial" w:cs="Arial" w:eastAsia="Arial" w:hAnsi="Arial"/>
                <w:sz w:val="14"/>
                <w:szCs w:val="14"/>
                <w:color w:val="auto"/>
              </w:rPr>
              <w:t>with the terms thereof), by and among the Company, the lenders from time to time</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0"/>
        </w:trPr>
        <w:tc>
          <w:tcPr>
            <w:tcW w:w="640" w:type="dxa"/>
            <w:vAlign w:val="bottom"/>
          </w:tcPr>
          <w:p>
            <w:pPr>
              <w:spacing w:after="0"/>
              <w:rPr>
                <w:sz w:val="15"/>
                <w:szCs w:val="15"/>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party thereto and Double Helix Pte Ltd, as administrative agent.</w:t>
            </w: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9"/>
        </w:trPr>
        <w:tc>
          <w:tcPr>
            <w:tcW w:w="640" w:type="dxa"/>
            <w:vAlign w:val="bottom"/>
          </w:tcPr>
          <w:p>
            <w:pPr>
              <w:spacing w:after="0" w:line="159" w:lineRule="exact"/>
              <w:rPr>
                <w:sz w:val="20"/>
                <w:szCs w:val="20"/>
                <w:color w:val="auto"/>
              </w:rPr>
            </w:pPr>
            <w:r>
              <w:rPr>
                <w:rFonts w:ascii="Arial" w:cs="Arial" w:eastAsia="Arial" w:hAnsi="Arial"/>
                <w:sz w:val="14"/>
                <w:szCs w:val="14"/>
                <w:color w:val="auto"/>
              </w:rPr>
              <w:t>10.23</w:t>
            </w: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Stockholders Agreement, dated October 29, 2021, by and among the Company,</w:t>
            </w:r>
          </w:p>
        </w:tc>
        <w:tc>
          <w:tcPr>
            <w:tcW w:w="580" w:type="dxa"/>
            <w:vAlign w:val="bottom"/>
          </w:tcPr>
          <w:p>
            <w:pPr>
              <w:ind w:left="60"/>
              <w:spacing w:after="0" w:line="159" w:lineRule="exact"/>
              <w:rPr>
                <w:sz w:val="20"/>
                <w:szCs w:val="20"/>
                <w:color w:val="auto"/>
              </w:rPr>
            </w:pPr>
            <w:r>
              <w:rPr>
                <w:rFonts w:ascii="Arial" w:cs="Arial" w:eastAsia="Arial" w:hAnsi="Arial"/>
                <w:sz w:val="14"/>
                <w:szCs w:val="14"/>
                <w:color w:val="auto"/>
              </w:rPr>
              <w:t>8-K</w:t>
            </w:r>
          </w:p>
        </w:tc>
        <w:tc>
          <w:tcPr>
            <w:tcW w:w="1340" w:type="dxa"/>
            <w:vAlign w:val="bottom"/>
          </w:tcPr>
          <w:p>
            <w:pPr>
              <w:ind w:left="180"/>
              <w:spacing w:after="0" w:line="159" w:lineRule="exact"/>
              <w:rPr>
                <w:sz w:val="20"/>
                <w:szCs w:val="20"/>
                <w:color w:val="auto"/>
              </w:rPr>
            </w:pPr>
            <w:r>
              <w:rPr>
                <w:rFonts w:ascii="Arial" w:cs="Arial" w:eastAsia="Arial" w:hAnsi="Arial"/>
                <w:sz w:val="14"/>
                <w:szCs w:val="14"/>
                <w:color w:val="auto"/>
              </w:rPr>
              <w:t>001-40958</w:t>
            </w: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10.1</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10/29/2021</w:t>
            </w:r>
          </w:p>
        </w:tc>
      </w:tr>
      <w:tr>
        <w:trPr>
          <w:trHeight w:val="159"/>
        </w:trPr>
        <w:tc>
          <w:tcPr>
            <w:tcW w:w="640" w:type="dxa"/>
            <w:vAlign w:val="bottom"/>
          </w:tcPr>
          <w:p>
            <w:pPr>
              <w:spacing w:after="0"/>
              <w:rPr>
                <w:sz w:val="13"/>
                <w:szCs w:val="13"/>
                <w:color w:val="auto"/>
              </w:rPr>
            </w:pP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Jennifer Y. Hyman, entities affiliated with Bain Capital Ventures and entities affiliated</w:t>
            </w: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with Highland Capital Partners and certain related parties</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58"/>
        </w:trPr>
        <w:tc>
          <w:tcPr>
            <w:tcW w:w="640" w:type="dxa"/>
            <w:vAlign w:val="bottom"/>
          </w:tcPr>
          <w:p>
            <w:pPr>
              <w:spacing w:after="0" w:line="157" w:lineRule="exact"/>
              <w:rPr>
                <w:sz w:val="20"/>
                <w:szCs w:val="20"/>
                <w:color w:val="auto"/>
              </w:rPr>
            </w:pPr>
            <w:r>
              <w:rPr>
                <w:rFonts w:ascii="Arial" w:cs="Arial" w:eastAsia="Arial" w:hAnsi="Arial"/>
                <w:sz w:val="14"/>
                <w:szCs w:val="14"/>
                <w:color w:val="auto"/>
              </w:rPr>
              <w:t>10.24†</w:t>
            </w:r>
          </w:p>
        </w:tc>
        <w:tc>
          <w:tcPr>
            <w:tcW w:w="5660" w:type="dxa"/>
            <w:vAlign w:val="bottom"/>
          </w:tcPr>
          <w:p>
            <w:pPr>
              <w:ind w:left="200"/>
              <w:spacing w:after="0" w:line="157" w:lineRule="exact"/>
              <w:rPr>
                <w:sz w:val="20"/>
                <w:szCs w:val="20"/>
                <w:color w:val="auto"/>
              </w:rPr>
            </w:pPr>
            <w:r>
              <w:rPr>
                <w:rFonts w:ascii="Arial" w:cs="Arial" w:eastAsia="Arial" w:hAnsi="Arial"/>
                <w:sz w:val="14"/>
                <w:szCs w:val="14"/>
                <w:color w:val="auto"/>
              </w:rPr>
              <w:t>Lease, dated as of July 7, 2014 as amended by that certain Lease Modification</w:t>
            </w:r>
          </w:p>
        </w:tc>
        <w:tc>
          <w:tcPr>
            <w:tcW w:w="580" w:type="dxa"/>
            <w:vAlign w:val="bottom"/>
          </w:tcPr>
          <w:p>
            <w:pPr>
              <w:ind w:left="60"/>
              <w:spacing w:after="0" w:line="157" w:lineRule="exact"/>
              <w:rPr>
                <w:sz w:val="20"/>
                <w:szCs w:val="20"/>
                <w:color w:val="auto"/>
              </w:rPr>
            </w:pPr>
            <w:r>
              <w:rPr>
                <w:rFonts w:ascii="Arial" w:cs="Arial" w:eastAsia="Arial" w:hAnsi="Arial"/>
                <w:sz w:val="14"/>
                <w:szCs w:val="14"/>
                <w:color w:val="auto"/>
              </w:rPr>
              <w:t>S-1</w:t>
            </w:r>
          </w:p>
        </w:tc>
        <w:tc>
          <w:tcPr>
            <w:tcW w:w="1340" w:type="dxa"/>
            <w:vAlign w:val="bottom"/>
          </w:tcPr>
          <w:p>
            <w:pPr>
              <w:ind w:left="180"/>
              <w:spacing w:after="0" w:line="157" w:lineRule="exact"/>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line="157" w:lineRule="exact"/>
              <w:rPr>
                <w:sz w:val="20"/>
                <w:szCs w:val="20"/>
                <w:color w:val="auto"/>
              </w:rPr>
            </w:pPr>
            <w:r>
              <w:rPr>
                <w:rFonts w:ascii="Arial" w:cs="Arial" w:eastAsia="Arial" w:hAnsi="Arial"/>
                <w:sz w:val="14"/>
                <w:szCs w:val="14"/>
                <w:color w:val="auto"/>
              </w:rPr>
              <w:t>10.21</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10/04/2021</w:t>
            </w:r>
          </w:p>
        </w:tc>
      </w:tr>
      <w:tr>
        <w:trPr>
          <w:trHeight w:val="144"/>
        </w:trPr>
        <w:tc>
          <w:tcPr>
            <w:tcW w:w="640" w:type="dxa"/>
            <w:vAlign w:val="bottom"/>
          </w:tcPr>
          <w:p>
            <w:pPr>
              <w:spacing w:after="0"/>
              <w:rPr>
                <w:sz w:val="12"/>
                <w:szCs w:val="12"/>
                <w:color w:val="auto"/>
              </w:rPr>
            </w:pPr>
          </w:p>
        </w:tc>
        <w:tc>
          <w:tcPr>
            <w:tcW w:w="5660" w:type="dxa"/>
            <w:vAlign w:val="bottom"/>
          </w:tcPr>
          <w:p>
            <w:pPr>
              <w:ind w:left="200"/>
              <w:spacing w:after="0" w:line="145" w:lineRule="exact"/>
              <w:rPr>
                <w:sz w:val="20"/>
                <w:szCs w:val="20"/>
                <w:color w:val="auto"/>
              </w:rPr>
            </w:pPr>
            <w:r>
              <w:rPr>
                <w:rFonts w:ascii="Arial" w:cs="Arial" w:eastAsia="Arial" w:hAnsi="Arial"/>
                <w:sz w:val="14"/>
                <w:szCs w:val="14"/>
                <w:color w:val="auto"/>
              </w:rPr>
              <w:t>Agreement, dated April 28, 2020, each by and between Hartz Metro Leasehold I LLC</w:t>
            </w:r>
          </w:p>
        </w:tc>
        <w:tc>
          <w:tcPr>
            <w:tcW w:w="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0"/>
        </w:trPr>
        <w:tc>
          <w:tcPr>
            <w:tcW w:w="640" w:type="dxa"/>
            <w:vAlign w:val="bottom"/>
          </w:tcPr>
          <w:p>
            <w:pPr>
              <w:spacing w:after="0"/>
              <w:rPr>
                <w:sz w:val="15"/>
                <w:szCs w:val="15"/>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and the Company.</w:t>
            </w:r>
          </w:p>
        </w:tc>
        <w:tc>
          <w:tcPr>
            <w:tcW w:w="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59"/>
        </w:trPr>
        <w:tc>
          <w:tcPr>
            <w:tcW w:w="640" w:type="dxa"/>
            <w:vAlign w:val="bottom"/>
          </w:tcPr>
          <w:p>
            <w:pPr>
              <w:spacing w:after="0" w:line="159" w:lineRule="exact"/>
              <w:rPr>
                <w:sz w:val="20"/>
                <w:szCs w:val="20"/>
                <w:color w:val="auto"/>
              </w:rPr>
            </w:pPr>
            <w:r>
              <w:rPr>
                <w:rFonts w:ascii="Arial" w:cs="Arial" w:eastAsia="Arial" w:hAnsi="Arial"/>
                <w:sz w:val="14"/>
                <w:szCs w:val="14"/>
                <w:color w:val="auto"/>
              </w:rPr>
              <w:t>10.25†</w:t>
            </w: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Lease, dated as of February 7, 2017 as amended by that certain Lease Modification</w:t>
            </w:r>
          </w:p>
        </w:tc>
        <w:tc>
          <w:tcPr>
            <w:tcW w:w="580" w:type="dxa"/>
            <w:vAlign w:val="bottom"/>
          </w:tcPr>
          <w:p>
            <w:pPr>
              <w:ind w:left="60"/>
              <w:spacing w:after="0" w:line="159" w:lineRule="exact"/>
              <w:rPr>
                <w:sz w:val="20"/>
                <w:szCs w:val="20"/>
                <w:color w:val="auto"/>
              </w:rPr>
            </w:pPr>
            <w:r>
              <w:rPr>
                <w:rFonts w:ascii="Arial" w:cs="Arial" w:eastAsia="Arial" w:hAnsi="Arial"/>
                <w:sz w:val="14"/>
                <w:szCs w:val="14"/>
                <w:color w:val="auto"/>
              </w:rPr>
              <w:t>S-1</w:t>
            </w:r>
          </w:p>
        </w:tc>
        <w:tc>
          <w:tcPr>
            <w:tcW w:w="1340" w:type="dxa"/>
            <w:vAlign w:val="bottom"/>
          </w:tcPr>
          <w:p>
            <w:pPr>
              <w:ind w:left="180"/>
              <w:spacing w:after="0" w:line="159" w:lineRule="exact"/>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line="159" w:lineRule="exact"/>
              <w:rPr>
                <w:sz w:val="20"/>
                <w:szCs w:val="20"/>
                <w:color w:val="auto"/>
              </w:rPr>
            </w:pPr>
            <w:r>
              <w:rPr>
                <w:rFonts w:ascii="Arial" w:cs="Arial" w:eastAsia="Arial" w:hAnsi="Arial"/>
                <w:sz w:val="14"/>
                <w:szCs w:val="14"/>
                <w:color w:val="auto"/>
              </w:rPr>
              <w:t>10.22</w:t>
            </w: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10/04/2021</w:t>
            </w:r>
          </w:p>
        </w:tc>
      </w:tr>
      <w:tr>
        <w:trPr>
          <w:trHeight w:val="159"/>
        </w:trPr>
        <w:tc>
          <w:tcPr>
            <w:tcW w:w="640" w:type="dxa"/>
            <w:vAlign w:val="bottom"/>
          </w:tcPr>
          <w:p>
            <w:pPr>
              <w:spacing w:after="0"/>
              <w:rPr>
                <w:sz w:val="13"/>
                <w:szCs w:val="13"/>
                <w:color w:val="auto"/>
              </w:rPr>
            </w:pP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Agreement, dated April 28, 2020, each by and between Hartz Metro Leasehold I LLC</w:t>
            </w: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and the Company.</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5"/>
        </w:trPr>
        <w:tc>
          <w:tcPr>
            <w:tcW w:w="640" w:type="dxa"/>
            <w:vAlign w:val="bottom"/>
          </w:tcPr>
          <w:p>
            <w:pPr>
              <w:spacing w:after="0"/>
              <w:rPr>
                <w:sz w:val="20"/>
                <w:szCs w:val="20"/>
                <w:color w:val="auto"/>
              </w:rPr>
            </w:pPr>
            <w:r>
              <w:rPr>
                <w:rFonts w:ascii="Arial" w:cs="Arial" w:eastAsia="Arial" w:hAnsi="Arial"/>
                <w:sz w:val="14"/>
                <w:szCs w:val="14"/>
                <w:color w:val="auto"/>
              </w:rPr>
              <w:t>10.26†</w:t>
            </w:r>
          </w:p>
        </w:tc>
        <w:tc>
          <w:tcPr>
            <w:tcW w:w="5660" w:type="dxa"/>
            <w:vAlign w:val="bottom"/>
          </w:tcPr>
          <w:p>
            <w:pPr>
              <w:ind w:left="200"/>
              <w:spacing w:after="0"/>
              <w:rPr>
                <w:sz w:val="20"/>
                <w:szCs w:val="20"/>
                <w:color w:val="auto"/>
              </w:rPr>
            </w:pPr>
            <w:r>
              <w:rPr>
                <w:rFonts w:ascii="Arial" w:cs="Arial" w:eastAsia="Arial" w:hAnsi="Arial"/>
                <w:sz w:val="14"/>
                <w:szCs w:val="14"/>
                <w:color w:val="auto"/>
              </w:rPr>
              <w:t>Industrial Lease, dated March 31, 2018, as amended by that certain First Amendment</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10.23</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59"/>
        </w:trPr>
        <w:tc>
          <w:tcPr>
            <w:tcW w:w="640" w:type="dxa"/>
            <w:vAlign w:val="bottom"/>
          </w:tcPr>
          <w:p>
            <w:pPr>
              <w:spacing w:after="0"/>
              <w:rPr>
                <w:sz w:val="13"/>
                <w:szCs w:val="13"/>
                <w:color w:val="auto"/>
              </w:rPr>
            </w:pP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to Industrial Lease, dated August 31, 2020, by and between TRPF COOPER I-20 LLC</w:t>
            </w: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and the Company.</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75"/>
        </w:trPr>
        <w:tc>
          <w:tcPr>
            <w:tcW w:w="640" w:type="dxa"/>
            <w:vAlign w:val="bottom"/>
          </w:tcPr>
          <w:p>
            <w:pPr>
              <w:spacing w:after="0"/>
              <w:rPr>
                <w:sz w:val="20"/>
                <w:szCs w:val="20"/>
                <w:color w:val="auto"/>
              </w:rPr>
            </w:pPr>
            <w:r>
              <w:rPr>
                <w:rFonts w:ascii="Arial" w:cs="Arial" w:eastAsia="Arial" w:hAnsi="Arial"/>
                <w:sz w:val="14"/>
                <w:szCs w:val="14"/>
                <w:color w:val="auto"/>
              </w:rPr>
              <w:t>10.27†</w:t>
            </w:r>
          </w:p>
        </w:tc>
        <w:tc>
          <w:tcPr>
            <w:tcW w:w="5660" w:type="dxa"/>
            <w:vAlign w:val="bottom"/>
          </w:tcPr>
          <w:p>
            <w:pPr>
              <w:ind w:left="200"/>
              <w:spacing w:after="0"/>
              <w:rPr>
                <w:sz w:val="20"/>
                <w:szCs w:val="20"/>
                <w:color w:val="auto"/>
              </w:rPr>
            </w:pPr>
            <w:r>
              <w:rPr>
                <w:rFonts w:ascii="Arial" w:cs="Arial" w:eastAsia="Arial" w:hAnsi="Arial"/>
                <w:sz w:val="14"/>
                <w:szCs w:val="14"/>
                <w:color w:val="auto"/>
              </w:rPr>
              <w:t>Lease, dated as of April 1, 2019, as amended by that certain First Amendment of</w:t>
            </w:r>
          </w:p>
        </w:tc>
        <w:tc>
          <w:tcPr>
            <w:tcW w:w="580" w:type="dxa"/>
            <w:vAlign w:val="bottom"/>
          </w:tcPr>
          <w:p>
            <w:pPr>
              <w:ind w:left="60"/>
              <w:spacing w:after="0"/>
              <w:rPr>
                <w:sz w:val="20"/>
                <w:szCs w:val="20"/>
                <w:color w:val="auto"/>
              </w:rPr>
            </w:pPr>
            <w:r>
              <w:rPr>
                <w:rFonts w:ascii="Arial" w:cs="Arial" w:eastAsia="Arial" w:hAnsi="Arial"/>
                <w:sz w:val="14"/>
                <w:szCs w:val="14"/>
                <w:color w:val="auto"/>
              </w:rPr>
              <w:t>S-1/A</w:t>
            </w:r>
          </w:p>
        </w:tc>
        <w:tc>
          <w:tcPr>
            <w:tcW w:w="1340" w:type="dxa"/>
            <w:vAlign w:val="bottom"/>
          </w:tcPr>
          <w:p>
            <w:pPr>
              <w:ind w:left="180"/>
              <w:spacing w:after="0"/>
              <w:rPr>
                <w:sz w:val="20"/>
                <w:szCs w:val="20"/>
                <w:color w:val="auto"/>
              </w:rPr>
            </w:pPr>
            <w:r>
              <w:rPr>
                <w:rFonts w:ascii="Arial" w:cs="Arial" w:eastAsia="Arial" w:hAnsi="Arial"/>
                <w:sz w:val="14"/>
                <w:szCs w:val="14"/>
                <w:color w:val="auto"/>
              </w:rPr>
              <w:t>333-260027</w:t>
            </w: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10.24</w:t>
            </w:r>
          </w:p>
        </w:tc>
        <w:tc>
          <w:tcPr>
            <w:tcW w:w="880" w:type="dxa"/>
            <w:vAlign w:val="bottom"/>
          </w:tcPr>
          <w:p>
            <w:pPr>
              <w:jc w:val="right"/>
              <w:spacing w:after="0"/>
              <w:rPr>
                <w:sz w:val="20"/>
                <w:szCs w:val="20"/>
                <w:color w:val="auto"/>
              </w:rPr>
            </w:pPr>
            <w:r>
              <w:rPr>
                <w:rFonts w:ascii="Arial" w:cs="Arial" w:eastAsia="Arial" w:hAnsi="Arial"/>
                <w:sz w:val="14"/>
                <w:szCs w:val="14"/>
                <w:color w:val="auto"/>
              </w:rPr>
              <w:t>10/18/2021</w:t>
            </w:r>
          </w:p>
        </w:tc>
      </w:tr>
      <w:tr>
        <w:trPr>
          <w:trHeight w:val="159"/>
        </w:trPr>
        <w:tc>
          <w:tcPr>
            <w:tcW w:w="640" w:type="dxa"/>
            <w:vAlign w:val="bottom"/>
          </w:tcPr>
          <w:p>
            <w:pPr>
              <w:spacing w:after="0"/>
              <w:rPr>
                <w:sz w:val="13"/>
                <w:szCs w:val="13"/>
                <w:color w:val="auto"/>
              </w:rPr>
            </w:pPr>
          </w:p>
        </w:tc>
        <w:tc>
          <w:tcPr>
            <w:tcW w:w="5660" w:type="dxa"/>
            <w:vAlign w:val="bottom"/>
          </w:tcPr>
          <w:p>
            <w:pPr>
              <w:ind w:left="200"/>
              <w:spacing w:after="0" w:line="159" w:lineRule="exact"/>
              <w:rPr>
                <w:sz w:val="20"/>
                <w:szCs w:val="20"/>
                <w:color w:val="auto"/>
              </w:rPr>
            </w:pPr>
            <w:r>
              <w:rPr>
                <w:rFonts w:ascii="Arial" w:cs="Arial" w:eastAsia="Arial" w:hAnsi="Arial"/>
                <w:sz w:val="14"/>
                <w:szCs w:val="14"/>
                <w:color w:val="auto"/>
              </w:rPr>
              <w:t>Lease, dated December 10, 2020, by and between 10 Jay Master Tenant LLC and the</w:t>
            </w: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640" w:type="dxa"/>
            <w:vAlign w:val="bottom"/>
          </w:tcPr>
          <w:p>
            <w:pPr>
              <w:spacing w:after="0"/>
              <w:rPr>
                <w:sz w:val="16"/>
                <w:szCs w:val="16"/>
                <w:color w:val="auto"/>
              </w:rPr>
            </w:pPr>
          </w:p>
        </w:tc>
        <w:tc>
          <w:tcPr>
            <w:tcW w:w="5660" w:type="dxa"/>
            <w:vAlign w:val="bottom"/>
          </w:tcPr>
          <w:p>
            <w:pPr>
              <w:ind w:left="200"/>
              <w:spacing w:after="0"/>
              <w:rPr>
                <w:sz w:val="20"/>
                <w:szCs w:val="20"/>
                <w:color w:val="auto"/>
              </w:rPr>
            </w:pPr>
            <w:r>
              <w:rPr>
                <w:rFonts w:ascii="Arial" w:cs="Arial" w:eastAsia="Arial" w:hAnsi="Arial"/>
                <w:sz w:val="14"/>
                <w:szCs w:val="14"/>
                <w:color w:val="auto"/>
              </w:rPr>
              <w:t>Company.</w:t>
            </w:r>
          </w:p>
        </w:tc>
        <w:tc>
          <w:tcPr>
            <w:tcW w:w="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507365</wp:posOffset>
            </wp:positionV>
            <wp:extent cx="3238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139"/>
          </w:cols>
          <w:pgMar w:left="300" w:top="78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127</w:t>
      </w:r>
    </w:p>
    <w:p>
      <w:pPr>
        <w:sectPr>
          <w:pgSz w:w="11880" w:h="15480" w:orient="portrait"/>
          <w:cols w:equalWidth="0" w:num="1">
            <w:col w:w="10139"/>
          </w:cols>
          <w:pgMar w:left="300" w:top="787" w:right="1440" w:bottom="0" w:gutter="0" w:footer="0" w:header="0"/>
          <w:type w:val="continuous"/>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rPr>
              <w:t>10.28†</w:t>
            </w:r>
          </w:p>
        </w:tc>
        <w:tc>
          <w:tcPr>
            <w:tcW w:w="5560" w:type="dxa"/>
            <w:vAlign w:val="bottom"/>
          </w:tcPr>
          <w:p>
            <w:pPr>
              <w:ind w:left="120"/>
              <w:spacing w:after="0"/>
              <w:rPr>
                <w:sz w:val="20"/>
                <w:szCs w:val="20"/>
                <w:color w:val="auto"/>
              </w:rPr>
            </w:pPr>
            <w:r>
              <w:rPr>
                <w:rFonts w:ascii="Arial" w:cs="Arial" w:eastAsia="Arial" w:hAnsi="Arial"/>
                <w:sz w:val="14"/>
                <w:szCs w:val="14"/>
                <w:color w:val="auto"/>
              </w:rPr>
              <w:t>Partial Termination and Second Amendment of Lease, dated February 16, 2022, by</w:t>
            </w:r>
          </w:p>
        </w:tc>
        <w:tc>
          <w:tcPr>
            <w:tcW w:w="580" w:type="dxa"/>
            <w:vAlign w:val="bottom"/>
          </w:tcPr>
          <w:p>
            <w:pPr>
              <w:ind w:left="80"/>
              <w:spacing w:after="0"/>
              <w:rPr>
                <w:sz w:val="20"/>
                <w:szCs w:val="20"/>
                <w:color w:val="auto"/>
              </w:rPr>
            </w:pPr>
            <w:r>
              <w:rPr>
                <w:rFonts w:ascii="Arial" w:cs="Arial" w:eastAsia="Arial" w:hAnsi="Arial"/>
                <w:sz w:val="14"/>
                <w:szCs w:val="14"/>
                <w:color w:val="auto"/>
              </w:rPr>
              <w:t>10-K</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001-40958</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10.27</w:t>
            </w:r>
          </w:p>
        </w:tc>
        <w:tc>
          <w:tcPr>
            <w:tcW w:w="1560" w:type="dxa"/>
            <w:vAlign w:val="bottom"/>
          </w:tcPr>
          <w:p>
            <w:pPr>
              <w:jc w:val="right"/>
              <w:ind w:right="649"/>
              <w:spacing w:after="0"/>
              <w:rPr>
                <w:sz w:val="20"/>
                <w:szCs w:val="20"/>
                <w:color w:val="auto"/>
              </w:rPr>
            </w:pPr>
            <w:r>
              <w:rPr>
                <w:rFonts w:ascii="Arial" w:cs="Arial" w:eastAsia="Arial" w:hAnsi="Arial"/>
                <w:sz w:val="14"/>
                <w:szCs w:val="14"/>
                <w:color w:val="auto"/>
              </w:rPr>
              <w:t>4/14/2022</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and between 10 Jay Master Tenant LLC and the Company.</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20"/>
                <w:szCs w:val="20"/>
                <w:color w:val="auto"/>
              </w:rPr>
            </w:pPr>
            <w:r>
              <w:rPr>
                <w:rFonts w:ascii="Arial" w:cs="Arial" w:eastAsia="Arial" w:hAnsi="Arial"/>
                <w:sz w:val="14"/>
                <w:szCs w:val="14"/>
                <w:color w:val="auto"/>
              </w:rPr>
              <w:t>10.29</w:t>
            </w:r>
          </w:p>
        </w:tc>
        <w:tc>
          <w:tcPr>
            <w:tcW w:w="5560" w:type="dxa"/>
            <w:vAlign w:val="bottom"/>
          </w:tcPr>
          <w:p>
            <w:pPr>
              <w:ind w:left="120"/>
              <w:spacing w:after="0"/>
              <w:rPr>
                <w:sz w:val="20"/>
                <w:szCs w:val="20"/>
                <w:color w:val="auto"/>
              </w:rPr>
            </w:pPr>
            <w:r>
              <w:rPr>
                <w:rFonts w:ascii="Arial" w:cs="Arial" w:eastAsia="Arial" w:hAnsi="Arial"/>
                <w:sz w:val="14"/>
                <w:szCs w:val="14"/>
                <w:color w:val="auto"/>
              </w:rPr>
              <w:t>Eighth Amendment to the Credit Agreement dated as of August 15, 2022 (as</w:t>
            </w:r>
          </w:p>
        </w:tc>
        <w:tc>
          <w:tcPr>
            <w:tcW w:w="580" w:type="dxa"/>
            <w:vAlign w:val="bottom"/>
          </w:tcPr>
          <w:p>
            <w:pPr>
              <w:ind w:left="80"/>
              <w:spacing w:after="0"/>
              <w:rPr>
                <w:sz w:val="20"/>
                <w:szCs w:val="20"/>
                <w:color w:val="auto"/>
              </w:rPr>
            </w:pPr>
            <w:r>
              <w:rPr>
                <w:rFonts w:ascii="Arial" w:cs="Arial" w:eastAsia="Arial" w:hAnsi="Arial"/>
                <w:sz w:val="14"/>
                <w:szCs w:val="14"/>
                <w:color w:val="auto"/>
              </w:rPr>
              <w:t>10-Q</w:t>
            </w:r>
          </w:p>
        </w:tc>
        <w:tc>
          <w:tcPr>
            <w:tcW w:w="1320" w:type="dxa"/>
            <w:vAlign w:val="bottom"/>
          </w:tcPr>
          <w:p>
            <w:pPr>
              <w:jc w:val="right"/>
              <w:ind w:right="369"/>
              <w:spacing w:after="0"/>
              <w:rPr>
                <w:sz w:val="20"/>
                <w:szCs w:val="20"/>
                <w:color w:val="auto"/>
              </w:rPr>
            </w:pPr>
            <w:r>
              <w:rPr>
                <w:rFonts w:ascii="Arial" w:cs="Arial" w:eastAsia="Arial" w:hAnsi="Arial"/>
                <w:sz w:val="14"/>
                <w:szCs w:val="14"/>
                <w:color w:val="auto"/>
              </w:rPr>
              <w:t>001-40958</w:t>
            </w:r>
          </w:p>
        </w:tc>
        <w:tc>
          <w:tcPr>
            <w:tcW w:w="1000" w:type="dxa"/>
            <w:vAlign w:val="bottom"/>
          </w:tcPr>
          <w:p>
            <w:pPr>
              <w:jc w:val="right"/>
              <w:ind w:right="129"/>
              <w:spacing w:after="0"/>
              <w:rPr>
                <w:sz w:val="20"/>
                <w:szCs w:val="20"/>
                <w:color w:val="auto"/>
              </w:rPr>
            </w:pPr>
            <w:r>
              <w:rPr>
                <w:rFonts w:ascii="Arial" w:cs="Arial" w:eastAsia="Arial" w:hAnsi="Arial"/>
                <w:sz w:val="14"/>
                <w:szCs w:val="14"/>
                <w:color w:val="auto"/>
              </w:rPr>
              <w:t>10.1</w:t>
            </w:r>
          </w:p>
        </w:tc>
        <w:tc>
          <w:tcPr>
            <w:tcW w:w="1560" w:type="dxa"/>
            <w:vAlign w:val="bottom"/>
          </w:tcPr>
          <w:p>
            <w:pPr>
              <w:jc w:val="right"/>
              <w:ind w:right="649"/>
              <w:spacing w:after="0"/>
              <w:rPr>
                <w:sz w:val="20"/>
                <w:szCs w:val="20"/>
                <w:color w:val="auto"/>
              </w:rPr>
            </w:pPr>
            <w:r>
              <w:rPr>
                <w:rFonts w:ascii="Arial" w:cs="Arial" w:eastAsia="Arial" w:hAnsi="Arial"/>
                <w:sz w:val="14"/>
                <w:szCs w:val="14"/>
                <w:color w:val="auto"/>
              </w:rPr>
              <w:t>9/13/2022</w:t>
            </w: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previously amended on July 23, 2018, December 21, 2018, April 24, 2019, November</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26, 2019, June 2, 2020, August 18, 2020, October 26, 2020, and October 18, 2021),</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and as may be further amended, restated, supplemented or otherwise modified in</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accordance with the terms thereof), by and among the Company, the lenders from</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time to time party thereto and Double Helix Pte Ltd. as administrative agent</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20"/>
                <w:szCs w:val="20"/>
                <w:color w:val="auto"/>
              </w:rPr>
            </w:pPr>
            <w:r>
              <w:rPr>
                <w:rFonts w:ascii="Arial" w:cs="Arial" w:eastAsia="Arial" w:hAnsi="Arial"/>
                <w:sz w:val="14"/>
                <w:szCs w:val="14"/>
                <w:color w:val="auto"/>
              </w:rPr>
              <w:t>10.3</w:t>
            </w:r>
          </w:p>
        </w:tc>
        <w:tc>
          <w:tcPr>
            <w:tcW w:w="5560" w:type="dxa"/>
            <w:vAlign w:val="bottom"/>
          </w:tcPr>
          <w:p>
            <w:pPr>
              <w:ind w:left="120"/>
              <w:spacing w:after="0"/>
              <w:rPr>
                <w:sz w:val="20"/>
                <w:szCs w:val="20"/>
                <w:color w:val="auto"/>
              </w:rPr>
            </w:pPr>
            <w:r>
              <w:rPr>
                <w:rFonts w:ascii="Arial" w:cs="Arial" w:eastAsia="Arial" w:hAnsi="Arial"/>
                <w:sz w:val="14"/>
                <w:szCs w:val="14"/>
                <w:color w:val="auto"/>
              </w:rPr>
              <w:t>Ninth Amendment to the Credit Agreement, dated as of January 31, 2023, by and</w:t>
            </w: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among the Company, the lenders from time to time party thereto and Double Helix Pte</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Ltd., as administrative agent.</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20"/>
                <w:szCs w:val="20"/>
                <w:color w:val="auto"/>
              </w:rPr>
            </w:pPr>
            <w:r>
              <w:rPr>
                <w:rFonts w:ascii="Arial" w:cs="Arial" w:eastAsia="Arial" w:hAnsi="Arial"/>
                <w:sz w:val="14"/>
                <w:szCs w:val="14"/>
                <w:color w:val="auto"/>
              </w:rPr>
              <w:t>21.1</w:t>
            </w:r>
          </w:p>
        </w:tc>
        <w:tc>
          <w:tcPr>
            <w:tcW w:w="5560" w:type="dxa"/>
            <w:vAlign w:val="bottom"/>
          </w:tcPr>
          <w:p>
            <w:pPr>
              <w:ind w:left="120"/>
              <w:spacing w:after="0"/>
              <w:rPr>
                <w:sz w:val="20"/>
                <w:szCs w:val="20"/>
                <w:color w:val="auto"/>
              </w:rPr>
            </w:pPr>
            <w:r>
              <w:rPr>
                <w:rFonts w:ascii="Arial" w:cs="Arial" w:eastAsia="Arial" w:hAnsi="Arial"/>
                <w:sz w:val="14"/>
                <w:szCs w:val="14"/>
                <w:color w:val="auto"/>
              </w:rPr>
              <w:t>List of subsidiaries</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20" w:type="dxa"/>
            <w:vAlign w:val="bottom"/>
          </w:tcPr>
          <w:p>
            <w:pPr>
              <w:spacing w:after="0"/>
              <w:rPr>
                <w:sz w:val="20"/>
                <w:szCs w:val="20"/>
                <w:color w:val="auto"/>
              </w:rPr>
            </w:pPr>
            <w:r>
              <w:rPr>
                <w:rFonts w:ascii="Arial" w:cs="Arial" w:eastAsia="Arial" w:hAnsi="Arial"/>
                <w:sz w:val="14"/>
                <w:szCs w:val="14"/>
                <w:color w:val="auto"/>
              </w:rPr>
              <w:t>23.1</w:t>
            </w:r>
          </w:p>
        </w:tc>
        <w:tc>
          <w:tcPr>
            <w:tcW w:w="5560" w:type="dxa"/>
            <w:vAlign w:val="bottom"/>
          </w:tcPr>
          <w:p>
            <w:pPr>
              <w:ind w:left="120"/>
              <w:spacing w:after="0"/>
              <w:rPr>
                <w:sz w:val="20"/>
                <w:szCs w:val="20"/>
                <w:color w:val="auto"/>
              </w:rPr>
            </w:pPr>
            <w:r>
              <w:rPr>
                <w:rFonts w:ascii="Arial" w:cs="Arial" w:eastAsia="Arial" w:hAnsi="Arial"/>
                <w:sz w:val="14"/>
                <w:szCs w:val="14"/>
                <w:color w:val="auto"/>
              </w:rPr>
              <w:t>Consent of PricewaterhouseCoopers, LLP, Independent Registered Public Accounting</w:t>
            </w:r>
          </w:p>
        </w:tc>
        <w:tc>
          <w:tcPr>
            <w:tcW w:w="5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Firm</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20"/>
                <w:szCs w:val="20"/>
                <w:color w:val="auto"/>
              </w:rPr>
            </w:pPr>
            <w:r>
              <w:rPr>
                <w:rFonts w:ascii="Arial" w:cs="Arial" w:eastAsia="Arial" w:hAnsi="Arial"/>
                <w:sz w:val="14"/>
                <w:szCs w:val="14"/>
                <w:color w:val="auto"/>
              </w:rPr>
              <w:t>31.1</w:t>
            </w:r>
          </w:p>
        </w:tc>
        <w:tc>
          <w:tcPr>
            <w:tcW w:w="5560" w:type="dxa"/>
            <w:vAlign w:val="bottom"/>
          </w:tcPr>
          <w:p>
            <w:pPr>
              <w:ind w:left="120"/>
              <w:spacing w:after="0"/>
              <w:rPr>
                <w:sz w:val="20"/>
                <w:szCs w:val="20"/>
                <w:color w:val="auto"/>
              </w:rPr>
            </w:pPr>
            <w:r>
              <w:rPr>
                <w:rFonts w:ascii="Arial" w:cs="Arial" w:eastAsia="Arial" w:hAnsi="Arial"/>
                <w:sz w:val="14"/>
                <w:szCs w:val="14"/>
                <w:color w:val="auto"/>
              </w:rPr>
              <w:t>Certification of Chief Executive Officer pursuant to Rule 13a-14(a)/15d-14(a)</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6"/>
        </w:trPr>
        <w:tc>
          <w:tcPr>
            <w:tcW w:w="720" w:type="dxa"/>
            <w:vAlign w:val="bottom"/>
          </w:tcPr>
          <w:p>
            <w:pPr>
              <w:spacing w:after="0"/>
              <w:rPr>
                <w:sz w:val="20"/>
                <w:szCs w:val="20"/>
                <w:color w:val="auto"/>
              </w:rPr>
            </w:pPr>
            <w:r>
              <w:rPr>
                <w:rFonts w:ascii="Arial" w:cs="Arial" w:eastAsia="Arial" w:hAnsi="Arial"/>
                <w:sz w:val="14"/>
                <w:szCs w:val="14"/>
                <w:color w:val="auto"/>
              </w:rPr>
              <w:t>31.2</w:t>
            </w:r>
          </w:p>
        </w:tc>
        <w:tc>
          <w:tcPr>
            <w:tcW w:w="5560" w:type="dxa"/>
            <w:vAlign w:val="bottom"/>
          </w:tcPr>
          <w:p>
            <w:pPr>
              <w:ind w:left="120"/>
              <w:spacing w:after="0"/>
              <w:rPr>
                <w:sz w:val="20"/>
                <w:szCs w:val="20"/>
                <w:color w:val="auto"/>
              </w:rPr>
            </w:pPr>
            <w:r>
              <w:rPr>
                <w:rFonts w:ascii="Arial" w:cs="Arial" w:eastAsia="Arial" w:hAnsi="Arial"/>
                <w:sz w:val="14"/>
                <w:szCs w:val="14"/>
                <w:color w:val="auto"/>
              </w:rPr>
              <w:t>Certification of Chief Financial Officer pursuant to Rule 13a-14(a)/15d-14(a)</w:t>
            </w:r>
          </w:p>
        </w:tc>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32.1</w:t>
            </w:r>
          </w:p>
        </w:tc>
        <w:tc>
          <w:tcPr>
            <w:tcW w:w="5560" w:type="dxa"/>
            <w:vAlign w:val="bottom"/>
          </w:tcPr>
          <w:p>
            <w:pPr>
              <w:ind w:left="120"/>
              <w:spacing w:after="0"/>
              <w:rPr>
                <w:sz w:val="20"/>
                <w:szCs w:val="20"/>
                <w:color w:val="auto"/>
              </w:rPr>
            </w:pPr>
            <w:r>
              <w:rPr>
                <w:rFonts w:ascii="Arial" w:cs="Arial" w:eastAsia="Arial" w:hAnsi="Arial"/>
                <w:sz w:val="14"/>
                <w:szCs w:val="14"/>
                <w:color w:val="auto"/>
              </w:rPr>
              <w:t>Certification of Chief Executive Officer pursuant to 18 U.S.C. Section 1350</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32.2</w:t>
            </w:r>
          </w:p>
        </w:tc>
        <w:tc>
          <w:tcPr>
            <w:tcW w:w="5560" w:type="dxa"/>
            <w:vAlign w:val="bottom"/>
          </w:tcPr>
          <w:p>
            <w:pPr>
              <w:ind w:left="120"/>
              <w:spacing w:after="0"/>
              <w:rPr>
                <w:sz w:val="20"/>
                <w:szCs w:val="20"/>
                <w:color w:val="auto"/>
              </w:rPr>
            </w:pPr>
            <w:r>
              <w:rPr>
                <w:rFonts w:ascii="Arial" w:cs="Arial" w:eastAsia="Arial" w:hAnsi="Arial"/>
                <w:sz w:val="14"/>
                <w:szCs w:val="14"/>
                <w:color w:val="auto"/>
              </w:rPr>
              <w:t>Certification of Chief Financial Officer pursuant to 18 U.S.C. Section 1350</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4"/>
                <w:szCs w:val="14"/>
                <w:color w:val="auto"/>
              </w:rPr>
              <w:t>101.INS</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Instance Document - the instance document does not appear in the</w:t>
            </w: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5560" w:type="dxa"/>
            <w:vAlign w:val="bottom"/>
          </w:tcPr>
          <w:p>
            <w:pPr>
              <w:ind w:left="120"/>
              <w:spacing w:after="0" w:line="159" w:lineRule="exact"/>
              <w:rPr>
                <w:sz w:val="20"/>
                <w:szCs w:val="20"/>
                <w:color w:val="auto"/>
              </w:rPr>
            </w:pPr>
            <w:r>
              <w:rPr>
                <w:rFonts w:ascii="Arial" w:cs="Arial" w:eastAsia="Arial" w:hAnsi="Arial"/>
                <w:sz w:val="14"/>
                <w:szCs w:val="14"/>
                <w:color w:val="auto"/>
              </w:rPr>
              <w:t>Interactive Data File because its XBRL tags are embedded within the Inline XBRL</w:t>
            </w:r>
          </w:p>
        </w:tc>
        <w:tc>
          <w:tcPr>
            <w:tcW w:w="5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720" w:type="dxa"/>
            <w:vAlign w:val="bottom"/>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document.</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101.SCH</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Taxonomy Extension Schema Document</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101.CAL</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Taxonomy Extension Calculation Linkbase Document</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101.DEF</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Taxonomy Extension Definition Linkbase Document</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101.LAB</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Taxonomy Extension Label Linkbase Document</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20" w:type="dxa"/>
            <w:vAlign w:val="bottom"/>
          </w:tcPr>
          <w:p>
            <w:pPr>
              <w:spacing w:after="0"/>
              <w:rPr>
                <w:sz w:val="20"/>
                <w:szCs w:val="20"/>
                <w:color w:val="auto"/>
              </w:rPr>
            </w:pPr>
            <w:r>
              <w:rPr>
                <w:rFonts w:ascii="Arial" w:cs="Arial" w:eastAsia="Arial" w:hAnsi="Arial"/>
                <w:sz w:val="14"/>
                <w:szCs w:val="14"/>
                <w:color w:val="auto"/>
              </w:rPr>
              <w:t>101.PRE</w:t>
            </w:r>
          </w:p>
        </w:tc>
        <w:tc>
          <w:tcPr>
            <w:tcW w:w="5560" w:type="dxa"/>
            <w:vAlign w:val="bottom"/>
          </w:tcPr>
          <w:p>
            <w:pPr>
              <w:ind w:left="120"/>
              <w:spacing w:after="0"/>
              <w:rPr>
                <w:sz w:val="20"/>
                <w:szCs w:val="20"/>
                <w:color w:val="auto"/>
              </w:rPr>
            </w:pPr>
            <w:r>
              <w:rPr>
                <w:rFonts w:ascii="Arial" w:cs="Arial" w:eastAsia="Arial" w:hAnsi="Arial"/>
                <w:sz w:val="14"/>
                <w:szCs w:val="14"/>
                <w:color w:val="auto"/>
              </w:rPr>
              <w:t>Inline XBRL Taxonomy Extension Presentation Linkbase Document</w:t>
            </w:r>
          </w:p>
        </w:tc>
        <w:tc>
          <w:tcPr>
            <w:tcW w:w="5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560" w:type="dxa"/>
            <w:vAlign w:val="bottom"/>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7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5560" w:type="dxa"/>
            <w:vAlign w:val="bottom"/>
          </w:tcPr>
          <w:p>
            <w:pPr>
              <w:ind w:left="120"/>
              <w:spacing w:after="0"/>
              <w:rPr>
                <w:sz w:val="20"/>
                <w:szCs w:val="20"/>
                <w:color w:val="auto"/>
              </w:rPr>
            </w:pPr>
            <w:r>
              <w:rPr>
                <w:rFonts w:ascii="Arial" w:cs="Arial" w:eastAsia="Arial" w:hAnsi="Arial"/>
                <w:sz w:val="14"/>
                <w:szCs w:val="14"/>
                <w:color w:val="auto"/>
              </w:rPr>
              <w:t>Cover Page Interactive Data File (formatted as Inline XBRL and contained in Exhibit</w:t>
            </w: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60" w:type="dxa"/>
            <w:vAlign w:val="bottom"/>
            <w:vMerge w:val="restart"/>
          </w:tcPr>
          <w:p>
            <w:pPr>
              <w:jc w:val="center"/>
              <w:ind w:left="13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720" w:type="dxa"/>
            <w:vAlign w:val="bottom"/>
            <w:vMerge w:val="continue"/>
          </w:tcPr>
          <w:p>
            <w:pPr>
              <w:spacing w:after="0"/>
              <w:rPr>
                <w:sz w:val="16"/>
                <w:szCs w:val="16"/>
                <w:color w:val="auto"/>
              </w:rPr>
            </w:pPr>
          </w:p>
        </w:tc>
        <w:tc>
          <w:tcPr>
            <w:tcW w:w="5560" w:type="dxa"/>
            <w:vAlign w:val="bottom"/>
          </w:tcPr>
          <w:p>
            <w:pPr>
              <w:ind w:left="120"/>
              <w:spacing w:after="0"/>
              <w:rPr>
                <w:sz w:val="20"/>
                <w:szCs w:val="20"/>
                <w:color w:val="auto"/>
              </w:rPr>
            </w:pPr>
            <w:r>
              <w:rPr>
                <w:rFonts w:ascii="Arial" w:cs="Arial" w:eastAsia="Arial" w:hAnsi="Arial"/>
                <w:sz w:val="14"/>
                <w:szCs w:val="14"/>
                <w:color w:val="auto"/>
              </w:rPr>
              <w:t>101)</w:t>
            </w: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643255</wp:posOffset>
            </wp:positionV>
            <wp:extent cx="3238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740"/>
          </w:cols>
          <w:pgMar w:left="300" w:top="786" w:right="8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39"/>
        <w:spacing w:after="0"/>
        <w:rPr>
          <w:sz w:val="20"/>
          <w:szCs w:val="20"/>
          <w:color w:val="auto"/>
        </w:rPr>
      </w:pPr>
      <w:r>
        <w:rPr>
          <w:rFonts w:ascii="Arial" w:cs="Arial" w:eastAsia="Arial" w:hAnsi="Arial"/>
          <w:sz w:val="19"/>
          <w:szCs w:val="19"/>
          <w:color w:val="auto"/>
        </w:rPr>
        <w:t>128</w:t>
      </w:r>
    </w:p>
    <w:p>
      <w:pPr>
        <w:sectPr>
          <w:pgSz w:w="11880" w:h="15480" w:orient="portrait"/>
          <w:cols w:equalWidth="0" w:num="1">
            <w:col w:w="10740"/>
          </w:cols>
          <w:pgMar w:left="300" w:top="786" w:right="839" w:bottom="0" w:gutter="0" w:footer="0" w:header="0"/>
          <w:type w:val="continuous"/>
        </w:sectPr>
      </w:pPr>
    </w:p>
    <w:bookmarkStart w:id="136" w:name="page137"/>
    <w:bookmarkEnd w:id="136"/>
    <w:p>
      <w:pPr>
        <w:ind w:left="85" w:hanging="85"/>
        <w:spacing w:after="0"/>
        <w:tabs>
          <w:tab w:leader="none" w:pos="85" w:val="left"/>
        </w:tabs>
        <w:numPr>
          <w:ilvl w:val="0"/>
          <w:numId w:val="6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78" w:lineRule="exact"/>
        <w:rPr>
          <w:rFonts w:ascii="Arial" w:cs="Arial" w:eastAsia="Arial" w:hAnsi="Arial"/>
          <w:sz w:val="14"/>
          <w:szCs w:val="14"/>
          <w:color w:val="auto"/>
        </w:rPr>
      </w:pPr>
    </w:p>
    <w:p>
      <w:pPr>
        <w:ind w:left="145" w:hanging="145"/>
        <w:spacing w:after="0"/>
        <w:tabs>
          <w:tab w:leader="none" w:pos="145" w:val="left"/>
        </w:tabs>
        <w:numPr>
          <w:ilvl w:val="0"/>
          <w:numId w:val="7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4"/>
          <w:szCs w:val="14"/>
          <w:color w:val="auto"/>
        </w:rPr>
        <w:t>+ Indicates management contract or compensatory plan</w:t>
      </w:r>
    </w:p>
    <w:p>
      <w:pPr>
        <w:spacing w:after="0" w:line="23" w:lineRule="exact"/>
        <w:rPr>
          <w:sz w:val="20"/>
          <w:szCs w:val="20"/>
          <w:color w:val="auto"/>
        </w:rPr>
      </w:pPr>
    </w:p>
    <w:p>
      <w:pPr>
        <w:ind w:left="5" w:hanging="5"/>
        <w:spacing w:after="0" w:line="269" w:lineRule="auto"/>
        <w:tabs>
          <w:tab w:leader="none" w:pos="123" w:val="left"/>
        </w:tabs>
        <w:numPr>
          <w:ilvl w:val="0"/>
          <w:numId w:val="71"/>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because the omitted information (i) is not material and (ii) is treated as confidential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435610</wp:posOffset>
            </wp:positionV>
            <wp:extent cx="3238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1085"/>
          </w:cols>
          <w:pgMar w:left="295" w:top="926"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4"/>
        <w:spacing w:after="0"/>
        <w:rPr>
          <w:sz w:val="20"/>
          <w:szCs w:val="20"/>
          <w:color w:val="auto"/>
        </w:rPr>
      </w:pPr>
      <w:r>
        <w:rPr>
          <w:rFonts w:ascii="Arial" w:cs="Arial" w:eastAsia="Arial" w:hAnsi="Arial"/>
          <w:sz w:val="19"/>
          <w:szCs w:val="19"/>
          <w:color w:val="auto"/>
        </w:rPr>
        <w:t>129</w:t>
      </w:r>
    </w:p>
    <w:p>
      <w:pPr>
        <w:sectPr>
          <w:pgSz w:w="11880" w:h="15480" w:orient="portrait"/>
          <w:cols w:equalWidth="0" w:num="1">
            <w:col w:w="11085"/>
          </w:cols>
          <w:pgMar w:left="295" w:top="926" w:right="499" w:bottom="0" w:gutter="0" w:footer="0" w:header="0"/>
          <w:type w:val="continuous"/>
        </w:sectPr>
      </w:pPr>
    </w:p>
    <w:bookmarkStart w:id="137" w:name="page138"/>
    <w:bookmarkEnd w:id="137"/>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462915</wp:posOffset>
            </wp:positionV>
            <wp:extent cx="3238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880" w:h="15480" w:orient="portrait"/>
          <w:cols w:equalWidth="0" w:num="1">
            <w:col w:w="10139"/>
          </w:cols>
          <w:pgMar w:left="30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130</w:t>
      </w:r>
    </w:p>
    <w:p>
      <w:pPr>
        <w:sectPr>
          <w:pgSz w:w="11880" w:h="15480" w:orient="portrait"/>
          <w:cols w:equalWidth="0" w:num="1">
            <w:col w:w="10139"/>
          </w:cols>
          <w:pgMar w:left="300" w:top="1440" w:right="144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right="400" w:firstLine="382"/>
        <w:spacing w:after="0" w:line="290" w:lineRule="auto"/>
        <w:rPr>
          <w:sz w:val="20"/>
          <w:szCs w:val="20"/>
          <w:color w:val="auto"/>
        </w:rPr>
      </w:pPr>
      <w:r>
        <w:rPr>
          <w:rFonts w:ascii="Arial" w:cs="Arial" w:eastAsia="Arial" w:hAnsi="Arial"/>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7680" w:type="dxa"/>
            <w:vAlign w:val="bottom"/>
            <w:gridSpan w:val="2"/>
          </w:tcPr>
          <w:p>
            <w:pPr>
              <w:ind w:left="2360"/>
              <w:spacing w:after="0"/>
              <w:rPr>
                <w:sz w:val="20"/>
                <w:szCs w:val="20"/>
                <w:color w:val="auto"/>
              </w:rPr>
            </w:pPr>
            <w:r>
              <w:rPr>
                <w:rFonts w:ascii="Arial" w:cs="Arial" w:eastAsia="Arial" w:hAnsi="Arial"/>
                <w:sz w:val="14"/>
                <w:szCs w:val="14"/>
                <w:b w:val="1"/>
                <w:bCs w:val="1"/>
                <w:color w:val="auto"/>
              </w:rPr>
              <w:t>RENT THE RUNWAY, INC.</w:t>
            </w:r>
          </w:p>
        </w:tc>
      </w:tr>
      <w:tr>
        <w:trPr>
          <w:trHeight w:val="363"/>
        </w:trPr>
        <w:tc>
          <w:tcPr>
            <w:tcW w:w="3600" w:type="dxa"/>
            <w:vAlign w:val="bottom"/>
          </w:tcPr>
          <w:p>
            <w:pPr>
              <w:spacing w:after="0"/>
              <w:rPr>
                <w:sz w:val="20"/>
                <w:szCs w:val="20"/>
                <w:color w:val="auto"/>
              </w:rPr>
            </w:pPr>
            <w:r>
              <w:rPr>
                <w:rFonts w:ascii="Arial" w:cs="Arial" w:eastAsia="Arial" w:hAnsi="Arial"/>
                <w:sz w:val="14"/>
                <w:szCs w:val="14"/>
                <w:color w:val="auto"/>
              </w:rPr>
              <w:t>Date: April 13, 2023</w:t>
            </w:r>
          </w:p>
        </w:tc>
        <w:tc>
          <w:tcPr>
            <w:tcW w:w="7680" w:type="dxa"/>
            <w:vAlign w:val="bottom"/>
            <w:gridSpan w:val="2"/>
          </w:tcPr>
          <w:p>
            <w:pPr>
              <w:ind w:left="2360"/>
              <w:spacing w:after="0"/>
              <w:rPr>
                <w:sz w:val="20"/>
                <w:szCs w:val="20"/>
                <w:color w:val="auto"/>
              </w:rPr>
            </w:pPr>
            <w:r>
              <w:rPr>
                <w:rFonts w:ascii="Arial" w:cs="Arial" w:eastAsia="Arial" w:hAnsi="Arial"/>
                <w:sz w:val="14"/>
                <w:szCs w:val="14"/>
                <w:color w:val="auto"/>
              </w:rPr>
              <w:t>By:    /s/ Jennifer Y. Hyman</w:t>
            </w:r>
          </w:p>
        </w:tc>
      </w:tr>
      <w:tr>
        <w:trPr>
          <w:trHeight w:val="23"/>
        </w:trPr>
        <w:tc>
          <w:tcPr>
            <w:tcW w:w="36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177"/>
        </w:trPr>
        <w:tc>
          <w:tcPr>
            <w:tcW w:w="36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Jennifer Y. Hyman</w:t>
            </w:r>
          </w:p>
        </w:tc>
      </w:tr>
      <w:tr>
        <w:trPr>
          <w:trHeight w:val="194"/>
        </w:trPr>
        <w:tc>
          <w:tcPr>
            <w:tcW w:w="36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Arial" w:cs="Arial" w:eastAsia="Arial" w:hAnsi="Arial"/>
                <w:sz w:val="14"/>
                <w:szCs w:val="14"/>
                <w:color w:val="auto"/>
              </w:rPr>
              <w:t>Chief Executive Officer</w:t>
            </w:r>
          </w:p>
        </w:tc>
      </w:tr>
    </w:tbl>
    <w:p>
      <w:pPr>
        <w:spacing w:after="0" w:line="164" w:lineRule="exact"/>
        <w:rPr>
          <w:sz w:val="20"/>
          <w:szCs w:val="20"/>
          <w:color w:val="auto"/>
        </w:rPr>
      </w:pPr>
    </w:p>
    <w:p>
      <w:pPr>
        <w:ind w:right="500"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0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83"/>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Jennifer Y. Hyman</w:t>
            </w:r>
          </w:p>
        </w:tc>
        <w:tc>
          <w:tcPr>
            <w:tcW w:w="80" w:type="dxa"/>
            <w:vAlign w:val="bottom"/>
          </w:tcPr>
          <w:p>
            <w:pPr>
              <w:spacing w:after="0"/>
              <w:rPr>
                <w:sz w:val="15"/>
                <w:szCs w:val="15"/>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 xml:space="preserve">Chief Executive Officer and Director </w:t>
            </w:r>
            <w:r>
              <w:rPr>
                <w:rFonts w:ascii="Arial" w:cs="Arial" w:eastAsia="Arial" w:hAnsi="Arial"/>
                <w:sz w:val="14"/>
                <w:szCs w:val="14"/>
                <w:i w:val="1"/>
                <w:iCs w:val="1"/>
                <w:color w:val="auto"/>
              </w:rPr>
              <w:t>(Principal Executive Officer)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8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8"/>
              </w:rPr>
              <w:t>Jennifer Y. Hyman</w:t>
            </w:r>
          </w:p>
        </w:tc>
        <w:tc>
          <w:tcPr>
            <w:tcW w:w="80" w:type="dxa"/>
            <w:vAlign w:val="bottom"/>
          </w:tcPr>
          <w:p>
            <w:pPr>
              <w:spacing w:after="0"/>
              <w:rPr>
                <w:sz w:val="7"/>
                <w:szCs w:val="7"/>
                <w:color w:val="auto"/>
              </w:rPr>
            </w:pPr>
          </w:p>
        </w:tc>
        <w:tc>
          <w:tcPr>
            <w:tcW w:w="5140" w:type="dxa"/>
            <w:vAlign w:val="bottom"/>
            <w:gridSpan w:val="2"/>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3300" w:type="dxa"/>
            <w:vAlign w:val="bottom"/>
          </w:tcPr>
          <w:p>
            <w:pPr>
              <w:jc w:val="center"/>
              <w:spacing w:after="0"/>
              <w:rPr>
                <w:sz w:val="20"/>
                <w:szCs w:val="20"/>
                <w:color w:val="auto"/>
              </w:rPr>
            </w:pPr>
            <w:r>
              <w:rPr>
                <w:rFonts w:ascii="Arial" w:cs="Arial" w:eastAsia="Arial" w:hAnsi="Arial"/>
                <w:sz w:val="14"/>
                <w:szCs w:val="14"/>
                <w:color w:val="auto"/>
              </w:rPr>
              <w:t>/s/ Scarlett O’Sullivan</w:t>
            </w:r>
          </w:p>
        </w:tc>
        <w:tc>
          <w:tcPr>
            <w:tcW w:w="80" w:type="dxa"/>
            <w:vAlign w:val="bottom"/>
          </w:tcPr>
          <w:p>
            <w:pPr>
              <w:spacing w:after="0"/>
              <w:rPr>
                <w:sz w:val="20"/>
                <w:szCs w:val="20"/>
                <w:color w:val="auto"/>
              </w:rPr>
            </w:pP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 xml:space="preserve">Chief Financial Officer </w:t>
            </w:r>
            <w:r>
              <w:rPr>
                <w:rFonts w:ascii="Arial" w:cs="Arial" w:eastAsia="Arial" w:hAnsi="Arial"/>
                <w:sz w:val="14"/>
                <w:szCs w:val="14"/>
                <w:i w:val="1"/>
                <w:iCs w:val="1"/>
                <w:color w:val="auto"/>
              </w:rPr>
              <w:t>(Principal Financial Officer and Principal Accounting</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36"/>
        </w:trPr>
        <w:tc>
          <w:tcPr>
            <w:tcW w:w="3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Officer)</w:t>
            </w:r>
          </w:p>
        </w:tc>
        <w:tc>
          <w:tcPr>
            <w:tcW w:w="2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9"/>
              </w:rPr>
              <w:t>Scarlett O’Sullivan</w:t>
            </w:r>
          </w:p>
        </w:tc>
        <w:tc>
          <w:tcPr>
            <w:tcW w:w="80" w:type="dxa"/>
            <w:vAlign w:val="bottom"/>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140" w:type="dxa"/>
            <w:vAlign w:val="bottom"/>
            <w:gridSpan w:val="2"/>
            <w:vMerge w:val="continue"/>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Tim Bixby</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rPr>
              <w:t>Tim Bixby</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Jennifer Fleiss</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9"/>
              </w:rPr>
              <w:t>Jennifer Fleiss</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w w:val="99"/>
              </w:rPr>
              <w:t>/s/ Scott Friend</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rPr>
              <w:t>Scott Friend</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Melanie Harris</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9"/>
              </w:rPr>
              <w:t>Melanie Harris</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w w:val="98"/>
              </w:rPr>
              <w:t>/s/ Beth Kaplan</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rPr>
              <w:t>Beth Kaplan</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Dan Nova</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4"/>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9"/>
              </w:rPr>
              <w:t>Dan Nova</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Gwyneth Paltrow</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2"/>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rPr>
              <w:t>Gwyneth Paltrow</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3300" w:type="dxa"/>
            <w:vAlign w:val="bottom"/>
          </w:tcPr>
          <w:p>
            <w:pPr>
              <w:jc w:val="center"/>
              <w:spacing w:after="0"/>
              <w:rPr>
                <w:sz w:val="20"/>
                <w:szCs w:val="20"/>
                <w:color w:val="auto"/>
              </w:rPr>
            </w:pPr>
            <w:r>
              <w:rPr>
                <w:rFonts w:ascii="Arial" w:cs="Arial" w:eastAsia="Arial" w:hAnsi="Arial"/>
                <w:sz w:val="14"/>
                <w:szCs w:val="14"/>
                <w:color w:val="auto"/>
              </w:rPr>
              <w:t>/s/ Carley Roney</w:t>
            </w:r>
          </w:p>
        </w:tc>
        <w:tc>
          <w:tcPr>
            <w:tcW w:w="80" w:type="dxa"/>
            <w:vAlign w:val="bottom"/>
          </w:tcPr>
          <w:p>
            <w:pPr>
              <w:spacing w:after="0"/>
              <w:rPr>
                <w:sz w:val="21"/>
                <w:szCs w:val="21"/>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rPr>
              <w:t>Carley Roney</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3300" w:type="dxa"/>
            <w:vAlign w:val="bottom"/>
          </w:tcPr>
          <w:p>
            <w:pPr>
              <w:jc w:val="center"/>
              <w:spacing w:after="0"/>
              <w:rPr>
                <w:sz w:val="20"/>
                <w:szCs w:val="20"/>
                <w:color w:val="auto"/>
              </w:rPr>
            </w:pPr>
            <w:r>
              <w:rPr>
                <w:rFonts w:ascii="Arial" w:cs="Arial" w:eastAsia="Arial" w:hAnsi="Arial"/>
                <w:sz w:val="14"/>
                <w:szCs w:val="14"/>
                <w:color w:val="auto"/>
              </w:rPr>
              <w:t>/s/ Mike Roth</w:t>
            </w:r>
          </w:p>
        </w:tc>
        <w:tc>
          <w:tcPr>
            <w:tcW w:w="80" w:type="dxa"/>
            <w:vAlign w:val="bottom"/>
          </w:tcPr>
          <w:p>
            <w:pPr>
              <w:spacing w:after="0"/>
              <w:rPr>
                <w:sz w:val="24"/>
                <w:szCs w:val="24"/>
                <w:color w:val="auto"/>
              </w:rPr>
            </w:pPr>
          </w:p>
        </w:tc>
        <w:tc>
          <w:tcPr>
            <w:tcW w:w="5140" w:type="dxa"/>
            <w:vAlign w:val="bottom"/>
            <w:gridSpan w:val="2"/>
            <w:vMerge w:val="restart"/>
          </w:tcPr>
          <w:p>
            <w:pPr>
              <w:ind w:left="20"/>
              <w:spacing w:after="0"/>
              <w:rPr>
                <w:sz w:val="20"/>
                <w:szCs w:val="20"/>
                <w:color w:val="auto"/>
              </w:rPr>
            </w:pPr>
            <w:r>
              <w:rPr>
                <w:rFonts w:ascii="Arial" w:cs="Arial" w:eastAsia="Arial" w:hAnsi="Arial"/>
                <w:sz w:val="14"/>
                <w:szCs w:val="14"/>
                <w:color w:val="auto"/>
              </w:rPr>
              <w:t>Director</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April 13, 2023</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5140" w:type="dxa"/>
            <w:vAlign w:val="bottom"/>
            <w:gridSpan w:val="2"/>
            <w:vMerge w:val="continue"/>
          </w:tcPr>
          <w:p>
            <w:pPr>
              <w:spacing w:after="0"/>
              <w:rPr>
                <w:sz w:val="2"/>
                <w:szCs w:val="2"/>
                <w:color w:val="auto"/>
              </w:rPr>
            </w:pPr>
          </w:p>
        </w:tc>
        <w:tc>
          <w:tcPr>
            <w:tcW w:w="2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300" w:type="dxa"/>
            <w:vAlign w:val="bottom"/>
            <w:vMerge w:val="restart"/>
          </w:tcPr>
          <w:p>
            <w:pPr>
              <w:jc w:val="center"/>
              <w:spacing w:after="0"/>
              <w:rPr>
                <w:sz w:val="20"/>
                <w:szCs w:val="20"/>
                <w:color w:val="auto"/>
              </w:rPr>
            </w:pPr>
            <w:r>
              <w:rPr>
                <w:rFonts w:ascii="Arial" w:cs="Arial" w:eastAsia="Arial" w:hAnsi="Arial"/>
                <w:sz w:val="14"/>
                <w:szCs w:val="14"/>
                <w:color w:val="auto"/>
                <w:w w:val="98"/>
              </w:rPr>
              <w:t>Mike Roth</w:t>
            </w:r>
          </w:p>
        </w:tc>
        <w:tc>
          <w:tcPr>
            <w:tcW w:w="80" w:type="dxa"/>
            <w:vAlign w:val="bottom"/>
            <w:vMerge w:val="continue"/>
          </w:tcPr>
          <w:p>
            <w:pPr>
              <w:spacing w:after="0"/>
              <w:rPr>
                <w:sz w:val="5"/>
                <w:szCs w:val="5"/>
                <w:color w:val="auto"/>
              </w:rPr>
            </w:pPr>
          </w:p>
        </w:tc>
        <w:tc>
          <w:tcPr>
            <w:tcW w:w="5140" w:type="dxa"/>
            <w:vAlign w:val="bottom"/>
            <w:gridSpan w:val="2"/>
            <w:vMerge w:val="continue"/>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33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1280"/>
          </w:cols>
          <w:pgMar w:left="300" w:top="101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131</w:t>
      </w:r>
    </w:p>
    <w:p>
      <w:pPr>
        <w:sectPr>
          <w:pgSz w:w="11880" w:h="15480" w:orient="portrait"/>
          <w:cols w:equalWidth="0" w:num="1">
            <w:col w:w="11280"/>
          </w:cols>
          <w:pgMar w:left="300" w:top="1012" w:right="299" w:bottom="0" w:gutter="0" w:footer="0" w:header="0"/>
          <w:type w:val="continuous"/>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42" w:name="page143"/>
    <w:bookmarkEnd w:id="142"/>
    <w:p>
      <w:pPr>
        <w:ind w:right="580"/>
        <w:spacing w:after="0" w:line="416" w:lineRule="auto"/>
        <w:rPr>
          <w:sz w:val="20"/>
          <w:szCs w:val="20"/>
          <w:color w:val="auto"/>
        </w:rPr>
      </w:pPr>
      <w:r>
        <w:rPr>
          <w:rFonts w:ascii="Arial" w:cs="Arial" w:eastAsia="Arial" w:hAnsi="Arial"/>
          <w:sz w:val="18"/>
          <w:szCs w:val="18"/>
          <w:b w:val="1"/>
          <w:bCs w:val="1"/>
          <w:color w:val="00000A"/>
        </w:rPr>
        <w:t>RENT THE RUNWAY, INC. CORPORATE INFORMATION</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0A"/>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15875</wp:posOffset>
                </wp:positionH>
                <wp:positionV relativeFrom="paragraph">
                  <wp:posOffset>48895</wp:posOffset>
                </wp:positionV>
                <wp:extent cx="141922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9225" cy="4763"/>
                        </a:xfrm>
                        <a:prstGeom prst="line">
                          <a:avLst/>
                        </a:prstGeom>
                        <a:solidFill>
                          <a:srgbClr val="FFFFFF"/>
                        </a:solidFill>
                        <a:ln w="12700">
                          <a:solidFill>
                            <a:srgbClr val="E8B0DA"/>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5pt,3.85pt" to="113pt,3.85pt" o:allowincell="f" strokecolor="#E8B0DA" strokeweight="1pt"/>
            </w:pict>
          </mc:Fallback>
        </mc:AlternateContent>
      </w:r>
    </w:p>
    <w:p>
      <w:pPr>
        <w:spacing w:after="0" w:line="296"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Jennifer Y. Hyman</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7"/>
          <w:szCs w:val="17"/>
          <w:color w:val="00000A"/>
        </w:rPr>
        <w:t>Co-Founder, Chief Executive Officer and</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Chair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Scott Friend</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Lead Independent Director</w:t>
      </w:r>
    </w:p>
    <w:p>
      <w:pPr>
        <w:spacing w:after="0" w:line="81" w:lineRule="exact"/>
        <w:rPr>
          <w:sz w:val="20"/>
          <w:szCs w:val="20"/>
          <w:color w:val="auto"/>
        </w:rPr>
      </w:pPr>
    </w:p>
    <w:p>
      <w:pPr>
        <w:ind w:left="40"/>
        <w:spacing w:after="0"/>
        <w:rPr>
          <w:sz w:val="20"/>
          <w:szCs w:val="20"/>
          <w:color w:val="auto"/>
        </w:rPr>
      </w:pPr>
      <w:r>
        <w:rPr>
          <w:rFonts w:ascii="PMingLiU" w:cs="PMingLiU" w:eastAsia="PMingLiU" w:hAnsi="PMingLiU"/>
          <w:sz w:val="18"/>
          <w:szCs w:val="18"/>
          <w:color w:val="00000A"/>
        </w:rPr>
        <w:t>3DUWQHU%DLQ&amp;DSLWDO9HQWXUHV</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Tim Bixby</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Director</w:t>
      </w:r>
    </w:p>
    <w:p>
      <w:pPr>
        <w:spacing w:after="0" w:line="85" w:lineRule="exact"/>
        <w:rPr>
          <w:sz w:val="20"/>
          <w:szCs w:val="20"/>
          <w:color w:val="auto"/>
        </w:rPr>
      </w:pPr>
    </w:p>
    <w:p>
      <w:pPr>
        <w:ind w:left="40"/>
        <w:spacing w:after="0"/>
        <w:rPr>
          <w:sz w:val="20"/>
          <w:szCs w:val="20"/>
          <w:color w:val="auto"/>
        </w:rPr>
      </w:pPr>
      <w:r>
        <w:rPr>
          <w:rFonts w:ascii="PMingLiU" w:cs="PMingLiU" w:eastAsia="PMingLiU" w:hAnsi="PMingLiU"/>
          <w:sz w:val="17"/>
          <w:szCs w:val="17"/>
          <w:color w:val="00000A"/>
        </w:rPr>
        <w:t>&amp;KLHI)LQDQFLDO2IILFHU/HPRQDGH,QF</w:t>
      </w:r>
    </w:p>
    <w:p>
      <w:pPr>
        <w:spacing w:after="0" w:line="185" w:lineRule="exact"/>
        <w:rPr>
          <w:sz w:val="20"/>
          <w:szCs w:val="20"/>
          <w:color w:val="auto"/>
        </w:rPr>
      </w:pPr>
    </w:p>
    <w:p>
      <w:pPr>
        <w:ind w:left="20" w:right="1220"/>
        <w:spacing w:after="0" w:line="327" w:lineRule="auto"/>
        <w:rPr>
          <w:sz w:val="20"/>
          <w:szCs w:val="20"/>
          <w:color w:val="auto"/>
        </w:rPr>
      </w:pPr>
      <w:r>
        <w:rPr>
          <w:rFonts w:ascii="Arial" w:cs="Arial" w:eastAsia="Arial" w:hAnsi="Arial"/>
          <w:sz w:val="18"/>
          <w:szCs w:val="18"/>
          <w:color w:val="00000A"/>
        </w:rPr>
        <w:t>Jennifer Fleiss Co-Founder and Director</w:t>
      </w:r>
    </w:p>
    <w:p>
      <w:pPr>
        <w:spacing w:after="0" w:line="1" w:lineRule="exact"/>
        <w:rPr>
          <w:sz w:val="20"/>
          <w:szCs w:val="20"/>
          <w:color w:val="auto"/>
        </w:rPr>
      </w:pPr>
    </w:p>
    <w:p>
      <w:pPr>
        <w:ind w:left="20"/>
        <w:spacing w:after="0"/>
        <w:rPr>
          <w:sz w:val="20"/>
          <w:szCs w:val="20"/>
          <w:color w:val="auto"/>
        </w:rPr>
      </w:pPr>
      <w:r>
        <w:rPr>
          <w:rFonts w:ascii="PMingLiU" w:cs="PMingLiU" w:eastAsia="PMingLiU" w:hAnsi="PMingLiU"/>
          <w:sz w:val="16"/>
          <w:szCs w:val="16"/>
          <w:color w:val="auto"/>
        </w:rPr>
        <w:t>9HQWXUH3DUWQHU9ROLWLRQ&amp;DSLWDO</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Melanie Harris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Director</w:t>
      </w:r>
    </w:p>
    <w:p>
      <w:pPr>
        <w:spacing w:after="0" w:line="86" w:lineRule="exact"/>
        <w:rPr>
          <w:sz w:val="20"/>
          <w:szCs w:val="20"/>
          <w:color w:val="auto"/>
        </w:rPr>
      </w:pPr>
    </w:p>
    <w:p>
      <w:pPr>
        <w:ind w:left="20" w:right="320"/>
        <w:spacing w:after="0" w:line="364" w:lineRule="auto"/>
        <w:rPr>
          <w:sz w:val="20"/>
          <w:szCs w:val="20"/>
          <w:color w:val="auto"/>
        </w:rPr>
      </w:pPr>
      <w:r>
        <w:rPr>
          <w:rFonts w:ascii="PMingLiU" w:cs="PMingLiU" w:eastAsia="PMingLiU" w:hAnsi="PMingLiU"/>
          <w:sz w:val="16"/>
          <w:szCs w:val="16"/>
          <w:color w:val="auto"/>
        </w:rPr>
        <w:t>9LFH3UHVLGHQW *HQHUDO0DQDJHU -RUGDQ%UDQG1LNH,QF</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Beth Kaplan</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Director</w:t>
      </w:r>
    </w:p>
    <w:p>
      <w:pPr>
        <w:spacing w:after="0" w:line="78" w:lineRule="exact"/>
        <w:rPr>
          <w:sz w:val="20"/>
          <w:szCs w:val="20"/>
          <w:color w:val="auto"/>
        </w:rPr>
      </w:pPr>
    </w:p>
    <w:p>
      <w:pPr>
        <w:ind w:left="40"/>
        <w:spacing w:after="0"/>
        <w:rPr>
          <w:sz w:val="20"/>
          <w:szCs w:val="20"/>
          <w:color w:val="auto"/>
        </w:rPr>
      </w:pPr>
      <w:r>
        <w:rPr>
          <w:rFonts w:ascii="PMingLiU" w:cs="PMingLiU" w:eastAsia="PMingLiU" w:hAnsi="PMingLiU"/>
          <w:sz w:val="18"/>
          <w:szCs w:val="18"/>
          <w:color w:val="auto"/>
        </w:rPr>
        <w:t>0DQDJLQJ0HPEHU$[FHO3DUWQHUV//&amp;</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Emil Michael</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Director</w:t>
      </w:r>
    </w:p>
    <w:p>
      <w:pPr>
        <w:spacing w:after="0" w:line="85" w:lineRule="exact"/>
        <w:rPr>
          <w:sz w:val="20"/>
          <w:szCs w:val="20"/>
          <w:color w:val="auto"/>
        </w:rPr>
      </w:pPr>
    </w:p>
    <w:p>
      <w:pPr>
        <w:ind w:left="20" w:right="140"/>
        <w:spacing w:after="0" w:line="326" w:lineRule="auto"/>
        <w:rPr>
          <w:sz w:val="20"/>
          <w:szCs w:val="20"/>
          <w:color w:val="auto"/>
        </w:rPr>
      </w:pPr>
      <w:r>
        <w:rPr>
          <w:rFonts w:ascii="PMingLiU" w:cs="PMingLiU" w:eastAsia="PMingLiU" w:hAnsi="PMingLiU"/>
          <w:sz w:val="17"/>
          <w:szCs w:val="17"/>
          <w:color w:val="auto"/>
        </w:rPr>
        <w:t>&amp;KLHI([HFXWLYH2IILFHUDQG&amp;KDLU0 (QWHUSULVHV//&amp;</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Dan Nova</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Director</w:t>
      </w:r>
    </w:p>
    <w:p>
      <w:pPr>
        <w:spacing w:after="0" w:line="85" w:lineRule="exact"/>
        <w:rPr>
          <w:sz w:val="20"/>
          <w:szCs w:val="20"/>
          <w:color w:val="auto"/>
        </w:rPr>
      </w:pPr>
    </w:p>
    <w:p>
      <w:pPr>
        <w:ind w:left="40" w:right="440"/>
        <w:spacing w:after="0" w:line="448" w:lineRule="auto"/>
        <w:rPr>
          <w:sz w:val="20"/>
          <w:szCs w:val="20"/>
          <w:color w:val="auto"/>
        </w:rPr>
      </w:pPr>
      <w:r>
        <w:rPr>
          <w:rFonts w:ascii="PMingLiU" w:cs="PMingLiU" w:eastAsia="PMingLiU" w:hAnsi="PMingLiU"/>
          <w:sz w:val="14"/>
          <w:szCs w:val="14"/>
          <w:color w:val="auto"/>
        </w:rPr>
        <w:t>*HQHUDO3DUWQHU+LJKODQG&amp;DSLWDO 3DUWQHUV</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Gwyneth Paltrow</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Director</w:t>
      </w:r>
    </w:p>
    <w:p>
      <w:pPr>
        <w:spacing w:after="0" w:line="85" w:lineRule="exact"/>
        <w:rPr>
          <w:sz w:val="20"/>
          <w:szCs w:val="20"/>
          <w:color w:val="auto"/>
        </w:rPr>
      </w:pPr>
    </w:p>
    <w:p>
      <w:pPr>
        <w:ind w:left="40" w:right="200"/>
        <w:spacing w:after="0" w:line="362" w:lineRule="auto"/>
        <w:rPr>
          <w:sz w:val="20"/>
          <w:szCs w:val="20"/>
          <w:color w:val="auto"/>
        </w:rPr>
      </w:pPr>
      <w:r>
        <w:rPr>
          <w:rFonts w:ascii="PMingLiU" w:cs="PMingLiU" w:eastAsia="PMingLiU" w:hAnsi="PMingLiU"/>
          <w:sz w:val="16"/>
          <w:szCs w:val="16"/>
          <w:color w:val="auto"/>
        </w:rPr>
        <w:t>)RXQGHUDQG&amp;KLHI([HFXWLYH2IILFHU *RRS,QF</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Carley Roney</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00000A"/>
        </w:rPr>
        <w:t>Director</w:t>
      </w:r>
    </w:p>
    <w:p>
      <w:pPr>
        <w:spacing w:after="0" w:line="86" w:lineRule="exact"/>
        <w:rPr>
          <w:sz w:val="20"/>
          <w:szCs w:val="20"/>
          <w:color w:val="auto"/>
        </w:rPr>
      </w:pPr>
    </w:p>
    <w:p>
      <w:pPr>
        <w:ind w:left="20" w:right="80"/>
        <w:spacing w:after="0" w:line="404" w:lineRule="auto"/>
        <w:rPr>
          <w:sz w:val="20"/>
          <w:szCs w:val="20"/>
          <w:color w:val="auto"/>
        </w:rPr>
      </w:pPr>
      <w:r>
        <w:rPr>
          <w:rFonts w:ascii="PMingLiU" w:cs="PMingLiU" w:eastAsia="PMingLiU" w:hAnsi="PMingLiU"/>
          <w:sz w:val="15"/>
          <w:szCs w:val="15"/>
          <w:color w:val="auto"/>
        </w:rPr>
        <w:t>&amp;R)RXQGHUDQGIRUPHU&amp;KLHI&amp;UHDWLYH 2IILFHU;2*URXS</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Mike Roth</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00000A"/>
        </w:rPr>
        <w:t>Director</w:t>
      </w:r>
    </w:p>
    <w:p>
      <w:pPr>
        <w:spacing w:after="0" w:line="78" w:lineRule="exact"/>
        <w:rPr>
          <w:sz w:val="20"/>
          <w:szCs w:val="20"/>
          <w:color w:val="auto"/>
        </w:rPr>
      </w:pPr>
    </w:p>
    <w:p>
      <w:pPr>
        <w:ind w:left="40"/>
        <w:spacing w:after="0"/>
        <w:rPr>
          <w:sz w:val="20"/>
          <w:szCs w:val="20"/>
          <w:color w:val="auto"/>
        </w:rPr>
      </w:pPr>
      <w:r>
        <w:rPr>
          <w:rFonts w:ascii="PMingLiU" w:cs="PMingLiU" w:eastAsia="PMingLiU" w:hAnsi="PMingLiU"/>
          <w:sz w:val="18"/>
          <w:szCs w:val="18"/>
          <w:color w:val="00000A"/>
        </w:rPr>
        <w:t>)RUPHU9LFH3UHVLGHQWRI*OREDO</w:t>
      </w:r>
    </w:p>
    <w:p>
      <w:pPr>
        <w:spacing w:after="0" w:line="63" w:lineRule="exact"/>
        <w:rPr>
          <w:sz w:val="20"/>
          <w:szCs w:val="20"/>
          <w:color w:val="auto"/>
        </w:rPr>
      </w:pPr>
    </w:p>
    <w:p>
      <w:pPr>
        <w:ind w:left="40"/>
        <w:spacing w:after="0"/>
        <w:rPr>
          <w:sz w:val="20"/>
          <w:szCs w:val="20"/>
          <w:color w:val="auto"/>
        </w:rPr>
      </w:pPr>
      <w:r>
        <w:rPr>
          <w:rFonts w:ascii="PMingLiU" w:cs="PMingLiU" w:eastAsia="PMingLiU" w:hAnsi="PMingLiU"/>
          <w:sz w:val="16"/>
          <w:szCs w:val="16"/>
          <w:color w:val="00000A"/>
        </w:rPr>
        <w:t>&amp;XVWRPHU)XOILOOPHQW2SHUDWLRQV </w:t>
      </w:r>
    </w:p>
    <w:p>
      <w:pPr>
        <w:spacing w:after="0" w:line="74" w:lineRule="exact"/>
        <w:rPr>
          <w:sz w:val="20"/>
          <w:szCs w:val="20"/>
          <w:color w:val="auto"/>
        </w:rPr>
      </w:pPr>
    </w:p>
    <w:p>
      <w:pPr>
        <w:ind w:left="40"/>
        <w:spacing w:after="0"/>
        <w:rPr>
          <w:sz w:val="20"/>
          <w:szCs w:val="20"/>
          <w:color w:val="auto"/>
        </w:rPr>
      </w:pPr>
      <w:r>
        <w:rPr>
          <w:rFonts w:ascii="PMingLiU" w:cs="PMingLiU" w:eastAsia="PMingLiU" w:hAnsi="PMingLiU"/>
          <w:sz w:val="18"/>
          <w:szCs w:val="18"/>
          <w:color w:val="00000A"/>
        </w:rPr>
        <w:t>7UDQVSRUWDWLRQ$PD]RQFRP,QF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000A"/>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8255</wp:posOffset>
                </wp:positionH>
                <wp:positionV relativeFrom="paragraph">
                  <wp:posOffset>48895</wp:posOffset>
                </wp:positionV>
                <wp:extent cx="136207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12700">
                          <a:solidFill>
                            <a:srgbClr val="E8B0DA"/>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5pt,3.85pt" to="107.9pt,3.85pt" o:allowincell="f" strokecolor="#E8B0DA" strokeweight="1pt"/>
            </w:pict>
          </mc:Fallback>
        </mc:AlternateConten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00000A"/>
        </w:rPr>
        <w:t>Jennifer Y. Hyman</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00000A"/>
        </w:rPr>
        <w:t>Co-Founder, Chief Executive Officer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00000A"/>
        </w:rPr>
        <w:t>and Chair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00000A"/>
        </w:rPr>
        <w:t>Sid Thacker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000A"/>
        </w:rPr>
        <w:t>Chief Financial Officer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00000A"/>
        </w:rPr>
        <w:t>Anushka Salinas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00000A"/>
        </w:rPr>
        <w:t xml:space="preserve">President </w:t>
      </w:r>
      <w:r>
        <w:rPr>
          <w:sz w:val="1"/>
          <w:szCs w:val="1"/>
          <w:color w:val="auto"/>
        </w:rPr>
        <w:drawing>
          <wp:inline distT="0" distB="0" distL="0" distR="0">
            <wp:extent cx="1040130" cy="13271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7">
                      <a:extLst>
                        <a:ext uri="{28A0092B-C50C-407E-A947-70E740481C1C}"/>
                      </a:extLst>
                    </a:blip>
                    <a:srcRect/>
                    <a:stretch>
                      <a:fillRect/>
                    </a:stretch>
                  </pic:blipFill>
                  <pic:spPr bwMode="auto">
                    <a:xfrm>
                      <a:off x="0" y="0"/>
                      <a:ext cx="1040130" cy="1327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27305</wp:posOffset>
            </wp:positionV>
            <wp:extent cx="383540" cy="135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8">
                      <a:extLst>
                        <a:ext uri="{28A0092B-C50C-407E-A947-70E740481C1C}"/>
                      </a:extLst>
                    </a:blip>
                    <a:srcRect/>
                    <a:stretch>
                      <a:fillRect/>
                    </a:stretch>
                  </pic:blipFill>
                  <pic:spPr bwMode="auto">
                    <a:xfrm>
                      <a:off x="0" y="0"/>
                      <a:ext cx="383540" cy="135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00000A"/>
        </w:rPr>
        <w:t>Andrea Alexander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000A"/>
        </w:rPr>
        <w:t>Chief People Officer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00000A"/>
        </w:rPr>
        <w:t>Brian Donato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0000A"/>
        </w:rPr>
        <w:t>Chief Revenue Officer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00000A"/>
        </w:rPr>
        <w:t>Drew Rau</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00000A"/>
        </w:rPr>
        <w:t>SVP, Supply Chain &amp; Inventory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00000A"/>
        </w:rPr>
        <w:t>Cara Schembri</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0000A"/>
        </w:rPr>
        <w:t>General Counsel and Secretary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00000A"/>
        </w:rPr>
        <w:t>Larry Steinberg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00000A"/>
        </w:rPr>
        <w:t>Chief Technology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00000A"/>
        </w:rPr>
        <w:t>Sarah Tam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0000A"/>
        </w:rPr>
        <w:t>Chief Merchant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000A"/>
        </w:rPr>
        <w:t>STOCK EXCHANGE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48895</wp:posOffset>
                </wp:positionV>
                <wp:extent cx="118491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4763"/>
                        </a:xfrm>
                        <a:prstGeom prst="line">
                          <a:avLst/>
                        </a:prstGeom>
                        <a:solidFill>
                          <a:srgbClr val="FFFFFF"/>
                        </a:solidFill>
                        <a:ln w="12700">
                          <a:solidFill>
                            <a:srgbClr val="E8B0DA"/>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3.85pt" to="93.4pt,3.85pt" o:allowincell="f" strokecolor="#E8B0DA" strokeweight="1pt"/>
            </w:pict>
          </mc:Fallback>
        </mc:AlternateContent>
      </w:r>
    </w:p>
    <w:p>
      <w:pPr>
        <w:spacing w:after="0" w:line="271" w:lineRule="exact"/>
        <w:rPr>
          <w:sz w:val="20"/>
          <w:szCs w:val="20"/>
          <w:color w:val="auto"/>
        </w:rPr>
      </w:pPr>
    </w:p>
    <w:p>
      <w:pPr>
        <w:spacing w:after="0" w:line="334" w:lineRule="auto"/>
        <w:rPr>
          <w:sz w:val="20"/>
          <w:szCs w:val="20"/>
          <w:color w:val="auto"/>
        </w:rPr>
      </w:pPr>
      <w:r>
        <w:rPr>
          <w:rFonts w:ascii="Arial" w:cs="Arial" w:eastAsia="Arial" w:hAnsi="Arial"/>
          <w:sz w:val="18"/>
          <w:szCs w:val="18"/>
          <w:color w:val="00000A"/>
        </w:rPr>
        <w:t>Rent the Runway, Inc. stock is listed for trading on NASDAQ under the ticker symbol “RENT”.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0000A"/>
        </w:rPr>
        <w:t>TRANSFER AGENT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93980</wp:posOffset>
                </wp:positionV>
                <wp:extent cx="111696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6965" cy="4763"/>
                        </a:xfrm>
                        <a:prstGeom prst="line">
                          <a:avLst/>
                        </a:prstGeom>
                        <a:solidFill>
                          <a:srgbClr val="FFFFFF"/>
                        </a:solidFill>
                        <a:ln w="12331">
                          <a:solidFill>
                            <a:srgbClr val="E8B0DA"/>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7.4pt" to="88.05pt,7.4pt" o:allowincell="f" strokecolor="#E8B0DA" strokeweight="0.9709pt"/>
            </w:pict>
          </mc:Fallback>
        </mc:AlternateContent>
      </w:r>
    </w:p>
    <w:p>
      <w:pPr>
        <w:spacing w:after="0" w:line="267" w:lineRule="exact"/>
        <w:rPr>
          <w:sz w:val="20"/>
          <w:szCs w:val="20"/>
          <w:color w:val="auto"/>
        </w:rPr>
      </w:pPr>
    </w:p>
    <w:p>
      <w:pPr>
        <w:ind w:right="820"/>
        <w:spacing w:after="0" w:line="311" w:lineRule="auto"/>
        <w:rPr>
          <w:sz w:val="20"/>
          <w:szCs w:val="20"/>
          <w:color w:val="auto"/>
        </w:rPr>
      </w:pPr>
      <w:r>
        <w:rPr>
          <w:rFonts w:ascii="Arial" w:cs="Arial" w:eastAsia="Arial" w:hAnsi="Arial"/>
          <w:sz w:val="18"/>
          <w:szCs w:val="18"/>
          <w:color w:val="00000A"/>
        </w:rPr>
        <w:t>Registered stockholder records are maintained by our transfer agent: American Stock Transfer &amp; Trust Company, LLC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00000A"/>
        </w:rPr>
        <w:t>6201 15</w:t>
      </w:r>
      <w:r>
        <w:rPr>
          <w:rFonts w:ascii="Arial" w:cs="Arial" w:eastAsia="Arial" w:hAnsi="Arial"/>
          <w:sz w:val="24"/>
          <w:szCs w:val="24"/>
          <w:color w:val="00000A"/>
          <w:vertAlign w:val="superscript"/>
        </w:rPr>
        <w:t>th</w:t>
      </w:r>
      <w:r>
        <w:rPr>
          <w:rFonts w:ascii="Arial" w:cs="Arial" w:eastAsia="Arial" w:hAnsi="Arial"/>
          <w:sz w:val="18"/>
          <w:szCs w:val="18"/>
          <w:color w:val="00000A"/>
        </w:rPr>
        <w:t xml:space="preserve"> Avenue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00000A"/>
        </w:rPr>
        <w:t>Brooklyn, NY 11219</w:t>
      </w:r>
    </w:p>
    <w:p>
      <w:pPr>
        <w:spacing w:after="0" w:line="44" w:lineRule="exact"/>
        <w:rPr>
          <w:sz w:val="20"/>
          <w:szCs w:val="20"/>
          <w:color w:val="auto"/>
        </w:rPr>
      </w:pPr>
    </w:p>
    <w:p>
      <w:pPr>
        <w:ind w:right="1180"/>
        <w:spacing w:after="0" w:line="311" w:lineRule="auto"/>
        <w:rPr>
          <w:sz w:val="20"/>
          <w:szCs w:val="20"/>
          <w:color w:val="auto"/>
        </w:rPr>
      </w:pPr>
      <w:r>
        <w:rPr>
          <w:rFonts w:ascii="Arial" w:cs="Arial" w:eastAsia="Arial" w:hAnsi="Arial"/>
          <w:sz w:val="18"/>
          <w:szCs w:val="18"/>
          <w:color w:val="00000A"/>
        </w:rPr>
        <w:t>US Toll-Free: 1-800-937-5449 or 1-781-921-8124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000A"/>
        </w:rPr>
        <w:t>Web: www.asatfinaancial.com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00000A"/>
        </w:rPr>
        <w:t xml:space="preserve">Email: </w:t>
      </w:r>
      <w:r>
        <w:rPr>
          <w:sz w:val="1"/>
          <w:szCs w:val="1"/>
          <w:color w:val="auto"/>
        </w:rPr>
        <w:drawing>
          <wp:inline distT="0" distB="0" distL="0" distR="0">
            <wp:extent cx="1165225" cy="13271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9">
                      <a:extLst>
                        <a:ext uri="{28A0092B-C50C-407E-A947-70E740481C1C}"/>
                      </a:extLst>
                    </a:blip>
                    <a:srcRect/>
                    <a:stretch>
                      <a:fillRect/>
                    </a:stretch>
                  </pic:blipFill>
                  <pic:spPr bwMode="auto">
                    <a:xfrm>
                      <a:off x="0" y="0"/>
                      <a:ext cx="1165225" cy="132715"/>
                    </a:xfrm>
                    <a:prstGeom prst="rect">
                      <a:avLst/>
                    </a:prstGeom>
                    <a:noFill/>
                    <a:ln>
                      <a:noFill/>
                    </a:ln>
                  </pic:spPr>
                </pic:pic>
              </a:graphicData>
            </a:graphic>
          </wp:inline>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00000A"/>
        </w:rPr>
        <w:t>Investor Relations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83185</wp:posOffset>
                </wp:positionV>
                <wp:extent cx="159385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3850" cy="4763"/>
                        </a:xfrm>
                        <a:prstGeom prst="line">
                          <a:avLst/>
                        </a:prstGeom>
                        <a:solidFill>
                          <a:srgbClr val="FFFFFF"/>
                        </a:solidFill>
                        <a:ln w="12700">
                          <a:solidFill>
                            <a:srgbClr val="E8B0DA"/>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6.55pt" to="125.6pt,6.55pt" o:allowincell="f" strokecolor="#E8B0DA" strokeweight="1pt"/>
            </w:pict>
          </mc:Fallback>
        </mc:AlternateContent>
      </w:r>
    </w:p>
    <w:p>
      <w:pPr>
        <w:spacing w:after="0" w:line="362" w:lineRule="exact"/>
        <w:rPr>
          <w:sz w:val="20"/>
          <w:szCs w:val="20"/>
          <w:color w:val="auto"/>
        </w:rPr>
      </w:pPr>
    </w:p>
    <w:p>
      <w:pPr>
        <w:ind w:right="240"/>
        <w:spacing w:after="0" w:line="318" w:lineRule="auto"/>
        <w:rPr>
          <w:sz w:val="20"/>
          <w:szCs w:val="20"/>
          <w:color w:val="auto"/>
        </w:rPr>
      </w:pPr>
      <w:r>
        <w:rPr>
          <w:rFonts w:ascii="Arial" w:cs="Arial" w:eastAsia="Arial" w:hAnsi="Arial"/>
          <w:sz w:val="18"/>
          <w:szCs w:val="18"/>
          <w:color w:val="00000A"/>
        </w:rPr>
        <w:t>Information about Rent the Runway, press releases, and other investor information is available on our website investors.renttherunway.com Stockholder inquiries can be sent to investors@renttherunway.com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1468755</wp:posOffset>
                </wp:positionH>
                <wp:positionV relativeFrom="paragraph">
                  <wp:posOffset>-431165</wp:posOffset>
                </wp:positionV>
                <wp:extent cx="12700" cy="1270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A"/>
                        </a:solidFill>
                      </wps:spPr>
                      <wps:bodyPr/>
                    </wps:wsp>
                  </a:graphicData>
                </a:graphic>
              </wp:anchor>
            </w:drawing>
          </mc:Choice>
          <mc:Fallback>
            <w:pict>
              <v:rect id="Shape 198" o:spid="_x0000_s1223" style="position:absolute;margin-left:115.65pt;margin-top:-33.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A" stroked="f"/>
            </w:pict>
          </mc:Fallback>
        </mc:AlternateContent>
        <mc:AlternateContent>
          <mc:Choice Requires="wps">
            <w:drawing>
              <wp:anchor simplePos="0" relativeHeight="251657728" behindDoc="1" locked="0" layoutInCell="0" allowOverlap="1">
                <wp:simplePos x="0" y="0"/>
                <wp:positionH relativeFrom="column">
                  <wp:posOffset>1553210</wp:posOffset>
                </wp:positionH>
                <wp:positionV relativeFrom="paragraph">
                  <wp:posOffset>-90170</wp:posOffset>
                </wp:positionV>
                <wp:extent cx="12700" cy="1270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A"/>
                        </a:solidFill>
                      </wps:spPr>
                      <wps:bodyPr/>
                    </wps:wsp>
                  </a:graphicData>
                </a:graphic>
              </wp:anchor>
            </w:drawing>
          </mc:Choice>
          <mc:Fallback>
            <w:pict>
              <v:rect id="Shape 199" o:spid="_x0000_s1224" style="position:absolute;margin-left:122.3pt;margin-top:-7.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A" stroked="f"/>
            </w:pict>
          </mc:Fallback>
        </mc:AlternateConten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0000A"/>
        </w:rPr>
        <w:t>Corporate Headquarters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52070</wp:posOffset>
                </wp:positionV>
                <wp:extent cx="138747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7475" cy="4763"/>
                        </a:xfrm>
                        <a:prstGeom prst="line">
                          <a:avLst/>
                        </a:prstGeom>
                        <a:solidFill>
                          <a:srgbClr val="FFFFFF"/>
                        </a:solidFill>
                        <a:ln w="12700">
                          <a:solidFill>
                            <a:srgbClr val="E8B0DA"/>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4.1pt" to="109.35pt,4.1pt" o:allowincell="f" strokecolor="#E8B0DA" strokeweight="1pt"/>
            </w:pict>
          </mc:Fallback>
        </mc:AlternateConten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00000A"/>
        </w:rPr>
        <w:t>Rent the Runway, Inc.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000A"/>
        </w:rPr>
        <w:t>10 Jay Street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00000A"/>
        </w:rPr>
        <w:t>Brooklyn, NY 11201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00000A"/>
        </w:rPr>
        <w:t>Renttherunway.com</w:t>
      </w:r>
    </w:p>
    <w:p>
      <w:pPr>
        <w:sectPr>
          <w:pgSz w:w="11880" w:h="15481" w:orient="portrait"/>
          <w:cols w:equalWidth="0" w:num="3">
            <w:col w:w="3220" w:space="300"/>
            <w:col w:w="2660" w:space="360"/>
            <w:col w:w="3620"/>
          </w:cols>
          <w:pgMar w:left="1120" w:top="805" w:right="601" w:bottom="298"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3482340</wp:posOffset>
            </wp:positionH>
            <wp:positionV relativeFrom="page">
              <wp:posOffset>4386580</wp:posOffset>
            </wp:positionV>
            <wp:extent cx="596900" cy="806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0">
                      <a:extLst>
                        <a:ext uri="{28A0092B-C50C-407E-A947-70E740481C1C}"/>
                      </a:extLst>
                    </a:blip>
                    <a:srcRect/>
                    <a:stretch>
                      <a:fillRect/>
                    </a:stretch>
                  </pic:blipFill>
                  <pic:spPr bwMode="auto">
                    <a:xfrm>
                      <a:off x="0" y="0"/>
                      <a:ext cx="596900" cy="806450"/>
                    </a:xfrm>
                    <a:prstGeom prst="rect">
                      <a:avLst/>
                    </a:prstGeom>
                    <a:noFill/>
                  </pic:spPr>
                </pic:pic>
              </a:graphicData>
            </a:graphic>
          </wp:anchor>
        </w:drawing>
        <w:drawing>
          <wp:anchor simplePos="0" relativeHeight="251657728" behindDoc="1" locked="0" layoutInCell="0" allowOverlap="1">
            <wp:simplePos x="0" y="0"/>
            <wp:positionH relativeFrom="page">
              <wp:posOffset>1757680</wp:posOffset>
            </wp:positionH>
            <wp:positionV relativeFrom="page">
              <wp:posOffset>5391150</wp:posOffset>
            </wp:positionV>
            <wp:extent cx="4046220" cy="2647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1">
                      <a:extLst>
                        <a:ext uri="{28A0092B-C50C-407E-A947-70E740481C1C}"/>
                      </a:extLst>
                    </a:blip>
                    <a:srcRect/>
                    <a:stretch>
                      <a:fillRect/>
                    </a:stretch>
                  </pic:blipFill>
                  <pic:spPr bwMode="auto">
                    <a:xfrm>
                      <a:off x="0" y="0"/>
                      <a:ext cx="4046220" cy="264795"/>
                    </a:xfrm>
                    <a:prstGeom prst="rect">
                      <a:avLst/>
                    </a:prstGeom>
                    <a:noFill/>
                  </pic:spPr>
                </pic:pic>
              </a:graphicData>
            </a:graphic>
          </wp:anchor>
        </w:drawing>
      </w:r>
    </w:p>
    <w:sectPr>
      <w:pgSz w:w="11880" w:h="15481"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lvl w:ilvl="1">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1."/>
      <w:numFmt w:val="decimal"/>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2"/>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lvl w:ilvl="1">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5"/>
    </w:lvl>
  </w:abstractNum>
  <w:abstractNum w:abstractNumId="21">
    <w:nsid w:val="542289EC"/>
    <w:multiLevelType w:val="hybridMultilevel"/>
    <w:lvl w:ilvl="0">
      <w:lvlJc w:val="left"/>
      <w:lvlText w:val="%1"/>
      <w:numFmt w:val="decimal"/>
      <w:start w:val="10"/>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1"/>
      <w:numFmt w:val="decimal"/>
      <w:start w:val="1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lvl w:ilvl="1">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decimal"/>
      <w:start w:val="12"/>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1."/>
      <w:numFmt w:val="decimal"/>
      <w:start w:val="3"/>
    </w:lvl>
  </w:abstractNum>
  <w:abstractNum w:abstractNumId="58">
    <w:nsid w:val="2F305DEF"/>
    <w:multiLevelType w:val="hybridMultilevel"/>
    <w:lvl w:ilvl="0">
      <w:lvlJc w:val="left"/>
      <w:lvlText w:val="%1."/>
      <w:numFmt w:val="decimal"/>
      <w:start w:val="6"/>
    </w:lvl>
  </w:abstractNum>
  <w:abstractNum w:abstractNumId="59">
    <w:nsid w:val="25A70BF7"/>
    <w:multiLevelType w:val="hybridMultilevel"/>
    <w:lvl w:ilvl="0">
      <w:lvlJc w:val="left"/>
      <w:lvlText w:val="%1."/>
      <w:numFmt w:val="decimal"/>
      <w:start w:val="7"/>
    </w:lvl>
  </w:abstractNum>
  <w:abstractNum w:abstractNumId="60">
    <w:nsid w:val="1DBABF00"/>
    <w:multiLevelType w:val="hybridMultilevel"/>
    <w:lvl w:ilvl="0">
      <w:lvlJc w:val="left"/>
      <w:lvlText w:val="%1."/>
      <w:numFmt w:val="decimal"/>
      <w:start w:val="8"/>
    </w:lvl>
  </w:abstractNum>
  <w:abstractNum w:abstractNumId="61">
    <w:nsid w:val="4AD084E9"/>
    <w:multiLevelType w:val="hybridMultilevel"/>
    <w:lvl w:ilvl="0">
      <w:lvlJc w:val="left"/>
      <w:lvlText w:val="%1."/>
      <w:numFmt w:val="decimal"/>
      <w:start w:val="9"/>
    </w:lvl>
  </w:abstractNum>
  <w:abstractNum w:abstractNumId="62">
    <w:nsid w:val="1F48EAA1"/>
    <w:multiLevelType w:val="hybridMultilevel"/>
    <w:lvl w:ilvl="0">
      <w:lvlJc w:val="left"/>
      <w:lvlText w:val="%1."/>
      <w:numFmt w:val="decimal"/>
      <w:start w:val="10"/>
    </w:lvl>
  </w:abstractNum>
  <w:abstractNum w:abstractNumId="63">
    <w:nsid w:val="1381823A"/>
    <w:multiLevelType w:val="hybridMultilevel"/>
    <w:lvl w:ilvl="0">
      <w:lvlJc w:val="left"/>
      <w:lvlText w:val="%1."/>
      <w:numFmt w:val="decimal"/>
      <w:start w:val="11"/>
    </w:lvl>
  </w:abstractNum>
  <w:abstractNum w:abstractNumId="64">
    <w:nsid w:val="5DB70AE5"/>
    <w:multiLevelType w:val="hybridMultilevel"/>
    <w:lvl w:ilvl="0">
      <w:lvlJc w:val="left"/>
      <w:lvlText w:val="%1."/>
      <w:numFmt w:val="decimal"/>
      <w:start w:val="12"/>
    </w:lvl>
  </w:abstractNum>
  <w:abstractNum w:abstractNumId="65">
    <w:nsid w:val="100F8FCA"/>
    <w:multiLevelType w:val="hybridMultilevel"/>
    <w:lvl w:ilvl="0">
      <w:lvlJc w:val="left"/>
      <w:lvlText w:val="%1."/>
      <w:numFmt w:val="decimal"/>
      <w:start w:val="14"/>
    </w:lvl>
  </w:abstractNum>
  <w:abstractNum w:abstractNumId="66">
    <w:nsid w:val="6590700B"/>
    <w:multiLevelType w:val="hybridMultilevel"/>
    <w:lvl w:ilvl="0">
      <w:lvlJc w:val="left"/>
      <w:lvlText w:val="%1."/>
      <w:numFmt w:val="decimal"/>
      <w:start w:val="15"/>
    </w:lvl>
  </w:abstractNum>
  <w:abstractNum w:abstractNumId="67">
    <w:nsid w:val="15014ACB"/>
    <w:multiLevelType w:val="hybridMultilevel"/>
    <w:lvl w:ilvl="0">
      <w:lvlJc w:val="left"/>
      <w:lvlText w:val="%1."/>
      <w:numFmt w:val="decimal"/>
      <w:start w:val="16"/>
    </w:lvl>
  </w:abstractNum>
  <w:abstractNum w:abstractNumId="68">
    <w:nsid w:val="5F5E7FD0"/>
    <w:multiLevelType w:val="hybridMultilevel"/>
    <w:lvl w:ilvl="0">
      <w:lvlJc w:val="left"/>
      <w:lvlText w:val="*"/>
      <w:numFmt w:val="bullet"/>
      <w:start w:val="1"/>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2023-05-25T14:39:17Z</dcterms:created>
  <dcterms:modified xsi:type="dcterms:W3CDTF">2023-05-25T14:39:17Z</dcterms:modified>
</cp:coreProperties>
</file>