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As filed with the Securities and Exchange Commission on September 11, 2026</w:t>
      </w:r>
    </w:p>
    <w:p>
      <w:pPr>
        <w:pStyle w:val="TextBody"/>
        <w:bidi w:val="0"/>
        <w:spacing w:before="0" w:after="0"/>
        <w:jc w:val="center"/>
        <w:rPr/>
      </w:pPr>
      <w:r>
        <w:rPr/>
      </w:r>
    </w:p>
    <w:p>
      <w:pPr>
        <w:pStyle w:val="TextBody"/>
        <w:bidi w:val="0"/>
        <w:spacing w:lineRule="auto" w:line="268" w:before="0" w:after="0"/>
        <w:jc w:val="right"/>
        <w:rPr/>
      </w:pPr>
      <w:r>
        <w:rPr>
          <w:rFonts w:ascii="Arial;sans-serif" w:hAnsi="Arial;sans-serif"/>
          <w:b/>
          <w:color w:val="000000"/>
          <w:sz w:val="20"/>
        </w:rPr>
        <w:t xml:space="preserve">Registration </w:t>
      </w:r>
      <w:r>
        <w:rPr>
          <w:rFonts w:ascii="Times New Roman;serif" w:hAnsi="Times New Roman;serif"/>
          <w:b/>
          <w:color w:val="000000"/>
          <w:sz w:val="24"/>
        </w:rPr>
        <w:t xml:space="preserve">No. 333-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36"/>
        </w:rPr>
      </w:pPr>
      <w:r>
        <w:rPr>
          <w:rFonts w:ascii="Arial;sans-serif" w:hAnsi="Arial;sans-serif"/>
          <w:b/>
          <w:color w:val="000000"/>
          <w:sz w:val="36"/>
        </w:rPr>
        <w:t>FORM S-8</w:t>
      </w:r>
    </w:p>
    <w:p>
      <w:pPr>
        <w:pStyle w:val="TextBody"/>
        <w:bidi w:val="0"/>
        <w:spacing w:lineRule="auto" w:line="268" w:before="0" w:after="0"/>
        <w:jc w:val="center"/>
        <w:rPr>
          <w:rFonts w:ascii="Arial;sans-serif" w:hAnsi="Arial;sans-serif"/>
          <w:b/>
          <w:color w:val="000000"/>
          <w:sz w:val="36"/>
        </w:rPr>
      </w:pPr>
      <w:r>
        <w:rPr>
          <w:rFonts w:ascii="Arial;sans-serif" w:hAnsi="Arial;sans-serif"/>
          <w:b/>
          <w:color w:val="000000"/>
          <w:sz w:val="36"/>
        </w:rPr>
        <w:t>REGISTRATION STATEMENT</w:t>
      </w:r>
    </w:p>
    <w:p>
      <w:pPr>
        <w:pStyle w:val="TextBody"/>
        <w:bidi w:val="0"/>
        <w:spacing w:lineRule="auto" w:line="268" w:before="0" w:after="0"/>
        <w:jc w:val="center"/>
        <w:rPr>
          <w:rFonts w:ascii="Arial;sans-serif" w:hAnsi="Arial;sans-serif"/>
          <w:b/>
          <w:i/>
          <w:color w:val="000000"/>
          <w:sz w:val="24"/>
        </w:rPr>
      </w:pPr>
      <w:r>
        <w:rPr>
          <w:rFonts w:ascii="Arial;sans-serif" w:hAnsi="Arial;sans-serif"/>
          <w:b/>
          <w:i/>
          <w:color w:val="000000"/>
          <w:sz w:val="24"/>
        </w:rPr>
        <w:t>UNDER</w:t>
      </w:r>
    </w:p>
    <w:p>
      <w:pPr>
        <w:pStyle w:val="TextBody"/>
        <w:bidi w:val="0"/>
        <w:spacing w:lineRule="auto" w:line="268" w:before="0" w:after="0"/>
        <w:jc w:val="center"/>
        <w:rPr>
          <w:rFonts w:ascii="Arial;sans-serif" w:hAnsi="Arial;sans-serif"/>
          <w:b/>
          <w:i/>
          <w:color w:val="000000"/>
          <w:sz w:val="24"/>
        </w:rPr>
      </w:pPr>
      <w:r>
        <w:rPr>
          <w:rFonts w:ascii="Arial;sans-serif" w:hAnsi="Arial;sans-serif"/>
          <w:b/>
          <w:i/>
          <w:color w:val="000000"/>
          <w:sz w:val="24"/>
        </w:rPr>
        <w:t>THE SECURITIES ACT OF 1933</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48"/>
        </w:rPr>
      </w:pPr>
      <w:r>
        <w:rPr>
          <w:rFonts w:ascii="Arial;sans-serif" w:hAnsi="Arial;sans-serif"/>
          <w:b/>
          <w:color w:val="000000"/>
          <w:sz w:val="48"/>
        </w:rPr>
        <w:t>Rent the Runway, Inc.</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before="0" w:after="0"/>
        <w:jc w:val="left"/>
        <w:rPr/>
      </w:pPr>
      <w:r>
        <w:rPr/>
      </w:r>
    </w:p>
    <w:tbl>
      <w:tblPr>
        <w:tblW w:w="4451" w:type="dxa"/>
        <w:jc w:val="left"/>
        <w:tblInd w:w="0" w:type="dxa"/>
        <w:tblLayout w:type="fixed"/>
        <w:tblCellMar>
          <w:top w:w="28" w:type="dxa"/>
          <w:left w:w="28" w:type="dxa"/>
          <w:bottom w:w="28" w:type="dxa"/>
          <w:right w:w="28" w:type="dxa"/>
        </w:tblCellMar>
      </w:tblPr>
      <w:tblGrid>
        <w:gridCol w:w="924"/>
        <w:gridCol w:w="811"/>
        <w:gridCol w:w="815"/>
        <w:gridCol w:w="109"/>
        <w:gridCol w:w="109"/>
        <w:gridCol w:w="109"/>
        <w:gridCol w:w="461"/>
        <w:gridCol w:w="461"/>
        <w:gridCol w:w="652"/>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4"/>
              </w:rPr>
            </w:pPr>
            <w:r>
              <w:rPr>
                <w:rFonts w:ascii="Arial;sans-serif" w:hAnsi="Arial;sans-serif"/>
                <w:b/>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4"/>
              </w:rPr>
            </w:pPr>
            <w:r>
              <w:rPr>
                <w:rFonts w:ascii="Arial;sans-serif" w:hAnsi="Arial;sans-serif"/>
                <w:b/>
                <w:color w:val="000000"/>
                <w:sz w:val="24"/>
              </w:rPr>
              <w:t>80-0376379</w:t>
            </w:r>
          </w:p>
        </w:tc>
      </w:tr>
      <w:tr>
        <w:trPr/>
        <w:tc>
          <w:tcPr>
            <w:tcW w:w="25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10 Jay Street</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Brooklyn, New York 11201</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Telephone: (212) 524-6860 </w:t>
      </w:r>
    </w:p>
    <w:p>
      <w:pPr>
        <w:pStyle w:val="TextBody"/>
        <w:bidi w:val="0"/>
        <w:spacing w:lineRule="auto" w:line="26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Rent the Runway, Inc. Second Amended and Restated 2021 Incentive Award Plan, as Amended</w:t>
      </w:r>
    </w:p>
    <w:p>
      <w:pPr>
        <w:pStyle w:val="TextBody"/>
        <w:bidi w:val="0"/>
        <w:spacing w:lineRule="auto" w:line="268" w:before="0" w:after="0"/>
        <w:jc w:val="center"/>
        <w:rPr>
          <w:rFonts w:ascii="Arial;sans-serif" w:hAnsi="Arial;sans-serif"/>
          <w:b/>
          <w:color w:val="000000"/>
          <w:sz w:val="16"/>
        </w:rPr>
      </w:pPr>
      <w:r>
        <w:rPr>
          <w:rFonts w:ascii="Arial;sans-serif" w:hAnsi="Arial;sans-serif"/>
          <w:b/>
          <w:color w:val="000000"/>
          <w:sz w:val="16"/>
        </w:rPr>
        <w:t>(Full title of the plans)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Teri J. Bariquit</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Interim Chief Executive Officer and President</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Rent the Runway,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10 Jay Street</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Brooklyn, New York 11201</w:t>
      </w:r>
    </w:p>
    <w:p>
      <w:pPr>
        <w:pStyle w:val="TextBody"/>
        <w:bidi w:val="0"/>
        <w:spacing w:lineRule="auto" w:line="268" w:before="0" w:after="0"/>
        <w:jc w:val="center"/>
        <w:rPr>
          <w:rFonts w:ascii="Arial;sans-serif" w:hAnsi="Arial;sans-serif"/>
          <w:b/>
          <w:color w:val="000000"/>
          <w:sz w:val="16"/>
        </w:rPr>
      </w:pPr>
      <w:r>
        <w:rPr>
          <w:rFonts w:ascii="Arial;sans-serif" w:hAnsi="Arial;sans-serif"/>
          <w:b/>
          <w:color w:val="000000"/>
          <w:sz w:val="16"/>
        </w:rPr>
        <w:t xml:space="preserve">(Name and address of agent for service)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Telephone: (212) 524-6860</w:t>
      </w:r>
    </w:p>
    <w:p>
      <w:pPr>
        <w:pStyle w:val="TextBody"/>
        <w:bidi w:val="0"/>
        <w:spacing w:lineRule="auto" w:line="268" w:before="0" w:after="0"/>
        <w:jc w:val="center"/>
        <w:rPr>
          <w:rFonts w:ascii="Arial;sans-serif" w:hAnsi="Arial;sans-serif"/>
          <w:b/>
          <w:color w:val="000000"/>
          <w:sz w:val="16"/>
        </w:rPr>
      </w:pPr>
      <w:r>
        <w:rPr>
          <w:rFonts w:ascii="Arial;sans-serif" w:hAnsi="Arial;sans-serif"/>
          <w:b/>
          <w:color w:val="000000"/>
          <w:sz w:val="16"/>
        </w:rPr>
        <w:t>(Telephone number, including area code, of agent for service)</w:t>
      </w:r>
    </w:p>
    <w:p>
      <w:pPr>
        <w:pStyle w:val="TextBody"/>
        <w:bidi w:val="0"/>
        <w:spacing w:before="0" w:after="0"/>
        <w:jc w:val="center"/>
        <w:rPr/>
      </w:pPr>
      <w:r>
        <w:rPr/>
      </w:r>
    </w:p>
    <w:p>
      <w:pPr>
        <w:pStyle w:val="TextBody"/>
        <w:bidi w:val="0"/>
        <w:spacing w:lineRule="auto" w:line="268" w:before="0" w:after="0"/>
        <w:jc w:val="center"/>
        <w:rPr>
          <w:rFonts w:ascii="Arial;sans-serif" w:hAnsi="Arial;sans-serif"/>
          <w:b/>
          <w:i/>
          <w:color w:val="000000"/>
          <w:sz w:val="20"/>
        </w:rPr>
      </w:pPr>
      <w:r>
        <w:rPr>
          <w:rFonts w:ascii="Arial;sans-serif" w:hAnsi="Arial;sans-serif"/>
          <w:b/>
          <w:i/>
          <w:color w:val="000000"/>
          <w:sz w:val="20"/>
        </w:rPr>
        <w:t>With copies to:</w:t>
      </w:r>
    </w:p>
    <w:tbl>
      <w:tblPr>
        <w:tblW w:w="5561" w:type="dxa"/>
        <w:jc w:val="center"/>
        <w:tblInd w:w="0" w:type="dxa"/>
        <w:tblLayout w:type="fixed"/>
        <w:tblCellMar>
          <w:top w:w="28" w:type="dxa"/>
          <w:left w:w="28" w:type="dxa"/>
          <w:bottom w:w="28" w:type="dxa"/>
          <w:right w:w="28" w:type="dxa"/>
        </w:tblCellMar>
      </w:tblPr>
      <w:tblGrid>
        <w:gridCol w:w="961"/>
        <w:gridCol w:w="846"/>
        <w:gridCol w:w="848"/>
        <w:gridCol w:w="109"/>
        <w:gridCol w:w="109"/>
        <w:gridCol w:w="109"/>
        <w:gridCol w:w="753"/>
        <w:gridCol w:w="753"/>
        <w:gridCol w:w="1073"/>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Nicole Brookshire</w:t>
              <w:br/>
              <w:t>Davis Polk &amp; Wardwell LLP</w:t>
              <w:br/>
              <w:t>450 Lexington Avenue</w:t>
              <w:br/>
              <w:t>New York, New York 10017</w:t>
              <w:br/>
              <w:t>(212) 450-4000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Cara Schembri</w:t>
              <w:br/>
              <w:t>Rent the Runway, Inc.</w:t>
              <w:br/>
              <w:t>10 Jay Street</w:t>
              <w:br/>
              <w:t>Brooklyn, New York 11201</w:t>
              <w:br/>
              <w:t>(212) 524-6860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995" w:type="dxa"/>
        <w:jc w:val="left"/>
        <w:tblInd w:w="0" w:type="dxa"/>
        <w:tblLayout w:type="fixed"/>
        <w:tblCellMar>
          <w:top w:w="28" w:type="dxa"/>
          <w:left w:w="28" w:type="dxa"/>
          <w:bottom w:w="28" w:type="dxa"/>
          <w:right w:w="28" w:type="dxa"/>
        </w:tblCellMar>
      </w:tblPr>
      <w:tblGrid>
        <w:gridCol w:w="826"/>
        <w:gridCol w:w="725"/>
        <w:gridCol w:w="729"/>
        <w:gridCol w:w="794"/>
        <w:gridCol w:w="794"/>
        <w:gridCol w:w="1127"/>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Large accelerated filer ☐</w:t>
            </w:r>
          </w:p>
        </w:tc>
        <w:tc>
          <w:tcPr>
            <w:tcW w:w="2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Accelerated filer ☐</w:t>
            </w:r>
          </w:p>
        </w:tc>
      </w:tr>
      <w:tr>
        <w:trPr/>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2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Smaller reporting company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EXPLANATORY NOTE</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Pursuant to General Instruction E of Form S-8, this Registration Statement on Form S-8 is being filed for the purpose of registering an additional 4,905,082 shares of Rent the Runway, Inc.’s (the “Registrant”) Class A common stock under the Rent the Runway, Inc. Second Amended and Restated 2021 Incentive Award Plan, as amended (the “Plan”), in respect of shares of common stock underlying equity awards granted under the Plan which were forfeited in accordance with their terms and became available for issuance under the Plan in accordance with Section 4.2 of the Plan. A Registration Statement on Form S-8 filed by the Registrant for the same employee benefit plan is currently effective. In accordance with the instructional note to Part I of Form S-8 as promulgated by the Commission, the information specified by Part I of the Form S-8 has been omitted from this Registration Statement.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INCORPORATION BY REFERENCE OF CONTENTS OF REGISTRATION STATEMENT ON FORM S-8</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contents of the Registration Statement on Form S-8 (File Nos. </w:t>
      </w:r>
      <w:hyperlink r:id="rId2">
        <w:r>
          <w:rPr>
            <w:rStyle w:val="InternetLink"/>
            <w:rFonts w:ascii="Arial;sans-serif" w:hAnsi="Arial;sans-serif"/>
            <w:b w:val="false"/>
            <w:color w:val="0000FF"/>
            <w:sz w:val="20"/>
            <w:u w:val="single"/>
          </w:rPr>
          <w:t>333-260564</w:t>
        </w:r>
      </w:hyperlink>
      <w:r>
        <w:rPr>
          <w:rFonts w:ascii="Arial;sans-serif" w:hAnsi="Arial;sans-serif"/>
          <w:b w:val="false"/>
          <w:color w:val="000000"/>
          <w:sz w:val="20"/>
        </w:rPr>
        <w:t xml:space="preserve">, </w:t>
      </w:r>
      <w:hyperlink r:id="rId3">
        <w:r>
          <w:rPr>
            <w:rStyle w:val="InternetLink"/>
            <w:rFonts w:ascii="Arial;sans-serif" w:hAnsi="Arial;sans-serif"/>
            <w:b w:val="false"/>
            <w:color w:val="0000FF"/>
            <w:sz w:val="20"/>
            <w:u w:val="single"/>
          </w:rPr>
          <w:t>333-264295</w:t>
        </w:r>
      </w:hyperlink>
      <w:r>
        <w:rPr>
          <w:rFonts w:ascii="Arial;sans-serif" w:hAnsi="Arial;sans-serif"/>
          <w:b w:val="false"/>
          <w:color w:val="000000"/>
          <w:sz w:val="20"/>
        </w:rPr>
        <w:t xml:space="preserve">, </w:t>
      </w:r>
      <w:hyperlink r:id="rId4">
        <w:r>
          <w:rPr>
            <w:rStyle w:val="InternetLink"/>
            <w:rFonts w:ascii="Arial;sans-serif" w:hAnsi="Arial;sans-serif"/>
            <w:b w:val="false"/>
            <w:color w:val="0000FF"/>
            <w:sz w:val="20"/>
            <w:u w:val="single"/>
          </w:rPr>
          <w:t>333-271241</w:t>
        </w:r>
      </w:hyperlink>
      <w:r>
        <w:rPr>
          <w:rFonts w:ascii="Arial;sans-serif" w:hAnsi="Arial;sans-serif"/>
          <w:b w:val="false"/>
          <w:color w:val="000000"/>
          <w:sz w:val="20"/>
        </w:rPr>
        <w:t xml:space="preserve">, </w:t>
      </w:r>
      <w:hyperlink r:id="rId5">
        <w:r>
          <w:rPr>
            <w:rStyle w:val="InternetLink"/>
            <w:rFonts w:ascii="Arial;sans-serif" w:hAnsi="Arial;sans-serif"/>
            <w:b w:val="false"/>
            <w:color w:val="0000FF"/>
            <w:sz w:val="20"/>
            <w:u w:val="single"/>
          </w:rPr>
          <w:t>333-278623</w:t>
        </w:r>
      </w:hyperlink>
      <w:r>
        <w:rPr>
          <w:rFonts w:ascii="Arial;sans-serif" w:hAnsi="Arial;sans-serif"/>
          <w:b w:val="false"/>
          <w:color w:val="000000"/>
          <w:sz w:val="20"/>
        </w:rPr>
        <w:t xml:space="preserve">, </w:t>
      </w:r>
      <w:hyperlink r:id="rId6">
        <w:r>
          <w:rPr>
            <w:rStyle w:val="InternetLink"/>
            <w:rFonts w:ascii="Arial;sans-serif" w:hAnsi="Arial;sans-serif"/>
            <w:b w:val="false"/>
            <w:color w:val="0000FF"/>
            <w:sz w:val="20"/>
            <w:u w:val="single"/>
          </w:rPr>
          <w:t>333-286549</w:t>
        </w:r>
      </w:hyperlink>
      <w:r>
        <w:rPr>
          <w:rFonts w:ascii="Arial;sans-serif" w:hAnsi="Arial;sans-serif"/>
          <w:b w:val="false"/>
          <w:color w:val="000000"/>
          <w:sz w:val="20"/>
        </w:rPr>
        <w:t xml:space="preserve">, </w:t>
      </w:r>
      <w:hyperlink r:id="rId7">
        <w:r>
          <w:rPr>
            <w:rStyle w:val="InternetLink"/>
            <w:rFonts w:ascii="Arial;sans-serif" w:hAnsi="Arial;sans-serif"/>
            <w:b w:val="false"/>
            <w:color w:val="0000FF"/>
            <w:sz w:val="20"/>
            <w:u w:val="single"/>
          </w:rPr>
          <w:t>333-291155</w:t>
        </w:r>
      </w:hyperlink>
      <w:r>
        <w:rPr>
          <w:color w:val="000000"/>
        </w:rPr>
        <w:t xml:space="preserve"> </w:t>
      </w:r>
      <w:r>
        <w:rPr>
          <w:rFonts w:ascii="Arial;sans-serif" w:hAnsi="Arial;sans-serif"/>
          <w:b w:val="false"/>
          <w:color w:val="000000"/>
          <w:sz w:val="20"/>
        </w:rPr>
        <w:t xml:space="preserve">and </w:t>
      </w:r>
      <w:hyperlink r:id="rId8">
        <w:r>
          <w:rPr>
            <w:rStyle w:val="InternetLink"/>
            <w:rFonts w:ascii="Arial;sans-serif" w:hAnsi="Arial;sans-serif"/>
            <w:b w:val="false"/>
            <w:color w:val="0000FF"/>
            <w:sz w:val="20"/>
            <w:u w:val="single"/>
          </w:rPr>
          <w:t>333-292152</w:t>
        </w:r>
      </w:hyperlink>
      <w:r>
        <w:rPr>
          <w:rFonts w:ascii="Arial;sans-serif" w:hAnsi="Arial;sans-serif"/>
          <w:b w:val="false"/>
          <w:color w:val="000000"/>
          <w:sz w:val="20"/>
        </w:rPr>
        <w:t xml:space="preserve">), filed with the Securities and Exchange Commission, relating to the 2021 Plan, are incorporated herein by reference.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3"/>
        <w:gridCol w:w="354"/>
        <w:gridCol w:w="356"/>
        <w:gridCol w:w="109"/>
        <w:gridCol w:w="109"/>
        <w:gridCol w:w="109"/>
        <w:gridCol w:w="3030"/>
        <w:gridCol w:w="2368"/>
        <w:gridCol w:w="3367"/>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Arial;sans-serif" w:hAnsi="Arial;sans-serif"/>
                  <w:b w:val="false"/>
                  <w:color w:val="3051F2"/>
                  <w:sz w:val="20"/>
                  <w:u w:val="single"/>
                </w:rPr>
                <w:t>Thirteenth Amended and Restated Certificate of Incorporation of the Registrant, dated July 15, 2026 (incorporated by reference to Exhibit 3.1 to the Registrant’s Current Report on Form 8-K (File No. 001-40958) filed on July 16, 2026)</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Arial;sans-serif" w:hAnsi="Arial;sans-serif"/>
                  <w:b w:val="false"/>
                  <w:color w:val="3051F2"/>
                  <w:sz w:val="20"/>
                  <w:u w:val="single"/>
                </w:rPr>
                <w:t>Third Amended and Restated Bylaws of the Registrant, dated August 11, 2026 (incorporated by reference to Exhibit 3.1 to the Registrant’s Current Report on Form 8-K (File No. 001-40958) filed on August 13, 2026)</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51232opinionconsent.htm">
              <w:r>
                <w:rPr>
                  <w:rStyle w:val="InternetLink"/>
                  <w:rFonts w:ascii="Arial;sans-serif" w:hAnsi="Arial;sans-serif"/>
                  <w:b w:val="false"/>
                  <w:color w:val="3051F2"/>
                  <w:sz w:val="20"/>
                  <w:u w:val="single"/>
                </w:rPr>
                <w:t>Opinion of Davis Polk &amp; Wardwell LLP</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pwcsx8consent09.htm">
              <w:r>
                <w:rPr>
                  <w:rStyle w:val="InternetLink"/>
                  <w:rFonts w:ascii="Arial;sans-serif" w:hAnsi="Arial;sans-serif"/>
                  <w:b w:val="false"/>
                  <w:color w:val="3051F2"/>
                  <w:sz w:val="20"/>
                  <w:u w:val="single"/>
                </w:rPr>
                <w:t>Consent of PricewaterhouseCoopers LLP, Independent Registered Public Accounting Firm</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51232opinionconsent.htm">
              <w:r>
                <w:rPr>
                  <w:rStyle w:val="InternetLink"/>
                  <w:rFonts w:ascii="Arial;sans-serif" w:hAnsi="Arial;sans-serif"/>
                  <w:b w:val="false"/>
                  <w:color w:val="3051F2"/>
                  <w:sz w:val="20"/>
                  <w:u w:val="single"/>
                </w:rPr>
                <w:t>Consent of Davis Polk &amp; Wardwell LLP (included in Exhibit 5.1)</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21b37acd6534d29bcd37b4b14c29ae7_4">
              <w:r>
                <w:rPr>
                  <w:rStyle w:val="InternetLink"/>
                  <w:rFonts w:ascii="Arial;sans-serif" w:hAnsi="Arial;sans-serif"/>
                  <w:b w:val="false"/>
                  <w:color w:val="3051F2"/>
                  <w:sz w:val="20"/>
                  <w:u w:val="single"/>
                </w:rPr>
                <w:t>Power of Attorney (included on signature page)</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3051F2"/>
                  <w:sz w:val="20"/>
                  <w:u w:val="single"/>
                </w:rPr>
                <w:t>Second Amended and Restated 2021 Incentive Award Plan</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3051F2"/>
                  <w:sz w:val="20"/>
                  <w:u w:val="single"/>
                </w:rPr>
                <w:t>First Amendment to Second Amended and Restated 2021 Incentive Award Plan</w:t>
              </w:r>
            </w:hyperlink>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Arial;sans-serif" w:hAnsi="Arial;sans-serif"/>
                  <w:b w:val="false"/>
                  <w:color w:val="3051F2"/>
                  <w:sz w:val="20"/>
                  <w:u w:val="single"/>
                </w:rPr>
                <w:t>Filing Fee Table</w:t>
              </w:r>
            </w:hyperlink>
          </w:p>
        </w:tc>
      </w:tr>
    </w:tbl>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September 11, 2026.</w:t>
      </w:r>
    </w:p>
    <w:p>
      <w:pPr>
        <w:pStyle w:val="TextBody"/>
        <w:bidi w:val="0"/>
        <w:spacing w:before="0" w:after="0"/>
        <w:jc w:val="left"/>
        <w:rPr/>
      </w:pPr>
      <w:r>
        <w:rPr/>
      </w:r>
    </w:p>
    <w:tbl>
      <w:tblPr>
        <w:tblW w:w="8180" w:type="dxa"/>
        <w:jc w:val="left"/>
        <w:tblInd w:w="0" w:type="dxa"/>
        <w:tblLayout w:type="fixed"/>
        <w:tblCellMar>
          <w:top w:w="28" w:type="dxa"/>
          <w:left w:w="28" w:type="dxa"/>
          <w:bottom w:w="28" w:type="dxa"/>
          <w:right w:w="28" w:type="dxa"/>
        </w:tblCellMar>
      </w:tblPr>
      <w:tblGrid>
        <w:gridCol w:w="868"/>
        <w:gridCol w:w="762"/>
        <w:gridCol w:w="770"/>
        <w:gridCol w:w="397"/>
        <w:gridCol w:w="397"/>
        <w:gridCol w:w="397"/>
        <w:gridCol w:w="1342"/>
        <w:gridCol w:w="1342"/>
        <w:gridCol w:w="1905"/>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September 11, 2026</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45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Teri J. Bariquit</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Name: Teri J. Bariquit</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Title: Interim Chief Executive Officer and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Each person whose signature appears below hereby constitutes and appoints Teri J. Bariquit and David Loretta,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requisite and necessary or desirable to be done in connection therewith as fully to all intents and purposes as 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0"/>
        <w:gridCol w:w="588"/>
        <w:gridCol w:w="590"/>
        <w:gridCol w:w="109"/>
        <w:gridCol w:w="109"/>
        <w:gridCol w:w="109"/>
        <w:gridCol w:w="2011"/>
        <w:gridCol w:w="1976"/>
        <w:gridCol w:w="2000"/>
        <w:gridCol w:w="109"/>
        <w:gridCol w:w="109"/>
        <w:gridCol w:w="109"/>
        <w:gridCol w:w="475"/>
        <w:gridCol w:w="475"/>
        <w:gridCol w:w="686"/>
      </w:tblGrid>
      <w:tr>
        <w:trPr/>
        <w:tc>
          <w:tcPr>
            <w:tcW w:w="75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1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Teri J. Bariquit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Interim Chief Executive Officer, President and Director </w:t>
            </w:r>
            <w:r>
              <w:rPr>
                <w:rFonts w:ascii="Arial;sans-serif" w:hAnsi="Arial;sans-serif"/>
                <w:b w:val="false"/>
                <w:i/>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Teri J. Bariquit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David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Interim Chief Financial Officer </w:t>
            </w: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David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Dhiren Fonseca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Executive Chair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Dhiren Fonseca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Peter Comisar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Peter Comisar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Damian Giangiacomo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Damian Giangiacomo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Daniel Rosensweig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Daniel Rosensweig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Suchi Sastri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11, 2026</w:t>
            </w:r>
          </w:p>
        </w:tc>
      </w:tr>
      <w:tr>
        <w:trPr/>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Suchi Sastri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Rent the Runway,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2"/>
        <w:gridCol w:w="1295"/>
        <w:gridCol w:w="1204"/>
        <w:gridCol w:w="1222"/>
        <w:gridCol w:w="1706"/>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2" w:type="dxa"/>
            <w:tcBorders/>
            <w:shd w:fill="E7E7E2" w:val="clear"/>
            <w:vAlign w:val="center"/>
          </w:tcPr>
          <w:p>
            <w:pPr>
              <w:pStyle w:val="TableContents"/>
              <w:bidi w:val="0"/>
              <w:spacing w:before="0" w:after="283"/>
              <w:jc w:val="left"/>
              <w:rPr/>
            </w:pPr>
            <w:r>
              <w:rPr/>
              <w:t xml:space="preserve">Class A common stock, $0.001 par value per share </w:t>
            </w:r>
          </w:p>
        </w:tc>
        <w:tc>
          <w:tcPr>
            <w:tcW w:w="1295" w:type="dxa"/>
            <w:tcBorders/>
            <w:shd w:fill="E7E7E2" w:val="clear"/>
            <w:vAlign w:val="center"/>
          </w:tcPr>
          <w:p>
            <w:pPr>
              <w:pStyle w:val="TableContents"/>
              <w:bidi w:val="0"/>
              <w:spacing w:before="0" w:after="283"/>
              <w:jc w:val="center"/>
              <w:rPr/>
            </w:pPr>
            <w:r>
              <w:rPr/>
              <w:t xml:space="preserve">Other </w:t>
            </w:r>
          </w:p>
        </w:tc>
        <w:tc>
          <w:tcPr>
            <w:tcW w:w="1204" w:type="dxa"/>
            <w:tcBorders/>
            <w:shd w:fill="E7E7E2" w:val="clear"/>
            <w:vAlign w:val="center"/>
          </w:tcPr>
          <w:p>
            <w:pPr>
              <w:pStyle w:val="TableContents"/>
              <w:bidi w:val="0"/>
              <w:spacing w:before="0" w:after="283"/>
              <w:jc w:val="right"/>
              <w:rPr/>
            </w:pPr>
            <w:r>
              <w:rPr/>
              <w:t xml:space="preserve">4,905,082 </w:t>
            </w:r>
          </w:p>
        </w:tc>
        <w:tc>
          <w:tcPr>
            <w:tcW w:w="1222" w:type="dxa"/>
            <w:tcBorders/>
            <w:shd w:fill="E7E7E2" w:val="clear"/>
            <w:vAlign w:val="center"/>
          </w:tcPr>
          <w:p>
            <w:pPr>
              <w:pStyle w:val="TableContents"/>
              <w:bidi w:val="0"/>
              <w:spacing w:before="0" w:after="283"/>
              <w:jc w:val="right"/>
              <w:rPr/>
            </w:pPr>
            <w:r>
              <w:rPr/>
              <w:t xml:space="preserve">$ 2.94005 </w:t>
            </w:r>
          </w:p>
        </w:tc>
        <w:tc>
          <w:tcPr>
            <w:tcW w:w="1706" w:type="dxa"/>
            <w:tcBorders/>
            <w:shd w:fill="E7E7E2" w:val="clear"/>
            <w:vAlign w:val="center"/>
          </w:tcPr>
          <w:p>
            <w:pPr>
              <w:pStyle w:val="TableContents"/>
              <w:bidi w:val="0"/>
              <w:spacing w:before="0" w:after="283"/>
              <w:jc w:val="right"/>
              <w:rPr/>
            </w:pPr>
            <w:r>
              <w:rPr/>
              <w:t xml:space="preserve">$ 14,421,186.33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$ 1,991.57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4" w:name="MaxAggtOfferingPrice"/>
            <w:bookmarkEnd w:id="4"/>
            <w:r>
              <w:rPr/>
              <w:t xml:space="preserve">$ 14,421,186.33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$ 1,991.57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$ 1,991.57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Consists of 4,905,082 shares of Class A common stock that may become issuable under the Second Amended and Restated 2021 Incentive Award Plan, as amended (the "Plan") of Rent the Runway, Inc. (the "Registrant") pursuant to shares of common stock underlying equity awards granted Plan which were forfeited in accordance with their terms and became available for issuance under the Plan. Estimated solely for the purpose of calculating the registration fee pursuant to Rules 457(c) and 457(h) of the Securities Act, and based upon the average of the high and low prices of the Registrants Class A common stock as reported on The Nasdaq Stock Market LLC on September 9, 2026. The Registrant does not have any fee offsets.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29" w:type="dxa"/>
        <w:jc w:val="left"/>
        <w:tblInd w:w="0" w:type="dxa"/>
        <w:tblLayout w:type="fixed"/>
        <w:tblCellMar>
          <w:top w:w="28" w:type="dxa"/>
          <w:left w:w="28" w:type="dxa"/>
          <w:bottom w:w="28" w:type="dxa"/>
          <w:right w:w="28" w:type="dxa"/>
        </w:tblCellMar>
      </w:tblPr>
      <w:tblGrid>
        <w:gridCol w:w="602"/>
        <w:gridCol w:w="529"/>
        <w:gridCol w:w="530"/>
        <w:gridCol w:w="589"/>
        <w:gridCol w:w="589"/>
        <w:gridCol w:w="591"/>
        <w:gridCol w:w="109"/>
        <w:gridCol w:w="109"/>
        <w:gridCol w:w="109"/>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90600" cy="1714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3"/>
                          <a:stretch>
                            <a:fillRect/>
                          </a:stretch>
                        </pic:blipFill>
                        <pic:spPr bwMode="auto">
                          <a:xfrm>
                            <a:off x="0" y="0"/>
                            <a:ext cx="990600" cy="171450"/>
                          </a:xfrm>
                          <a:prstGeom prst="rect">
                            <a:avLst/>
                          </a:prstGeom>
                        </pic:spPr>
                      </pic:pic>
                    </a:graphicData>
                  </a:graphic>
                </wp:inline>
              </w:drawing>
            </w:r>
          </w:p>
        </w:tc>
        <w:tc>
          <w:tcPr>
            <w:tcW w:w="1769"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Arial;sans-serif" w:hAnsi="Arial;sans-serif"/>
                <w:b w:val="false"/>
                <w:color w:val="140BE3"/>
                <w:sz w:val="14"/>
              </w:rPr>
            </w:pPr>
            <w:r>
              <w:rPr>
                <w:rFonts w:ascii="Arial;sans-serif" w:hAnsi="Arial;sans-serif"/>
                <w:b w:val="false"/>
                <w:color w:val="140BE3"/>
                <w:sz w:val="14"/>
              </w:rPr>
              <w:t>Davis Polk &amp; Wardwell LLP</w:t>
            </w:r>
          </w:p>
          <w:p>
            <w:pPr>
              <w:pStyle w:val="TableContents"/>
              <w:bidi w:val="0"/>
              <w:spacing w:lineRule="auto" w:line="285" w:before="0" w:after="0"/>
              <w:jc w:val="left"/>
              <w:rPr>
                <w:rFonts w:ascii="Arial;sans-serif" w:hAnsi="Arial;sans-serif"/>
                <w:b w:val="false"/>
                <w:color w:val="140BE3"/>
                <w:sz w:val="14"/>
              </w:rPr>
            </w:pPr>
            <w:r>
              <w:rPr>
                <w:rFonts w:ascii="Arial;sans-serif" w:hAnsi="Arial;sans-serif"/>
                <w:b w:val="false"/>
                <w:color w:val="140BE3"/>
                <w:sz w:val="14"/>
              </w:rPr>
              <w:t>450 Lexington Avenue</w:t>
              <w:br/>
              <w:t>New York, NY 10017</w:t>
            </w:r>
          </w:p>
          <w:p>
            <w:pPr>
              <w:pStyle w:val="TableContents"/>
              <w:bidi w:val="0"/>
              <w:spacing w:lineRule="auto" w:line="285" w:before="0" w:after="0"/>
              <w:jc w:val="left"/>
              <w:rPr>
                <w:rFonts w:ascii="Arial;sans-serif" w:hAnsi="Arial;sans-serif"/>
                <w:b w:val="false"/>
                <w:color w:val="140BE3"/>
                <w:sz w:val="14"/>
              </w:rPr>
            </w:pPr>
            <w:r>
              <w:rPr>
                <w:rFonts w:ascii="Arial;sans-serif" w:hAnsi="Arial;sans-serif"/>
                <w:b w:val="false"/>
                <w:color w:val="140BE3"/>
                <w:sz w:val="14"/>
              </w:rPr>
              <w:t>davispolk.com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tbl>
      <w:tblPr>
        <w:tblW w:w="1919" w:type="dxa"/>
        <w:jc w:val="left"/>
        <w:tblInd w:w="0" w:type="dxa"/>
        <w:tblLayout w:type="fixed"/>
        <w:tblCellMar>
          <w:top w:w="28" w:type="dxa"/>
          <w:left w:w="28" w:type="dxa"/>
          <w:bottom w:w="28" w:type="dxa"/>
          <w:right w:w="28" w:type="dxa"/>
        </w:tblCellMar>
      </w:tblPr>
      <w:tblGrid>
        <w:gridCol w:w="613"/>
        <w:gridCol w:w="539"/>
        <w:gridCol w:w="767"/>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360"/>
              <w:jc w:val="left"/>
              <w:rPr>
                <w:rFonts w:ascii="Arial;sans-serif" w:hAnsi="Arial;sans-serif"/>
                <w:b w:val="false"/>
                <w:color w:val="000000"/>
                <w:sz w:val="20"/>
              </w:rPr>
            </w:pPr>
            <w:r>
              <w:rPr>
                <w:rFonts w:ascii="Arial;sans-serif" w:hAnsi="Arial;sans-serif"/>
                <w:b w:val="false"/>
                <w:color w:val="000000"/>
                <w:sz w:val="20"/>
              </w:rPr>
              <w:t>September 11, 2026</w:t>
            </w:r>
          </w:p>
        </w:tc>
      </w:tr>
    </w:tbl>
    <w:p>
      <w:pPr>
        <w:pStyle w:val="TextBody"/>
        <w:bidi w:val="0"/>
        <w:spacing w:lineRule="auto" w:line="307" w:before="0" w:after="0"/>
        <w:jc w:val="right"/>
        <w:rPr>
          <w:rFonts w:ascii="Arial;sans-serif" w:hAnsi="Arial;sans-serif"/>
          <w:b/>
          <w:color w:val="000000"/>
          <w:sz w:val="20"/>
        </w:rPr>
      </w:pPr>
      <w:r>
        <w:rPr>
          <w:rFonts w:ascii="Arial;sans-serif" w:hAnsi="Arial;sans-serif"/>
          <w:b/>
          <w:color w:val="000000"/>
          <w:sz w:val="20"/>
        </w:rPr>
        <w:t>Exhibit 5.1 and 23.2</w:t>
      </w:r>
    </w:p>
    <w:p>
      <w:pPr>
        <w:pStyle w:val="TextBody"/>
        <w:bidi w:val="0"/>
        <w:spacing w:lineRule="auto" w:line="307" w:before="0" w:after="260"/>
        <w:jc w:val="left"/>
        <w:rPr>
          <w:rFonts w:ascii="Arial;sans-serif" w:hAnsi="Arial;sans-serif"/>
          <w:b w:val="false"/>
          <w:color w:val="000000"/>
          <w:sz w:val="20"/>
        </w:rPr>
      </w:pPr>
      <w:r>
        <w:rPr>
          <w:rFonts w:ascii="Arial;sans-serif" w:hAnsi="Arial;sans-serif"/>
          <w:b w:val="false"/>
          <w:color w:val="000000"/>
          <w:sz w:val="20"/>
        </w:rPr>
        <w:t>Rent the Runway, Inc.</w:t>
        <w:br/>
        <w:t>10 Jay Street</w:t>
        <w:br/>
        <w:t>Brooklyn, New York 11201</w:t>
      </w:r>
    </w:p>
    <w:p>
      <w:pPr>
        <w:pStyle w:val="TextBody"/>
        <w:bidi w:val="0"/>
        <w:spacing w:lineRule="auto" w:line="355" w:before="0" w:after="26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355" w:before="0" w:after="240"/>
        <w:jc w:val="left"/>
        <w:rPr/>
      </w:pPr>
      <w:r>
        <w:rPr>
          <w:rFonts w:ascii="Arial;sans-serif" w:hAnsi="Arial;sans-serif"/>
          <w:b w:val="false"/>
          <w:color w:val="000000"/>
          <w:sz w:val="20"/>
        </w:rPr>
        <w:t>We have acted as counsel for Rent the Runway, Inc., a Delaware corporation (the “</w:t>
      </w:r>
      <w:r>
        <w:rPr>
          <w:rFonts w:ascii="Arial;sans-serif" w:hAnsi="Arial;sans-serif"/>
          <w:b/>
          <w:color w:val="000000"/>
          <w:sz w:val="20"/>
        </w:rPr>
        <w:t>Company</w:t>
      </w:r>
      <w:r>
        <w:rPr>
          <w:color w:val="000000"/>
        </w:rPr>
        <w:t>”</w:t>
      </w:r>
      <w:r>
        <w:rPr>
          <w:rFonts w:ascii="Arial;sans-serif" w:hAnsi="Arial;sans-serif"/>
          <w:b w:val="false"/>
          <w:color w:val="000000"/>
          <w:sz w:val="20"/>
        </w:rPr>
        <w:t>), in connection with the preparation and filing of a registration statement on Form S-8 (the “</w:t>
      </w:r>
      <w:r>
        <w:rPr>
          <w:rFonts w:ascii="Arial;sans-serif" w:hAnsi="Arial;sans-serif"/>
          <w:b/>
          <w:color w:val="000000"/>
          <w:sz w:val="20"/>
        </w:rPr>
        <w:t>Registration</w:t>
      </w:r>
      <w:r>
        <w:rPr>
          <w:color w:val="000000"/>
        </w:rPr>
        <w:t xml:space="preserve"> </w:t>
      </w:r>
      <w:r>
        <w:rPr>
          <w:rFonts w:ascii="Arial;sans-serif" w:hAnsi="Arial;sans-serif"/>
          <w:b/>
          <w:color w:val="000000"/>
          <w:sz w:val="20"/>
        </w:rPr>
        <w:t>Statement</w:t>
      </w:r>
      <w:r>
        <w:rPr>
          <w:color w:val="000000"/>
        </w:rPr>
        <w:t>”</w:t>
      </w:r>
      <w:r>
        <w:rPr>
          <w:rFonts w:ascii="Arial;sans-serif" w:hAnsi="Arial;sans-serif"/>
          <w:b w:val="false"/>
          <w:color w:val="000000"/>
          <w:sz w:val="20"/>
        </w:rPr>
        <w:t>) with the Securities and Exchange Commission under the Securities Act of 1933, as amended (the “</w:t>
      </w:r>
      <w:r>
        <w:rPr>
          <w:rFonts w:ascii="Arial;sans-serif" w:hAnsi="Arial;sans-serif"/>
          <w:b/>
          <w:color w:val="000000"/>
          <w:sz w:val="20"/>
        </w:rPr>
        <w:t>Securities</w:t>
      </w:r>
      <w:r>
        <w:rPr>
          <w:color w:val="000000"/>
        </w:rPr>
        <w:t xml:space="preserve"> </w:t>
      </w:r>
      <w:r>
        <w:rPr>
          <w:rFonts w:ascii="Arial;sans-serif" w:hAnsi="Arial;sans-serif"/>
          <w:b/>
          <w:color w:val="000000"/>
          <w:sz w:val="20"/>
        </w:rPr>
        <w:t>Act</w:t>
      </w:r>
      <w:r>
        <w:rPr>
          <w:color w:val="000000"/>
        </w:rPr>
        <w:t>”</w:t>
      </w:r>
      <w:r>
        <w:rPr>
          <w:rFonts w:ascii="Arial;sans-serif" w:hAnsi="Arial;sans-serif"/>
          <w:b w:val="false"/>
          <w:color w:val="000000"/>
          <w:sz w:val="20"/>
        </w:rPr>
        <w:t>), for the purpose of registering under the Securities Act 4,905,082 shares of the Company’s Class A common stock, par value $0.001 per share (the “</w:t>
      </w:r>
      <w:r>
        <w:rPr>
          <w:rFonts w:ascii="Arial;sans-serif" w:hAnsi="Arial;sans-serif"/>
          <w:b/>
          <w:color w:val="000000"/>
          <w:sz w:val="20"/>
        </w:rPr>
        <w:t>Shares</w:t>
      </w:r>
      <w:r>
        <w:rPr>
          <w:color w:val="000000"/>
        </w:rPr>
        <w:t>”</w:t>
      </w:r>
      <w:r>
        <w:rPr>
          <w:rFonts w:ascii="Arial;sans-serif" w:hAnsi="Arial;sans-serif"/>
          <w:b w:val="false"/>
          <w:color w:val="000000"/>
          <w:sz w:val="20"/>
        </w:rPr>
        <w:t>) underlying equity awards granted under the Rent the Runway, Inc. Second Amended and Restated 2021 Incentive Award Plan, as amended (the “Plan”), which were forfeited in accordance with their terms and became available for issuance under the Plan in accordance with Section 4.2 of the Plan. As such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We, as the Company’s counsel, have examined originals or copies of such documents, corporate records and other instruments and such matters of fact and law as we have deemed necessary or advisable for the purposes of rendering the opinion expressed herein.</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Upon the basis of the foregoing, we are of the opinion that the Shares issuable pursuant to the Plan have been duly authorized and, when and to the extent issued in accordance with the terms of the Plan, will be legally and validly issued, fully paid and non-assessable.</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 xml:space="preserve">This opinion is given as of the date hereof. We assume no obligation to update or supplement this opinion to reflect any facts or circumstances which may hereafter come to our attention or any changes in laws which may hereafter occur.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307"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307" w:before="0" w:after="0"/>
                        <w:jc w:val="left"/>
                        <w:rPr>
                          <w:color w:val="000000"/>
                        </w:rPr>
                      </w:pPr>
                      <w:r>
                        <w:rPr>
                          <w:color w:val="000000"/>
                        </w:rPr>
                        <w:t>    </w:t>
                      </w:r>
                    </w:p>
                  </w:txbxContent>
                </v:textbox>
                <w10:wrap type="none"/>
              </v:rect>
            </w:pict>
          </mc:Fallback>
        </mc:AlternateConten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drawing>
          <wp:inline distT="0" distB="0" distL="0" distR="0">
            <wp:extent cx="990600" cy="1809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14"/>
                    <a:stretch>
                      <a:fillRect/>
                    </a:stretch>
                  </pic:blipFill>
                  <pic:spPr bwMode="auto">
                    <a:xfrm>
                      <a:off x="0" y="0"/>
                      <a:ext cx="990600" cy="180975"/>
                    </a:xfrm>
                    <a:prstGeom prst="rect">
                      <a:avLst/>
                    </a:prstGeom>
                  </pic:spPr>
                </pic:pic>
              </a:graphicData>
            </a:graphic>
          </wp:inline>
        </w:drawing>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 xml:space="preserve">This opinion letter is provided to the Securities and Exchange Commission for use solely in connection with the transactions contemplated by the Registration Statement and may not be used, circulated, quoted or otherwise relied upon by any other person or for any other purpose without express written consent. </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 xml:space="preserve">We are members of the Bar of the State of New York, and the foregoing opinion is limited to the laws of the State of New York and the General Corporation Law of the State of Delaware. </w:t>
      </w:r>
    </w:p>
    <w:p>
      <w:pPr>
        <w:pStyle w:val="TextBody"/>
        <w:bidi w:val="0"/>
        <w:spacing w:lineRule="auto" w:line="355" w:before="0" w:after="240"/>
        <w:jc w:val="left"/>
        <w:rPr>
          <w:rFonts w:ascii="Arial;sans-serif" w:hAnsi="Arial;sans-serif"/>
          <w:b w:val="false"/>
          <w:color w:val="000000"/>
          <w:sz w:val="20"/>
        </w:rPr>
      </w:pPr>
      <w:r>
        <w:rPr>
          <w:rFonts w:ascii="Arial;sans-serif" w:hAnsi="Arial;sans-serif"/>
          <w:b w:val="false"/>
          <w:color w:val="000000"/>
          <w:sz w:val="20"/>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bidi w:val="0"/>
        <w:spacing w:lineRule="auto" w:line="355" w:before="0" w:after="72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lineRule="auto" w:line="355" w:before="0" w:after="720"/>
        <w:jc w:val="left"/>
        <w:rPr>
          <w:rFonts w:ascii="Arial;sans-serif" w:hAnsi="Arial;sans-serif"/>
          <w:b w:val="false"/>
          <w:color w:val="000000"/>
          <w:sz w:val="20"/>
        </w:rPr>
      </w:pPr>
      <w:r>
        <w:rPr>
          <w:rFonts w:ascii="Arial;sans-serif" w:hAnsi="Arial;sans-serif"/>
          <w:b w:val="false"/>
          <w:color w:val="000000"/>
          <w:sz w:val="20"/>
        </w:rPr>
        <w:t>/s/ Davis Polk &amp; Wardwell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98855"/>
                <wp:effectExtent l="0" t="0" r="0" b="0"/>
                <wp:wrapNone/>
                <wp:docPr id="9" name="Frame7"/>
                <a:graphic xmlns:a="http://schemas.openxmlformats.org/drawingml/2006/main">
                  <a:graphicData uri="http://schemas.microsoft.com/office/word/2010/wordprocessingShape">
                    <wps:wsp>
                      <wps:cNvSpPr txBox="1"/>
                      <wps:spPr>
                        <a:xfrm>
                          <a:off x="0" y="0"/>
                          <a:ext cx="6480175" cy="998855"/>
                        </a:xfrm>
                        <a:prstGeom prst="rect"/>
                        <a:solidFill>
                          <a:srgbClr val="FFFFFF"/>
                        </a:solidFill>
                      </wps:spPr>
                      <wps:txbx>
                        <w:txbxContent>
                          <w:tbl>
                            <w:tblPr>
                              <w:tblW w:w="1664" w:type="dxa"/>
                              <w:jc w:val="left"/>
                              <w:tblInd w:w="0" w:type="dxa"/>
                              <w:tblLayout w:type="fixed"/>
                              <w:tblCellMar>
                                <w:top w:w="28" w:type="dxa"/>
                                <w:left w:w="28" w:type="dxa"/>
                                <w:bottom w:w="28" w:type="dxa"/>
                                <w:right w:w="28" w:type="dxa"/>
                              </w:tblCellMar>
                            </w:tblPr>
                            <w:tblGrid>
                              <w:gridCol w:w="532"/>
                              <w:gridCol w:w="467"/>
                              <w:gridCol w:w="665"/>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140BE3"/>
                                  </w:tcBorders>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4"/>
                                    </w:rPr>
                                  </w:pPr>
                                  <w:r>
                                    <w:rPr>
                                      <w:rFonts w:ascii="Arial;sans-serif" w:hAnsi="Arial;sans-serif"/>
                                      <w:b w:val="false"/>
                                      <w:color w:val="000000"/>
                                      <w:sz w:val="14"/>
                                    </w:rPr>
                                    <w:t>September 11, 2026    2</w:t>
                                  </w:r>
                                </w:p>
                              </w:tc>
                            </w:tr>
                          </w:tbl>
                          <w:p>
                            <w:pPr>
                              <w:pStyle w:val="TextBody"/>
                              <w:bidi w:val="0"/>
                              <w:spacing w:before="0" w:after="0"/>
                              <w:jc w:val="left"/>
                              <w:rPr/>
                            </w:pPr>
                            <w:r>
                              <w:rPr/>
                            </w:r>
                          </w:p>
                          <w:p>
                            <w:pPr>
                              <w:pStyle w:val="TextBody"/>
                              <w:bidi w:val="0"/>
                              <w:spacing w:lineRule="auto" w:line="307"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65pt;mso-wrap-distance-left:0pt;mso-wrap-distance-right:0pt;mso-wrap-distance-top:0pt;mso-wrap-distance-bottom:0pt;margin-top:0pt;mso-position-vertical:top;mso-position-vertical-relative:text;margin-left:0pt;mso-position-horizontal:left;mso-position-horizontal-relative:text">
                <v:textbox>
                  <w:txbxContent>
                    <w:tbl>
                      <w:tblPr>
                        <w:tblW w:w="1664" w:type="dxa"/>
                        <w:jc w:val="left"/>
                        <w:tblInd w:w="0" w:type="dxa"/>
                        <w:tblLayout w:type="fixed"/>
                        <w:tblCellMar>
                          <w:top w:w="28" w:type="dxa"/>
                          <w:left w:w="28" w:type="dxa"/>
                          <w:bottom w:w="28" w:type="dxa"/>
                          <w:right w:w="28" w:type="dxa"/>
                        </w:tblCellMar>
                      </w:tblPr>
                      <w:tblGrid>
                        <w:gridCol w:w="532"/>
                        <w:gridCol w:w="467"/>
                        <w:gridCol w:w="665"/>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140BE3"/>
                            </w:tcBorders>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4"/>
                              </w:rPr>
                            </w:pPr>
                            <w:r>
                              <w:rPr>
                                <w:rFonts w:ascii="Arial;sans-serif" w:hAnsi="Arial;sans-serif"/>
                                <w:b w:val="false"/>
                                <w:color w:val="000000"/>
                                <w:sz w:val="14"/>
                              </w:rPr>
                              <w:t>September 11, 2026    2</w:t>
                            </w:r>
                          </w:p>
                        </w:tc>
                      </w:tr>
                    </w:tbl>
                    <w:p>
                      <w:pPr>
                        <w:pStyle w:val="TextBody"/>
                        <w:bidi w:val="0"/>
                        <w:spacing w:before="0" w:after="0"/>
                        <w:jc w:val="left"/>
                        <w:rPr/>
                      </w:pPr>
                      <w:r>
                        <w:rPr/>
                      </w:r>
                    </w:p>
                    <w:p>
                      <w:pPr>
                        <w:pStyle w:val="TextBody"/>
                        <w:bidi w:val="0"/>
                        <w:spacing w:lineRule="auto" w:line="307" w:before="0" w:after="0"/>
                        <w:jc w:val="left"/>
                        <w:rPr>
                          <w:color w:val="000000"/>
                        </w:rPr>
                      </w:pPr>
                      <w:r>
                        <w:rPr>
                          <w:color w:val="000000"/>
                        </w:rPr>
                        <w:t>    </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this Registration Statement on Form S-8 of Rent the Runway,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 dated April 15, 2026 relating to the financial statements, which appears in Rent the Runway, Inc. Annual Report on Form 10-K for the year ended January 31, 2026.</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/s/ PricewaterhouseCoopers LLP</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September 11,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7/000119312521311477/d212386ds8.htm" TargetMode="External"/><Relationship Id="rId3" Type="http://schemas.openxmlformats.org/officeDocument/2006/relationships/hyperlink" Target="https://www.sec.gov/Archives/edgar/data/1468327/000146832722000049/s-8xapril142022.htm" TargetMode="External"/><Relationship Id="rId4" Type="http://schemas.openxmlformats.org/officeDocument/2006/relationships/hyperlink" Target="https://www.sec.gov/Archives/edgar/data/1468327/000146832723000053/s-8xapril132023.htm" TargetMode="External"/><Relationship Id="rId5" Type="http://schemas.openxmlformats.org/officeDocument/2006/relationships/hyperlink" Target="https://www.sec.gov/Archives/edgar/data/1468327/000146832724000116/s-8xapril112024.htm" TargetMode="External"/><Relationship Id="rId6" Type="http://schemas.openxmlformats.org/officeDocument/2006/relationships/hyperlink" Target="https://www.sec.gov/Archives/edgar/data/1468327/000146832725000057/s-8xapril152025.htm" TargetMode="External"/><Relationship Id="rId7" Type="http://schemas.openxmlformats.org/officeDocument/2006/relationships/hyperlink" Target="https://www.sec.gov/Archives/edgar/data/1468327/000146832725000213/s-8xoctober282025.htm" TargetMode="External"/><Relationship Id="rId8" Type="http://schemas.openxmlformats.org/officeDocument/2006/relationships/hyperlink" Target="https://www.sec.gov/Archives/edgar/data/1468327/000146832725000239/s-8xdecember152025.htm" TargetMode="External"/><Relationship Id="rId9" Type="http://schemas.openxmlformats.org/officeDocument/2006/relationships/hyperlink" Target="https://www.sec.gov/Archives/edgar/data/1468327/000146832726000044/rtr-13tharcertificateofinc.htm" TargetMode="External"/><Relationship Id="rId10" Type="http://schemas.openxmlformats.org/officeDocument/2006/relationships/hyperlink" Target="https://www.sec.gov/Archives/edgar/data/1468327/000146832726000064/thirdarbylaws1.htm" TargetMode="External"/><Relationship Id="rId11" Type="http://schemas.openxmlformats.org/officeDocument/2006/relationships/hyperlink" Target="https://www.sec.gov/Archives/edgar/data/1468327/000146832725000213/rtr-secondamendedandrestat.htm" TargetMode="External"/><Relationship Id="rId12" Type="http://schemas.openxmlformats.org/officeDocument/2006/relationships/hyperlink" Target="https://www.sec.gov/Archives/edgar/data/1468327/000146832725000213/rtr-secondamendedandrestat.htm" TargetMode="Externa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1981</Words>
  <Characters>10495</Characters>
  <CharactersWithSpaces>12366</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