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left="500" w:right="120"/>
        <w:spacing w:after="0" w:line="252" w:lineRule="auto"/>
        <w:rPr>
          <w:sz w:val="20"/>
          <w:szCs w:val="20"/>
          <w:color w:val="auto"/>
        </w:rPr>
      </w:pPr>
      <w:r>
        <w:rPr>
          <w:rFonts w:ascii="Arial" w:cs="Arial" w:eastAsia="Arial" w:hAnsi="Arial"/>
          <w:sz w:val="14"/>
          <w:szCs w:val="14"/>
          <w:b w:val="1"/>
          <w:bCs w:val="1"/>
          <w:color w:val="auto"/>
        </w:rPr>
        <w:t>As confidentially submitted to the Securities and Exchange Commission on August 25, 2021.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0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55880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98425</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62"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UNITED STATES</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130810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Amendment No. 1 to Confidential Submission on</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S-1</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REGISTRATION STATEMENT</w:t>
      </w:r>
    </w:p>
    <w:p>
      <w:pPr>
        <w:jc w:val="center"/>
        <w:ind w:right="-159"/>
        <w:spacing w:after="0" w:line="234" w:lineRule="auto"/>
        <w:rPr>
          <w:sz w:val="20"/>
          <w:szCs w:val="20"/>
          <w:color w:val="auto"/>
        </w:rPr>
      </w:pPr>
      <w:r>
        <w:rPr>
          <w:rFonts w:ascii="Arial" w:cs="Arial" w:eastAsia="Arial" w:hAnsi="Arial"/>
          <w:sz w:val="18"/>
          <w:szCs w:val="18"/>
          <w:b w:val="1"/>
          <w:bCs w:val="1"/>
          <w:i w:val="1"/>
          <w:iCs w:val="1"/>
          <w:color w:val="auto"/>
        </w:rPr>
        <w:t>UNDER</w:t>
      </w:r>
    </w:p>
    <w:p>
      <w:pPr>
        <w:jc w:val="center"/>
        <w:ind w:right="-1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114935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RENT THE RUNWAY, INC.</w:t>
      </w:r>
    </w:p>
    <w:p>
      <w:pPr>
        <w:spacing w:after="0" w:line="5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123825</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81"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jc w:val="center"/>
              <w:ind w:right="769"/>
              <w:spacing w:after="0"/>
              <w:rPr>
                <w:sz w:val="20"/>
                <w:szCs w:val="20"/>
                <w:color w:val="auto"/>
              </w:rPr>
            </w:pPr>
            <w:r>
              <w:rPr>
                <w:rFonts w:ascii="Arial" w:cs="Arial" w:eastAsia="Arial" w:hAnsi="Arial"/>
                <w:sz w:val="14"/>
                <w:szCs w:val="14"/>
                <w:b w:val="1"/>
                <w:bCs w:val="1"/>
                <w:color w:val="auto"/>
              </w:rPr>
              <w:t>Delaware</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7389</w:t>
            </w:r>
          </w:p>
        </w:tc>
        <w:tc>
          <w:tcPr>
            <w:tcW w:w="2440" w:type="dxa"/>
            <w:vAlign w:val="bottom"/>
          </w:tcPr>
          <w:p>
            <w:pPr>
              <w:jc w:val="center"/>
              <w:ind w:left="889"/>
              <w:spacing w:after="0"/>
              <w:rPr>
                <w:sz w:val="20"/>
                <w:szCs w:val="20"/>
                <w:color w:val="auto"/>
              </w:rPr>
            </w:pPr>
            <w:r>
              <w:rPr>
                <w:rFonts w:ascii="Arial" w:cs="Arial" w:eastAsia="Arial" w:hAnsi="Arial"/>
                <w:sz w:val="14"/>
                <w:szCs w:val="14"/>
                <w:b w:val="1"/>
                <w:bCs w:val="1"/>
                <w:color w:val="auto"/>
              </w:rPr>
              <w:t>80-0376379</w:t>
            </w:r>
          </w:p>
        </w:tc>
      </w:tr>
      <w:tr>
        <w:trPr>
          <w:trHeight w:val="160"/>
        </w:trPr>
        <w:tc>
          <w:tcPr>
            <w:tcW w:w="2900" w:type="dxa"/>
            <w:vAlign w:val="bottom"/>
          </w:tcPr>
          <w:p>
            <w:pPr>
              <w:jc w:val="center"/>
              <w:ind w:right="789"/>
              <w:spacing w:after="0"/>
              <w:rPr>
                <w:sz w:val="20"/>
                <w:szCs w:val="20"/>
                <w:color w:val="auto"/>
              </w:rPr>
            </w:pPr>
            <w:r>
              <w:rPr>
                <w:rFonts w:ascii="Arial" w:cs="Arial" w:eastAsia="Arial" w:hAnsi="Arial"/>
                <w:sz w:val="14"/>
                <w:szCs w:val="14"/>
                <w:b w:val="1"/>
                <w:bCs w:val="1"/>
                <w:color w:val="auto"/>
              </w:rPr>
              <w:t>(State or other jurisdiction of</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40" w:type="dxa"/>
            <w:vAlign w:val="bottom"/>
          </w:tcPr>
          <w:p>
            <w:pPr>
              <w:jc w:val="center"/>
              <w:ind w:left="869"/>
              <w:spacing w:after="0"/>
              <w:rPr>
                <w:sz w:val="20"/>
                <w:szCs w:val="20"/>
                <w:color w:val="auto"/>
              </w:rPr>
            </w:pPr>
            <w:r>
              <w:rPr>
                <w:rFonts w:ascii="Arial" w:cs="Arial" w:eastAsia="Arial" w:hAnsi="Arial"/>
                <w:sz w:val="14"/>
                <w:szCs w:val="14"/>
                <w:b w:val="1"/>
                <w:bCs w:val="1"/>
                <w:color w:val="auto"/>
              </w:rPr>
              <w:t>(I.R.S. Employer</w:t>
            </w:r>
          </w:p>
        </w:tc>
      </w:tr>
      <w:tr>
        <w:trPr>
          <w:trHeight w:val="189"/>
        </w:trPr>
        <w:tc>
          <w:tcPr>
            <w:tcW w:w="2900" w:type="dxa"/>
            <w:vAlign w:val="bottom"/>
          </w:tcPr>
          <w:p>
            <w:pPr>
              <w:jc w:val="center"/>
              <w:ind w:right="789"/>
              <w:spacing w:after="0"/>
              <w:rPr>
                <w:sz w:val="20"/>
                <w:szCs w:val="20"/>
                <w:color w:val="auto"/>
              </w:rPr>
            </w:pPr>
            <w:r>
              <w:rPr>
                <w:rFonts w:ascii="Arial" w:cs="Arial" w:eastAsia="Arial" w:hAnsi="Arial"/>
                <w:sz w:val="14"/>
                <w:szCs w:val="14"/>
                <w:b w:val="1"/>
                <w:bCs w:val="1"/>
                <w:color w:val="auto"/>
              </w:rPr>
              <w:t>incorporation or organization)</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40" w:type="dxa"/>
            <w:vAlign w:val="bottom"/>
          </w:tcPr>
          <w:p>
            <w:pPr>
              <w:jc w:val="center"/>
              <w:ind w:left="869"/>
              <w:spacing w:after="0"/>
              <w:rPr>
                <w:sz w:val="20"/>
                <w:szCs w:val="20"/>
                <w:color w:val="auto"/>
              </w:rPr>
            </w:pPr>
            <w:r>
              <w:rPr>
                <w:rFonts w:ascii="Arial" w:cs="Arial" w:eastAsia="Arial" w:hAnsi="Arial"/>
                <w:sz w:val="14"/>
                <w:szCs w:val="14"/>
                <w:b w:val="1"/>
                <w:bCs w:val="1"/>
                <w:color w:val="auto"/>
              </w:rPr>
              <w:t>Identification Number)</w:t>
            </w:r>
          </w:p>
        </w:tc>
      </w:tr>
    </w:tbl>
    <w:p>
      <w:pPr>
        <w:spacing w:after="0" w:line="9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10 Jay Street</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Brooklyn, New York 11201</w:t>
      </w:r>
    </w:p>
    <w:p>
      <w:pPr>
        <w:jc w:val="center"/>
        <w:ind w:right="-159"/>
        <w:spacing w:after="0"/>
        <w:rPr>
          <w:sz w:val="20"/>
          <w:szCs w:val="20"/>
          <w:color w:val="auto"/>
        </w:rPr>
      </w:pPr>
      <w:r>
        <w:rPr>
          <w:rFonts w:ascii="Arial" w:cs="Arial" w:eastAsia="Arial" w:hAnsi="Arial"/>
          <w:sz w:val="14"/>
          <w:szCs w:val="14"/>
          <w:b w:val="1"/>
          <w:bCs w:val="1"/>
          <w:color w:val="auto"/>
        </w:rPr>
        <w:t>(646) 832-3582</w:t>
      </w: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88"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Jennifer Y. Hyman, Co-Founder, Chief Executive Officer and Chair</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Rent the Runway, Inc.</w:t>
      </w:r>
    </w:p>
    <w:p>
      <w:pPr>
        <w:jc w:val="center"/>
        <w:ind w:right="-159"/>
        <w:spacing w:after="0"/>
        <w:rPr>
          <w:sz w:val="20"/>
          <w:szCs w:val="20"/>
          <w:color w:val="auto"/>
        </w:rPr>
      </w:pPr>
      <w:r>
        <w:rPr>
          <w:rFonts w:ascii="Arial" w:cs="Arial" w:eastAsia="Arial" w:hAnsi="Arial"/>
          <w:sz w:val="14"/>
          <w:szCs w:val="14"/>
          <w:b w:val="1"/>
          <w:bCs w:val="1"/>
          <w:color w:val="auto"/>
        </w:rPr>
        <w:t>10 Jay Street</w:t>
      </w:r>
    </w:p>
    <w:p>
      <w:pPr>
        <w:jc w:val="center"/>
        <w:ind w:right="-159"/>
        <w:spacing w:after="0"/>
        <w:rPr>
          <w:sz w:val="20"/>
          <w:szCs w:val="20"/>
          <w:color w:val="auto"/>
        </w:rPr>
      </w:pPr>
      <w:r>
        <w:rPr>
          <w:rFonts w:ascii="Arial" w:cs="Arial" w:eastAsia="Arial" w:hAnsi="Arial"/>
          <w:sz w:val="14"/>
          <w:szCs w:val="14"/>
          <w:b w:val="1"/>
          <w:bCs w:val="1"/>
          <w:color w:val="auto"/>
        </w:rPr>
        <w:t>Brooklyn, New York 11201</w:t>
      </w:r>
    </w:p>
    <w:p>
      <w:pPr>
        <w:jc w:val="center"/>
        <w:ind w:right="-159"/>
        <w:spacing w:after="0"/>
        <w:rPr>
          <w:sz w:val="20"/>
          <w:szCs w:val="20"/>
          <w:color w:val="auto"/>
        </w:rPr>
      </w:pPr>
      <w:r>
        <w:rPr>
          <w:rFonts w:ascii="Arial" w:cs="Arial" w:eastAsia="Arial" w:hAnsi="Arial"/>
          <w:sz w:val="14"/>
          <w:szCs w:val="14"/>
          <w:b w:val="1"/>
          <w:bCs w:val="1"/>
          <w:color w:val="auto"/>
        </w:rPr>
        <w:t>(646) 832-3582</w:t>
      </w: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123825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41"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80" w:type="dxa"/>
            <w:vAlign w:val="bottom"/>
          </w:tcPr>
          <w:p>
            <w:pPr>
              <w:ind w:left="800"/>
              <w:spacing w:after="0"/>
              <w:rPr>
                <w:sz w:val="20"/>
                <w:szCs w:val="20"/>
                <w:color w:val="auto"/>
              </w:rPr>
            </w:pPr>
            <w:r>
              <w:rPr>
                <w:rFonts w:ascii="Arial" w:cs="Arial" w:eastAsia="Arial" w:hAnsi="Arial"/>
                <w:sz w:val="14"/>
                <w:szCs w:val="14"/>
                <w:b w:val="1"/>
                <w:bCs w:val="1"/>
                <w:i w:val="1"/>
                <w:iCs w:val="1"/>
                <w:color w:val="auto"/>
              </w:rPr>
              <w:t>Copies to:</w:t>
            </w:r>
          </w:p>
        </w:tc>
        <w:tc>
          <w:tcPr>
            <w:tcW w:w="3580" w:type="dxa"/>
            <w:vAlign w:val="bottom"/>
          </w:tcPr>
          <w:p>
            <w:pPr>
              <w:spacing w:after="0"/>
              <w:rPr>
                <w:sz w:val="14"/>
                <w:szCs w:val="14"/>
                <w:color w:val="auto"/>
              </w:rPr>
            </w:pPr>
          </w:p>
        </w:tc>
      </w:tr>
      <w:tr>
        <w:trPr>
          <w:trHeight w:val="160"/>
        </w:trPr>
        <w:tc>
          <w:tcPr>
            <w:tcW w:w="1180" w:type="dxa"/>
            <w:vAlign w:val="bottom"/>
          </w:tcPr>
          <w:p>
            <w:pPr>
              <w:spacing w:after="0"/>
              <w:rPr>
                <w:sz w:val="13"/>
                <w:szCs w:val="13"/>
                <w:color w:val="auto"/>
              </w:rPr>
            </w:pPr>
          </w:p>
        </w:tc>
        <w:tc>
          <w:tcPr>
            <w:tcW w:w="3120" w:type="dxa"/>
            <w:vAlign w:val="bottom"/>
          </w:tcPr>
          <w:p>
            <w:pPr>
              <w:jc w:val="center"/>
              <w:ind w:right="1729"/>
              <w:spacing w:after="0"/>
              <w:rPr>
                <w:sz w:val="20"/>
                <w:szCs w:val="20"/>
                <w:color w:val="auto"/>
              </w:rPr>
            </w:pPr>
            <w:r>
              <w:rPr>
                <w:rFonts w:ascii="Arial" w:cs="Arial" w:eastAsia="Arial" w:hAnsi="Arial"/>
                <w:sz w:val="14"/>
                <w:szCs w:val="14"/>
                <w:b w:val="1"/>
                <w:bCs w:val="1"/>
                <w:color w:val="auto"/>
              </w:rPr>
              <w:t>Marc D. Jaffe</w:t>
            </w:r>
          </w:p>
        </w:tc>
        <w:tc>
          <w:tcPr>
            <w:tcW w:w="2280" w:type="dxa"/>
            <w:vAlign w:val="bottom"/>
          </w:tcPr>
          <w:p>
            <w:pPr>
              <w:jc w:val="center"/>
              <w:ind w:left="149"/>
              <w:spacing w:after="0"/>
              <w:rPr>
                <w:sz w:val="20"/>
                <w:szCs w:val="20"/>
                <w:color w:val="auto"/>
              </w:rPr>
            </w:pPr>
            <w:r>
              <w:rPr>
                <w:rFonts w:ascii="Arial" w:cs="Arial" w:eastAsia="Arial" w:hAnsi="Arial"/>
                <w:sz w:val="14"/>
                <w:szCs w:val="14"/>
                <w:b w:val="1"/>
                <w:bCs w:val="1"/>
                <w:color w:val="auto"/>
              </w:rPr>
              <w:t>Scarlett O’Sullivan</w:t>
            </w:r>
          </w:p>
        </w:tc>
        <w:tc>
          <w:tcPr>
            <w:tcW w:w="3580" w:type="dxa"/>
            <w:vAlign w:val="bottom"/>
          </w:tcPr>
          <w:p>
            <w:pPr>
              <w:jc w:val="center"/>
              <w:ind w:left="1489"/>
              <w:spacing w:after="0"/>
              <w:rPr>
                <w:sz w:val="20"/>
                <w:szCs w:val="20"/>
                <w:color w:val="auto"/>
              </w:rPr>
            </w:pPr>
            <w:r>
              <w:rPr>
                <w:rFonts w:ascii="Arial" w:cs="Arial" w:eastAsia="Arial" w:hAnsi="Arial"/>
                <w:sz w:val="14"/>
                <w:szCs w:val="14"/>
                <w:b w:val="1"/>
                <w:bCs w:val="1"/>
                <w:color w:val="auto"/>
              </w:rPr>
              <w:t>Nicole Brookshire</w:t>
            </w:r>
          </w:p>
        </w:tc>
      </w:tr>
      <w:tr>
        <w:trPr>
          <w:trHeight w:val="160"/>
        </w:trPr>
        <w:tc>
          <w:tcPr>
            <w:tcW w:w="1180" w:type="dxa"/>
            <w:vAlign w:val="bottom"/>
          </w:tcPr>
          <w:p>
            <w:pPr>
              <w:spacing w:after="0"/>
              <w:rPr>
                <w:sz w:val="13"/>
                <w:szCs w:val="13"/>
                <w:color w:val="auto"/>
              </w:rPr>
            </w:pPr>
          </w:p>
        </w:tc>
        <w:tc>
          <w:tcPr>
            <w:tcW w:w="3120" w:type="dxa"/>
            <w:vAlign w:val="bottom"/>
          </w:tcPr>
          <w:p>
            <w:pPr>
              <w:jc w:val="center"/>
              <w:ind w:right="1729"/>
              <w:spacing w:after="0"/>
              <w:rPr>
                <w:sz w:val="20"/>
                <w:szCs w:val="20"/>
                <w:color w:val="auto"/>
              </w:rPr>
            </w:pPr>
            <w:r>
              <w:rPr>
                <w:rFonts w:ascii="Arial" w:cs="Arial" w:eastAsia="Arial" w:hAnsi="Arial"/>
                <w:sz w:val="14"/>
                <w:szCs w:val="14"/>
                <w:b w:val="1"/>
                <w:bCs w:val="1"/>
                <w:color w:val="auto"/>
                <w:w w:val="99"/>
              </w:rPr>
              <w:t>Emily E. Taylor</w:t>
            </w:r>
          </w:p>
        </w:tc>
        <w:tc>
          <w:tcPr>
            <w:tcW w:w="2280" w:type="dxa"/>
            <w:vAlign w:val="bottom"/>
          </w:tcPr>
          <w:p>
            <w:pPr>
              <w:jc w:val="center"/>
              <w:ind w:left="169"/>
              <w:spacing w:after="0"/>
              <w:rPr>
                <w:sz w:val="20"/>
                <w:szCs w:val="20"/>
                <w:color w:val="auto"/>
              </w:rPr>
            </w:pPr>
            <w:r>
              <w:rPr>
                <w:rFonts w:ascii="Arial" w:cs="Arial" w:eastAsia="Arial" w:hAnsi="Arial"/>
                <w:sz w:val="14"/>
                <w:szCs w:val="14"/>
                <w:b w:val="1"/>
                <w:bCs w:val="1"/>
                <w:color w:val="auto"/>
              </w:rPr>
              <w:t>Cara Schembri</w:t>
            </w:r>
          </w:p>
        </w:tc>
        <w:tc>
          <w:tcPr>
            <w:tcW w:w="3580" w:type="dxa"/>
            <w:vAlign w:val="bottom"/>
          </w:tcPr>
          <w:p>
            <w:pPr>
              <w:jc w:val="center"/>
              <w:ind w:left="1489"/>
              <w:spacing w:after="0"/>
              <w:rPr>
                <w:sz w:val="20"/>
                <w:szCs w:val="20"/>
                <w:color w:val="auto"/>
              </w:rPr>
            </w:pPr>
            <w:r>
              <w:rPr>
                <w:rFonts w:ascii="Arial" w:cs="Arial" w:eastAsia="Arial" w:hAnsi="Arial"/>
                <w:sz w:val="14"/>
                <w:szCs w:val="14"/>
                <w:b w:val="1"/>
                <w:bCs w:val="1"/>
                <w:color w:val="auto"/>
              </w:rPr>
              <w:t>Christina T. Roupas</w:t>
            </w:r>
          </w:p>
        </w:tc>
      </w:tr>
      <w:tr>
        <w:trPr>
          <w:trHeight w:val="160"/>
        </w:trPr>
        <w:tc>
          <w:tcPr>
            <w:tcW w:w="4300" w:type="dxa"/>
            <w:vAlign w:val="bottom"/>
            <w:gridSpan w:val="2"/>
          </w:tcPr>
          <w:p>
            <w:pPr>
              <w:jc w:val="center"/>
              <w:ind w:right="529"/>
              <w:spacing w:after="0"/>
              <w:rPr>
                <w:sz w:val="20"/>
                <w:szCs w:val="20"/>
                <w:color w:val="auto"/>
              </w:rPr>
            </w:pPr>
            <w:r>
              <w:rPr>
                <w:rFonts w:ascii="Arial" w:cs="Arial" w:eastAsia="Arial" w:hAnsi="Arial"/>
                <w:sz w:val="14"/>
                <w:szCs w:val="14"/>
                <w:b w:val="1"/>
                <w:bCs w:val="1"/>
                <w:color w:val="auto"/>
              </w:rPr>
              <w:t>Latham &amp; Watkins LLP</w:t>
            </w:r>
          </w:p>
        </w:tc>
        <w:tc>
          <w:tcPr>
            <w:tcW w:w="2280" w:type="dxa"/>
            <w:vAlign w:val="bottom"/>
          </w:tcPr>
          <w:p>
            <w:pPr>
              <w:jc w:val="center"/>
              <w:ind w:left="169"/>
              <w:spacing w:after="0"/>
              <w:rPr>
                <w:sz w:val="20"/>
                <w:szCs w:val="20"/>
                <w:color w:val="auto"/>
              </w:rPr>
            </w:pPr>
            <w:r>
              <w:rPr>
                <w:rFonts w:ascii="Arial" w:cs="Arial" w:eastAsia="Arial" w:hAnsi="Arial"/>
                <w:sz w:val="14"/>
                <w:szCs w:val="14"/>
                <w:b w:val="1"/>
                <w:bCs w:val="1"/>
                <w:color w:val="auto"/>
              </w:rPr>
              <w:t>Rent the Runway, Inc.</w:t>
            </w:r>
          </w:p>
        </w:tc>
        <w:tc>
          <w:tcPr>
            <w:tcW w:w="3580" w:type="dxa"/>
            <w:vAlign w:val="bottom"/>
          </w:tcPr>
          <w:p>
            <w:pPr>
              <w:jc w:val="center"/>
              <w:ind w:left="1489"/>
              <w:spacing w:after="0"/>
              <w:rPr>
                <w:sz w:val="20"/>
                <w:szCs w:val="20"/>
                <w:color w:val="auto"/>
              </w:rPr>
            </w:pPr>
            <w:r>
              <w:rPr>
                <w:rFonts w:ascii="Arial" w:cs="Arial" w:eastAsia="Arial" w:hAnsi="Arial"/>
                <w:sz w:val="14"/>
                <w:szCs w:val="14"/>
                <w:b w:val="1"/>
                <w:bCs w:val="1"/>
                <w:color w:val="auto"/>
              </w:rPr>
              <w:t>Cooley LLP</w:t>
            </w:r>
          </w:p>
        </w:tc>
      </w:tr>
      <w:tr>
        <w:trPr>
          <w:trHeight w:val="160"/>
        </w:trPr>
        <w:tc>
          <w:tcPr>
            <w:tcW w:w="4300" w:type="dxa"/>
            <w:vAlign w:val="bottom"/>
            <w:gridSpan w:val="2"/>
          </w:tcPr>
          <w:p>
            <w:pPr>
              <w:jc w:val="center"/>
              <w:ind w:right="529"/>
              <w:spacing w:after="0"/>
              <w:rPr>
                <w:sz w:val="20"/>
                <w:szCs w:val="20"/>
                <w:color w:val="auto"/>
              </w:rPr>
            </w:pPr>
            <w:r>
              <w:rPr>
                <w:rFonts w:ascii="Arial" w:cs="Arial" w:eastAsia="Arial" w:hAnsi="Arial"/>
                <w:sz w:val="14"/>
                <w:szCs w:val="14"/>
                <w:b w:val="1"/>
                <w:bCs w:val="1"/>
                <w:color w:val="auto"/>
              </w:rPr>
              <w:t>1271 Avenue of the Americas</w:t>
            </w:r>
          </w:p>
        </w:tc>
        <w:tc>
          <w:tcPr>
            <w:tcW w:w="2280" w:type="dxa"/>
            <w:vAlign w:val="bottom"/>
          </w:tcPr>
          <w:p>
            <w:pPr>
              <w:jc w:val="center"/>
              <w:ind w:left="169"/>
              <w:spacing w:after="0"/>
              <w:rPr>
                <w:sz w:val="20"/>
                <w:szCs w:val="20"/>
                <w:color w:val="auto"/>
              </w:rPr>
            </w:pPr>
            <w:r>
              <w:rPr>
                <w:rFonts w:ascii="Arial" w:cs="Arial" w:eastAsia="Arial" w:hAnsi="Arial"/>
                <w:sz w:val="14"/>
                <w:szCs w:val="14"/>
                <w:b w:val="1"/>
                <w:bCs w:val="1"/>
                <w:color w:val="auto"/>
              </w:rPr>
              <w:t>10 Jay Street</w:t>
            </w:r>
          </w:p>
        </w:tc>
        <w:tc>
          <w:tcPr>
            <w:tcW w:w="3580" w:type="dxa"/>
            <w:vAlign w:val="bottom"/>
          </w:tcPr>
          <w:p>
            <w:pPr>
              <w:jc w:val="center"/>
              <w:ind w:left="1489"/>
              <w:spacing w:after="0"/>
              <w:rPr>
                <w:sz w:val="20"/>
                <w:szCs w:val="20"/>
                <w:color w:val="auto"/>
              </w:rPr>
            </w:pPr>
            <w:r>
              <w:rPr>
                <w:rFonts w:ascii="Arial" w:cs="Arial" w:eastAsia="Arial" w:hAnsi="Arial"/>
                <w:sz w:val="14"/>
                <w:szCs w:val="14"/>
                <w:b w:val="1"/>
                <w:bCs w:val="1"/>
                <w:color w:val="auto"/>
              </w:rPr>
              <w:t>500 Boylston Street</w:t>
            </w:r>
          </w:p>
        </w:tc>
      </w:tr>
      <w:tr>
        <w:trPr>
          <w:trHeight w:val="160"/>
        </w:trPr>
        <w:tc>
          <w:tcPr>
            <w:tcW w:w="4300" w:type="dxa"/>
            <w:vAlign w:val="bottom"/>
            <w:gridSpan w:val="2"/>
          </w:tcPr>
          <w:p>
            <w:pPr>
              <w:jc w:val="center"/>
              <w:ind w:right="549"/>
              <w:spacing w:after="0"/>
              <w:rPr>
                <w:sz w:val="20"/>
                <w:szCs w:val="20"/>
                <w:color w:val="auto"/>
              </w:rPr>
            </w:pPr>
            <w:r>
              <w:rPr>
                <w:rFonts w:ascii="Arial" w:cs="Arial" w:eastAsia="Arial" w:hAnsi="Arial"/>
                <w:sz w:val="14"/>
                <w:szCs w:val="14"/>
                <w:b w:val="1"/>
                <w:bCs w:val="1"/>
                <w:color w:val="auto"/>
              </w:rPr>
              <w:t>New York, New York 10020</w:t>
            </w:r>
          </w:p>
        </w:tc>
        <w:tc>
          <w:tcPr>
            <w:tcW w:w="2280" w:type="dxa"/>
            <w:vAlign w:val="bottom"/>
          </w:tcPr>
          <w:p>
            <w:pPr>
              <w:jc w:val="center"/>
              <w:ind w:left="169"/>
              <w:spacing w:after="0"/>
              <w:rPr>
                <w:sz w:val="20"/>
                <w:szCs w:val="20"/>
                <w:color w:val="auto"/>
              </w:rPr>
            </w:pPr>
            <w:r>
              <w:rPr>
                <w:rFonts w:ascii="Arial" w:cs="Arial" w:eastAsia="Arial" w:hAnsi="Arial"/>
                <w:sz w:val="14"/>
                <w:szCs w:val="14"/>
                <w:b w:val="1"/>
                <w:bCs w:val="1"/>
                <w:color w:val="auto"/>
              </w:rPr>
              <w:t>Brooklyn, New York 11201</w:t>
            </w:r>
          </w:p>
        </w:tc>
        <w:tc>
          <w:tcPr>
            <w:tcW w:w="3580" w:type="dxa"/>
            <w:vAlign w:val="bottom"/>
          </w:tcPr>
          <w:p>
            <w:pPr>
              <w:jc w:val="center"/>
              <w:ind w:left="1489"/>
              <w:spacing w:after="0"/>
              <w:rPr>
                <w:sz w:val="20"/>
                <w:szCs w:val="20"/>
                <w:color w:val="auto"/>
              </w:rPr>
            </w:pPr>
            <w:r>
              <w:rPr>
                <w:rFonts w:ascii="Arial" w:cs="Arial" w:eastAsia="Arial" w:hAnsi="Arial"/>
                <w:sz w:val="14"/>
                <w:szCs w:val="14"/>
                <w:b w:val="1"/>
                <w:bCs w:val="1"/>
                <w:color w:val="auto"/>
              </w:rPr>
              <w:t>Boston, Massachusetts 02116</w:t>
            </w:r>
          </w:p>
        </w:tc>
      </w:tr>
      <w:tr>
        <w:trPr>
          <w:trHeight w:val="189"/>
        </w:trPr>
        <w:tc>
          <w:tcPr>
            <w:tcW w:w="4300" w:type="dxa"/>
            <w:vAlign w:val="bottom"/>
            <w:gridSpan w:val="2"/>
          </w:tcPr>
          <w:p>
            <w:pPr>
              <w:jc w:val="center"/>
              <w:ind w:right="529"/>
              <w:spacing w:after="0"/>
              <w:rPr>
                <w:sz w:val="20"/>
                <w:szCs w:val="20"/>
                <w:color w:val="auto"/>
              </w:rPr>
            </w:pPr>
            <w:r>
              <w:rPr>
                <w:rFonts w:ascii="Arial" w:cs="Arial" w:eastAsia="Arial" w:hAnsi="Arial"/>
                <w:sz w:val="14"/>
                <w:szCs w:val="14"/>
                <w:b w:val="1"/>
                <w:bCs w:val="1"/>
                <w:color w:val="auto"/>
              </w:rPr>
              <w:t>(212) 906-1200</w:t>
            </w:r>
          </w:p>
        </w:tc>
        <w:tc>
          <w:tcPr>
            <w:tcW w:w="2280" w:type="dxa"/>
            <w:vAlign w:val="bottom"/>
          </w:tcPr>
          <w:p>
            <w:pPr>
              <w:jc w:val="center"/>
              <w:ind w:left="169"/>
              <w:spacing w:after="0"/>
              <w:rPr>
                <w:sz w:val="20"/>
                <w:szCs w:val="20"/>
                <w:color w:val="auto"/>
              </w:rPr>
            </w:pPr>
            <w:r>
              <w:rPr>
                <w:rFonts w:ascii="Arial" w:cs="Arial" w:eastAsia="Arial" w:hAnsi="Arial"/>
                <w:sz w:val="14"/>
                <w:szCs w:val="14"/>
                <w:b w:val="1"/>
                <w:bCs w:val="1"/>
                <w:color w:val="auto"/>
              </w:rPr>
              <w:t>(646) 832-3582</w:t>
            </w:r>
          </w:p>
        </w:tc>
        <w:tc>
          <w:tcPr>
            <w:tcW w:w="3580" w:type="dxa"/>
            <w:vAlign w:val="bottom"/>
          </w:tcPr>
          <w:p>
            <w:pPr>
              <w:jc w:val="center"/>
              <w:ind w:left="1489"/>
              <w:spacing w:after="0"/>
              <w:rPr>
                <w:sz w:val="20"/>
                <w:szCs w:val="20"/>
                <w:color w:val="auto"/>
              </w:rPr>
            </w:pPr>
            <w:r>
              <w:rPr>
                <w:rFonts w:ascii="Arial" w:cs="Arial" w:eastAsia="Arial" w:hAnsi="Arial"/>
                <w:sz w:val="14"/>
                <w:szCs w:val="14"/>
                <w:b w:val="1"/>
                <w:bCs w:val="1"/>
                <w:color w:val="auto"/>
              </w:rPr>
              <w:t>(617) 937-2300</w:t>
            </w:r>
          </w:p>
        </w:tc>
      </w:tr>
      <w:tr>
        <w:trPr>
          <w:trHeight w:val="132"/>
        </w:trPr>
        <w:tc>
          <w:tcPr>
            <w:tcW w:w="118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580" w:type="dxa"/>
            <w:vAlign w:val="bottom"/>
          </w:tcPr>
          <w:p>
            <w:pPr>
              <w:spacing w:after="0"/>
              <w:rPr>
                <w:sz w:val="11"/>
                <w:szCs w:val="11"/>
                <w:color w:val="auto"/>
              </w:rPr>
            </w:pPr>
          </w:p>
        </w:tc>
      </w:tr>
      <w:tr>
        <w:trPr>
          <w:trHeight w:val="220"/>
        </w:trPr>
        <w:tc>
          <w:tcPr>
            <w:tcW w:w="11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3580" w:type="dxa"/>
            <w:vAlign w:val="bottom"/>
          </w:tcPr>
          <w:p>
            <w:pPr>
              <w:spacing w:after="0"/>
              <w:rPr>
                <w:sz w:val="19"/>
                <w:szCs w:val="19"/>
                <w:color w:val="auto"/>
              </w:rPr>
            </w:pPr>
          </w:p>
        </w:tc>
      </w:tr>
    </w:tbl>
    <w:p>
      <w:pPr>
        <w:spacing w:after="0" w:line="54" w:lineRule="exact"/>
        <w:rPr>
          <w:sz w:val="24"/>
          <w:szCs w:val="24"/>
          <w:color w:val="auto"/>
        </w:rPr>
      </w:pPr>
    </w:p>
    <w:p>
      <w:pPr>
        <w:ind w:left="72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97" w:lineRule="exact"/>
        <w:rPr>
          <w:sz w:val="24"/>
          <w:szCs w:val="24"/>
          <w:color w:val="auto"/>
        </w:rPr>
      </w:pPr>
    </w:p>
    <w:p>
      <w:pPr>
        <w:ind w:left="180" w:right="60" w:firstLine="545"/>
        <w:spacing w:after="0" w:line="17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5" w:lineRule="exact"/>
        <w:rPr>
          <w:sz w:val="24"/>
          <w:szCs w:val="24"/>
          <w:color w:val="auto"/>
        </w:rPr>
      </w:pPr>
    </w:p>
    <w:p>
      <w:pPr>
        <w:ind w:left="180" w:right="100" w:firstLine="545"/>
        <w:spacing w:after="0" w:line="17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ind w:left="180" w:right="440" w:firstLine="545"/>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8" w:lineRule="exact"/>
        <w:rPr>
          <w:sz w:val="24"/>
          <w:szCs w:val="24"/>
          <w:color w:val="auto"/>
        </w:rPr>
      </w:pPr>
    </w:p>
    <w:p>
      <w:pPr>
        <w:ind w:left="180" w:right="440" w:firstLine="545"/>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ind w:left="180" w:right="200" w:firstLine="545"/>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180" w:type="dxa"/>
        <w:tblCellMar>
          <w:top w:w="0" w:type="dxa"/>
          <w:left w:w="0" w:type="dxa"/>
          <w:bottom w:w="0" w:type="dxa"/>
          <w:right w:w="0" w:type="dxa"/>
        </w:tblCellMar>
      </w:tblPr>
      <w:tr>
        <w:trPr>
          <w:trHeight w:val="200"/>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2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0"/>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2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15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300" w:type="dxa"/>
            <w:vAlign w:val="bottom"/>
          </w:tcPr>
          <w:p>
            <w:pPr>
              <w:ind w:left="342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4" w:lineRule="exact"/>
        <w:rPr>
          <w:sz w:val="24"/>
          <w:szCs w:val="24"/>
          <w:color w:val="auto"/>
        </w:rPr>
      </w:pPr>
    </w:p>
    <w:p>
      <w:pPr>
        <w:ind w:left="180" w:right="10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116205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64" w:lineRule="exact"/>
        <w:rPr>
          <w:sz w:val="24"/>
          <w:szCs w:val="24"/>
          <w:color w:val="auto"/>
        </w:rPr>
      </w:pPr>
    </w:p>
    <w:tbl>
      <w:tblPr>
        <w:tblLayout w:type="fixed"/>
        <w:tblInd w:w="180" w:type="dxa"/>
        <w:tblCellMar>
          <w:top w:w="0" w:type="dxa"/>
          <w:left w:w="0" w:type="dxa"/>
          <w:bottom w:w="0" w:type="dxa"/>
          <w:right w:w="0" w:type="dxa"/>
        </w:tblCellMar>
      </w:tblPr>
      <w:tr>
        <w:trPr>
          <w:trHeight w:val="40"/>
        </w:trPr>
        <w:tc>
          <w:tcPr>
            <w:tcW w:w="732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r>
      <w:tr>
        <w:trPr>
          <w:trHeight w:val="127"/>
        </w:trPr>
        <w:tc>
          <w:tcPr>
            <w:tcW w:w="732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9"/>
              <w:spacing w:after="0" w:line="127" w:lineRule="exact"/>
              <w:rPr>
                <w:sz w:val="20"/>
                <w:szCs w:val="20"/>
                <w:color w:val="auto"/>
              </w:rPr>
            </w:pPr>
            <w:r>
              <w:rPr>
                <w:rFonts w:ascii="Arial" w:cs="Arial" w:eastAsia="Arial" w:hAnsi="Arial"/>
                <w:sz w:val="14"/>
                <w:szCs w:val="14"/>
                <w:b w:val="1"/>
                <w:bCs w:val="1"/>
                <w:color w:val="auto"/>
              </w:rPr>
              <w:t>Proposed</w:t>
            </w:r>
          </w:p>
        </w:tc>
        <w:tc>
          <w:tcPr>
            <w:tcW w:w="1720" w:type="dxa"/>
            <w:vAlign w:val="bottom"/>
          </w:tcPr>
          <w:p>
            <w:pPr>
              <w:spacing w:after="0"/>
              <w:rPr>
                <w:sz w:val="11"/>
                <w:szCs w:val="11"/>
                <w:color w:val="auto"/>
              </w:rPr>
            </w:pPr>
          </w:p>
        </w:tc>
      </w:tr>
      <w:tr>
        <w:trPr>
          <w:trHeight w:val="160"/>
        </w:trPr>
        <w:tc>
          <w:tcPr>
            <w:tcW w:w="732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Maximum Aggregate</w:t>
            </w:r>
          </w:p>
        </w:tc>
        <w:tc>
          <w:tcPr>
            <w:tcW w:w="1720" w:type="dxa"/>
            <w:vAlign w:val="bottom"/>
          </w:tcPr>
          <w:p>
            <w:pPr>
              <w:ind w:left="540"/>
              <w:spacing w:after="0"/>
              <w:rPr>
                <w:sz w:val="20"/>
                <w:szCs w:val="20"/>
                <w:color w:val="auto"/>
              </w:rPr>
            </w:pPr>
            <w:r>
              <w:rPr>
                <w:rFonts w:ascii="Arial" w:cs="Arial" w:eastAsia="Arial" w:hAnsi="Arial"/>
                <w:sz w:val="14"/>
                <w:szCs w:val="14"/>
                <w:b w:val="1"/>
                <w:bCs w:val="1"/>
                <w:color w:val="auto"/>
              </w:rPr>
              <w:t>Amount of</w:t>
            </w:r>
          </w:p>
        </w:tc>
      </w:tr>
      <w:tr>
        <w:trPr>
          <w:trHeight w:val="174"/>
        </w:trPr>
        <w:tc>
          <w:tcPr>
            <w:tcW w:w="7320" w:type="dxa"/>
            <w:vAlign w:val="bottom"/>
            <w:tcBorders>
              <w:bottom w:val="single" w:sz="8" w:color="auto"/>
              <w:right w:val="single" w:sz="8" w:color="auto"/>
            </w:tcBorders>
          </w:tcPr>
          <w:p>
            <w:pPr>
              <w:ind w:left="19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Offering Price(1)(2)</w:t>
            </w:r>
          </w:p>
        </w:tc>
        <w:tc>
          <w:tcPr>
            <w:tcW w:w="17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Registration Fee(3)</w:t>
            </w:r>
          </w:p>
        </w:tc>
      </w:tr>
      <w:tr>
        <w:trPr>
          <w:trHeight w:val="154"/>
        </w:trPr>
        <w:tc>
          <w:tcPr>
            <w:tcW w:w="732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4"/>
                <w:szCs w:val="14"/>
                <w:color w:val="auto"/>
              </w:rPr>
              <w:t>Class A common stock, $ par value per share</w:t>
            </w:r>
          </w:p>
        </w:tc>
        <w:tc>
          <w:tcPr>
            <w:tcW w:w="1860" w:type="dxa"/>
            <w:vAlign w:val="bottom"/>
            <w:tcBorders>
              <w:bottom w:val="single" w:sz="8" w:color="auto"/>
              <w:right w:val="single" w:sz="8" w:color="auto"/>
            </w:tcBorders>
          </w:tcPr>
          <w:p>
            <w:pPr>
              <w:jc w:val="right"/>
              <w:ind w:right="1089"/>
              <w:spacing w:after="0" w:line="154" w:lineRule="exact"/>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ind w:left="540"/>
              <w:spacing w:after="0" w:line="154" w:lineRule="exact"/>
              <w:rPr>
                <w:sz w:val="20"/>
                <w:szCs w:val="20"/>
                <w:color w:val="auto"/>
              </w:rPr>
            </w:pPr>
            <w:r>
              <w:rPr>
                <w:rFonts w:ascii="Arial" w:cs="Arial" w:eastAsia="Arial" w:hAnsi="Arial"/>
                <w:sz w:val="14"/>
                <w:szCs w:val="14"/>
                <w:color w:val="auto"/>
              </w:rPr>
              <w:t>$</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 w:lineRule="exact"/>
        <w:rPr>
          <w:sz w:val="24"/>
          <w:szCs w:val="24"/>
          <w:color w:val="auto"/>
        </w:rPr>
      </w:pPr>
    </w:p>
    <w:p>
      <w:pPr>
        <w:ind w:left="600" w:hanging="426"/>
        <w:spacing w:after="0"/>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600" w:hanging="426"/>
        <w:spacing w:after="0"/>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of Class A common stock that the underwriters have the option to purchase. See “Underwriting.”</w:t>
      </w:r>
    </w:p>
    <w:p>
      <w:pPr>
        <w:ind w:left="600" w:hanging="426"/>
        <w:spacing w:after="0"/>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be paid in connection with the initial public filing of the registration statement.</w:t>
      </w:r>
    </w:p>
    <w:p>
      <w:pPr>
        <w:spacing w:after="0" w:line="79" w:lineRule="exact"/>
        <w:rPr>
          <w:sz w:val="24"/>
          <w:szCs w:val="24"/>
          <w:color w:val="auto"/>
        </w:rPr>
      </w:pPr>
    </w:p>
    <w:p>
      <w:pPr>
        <w:jc w:val="both"/>
        <w:ind w:left="180" w:right="400"/>
        <w:spacing w:after="0" w:line="246" w:lineRule="auto"/>
        <w:rPr>
          <w:sz w:val="20"/>
          <w:szCs w:val="20"/>
          <w:color w:val="auto"/>
        </w:rPr>
      </w:pPr>
      <w:r>
        <w:rPr>
          <w:rFonts w:ascii="Arial" w:cs="Arial" w:eastAsia="Arial" w:hAnsi="Arial"/>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115570</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180" w:right="160"/>
        <w:spacing w:after="0" w:line="281" w:lineRule="auto"/>
        <w:rPr>
          <w:sz w:val="20"/>
          <w:szCs w:val="20"/>
          <w:color w:val="auto"/>
        </w:rPr>
      </w:pPr>
      <w:r>
        <w:rPr>
          <w:rFonts w:ascii="Arial" w:cs="Arial" w:eastAsia="Arial" w:hAnsi="Arial"/>
          <w:sz w:val="17"/>
          <w:szCs w:val="17"/>
          <w:color w:val="DE1A1E"/>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5" w:lineRule="exact"/>
        <w:rPr>
          <w:sz w:val="20"/>
          <w:szCs w:val="20"/>
          <w:color w:val="auto"/>
        </w:rPr>
      </w:pPr>
    </w:p>
    <w:tbl>
      <w:tblPr>
        <w:tblLayout w:type="fixed"/>
        <w:tblInd w:w="3800" w:type="dxa"/>
        <w:tblCellMar>
          <w:top w:w="0" w:type="dxa"/>
          <w:left w:w="0" w:type="dxa"/>
          <w:bottom w:w="0" w:type="dxa"/>
          <w:right w:w="0" w:type="dxa"/>
        </w:tblCellMar>
      </w:tblPr>
      <w:tr>
        <w:trPr>
          <w:trHeight w:val="213"/>
        </w:trPr>
        <w:tc>
          <w:tcPr>
            <w:tcW w:w="270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color w:val="DE1A1E"/>
              </w:rPr>
              <w:t>, 2021.</w:t>
            </w:r>
          </w:p>
        </w:tc>
      </w:tr>
    </w:tbl>
    <w:p>
      <w:pPr>
        <w:spacing w:after="0" w:line="310" w:lineRule="exact"/>
        <w:rPr>
          <w:sz w:val="20"/>
          <w:szCs w:val="20"/>
          <w:color w:val="auto"/>
        </w:rPr>
      </w:pPr>
    </w:p>
    <w:p>
      <w:pPr>
        <w:ind w:left="56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155575</wp:posOffset>
            </wp:positionV>
            <wp:extent cx="1051560" cy="1442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1560"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28"/>
          <w:szCs w:val="28"/>
          <w:b w:val="1"/>
          <w:bCs w:val="1"/>
          <w:color w:val="auto"/>
        </w:rPr>
        <w:t>Rent the Runway, Inc.</w:t>
      </w: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210820</wp:posOffset>
            </wp:positionV>
            <wp:extent cx="1450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720"/>
        <w:spacing w:after="0"/>
        <w:tabs>
          <w:tab w:leader="none" w:pos="8060" w:val="left"/>
        </w:tabs>
        <w:rPr>
          <w:sz w:val="20"/>
          <w:szCs w:val="20"/>
          <w:color w:val="auto"/>
        </w:rPr>
      </w:pPr>
      <w:r>
        <w:rPr>
          <w:rFonts w:ascii="Arial" w:cs="Arial" w:eastAsia="Arial" w:hAnsi="Arial"/>
          <w:sz w:val="14"/>
          <w:szCs w:val="14"/>
          <w:color w:val="auto"/>
        </w:rPr>
        <w:t>This is an initial public offering of shares of Class A common stock of Rent the Runway, Inc. We are selling</w:t>
      </w:r>
      <w:r>
        <w:rPr>
          <w:sz w:val="20"/>
          <w:szCs w:val="20"/>
          <w:color w:val="auto"/>
        </w:rPr>
        <w:tab/>
      </w:r>
      <w:r>
        <w:rPr>
          <w:rFonts w:ascii="Arial" w:cs="Arial" w:eastAsia="Arial" w:hAnsi="Arial"/>
          <w:sz w:val="14"/>
          <w:szCs w:val="14"/>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106680</wp:posOffset>
            </wp:positionV>
            <wp:extent cx="14503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20" w:lineRule="exact"/>
        <w:rPr>
          <w:sz w:val="20"/>
          <w:szCs w:val="20"/>
          <w:color w:val="auto"/>
        </w:rPr>
      </w:pPr>
    </w:p>
    <w:p>
      <w:pPr>
        <w:ind w:left="180" w:right="80" w:firstLine="545"/>
        <w:spacing w:after="0" w:line="238" w:lineRule="auto"/>
        <w:rPr>
          <w:sz w:val="20"/>
          <w:szCs w:val="20"/>
          <w:color w:val="auto"/>
        </w:rPr>
      </w:pPr>
      <w:r>
        <w:rPr>
          <w:rFonts w:ascii="Arial" w:cs="Arial" w:eastAsia="Arial" w:hAnsi="Arial"/>
          <w:sz w:val="14"/>
          <w:szCs w:val="14"/>
          <w:color w:val="auto"/>
        </w:rPr>
        <w:t>We will have two classes of common stock outstanding after this offering: Class A common stock and Class B common stock. The rights of the holders of Class A common stock and Class B common stock are identical, except with respect to voting and conversion rights. Each share of Class A common stock is entitled to one vote per</w:t>
      </w:r>
    </w:p>
    <w:p>
      <w:pPr>
        <w:spacing w:after="0" w:line="1" w:lineRule="exact"/>
        <w:rPr>
          <w:sz w:val="20"/>
          <w:szCs w:val="20"/>
          <w:color w:val="auto"/>
        </w:rPr>
      </w:pPr>
    </w:p>
    <w:p>
      <w:pPr>
        <w:ind w:left="180"/>
        <w:spacing w:after="0"/>
        <w:tabs>
          <w:tab w:leader="none" w:pos="4380" w:val="left"/>
        </w:tabs>
        <w:rPr>
          <w:sz w:val="20"/>
          <w:szCs w:val="20"/>
          <w:color w:val="auto"/>
        </w:rPr>
      </w:pPr>
      <w:r>
        <w:rPr>
          <w:rFonts w:ascii="Arial" w:cs="Arial" w:eastAsia="Arial" w:hAnsi="Arial"/>
          <w:sz w:val="14"/>
          <w:szCs w:val="14"/>
          <w:color w:val="auto"/>
        </w:rPr>
        <w:t>share. Each share of Class B common stock is entitled to</w:t>
      </w:r>
      <w:r>
        <w:rPr>
          <w:sz w:val="20"/>
          <w:szCs w:val="20"/>
          <w:color w:val="auto"/>
        </w:rPr>
        <w:tab/>
      </w:r>
      <w:r>
        <w:rPr>
          <w:rFonts w:ascii="Arial" w:cs="Arial" w:eastAsia="Arial" w:hAnsi="Arial"/>
          <w:sz w:val="14"/>
          <w:szCs w:val="14"/>
          <w:color w:val="auto"/>
        </w:rPr>
        <w:t>votes per share and is convertible into one share of Class A common stock at any time. Jennifer</w:t>
      </w:r>
    </w:p>
    <w:p>
      <w:pPr>
        <w:jc w:val="both"/>
        <w:ind w:left="180" w:right="40"/>
        <w:spacing w:after="0" w:line="238" w:lineRule="auto"/>
        <w:rPr>
          <w:sz w:val="20"/>
          <w:szCs w:val="20"/>
          <w:color w:val="auto"/>
        </w:rPr>
      </w:pPr>
      <w:r>
        <w:rPr>
          <w:rFonts w:ascii="Arial" w:cs="Arial" w:eastAsia="Arial" w:hAnsi="Arial"/>
          <w:sz w:val="14"/>
          <w:szCs w:val="14"/>
          <w:color w:val="auto"/>
        </w:rPr>
        <w:t>Y. Hyman, our Co-Founder, Chief Executive Officer and the Chair of our board of directors, and her affiliates will hold all of the outstanding shares of Class B common stock. Holders of shares of our Class A common stock and Class B common stock will vote together as a single class on all matters (including the election of directors) submitted to a vote of stockholders except as otherwise provided in our amended and restated certificate of incorporation or as required by applicable law. After giving effect to the sale of</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020" w:type="dxa"/>
            <w:vAlign w:val="bottom"/>
            <w:gridSpan w:val="6"/>
          </w:tcPr>
          <w:p>
            <w:pPr>
              <w:spacing w:after="0"/>
              <w:rPr>
                <w:sz w:val="20"/>
                <w:szCs w:val="20"/>
                <w:color w:val="auto"/>
              </w:rPr>
            </w:pPr>
            <w:r>
              <w:rPr>
                <w:rFonts w:ascii="Arial" w:cs="Arial" w:eastAsia="Arial" w:hAnsi="Arial"/>
                <w:sz w:val="14"/>
                <w:szCs w:val="14"/>
                <w:color w:val="auto"/>
              </w:rPr>
              <w:t>the shares of Class A common stock offered hereby, shares of Class A common stock will collectively represent approximately</w:t>
            </w:r>
          </w:p>
        </w:tc>
        <w:tc>
          <w:tcPr>
            <w:tcW w:w="2880" w:type="dxa"/>
            <w:vAlign w:val="bottom"/>
            <w:gridSpan w:val="2"/>
          </w:tcPr>
          <w:p>
            <w:pPr>
              <w:ind w:left="520"/>
              <w:spacing w:after="0"/>
              <w:rPr>
                <w:sz w:val="20"/>
                <w:szCs w:val="20"/>
                <w:color w:val="auto"/>
              </w:rPr>
            </w:pPr>
            <w:r>
              <w:rPr>
                <w:rFonts w:ascii="Arial" w:cs="Arial" w:eastAsia="Arial" w:hAnsi="Arial"/>
                <w:sz w:val="14"/>
                <w:szCs w:val="14"/>
                <w:color w:val="auto"/>
              </w:rPr>
              <w:t>% of our total issued and outstanding</w:t>
            </w:r>
          </w:p>
        </w:tc>
      </w:tr>
      <w:tr>
        <w:trPr>
          <w:trHeight w:val="160"/>
        </w:trPr>
        <w:tc>
          <w:tcPr>
            <w:tcW w:w="1020" w:type="dxa"/>
            <w:vAlign w:val="bottom"/>
          </w:tcPr>
          <w:p>
            <w:pPr>
              <w:spacing w:after="0"/>
              <w:rPr>
                <w:sz w:val="20"/>
                <w:szCs w:val="20"/>
                <w:color w:val="auto"/>
              </w:rPr>
            </w:pPr>
            <w:r>
              <w:rPr>
                <w:rFonts w:ascii="Arial" w:cs="Arial" w:eastAsia="Arial" w:hAnsi="Arial"/>
                <w:sz w:val="14"/>
                <w:szCs w:val="14"/>
                <w:color w:val="auto"/>
              </w:rPr>
              <w:t>shares and</w:t>
            </w:r>
          </w:p>
        </w:tc>
        <w:tc>
          <w:tcPr>
            <w:tcW w:w="5500" w:type="dxa"/>
            <w:vAlign w:val="bottom"/>
            <w:gridSpan w:val="3"/>
          </w:tcPr>
          <w:p>
            <w:pPr>
              <w:ind w:left="320"/>
              <w:spacing w:after="0"/>
              <w:rPr>
                <w:sz w:val="20"/>
                <w:szCs w:val="20"/>
                <w:color w:val="auto"/>
              </w:rPr>
            </w:pPr>
            <w:r>
              <w:rPr>
                <w:rFonts w:ascii="Arial" w:cs="Arial" w:eastAsia="Arial" w:hAnsi="Arial"/>
                <w:sz w:val="14"/>
                <w:szCs w:val="14"/>
                <w:color w:val="auto"/>
              </w:rPr>
              <w:t>% of the voting power attached to all of our issued and outstanding shares (or</w:t>
            </w:r>
          </w:p>
        </w:tc>
        <w:tc>
          <w:tcPr>
            <w:tcW w:w="1340" w:type="dxa"/>
            <w:vAlign w:val="bottom"/>
          </w:tcPr>
          <w:p>
            <w:pPr>
              <w:ind w:left="320"/>
              <w:spacing w:after="0"/>
              <w:rPr>
                <w:sz w:val="20"/>
                <w:szCs w:val="20"/>
                <w:color w:val="auto"/>
              </w:rPr>
            </w:pPr>
            <w:r>
              <w:rPr>
                <w:rFonts w:ascii="Arial" w:cs="Arial" w:eastAsia="Arial" w:hAnsi="Arial"/>
                <w:sz w:val="14"/>
                <w:szCs w:val="14"/>
                <w:color w:val="auto"/>
              </w:rPr>
              <w:t>% and</w:t>
            </w:r>
          </w:p>
        </w:tc>
        <w:tc>
          <w:tcPr>
            <w:tcW w:w="3040" w:type="dxa"/>
            <w:vAlign w:val="bottom"/>
            <w:gridSpan w:val="3"/>
          </w:tcPr>
          <w:p>
            <w:pPr>
              <w:ind w:left="20"/>
              <w:spacing w:after="0"/>
              <w:rPr>
                <w:sz w:val="20"/>
                <w:szCs w:val="20"/>
                <w:color w:val="auto"/>
              </w:rPr>
            </w:pPr>
            <w:r>
              <w:rPr>
                <w:rFonts w:ascii="Arial" w:cs="Arial" w:eastAsia="Arial" w:hAnsi="Arial"/>
                <w:sz w:val="14"/>
                <w:szCs w:val="14"/>
                <w:color w:val="auto"/>
              </w:rPr>
              <w:t>%, respectively, if the underwriters’ exercise in</w:t>
            </w:r>
          </w:p>
        </w:tc>
      </w:tr>
      <w:tr>
        <w:trPr>
          <w:trHeight w:val="160"/>
        </w:trPr>
        <w:tc>
          <w:tcPr>
            <w:tcW w:w="7860" w:type="dxa"/>
            <w:vAlign w:val="bottom"/>
            <w:gridSpan w:val="5"/>
          </w:tcPr>
          <w:p>
            <w:pPr>
              <w:spacing w:after="0"/>
              <w:rPr>
                <w:sz w:val="20"/>
                <w:szCs w:val="20"/>
                <w:color w:val="auto"/>
              </w:rPr>
            </w:pPr>
            <w:r>
              <w:rPr>
                <w:rFonts w:ascii="Arial" w:cs="Arial" w:eastAsia="Arial" w:hAnsi="Arial"/>
                <w:sz w:val="14"/>
                <w:szCs w:val="14"/>
                <w:color w:val="auto"/>
              </w:rPr>
              <w:t>full their option to purchase additional shares), and shares of Class B common stock will collectively represent approximately</w:t>
            </w:r>
          </w:p>
        </w:tc>
        <w:tc>
          <w:tcPr>
            <w:tcW w:w="160" w:type="dxa"/>
            <w:vAlign w:val="bottom"/>
          </w:tcPr>
          <w:p>
            <w:pPr>
              <w:spacing w:after="0"/>
              <w:rPr>
                <w:sz w:val="13"/>
                <w:szCs w:val="13"/>
                <w:color w:val="auto"/>
              </w:rPr>
            </w:pPr>
          </w:p>
        </w:tc>
        <w:tc>
          <w:tcPr>
            <w:tcW w:w="2880" w:type="dxa"/>
            <w:vAlign w:val="bottom"/>
            <w:gridSpan w:val="2"/>
          </w:tcPr>
          <w:p>
            <w:pPr>
              <w:ind w:left="440"/>
              <w:spacing w:after="0"/>
              <w:rPr>
                <w:sz w:val="20"/>
                <w:szCs w:val="20"/>
                <w:color w:val="auto"/>
              </w:rPr>
            </w:pPr>
            <w:r>
              <w:rPr>
                <w:rFonts w:ascii="Arial" w:cs="Arial" w:eastAsia="Arial" w:hAnsi="Arial"/>
                <w:sz w:val="14"/>
                <w:szCs w:val="14"/>
                <w:color w:val="auto"/>
              </w:rPr>
              <w:t>% of our total issued and outstanding</w:t>
            </w:r>
          </w:p>
        </w:tc>
      </w:tr>
      <w:tr>
        <w:trPr>
          <w:trHeight w:val="160"/>
        </w:trPr>
        <w:tc>
          <w:tcPr>
            <w:tcW w:w="1020" w:type="dxa"/>
            <w:vAlign w:val="bottom"/>
          </w:tcPr>
          <w:p>
            <w:pPr>
              <w:spacing w:after="0"/>
              <w:rPr>
                <w:sz w:val="20"/>
                <w:szCs w:val="20"/>
                <w:color w:val="auto"/>
              </w:rPr>
            </w:pPr>
            <w:r>
              <w:rPr>
                <w:rFonts w:ascii="Arial" w:cs="Arial" w:eastAsia="Arial" w:hAnsi="Arial"/>
                <w:sz w:val="14"/>
                <w:szCs w:val="14"/>
                <w:color w:val="auto"/>
              </w:rPr>
              <w:t>shares and</w:t>
            </w:r>
          </w:p>
        </w:tc>
        <w:tc>
          <w:tcPr>
            <w:tcW w:w="5500" w:type="dxa"/>
            <w:vAlign w:val="bottom"/>
            <w:gridSpan w:val="3"/>
          </w:tcPr>
          <w:p>
            <w:pPr>
              <w:ind w:left="320"/>
              <w:spacing w:after="0"/>
              <w:rPr>
                <w:sz w:val="20"/>
                <w:szCs w:val="20"/>
                <w:color w:val="auto"/>
              </w:rPr>
            </w:pPr>
            <w:r>
              <w:rPr>
                <w:rFonts w:ascii="Arial" w:cs="Arial" w:eastAsia="Arial" w:hAnsi="Arial"/>
                <w:sz w:val="14"/>
                <w:szCs w:val="14"/>
                <w:color w:val="auto"/>
              </w:rPr>
              <w:t>% of the voting power attached to all of our issued and outstanding shares (or</w:t>
            </w:r>
          </w:p>
        </w:tc>
        <w:tc>
          <w:tcPr>
            <w:tcW w:w="1340" w:type="dxa"/>
            <w:vAlign w:val="bottom"/>
          </w:tcPr>
          <w:p>
            <w:pPr>
              <w:ind w:left="320"/>
              <w:spacing w:after="0"/>
              <w:rPr>
                <w:sz w:val="20"/>
                <w:szCs w:val="20"/>
                <w:color w:val="auto"/>
              </w:rPr>
            </w:pPr>
            <w:r>
              <w:rPr>
                <w:rFonts w:ascii="Arial" w:cs="Arial" w:eastAsia="Arial" w:hAnsi="Arial"/>
                <w:sz w:val="14"/>
                <w:szCs w:val="14"/>
                <w:color w:val="auto"/>
              </w:rPr>
              <w:t>% and</w:t>
            </w:r>
          </w:p>
        </w:tc>
        <w:tc>
          <w:tcPr>
            <w:tcW w:w="3040" w:type="dxa"/>
            <w:vAlign w:val="bottom"/>
            <w:gridSpan w:val="3"/>
          </w:tcPr>
          <w:p>
            <w:pPr>
              <w:ind w:left="20"/>
              <w:spacing w:after="0"/>
              <w:rPr>
                <w:sz w:val="20"/>
                <w:szCs w:val="20"/>
                <w:color w:val="auto"/>
              </w:rPr>
            </w:pPr>
            <w:r>
              <w:rPr>
                <w:rFonts w:ascii="Arial" w:cs="Arial" w:eastAsia="Arial" w:hAnsi="Arial"/>
                <w:sz w:val="14"/>
                <w:szCs w:val="14"/>
                <w:color w:val="auto"/>
              </w:rPr>
              <w:t>%, respectively, if the underwriters’ exercise in</w:t>
            </w:r>
          </w:p>
        </w:tc>
      </w:tr>
      <w:tr>
        <w:trPr>
          <w:trHeight w:val="171"/>
        </w:trPr>
        <w:tc>
          <w:tcPr>
            <w:tcW w:w="3340" w:type="dxa"/>
            <w:vAlign w:val="bottom"/>
            <w:gridSpan w:val="3"/>
          </w:tcPr>
          <w:p>
            <w:pPr>
              <w:spacing w:after="0"/>
              <w:rPr>
                <w:sz w:val="20"/>
                <w:szCs w:val="20"/>
                <w:color w:val="auto"/>
              </w:rPr>
            </w:pPr>
            <w:r>
              <w:rPr>
                <w:rFonts w:ascii="Arial" w:cs="Arial" w:eastAsia="Arial" w:hAnsi="Arial"/>
                <w:sz w:val="14"/>
                <w:szCs w:val="14"/>
                <w:color w:val="auto"/>
              </w:rPr>
              <w:t>full their option to purchase additional shares).</w:t>
            </w:r>
          </w:p>
        </w:tc>
        <w:tc>
          <w:tcPr>
            <w:tcW w:w="3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3"/>
        </w:trPr>
        <w:tc>
          <w:tcPr>
            <w:tcW w:w="10900" w:type="dxa"/>
            <w:vAlign w:val="bottom"/>
            <w:gridSpan w:val="8"/>
          </w:tcPr>
          <w:p>
            <w:pPr>
              <w:ind w:left="540"/>
              <w:spacing w:after="0"/>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per share of Class A</w:t>
            </w:r>
          </w:p>
        </w:tc>
      </w:tr>
      <w:tr>
        <w:trPr>
          <w:trHeight w:val="171"/>
        </w:trPr>
        <w:tc>
          <w:tcPr>
            <w:tcW w:w="2360" w:type="dxa"/>
            <w:vAlign w:val="bottom"/>
            <w:gridSpan w:val="2"/>
          </w:tcPr>
          <w:p>
            <w:pPr>
              <w:spacing w:after="0"/>
              <w:rPr>
                <w:sz w:val="20"/>
                <w:szCs w:val="20"/>
                <w:color w:val="auto"/>
              </w:rPr>
            </w:pPr>
            <w:r>
              <w:rPr>
                <w:rFonts w:ascii="Arial" w:cs="Arial" w:eastAsia="Arial" w:hAnsi="Arial"/>
                <w:sz w:val="14"/>
                <w:szCs w:val="14"/>
                <w:color w:val="auto"/>
              </w:rPr>
              <w:t>common stock will be between $</w:t>
            </w:r>
          </w:p>
        </w:tc>
        <w:tc>
          <w:tcPr>
            <w:tcW w:w="980" w:type="dxa"/>
            <w:vAlign w:val="bottom"/>
          </w:tcPr>
          <w:p>
            <w:pPr>
              <w:ind w:left="320"/>
              <w:spacing w:after="0"/>
              <w:rPr>
                <w:sz w:val="20"/>
                <w:szCs w:val="20"/>
                <w:color w:val="auto"/>
              </w:rPr>
            </w:pPr>
            <w:r>
              <w:rPr>
                <w:rFonts w:ascii="Arial" w:cs="Arial" w:eastAsia="Arial" w:hAnsi="Arial"/>
                <w:sz w:val="14"/>
                <w:szCs w:val="14"/>
                <w:color w:val="auto"/>
              </w:rPr>
              <w:t>and $</w:t>
            </w:r>
          </w:p>
        </w:tc>
        <w:tc>
          <w:tcPr>
            <w:tcW w:w="4520" w:type="dxa"/>
            <w:vAlign w:val="bottom"/>
            <w:gridSpan w:val="2"/>
          </w:tcPr>
          <w:p>
            <w:pPr>
              <w:ind w:left="320"/>
              <w:spacing w:after="0"/>
              <w:rPr>
                <w:sz w:val="20"/>
                <w:szCs w:val="20"/>
                <w:color w:val="auto"/>
              </w:rPr>
            </w:pPr>
            <w:r>
              <w:rPr>
                <w:rFonts w:ascii="Arial" w:cs="Arial" w:eastAsia="Arial" w:hAnsi="Arial"/>
                <w:sz w:val="14"/>
                <w:szCs w:val="14"/>
                <w:color w:val="auto"/>
              </w:rPr>
              <w:t>. We intend to apply to list our Class A common stock on the</w:t>
            </w:r>
          </w:p>
        </w:tc>
        <w:tc>
          <w:tcPr>
            <w:tcW w:w="1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4"/>
                <w:szCs w:val="14"/>
                <w:color w:val="auto"/>
              </w:rPr>
              <w:t>under the symbol “</w:t>
            </w:r>
          </w:p>
        </w:tc>
        <w:tc>
          <w:tcPr>
            <w:tcW w:w="1280" w:type="dxa"/>
            <w:vAlign w:val="bottom"/>
          </w:tcPr>
          <w:p>
            <w:pPr>
              <w:ind w:left="320"/>
              <w:spacing w:after="0"/>
              <w:rPr>
                <w:sz w:val="20"/>
                <w:szCs w:val="20"/>
                <w:color w:val="auto"/>
              </w:rPr>
            </w:pPr>
            <w:r>
              <w:rPr>
                <w:rFonts w:ascii="Arial" w:cs="Arial" w:eastAsia="Arial" w:hAnsi="Arial"/>
                <w:sz w:val="14"/>
                <w:szCs w:val="14"/>
                <w:color w:val="auto"/>
              </w:rPr>
              <w:t>.”</w:t>
            </w:r>
          </w:p>
        </w:tc>
      </w:tr>
    </w:tbl>
    <w:p>
      <w:pPr>
        <w:spacing w:after="0" w:line="43" w:lineRule="exact"/>
        <w:rPr>
          <w:sz w:val="20"/>
          <w:szCs w:val="20"/>
          <w:color w:val="auto"/>
        </w:rPr>
      </w:pPr>
    </w:p>
    <w:p>
      <w:pPr>
        <w:jc w:val="both"/>
        <w:ind w:left="180" w:right="200" w:firstLine="545"/>
        <w:spacing w:after="0" w:line="246"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and will be subject to reduced public company reporting requirements. This prospectus complies with the requirements that apply to an issuer that is an emerging growth company.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182880</wp:posOffset>
            </wp:positionV>
            <wp:extent cx="1450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2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See “</w:t>
      </w:r>
      <w:hyperlink w:anchor="page24">
        <w:r>
          <w:rPr>
            <w:rFonts w:ascii="Arial" w:cs="Arial" w:eastAsia="Arial" w:hAnsi="Arial"/>
            <w:sz w:val="14"/>
            <w:szCs w:val="14"/>
            <w:i w:val="1"/>
            <w:iCs w:val="1"/>
            <w:u w:val="single" w:color="auto"/>
            <w:color w:val="0000EE"/>
          </w:rPr>
          <w:t>Risk Factors</w:t>
        </w:r>
      </w:hyperlink>
      <w:r>
        <w:rPr>
          <w:rFonts w:ascii="Arial" w:cs="Arial" w:eastAsia="Arial" w:hAnsi="Arial"/>
          <w:sz w:val="14"/>
          <w:szCs w:val="14"/>
          <w:i w:val="1"/>
          <w:iCs w:val="1"/>
          <w:color w:val="auto"/>
        </w:rPr>
        <w:t>” beginning on page 20 to read about factors you should consider before buying shares of our Class A common stock.</w:t>
      </w:r>
    </w:p>
    <w:p>
      <w:pPr>
        <w:spacing w:after="0" w:line="49" w:lineRule="exact"/>
        <w:rPr>
          <w:sz w:val="20"/>
          <w:szCs w:val="20"/>
          <w:color w:val="auto"/>
        </w:rPr>
      </w:pPr>
    </w:p>
    <w:p>
      <w:pPr>
        <w:ind w:left="180" w:right="260" w:firstLine="545"/>
        <w:spacing w:after="0" w:line="280"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177165</wp:posOffset>
            </wp:positionV>
            <wp:extent cx="1450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900" w:type="dxa"/>
            <w:vAlign w:val="bottom"/>
            <w:gridSpan w:val="2"/>
          </w:tcPr>
          <w:p>
            <w:pPr>
              <w:ind w:left="3260"/>
              <w:spacing w:after="0"/>
              <w:rPr>
                <w:sz w:val="20"/>
                <w:szCs w:val="20"/>
                <w:color w:val="auto"/>
              </w:rPr>
            </w:pPr>
            <w:r>
              <w:rPr>
                <w:rFonts w:ascii="Arial" w:cs="Arial" w:eastAsia="Arial" w:hAnsi="Arial"/>
                <w:sz w:val="14"/>
                <w:szCs w:val="14"/>
                <w:color w:val="auto"/>
                <w:w w:val="98"/>
              </w:rPr>
              <w:t>Per Share</w:t>
            </w:r>
          </w:p>
        </w:tc>
        <w:tc>
          <w:tcPr>
            <w:tcW w:w="36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3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00" w:type="dxa"/>
            <w:vAlign w:val="bottom"/>
            <w:vMerge w:val="continue"/>
            <w:shd w:val="clear" w:color="auto" w:fill="CCEEFF"/>
          </w:tcPr>
          <w:p>
            <w:pPr>
              <w:spacing w:after="0"/>
              <w:rPr>
                <w:sz w:val="13"/>
                <w:szCs w:val="13"/>
                <w:color w:val="auto"/>
              </w:rPr>
            </w:pPr>
          </w:p>
        </w:tc>
        <w:tc>
          <w:tcPr>
            <w:tcW w:w="3900" w:type="dxa"/>
            <w:vAlign w:val="bottom"/>
            <w:gridSpan w:val="2"/>
            <w:shd w:val="clear" w:color="auto" w:fill="CCEEFF"/>
          </w:tcPr>
          <w:p>
            <w:pPr>
              <w:ind w:left="3260"/>
              <w:spacing w:after="0" w:line="154"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EEFF"/>
            </w:tcBorders>
            <w:gridSpan w:val="2"/>
            <w:shd w:val="clear" w:color="auto" w:fill="CCEEFF"/>
          </w:tcPr>
          <w:p>
            <w:pPr>
              <w:jc w:val="right"/>
              <w:ind w:right="489"/>
              <w:spacing w:after="0" w:line="15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6000" w:type="dxa"/>
            <w:vAlign w:val="bottom"/>
          </w:tcPr>
          <w:p>
            <w:pPr>
              <w:spacing w:after="0"/>
              <w:rPr>
                <w:sz w:val="20"/>
                <w:szCs w:val="20"/>
                <w:color w:val="auto"/>
              </w:rPr>
            </w:pPr>
            <w:r>
              <w:rPr>
                <w:rFonts w:ascii="Arial" w:cs="Arial" w:eastAsia="Arial" w:hAnsi="Arial"/>
                <w:sz w:val="14"/>
                <w:szCs w:val="14"/>
                <w:color w:val="auto"/>
              </w:rPr>
              <w:t>Underwriting discounts and commissions(1)</w:t>
            </w:r>
          </w:p>
        </w:tc>
        <w:tc>
          <w:tcPr>
            <w:tcW w:w="3900" w:type="dxa"/>
            <w:vAlign w:val="bottom"/>
            <w:gridSpan w:val="2"/>
          </w:tcPr>
          <w:p>
            <w:pPr>
              <w:ind w:left="3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Proceeds to us, before expenses</w:t>
            </w:r>
          </w:p>
        </w:tc>
        <w:tc>
          <w:tcPr>
            <w:tcW w:w="3900" w:type="dxa"/>
            <w:vAlign w:val="bottom"/>
            <w:gridSpan w:val="2"/>
            <w:shd w:val="clear" w:color="auto" w:fill="CCEEFF"/>
          </w:tcPr>
          <w:p>
            <w:pPr>
              <w:ind w:left="326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CCEEFF"/>
            </w:tcBorders>
            <w:gridSpan w:val="2"/>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2" w:lineRule="exact"/>
        <w:rPr>
          <w:sz w:val="20"/>
          <w:szCs w:val="20"/>
          <w:color w:val="auto"/>
        </w:rPr>
      </w:pPr>
    </w:p>
    <w:p>
      <w:pPr>
        <w:ind w:left="600" w:hanging="426"/>
        <w:spacing w:after="0"/>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underwriter compensation.</w:t>
      </w:r>
    </w:p>
    <w:p>
      <w:pPr>
        <w:spacing w:after="0" w:line="5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740" w:type="dxa"/>
            <w:vAlign w:val="bottom"/>
            <w:gridSpan w:val="4"/>
          </w:tcPr>
          <w:p>
            <w:pPr>
              <w:ind w:left="540"/>
              <w:spacing w:after="0"/>
              <w:rPr>
                <w:sz w:val="20"/>
                <w:szCs w:val="20"/>
                <w:color w:val="auto"/>
              </w:rPr>
            </w:pPr>
            <w:r>
              <w:rPr>
                <w:rFonts w:ascii="Arial" w:cs="Arial" w:eastAsia="Arial" w:hAnsi="Arial"/>
                <w:sz w:val="14"/>
                <w:szCs w:val="14"/>
                <w:color w:val="auto"/>
              </w:rPr>
              <w:t>To the extent the underwriters sell more than ____ shares of Class A common stock, the underwriters the option to purchase up to an additional</w:t>
            </w:r>
          </w:p>
        </w:tc>
        <w:tc>
          <w:tcPr>
            <w:tcW w:w="1160" w:type="dxa"/>
            <w:vAlign w:val="bottom"/>
          </w:tcPr>
          <w:p>
            <w:pPr>
              <w:ind w:left="460"/>
              <w:spacing w:after="0"/>
              <w:rPr>
                <w:sz w:val="20"/>
                <w:szCs w:val="20"/>
                <w:color w:val="auto"/>
              </w:rPr>
            </w:pPr>
            <w:r>
              <w:rPr>
                <w:rFonts w:ascii="Arial" w:cs="Arial" w:eastAsia="Arial" w:hAnsi="Arial"/>
                <w:sz w:val="14"/>
                <w:szCs w:val="14"/>
                <w:color w:val="auto"/>
              </w:rPr>
              <w:t>shares of</w:t>
            </w:r>
          </w:p>
        </w:tc>
      </w:tr>
      <w:tr>
        <w:trPr>
          <w:trHeight w:val="171"/>
        </w:trPr>
        <w:tc>
          <w:tcPr>
            <w:tcW w:w="8100" w:type="dxa"/>
            <w:vAlign w:val="bottom"/>
            <w:gridSpan w:val="3"/>
          </w:tcPr>
          <w:p>
            <w:pPr>
              <w:spacing w:after="0"/>
              <w:rPr>
                <w:sz w:val="20"/>
                <w:szCs w:val="20"/>
                <w:color w:val="auto"/>
              </w:rPr>
            </w:pPr>
            <w:r>
              <w:rPr>
                <w:rFonts w:ascii="Arial" w:cs="Arial" w:eastAsia="Arial" w:hAnsi="Arial"/>
                <w:sz w:val="14"/>
                <w:szCs w:val="14"/>
                <w:color w:val="auto"/>
              </w:rPr>
              <w:t>Class A common stock from us at the initial public offering price less the underwriting discounts and commissions.</w:t>
            </w: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4"/>
        </w:trPr>
        <w:tc>
          <w:tcPr>
            <w:tcW w:w="8100" w:type="dxa"/>
            <w:vAlign w:val="bottom"/>
            <w:gridSpan w:val="3"/>
          </w:tcPr>
          <w:p>
            <w:pPr>
              <w:ind w:left="540"/>
              <w:spacing w:after="0"/>
              <w:rPr>
                <w:sz w:val="20"/>
                <w:szCs w:val="20"/>
                <w:color w:val="auto"/>
              </w:rPr>
            </w:pPr>
            <w:r>
              <w:rPr>
                <w:rFonts w:ascii="Arial" w:cs="Arial" w:eastAsia="Arial" w:hAnsi="Arial"/>
                <w:sz w:val="14"/>
                <w:szCs w:val="14"/>
                <w:color w:val="auto"/>
              </w:rPr>
              <w:t>The underwriters expect to deliver the shares of Class A common stock against payment in New York, New York on</w:t>
            </w:r>
          </w:p>
        </w:tc>
        <w:tc>
          <w:tcPr>
            <w:tcW w:w="1640" w:type="dxa"/>
            <w:vAlign w:val="bottom"/>
          </w:tcPr>
          <w:p>
            <w:pPr>
              <w:jc w:val="right"/>
              <w:ind w:right="809"/>
              <w:spacing w:after="0"/>
              <w:rPr>
                <w:sz w:val="20"/>
                <w:szCs w:val="20"/>
                <w:color w:val="auto"/>
              </w:rPr>
            </w:pPr>
            <w:r>
              <w:rPr>
                <w:rFonts w:ascii="Arial" w:cs="Arial" w:eastAsia="Arial" w:hAnsi="Arial"/>
                <w:sz w:val="14"/>
                <w:szCs w:val="14"/>
                <w:color w:val="auto"/>
              </w:rPr>
              <w:t>, 2021.</w:t>
            </w:r>
          </w:p>
        </w:tc>
        <w:tc>
          <w:tcPr>
            <w:tcW w:w="1160" w:type="dxa"/>
            <w:vAlign w:val="bottom"/>
          </w:tcPr>
          <w:p>
            <w:pPr>
              <w:spacing w:after="0"/>
              <w:rPr>
                <w:sz w:val="18"/>
                <w:szCs w:val="18"/>
                <w:color w:val="auto"/>
              </w:rPr>
            </w:pPr>
          </w:p>
        </w:tc>
      </w:tr>
      <w:tr>
        <w:trPr>
          <w:trHeight w:val="158"/>
        </w:trPr>
        <w:tc>
          <w:tcPr>
            <w:tcW w:w="4300" w:type="dxa"/>
            <w:vAlign w:val="bottom"/>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15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82"/>
        </w:trPr>
        <w:tc>
          <w:tcPr>
            <w:tcW w:w="430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3800" w:type="dxa"/>
            <w:vAlign w:val="bottom"/>
            <w:gridSpan w:val="2"/>
          </w:tcPr>
          <w:p>
            <w:pPr>
              <w:ind w:left="1600"/>
              <w:spacing w:after="0"/>
              <w:rPr>
                <w:sz w:val="20"/>
                <w:szCs w:val="20"/>
                <w:color w:val="auto"/>
              </w:rPr>
            </w:pPr>
            <w:r>
              <w:rPr>
                <w:rFonts w:ascii="Arial" w:cs="Arial" w:eastAsia="Arial" w:hAnsi="Arial"/>
                <w:sz w:val="23"/>
                <w:szCs w:val="23"/>
                <w:b w:val="1"/>
                <w:bCs w:val="1"/>
                <w:color w:val="auto"/>
              </w:rPr>
              <w:t>Morgan Stanley</w:t>
            </w:r>
          </w:p>
        </w:tc>
        <w:tc>
          <w:tcPr>
            <w:tcW w:w="16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3"/>
                <w:szCs w:val="23"/>
                <w:b w:val="1"/>
                <w:bCs w:val="1"/>
                <w:color w:val="auto"/>
              </w:rPr>
              <w:t>Barclays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202565</wp:posOffset>
            </wp:positionV>
            <wp:extent cx="1450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4400"/>
        <w:spacing w:after="0"/>
        <w:tabs>
          <w:tab w:leader="none" w:pos="634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5"/>
          <w:szCs w:val="15"/>
          <w:color w:val="auto"/>
        </w:rPr>
        <w:t>, 2021.</w:t>
      </w:r>
    </w:p>
    <w:p>
      <w:pPr>
        <w:sectPr>
          <w:pgSz w:w="11900" w:h="16838" w:orient="portrait"/>
          <w:cols w:equalWidth="0" w:num="1">
            <w:col w:w="11080"/>
          </w:cols>
          <w:pgMar w:left="320" w:top="456" w:right="49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282575</wp:posOffset>
            </wp:positionV>
            <wp:extent cx="6913245" cy="67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13245" cy="67945"/>
                    </a:xfrm>
                    <a:prstGeom prst="rect">
                      <a:avLst/>
                    </a:prstGeom>
                    <a:noFill/>
                  </pic:spPr>
                </pic:pic>
              </a:graphicData>
            </a:graphic>
          </wp:anchor>
        </w:drawing>
      </w:r>
    </w:p>
    <w:p>
      <w:pPr>
        <w:sectPr>
          <w:pgSz w:w="11900" w:h="16838" w:orient="portrait"/>
          <w:cols w:equalWidth="0" w:num="1">
            <w:col w:w="11040"/>
          </w:cols>
          <w:pgMar w:left="320" w:top="45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TABLE OF CONTENTS</w:t>
      </w:r>
    </w:p>
    <w:p>
      <w:pPr>
        <w:jc w:val="center"/>
        <w:ind w:left="200"/>
        <w:spacing w:after="0"/>
        <w:rPr>
          <w:sz w:val="20"/>
          <w:szCs w:val="20"/>
          <w:color w:val="auto"/>
        </w:rPr>
      </w:pPr>
      <w:r>
        <w:rPr>
          <w:rFonts w:ascii="Arial" w:cs="Arial" w:eastAsia="Arial" w:hAnsi="Arial"/>
          <w:sz w:val="18"/>
          <w:szCs w:val="18"/>
          <w:color w:val="auto"/>
        </w:rPr>
        <w:t>Prospectus</w:t>
      </w:r>
    </w:p>
    <w:p>
      <w:pPr>
        <w:spacing w:after="0" w:line="11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480" w:type="dxa"/>
            <w:vAlign w:val="bottom"/>
            <w:gridSpan w:val="1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7"/>
        </w:trPr>
        <w:tc>
          <w:tcPr>
            <w:tcW w:w="2480" w:type="dxa"/>
            <w:vAlign w:val="bottom"/>
            <w:gridSpan w:val="19"/>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line="167"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80"/>
        </w:trPr>
        <w:tc>
          <w:tcPr>
            <w:tcW w:w="2340" w:type="dxa"/>
            <w:vAlign w:val="bottom"/>
            <w:tcBorders>
              <w:top w:val="single" w:sz="8" w:color="0000EE"/>
            </w:tcBorders>
            <w:gridSpan w:val="16"/>
          </w:tcPr>
          <w:p>
            <w:pPr>
              <w:spacing w:after="0" w:line="181"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4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0"/>
        </w:trPr>
        <w:tc>
          <w:tcPr>
            <w:tcW w:w="2180" w:type="dxa"/>
            <w:vAlign w:val="bottom"/>
            <w:tcBorders>
              <w:top w:val="single" w:sz="8" w:color="0000EE"/>
            </w:tcBorders>
            <w:gridSpan w:val="14"/>
          </w:tcPr>
          <w:p>
            <w:pPr>
              <w:spacing w:after="0" w:line="181"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300" w:type="dxa"/>
            <w:vAlign w:val="bottom"/>
            <w:gridSpan w:val="5"/>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gridSpan w:val="30"/>
          </w:tcPr>
          <w:p>
            <w:pPr>
              <w:spacing w:after="0" w:line="181" w:lineRule="exact"/>
              <w:rPr>
                <w:rFonts w:ascii="Arial" w:cs="Arial" w:eastAsia="Arial" w:hAnsi="Arial"/>
                <w:sz w:val="18"/>
                <w:szCs w:val="18"/>
                <w:color w:val="0000EE"/>
              </w:rPr>
            </w:pPr>
            <w:hyperlink w:anchor="page69">
              <w:r>
                <w:rPr>
                  <w:rFonts w:ascii="Arial" w:cs="Arial" w:eastAsia="Arial" w:hAnsi="Arial"/>
                  <w:sz w:val="18"/>
                  <w:szCs w:val="18"/>
                  <w:color w:val="0000EE"/>
                </w:rPr>
                <w:t>SPECIAL NOTE REGARDING FORWARD-LOOKING</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Borders>
              <w:top w:val="single" w:sz="8" w:color="0000EE"/>
            </w:tcBorders>
          </w:tcPr>
          <w:p>
            <w:pPr>
              <w:spacing w:after="0"/>
              <w:rPr>
                <w:sz w:val="15"/>
                <w:szCs w:val="15"/>
                <w:color w:val="auto"/>
              </w:rPr>
            </w:pPr>
          </w:p>
        </w:tc>
        <w:tc>
          <w:tcPr>
            <w:tcW w:w="1180" w:type="dxa"/>
            <w:vAlign w:val="bottom"/>
            <w:tcBorders>
              <w:top w:val="single" w:sz="8" w:color="0000EE"/>
              <w:bottom w:val="single" w:sz="8" w:color="0000EE"/>
            </w:tcBorders>
            <w:gridSpan w:val="6"/>
          </w:tcPr>
          <w:p>
            <w:pPr>
              <w:spacing w:after="0" w:line="181"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STATEMENTS</w:t>
              </w:r>
            </w:hyperlink>
          </w:p>
        </w:tc>
        <w:tc>
          <w:tcPr>
            <w:tcW w:w="1120" w:type="dxa"/>
            <w:vAlign w:val="bottom"/>
            <w:tcBorders>
              <w:top w:val="single" w:sz="8" w:color="0000EE"/>
            </w:tcBorders>
            <w:gridSpan w:val="12"/>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0"/>
        </w:trPr>
        <w:tc>
          <w:tcPr>
            <w:tcW w:w="4800" w:type="dxa"/>
            <w:vAlign w:val="bottom"/>
            <w:gridSpan w:val="30"/>
          </w:tcPr>
          <w:p>
            <w:pPr>
              <w:spacing w:after="0" w:line="181" w:lineRule="exact"/>
              <w:rPr>
                <w:rFonts w:ascii="Arial" w:cs="Arial" w:eastAsia="Arial" w:hAnsi="Arial"/>
                <w:sz w:val="18"/>
                <w:szCs w:val="18"/>
                <w:color w:val="0000EE"/>
              </w:rPr>
            </w:pPr>
            <w:hyperlink w:anchor="page71">
              <w:r>
                <w:rPr>
                  <w:rFonts w:ascii="Arial" w:cs="Arial" w:eastAsia="Arial" w:hAnsi="Arial"/>
                  <w:sz w:val="18"/>
                  <w:szCs w:val="18"/>
                  <w:color w:val="0000EE"/>
                </w:rPr>
                <w:t>MARKET, INDUSTRY AND OTHER DATA</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0"/>
        </w:trPr>
        <w:tc>
          <w:tcPr>
            <w:tcW w:w="2480" w:type="dxa"/>
            <w:vAlign w:val="bottom"/>
            <w:tcBorders>
              <w:top w:val="single" w:sz="8" w:color="0000EE"/>
            </w:tcBorders>
            <w:gridSpan w:val="19"/>
          </w:tcPr>
          <w:p>
            <w:pPr>
              <w:spacing w:after="0" w:line="181" w:lineRule="exact"/>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0"/>
        </w:trPr>
        <w:tc>
          <w:tcPr>
            <w:tcW w:w="1560" w:type="dxa"/>
            <w:vAlign w:val="bottom"/>
            <w:tcBorders>
              <w:top w:val="single" w:sz="8" w:color="0000EE"/>
              <w:bottom w:val="single" w:sz="8" w:color="0000EE"/>
            </w:tcBorders>
            <w:gridSpan w:val="11"/>
          </w:tcPr>
          <w:p>
            <w:pPr>
              <w:spacing w:after="0" w:line="181" w:lineRule="exact"/>
              <w:rPr>
                <w:rFonts w:ascii="Arial" w:cs="Arial" w:eastAsia="Arial" w:hAnsi="Arial"/>
                <w:sz w:val="18"/>
                <w:szCs w:val="18"/>
                <w:color w:val="0000EE"/>
                <w:w w:val="98"/>
              </w:rPr>
            </w:pPr>
            <w:hyperlink w:anchor="page73">
              <w:r>
                <w:rPr>
                  <w:rFonts w:ascii="Arial" w:cs="Arial" w:eastAsia="Arial" w:hAnsi="Arial"/>
                  <w:sz w:val="18"/>
                  <w:szCs w:val="18"/>
                  <w:color w:val="0000EE"/>
                  <w:w w:val="98"/>
                </w:rPr>
                <w:t>DIVIDEND POLICY</w:t>
              </w:r>
            </w:hyperlink>
          </w:p>
        </w:tc>
        <w:tc>
          <w:tcPr>
            <w:tcW w:w="140" w:type="dxa"/>
            <w:vAlign w:val="bottom"/>
            <w:tcBorders>
              <w:top w:val="single" w:sz="8" w:color="0000EE"/>
            </w:tcBorders>
            <w:gridSpan w:val="2"/>
          </w:tcPr>
          <w:p>
            <w:pPr>
              <w:spacing w:after="0"/>
              <w:rPr>
                <w:sz w:val="15"/>
                <w:szCs w:val="15"/>
                <w:color w:val="auto"/>
              </w:rPr>
            </w:pPr>
          </w:p>
        </w:tc>
        <w:tc>
          <w:tcPr>
            <w:tcW w:w="780" w:type="dxa"/>
            <w:vAlign w:val="bottom"/>
            <w:gridSpan w:val="6"/>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0"/>
        </w:trPr>
        <w:tc>
          <w:tcPr>
            <w:tcW w:w="1420" w:type="dxa"/>
            <w:vAlign w:val="bottom"/>
            <w:tcBorders>
              <w:bottom w:val="single" w:sz="8" w:color="0000EE"/>
            </w:tcBorders>
            <w:gridSpan w:val="9"/>
          </w:tcPr>
          <w:p>
            <w:pPr>
              <w:spacing w:after="0" w:line="181"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CAPITALIZATION</w:t>
              </w:r>
            </w:hyperlink>
          </w:p>
        </w:tc>
        <w:tc>
          <w:tcPr>
            <w:tcW w:w="1060" w:type="dxa"/>
            <w:vAlign w:val="bottom"/>
            <w:gridSpan w:val="10"/>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0"/>
        </w:trPr>
        <w:tc>
          <w:tcPr>
            <w:tcW w:w="840" w:type="dxa"/>
            <w:vAlign w:val="bottom"/>
            <w:tcBorders>
              <w:bottom w:val="single" w:sz="8" w:color="0000EE"/>
            </w:tcBorders>
            <w:gridSpan w:val="3"/>
          </w:tcPr>
          <w:p>
            <w:pPr>
              <w:spacing w:after="0" w:line="181" w:lineRule="exact"/>
              <w:rPr>
                <w:rFonts w:ascii="Arial" w:cs="Arial" w:eastAsia="Arial" w:hAnsi="Arial"/>
                <w:sz w:val="18"/>
                <w:szCs w:val="18"/>
                <w:color w:val="0000EE"/>
                <w:w w:val="97"/>
              </w:rPr>
            </w:pPr>
            <w:hyperlink w:anchor="page76">
              <w:r>
                <w:rPr>
                  <w:rFonts w:ascii="Arial" w:cs="Arial" w:eastAsia="Arial" w:hAnsi="Arial"/>
                  <w:sz w:val="18"/>
                  <w:szCs w:val="18"/>
                  <w:color w:val="0000EE"/>
                  <w:w w:val="97"/>
                </w:rPr>
                <w:t>DILUTION</w:t>
              </w:r>
            </w:hyperlink>
          </w:p>
        </w:tc>
        <w:tc>
          <w:tcPr>
            <w:tcW w:w="1640" w:type="dxa"/>
            <w:vAlign w:val="bottom"/>
            <w:gridSpan w:val="16"/>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0000EE"/>
            </w:tcBorders>
            <w:gridSpan w:val="26"/>
          </w:tcPr>
          <w:p>
            <w:pPr>
              <w:spacing w:after="0" w:line="181"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MANAGEMENT’S DISCUSSION AND ANALYSIS OF</w:t>
              </w:r>
            </w:hyperlink>
          </w:p>
        </w:tc>
        <w:tc>
          <w:tcPr>
            <w:tcW w:w="58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4620" w:type="dxa"/>
            <w:vAlign w:val="bottom"/>
            <w:gridSpan w:val="29"/>
          </w:tcPr>
          <w:p>
            <w:pPr>
              <w:spacing w:after="0" w:line="181" w:lineRule="exact"/>
              <w:rPr>
                <w:rFonts w:ascii="Arial" w:cs="Arial" w:eastAsia="Arial" w:hAnsi="Arial"/>
                <w:sz w:val="18"/>
                <w:szCs w:val="18"/>
                <w:color w:val="0000EE"/>
              </w:rPr>
            </w:pPr>
            <w:hyperlink w:anchor="page79">
              <w:r>
                <w:rPr>
                  <w:rFonts w:ascii="Arial" w:cs="Arial" w:eastAsia="Arial" w:hAnsi="Arial"/>
                  <w:sz w:val="18"/>
                  <w:szCs w:val="18"/>
                  <w:color w:val="0000EE"/>
                </w:rPr>
                <w:t>FINANCIAL CONDITION AND RESULTS OF</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5"/>
          </w:tcPr>
          <w:p>
            <w:pPr>
              <w:spacing w:after="0" w:line="181"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OPERATIONS</w:t>
              </w:r>
            </w:hyperlink>
          </w:p>
        </w:tc>
        <w:tc>
          <w:tcPr>
            <w:tcW w:w="1140" w:type="dxa"/>
            <w:vAlign w:val="bottom"/>
            <w:tcBorders>
              <w:top w:val="single" w:sz="8" w:color="0000EE"/>
            </w:tcBorders>
            <w:gridSpan w:val="13"/>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0"/>
        </w:trPr>
        <w:tc>
          <w:tcPr>
            <w:tcW w:w="900" w:type="dxa"/>
            <w:vAlign w:val="bottom"/>
            <w:tcBorders>
              <w:bottom w:val="single" w:sz="8" w:color="0000EE"/>
            </w:tcBorders>
            <w:gridSpan w:val="4"/>
          </w:tcPr>
          <w:p>
            <w:pPr>
              <w:spacing w:after="0" w:line="181" w:lineRule="exact"/>
              <w:rPr>
                <w:rFonts w:ascii="Arial" w:cs="Arial" w:eastAsia="Arial" w:hAnsi="Arial"/>
                <w:sz w:val="18"/>
                <w:szCs w:val="18"/>
                <w:color w:val="0000EE"/>
                <w:w w:val="96"/>
              </w:rPr>
            </w:pPr>
            <w:hyperlink w:anchor="page110">
              <w:r>
                <w:rPr>
                  <w:rFonts w:ascii="Arial" w:cs="Arial" w:eastAsia="Arial" w:hAnsi="Arial"/>
                  <w:sz w:val="18"/>
                  <w:szCs w:val="18"/>
                  <w:color w:val="0000EE"/>
                  <w:w w:val="96"/>
                </w:rPr>
                <w:t>BUSINESS</w:t>
              </w:r>
            </w:hyperlink>
          </w:p>
        </w:tc>
        <w:tc>
          <w:tcPr>
            <w:tcW w:w="1580" w:type="dxa"/>
            <w:vAlign w:val="bottom"/>
            <w:gridSpan w:val="15"/>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0000EE"/>
            </w:tcBorders>
            <w:gridSpan w:val="5"/>
          </w:tcPr>
          <w:p>
            <w:pPr>
              <w:spacing w:after="0" w:line="181"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MANAGEMENT</w:t>
              </w:r>
            </w:hyperlink>
          </w:p>
        </w:tc>
        <w:tc>
          <w:tcPr>
            <w:tcW w:w="1180" w:type="dxa"/>
            <w:vAlign w:val="bottom"/>
            <w:gridSpan w:val="14"/>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0000EE"/>
            </w:tcBorders>
            <w:gridSpan w:val="19"/>
          </w:tcPr>
          <w:p>
            <w:pPr>
              <w:spacing w:after="0" w:line="181" w:lineRule="exact"/>
              <w:rPr>
                <w:rFonts w:ascii="Arial" w:cs="Arial" w:eastAsia="Arial" w:hAnsi="Arial"/>
                <w:sz w:val="18"/>
                <w:szCs w:val="18"/>
                <w:color w:val="0000EE"/>
                <w:w w:val="97"/>
              </w:rPr>
            </w:pPr>
            <w:hyperlink w:anchor="page147">
              <w:r>
                <w:rPr>
                  <w:rFonts w:ascii="Arial" w:cs="Arial" w:eastAsia="Arial" w:hAnsi="Arial"/>
                  <w:sz w:val="18"/>
                  <w:szCs w:val="18"/>
                  <w:color w:val="0000EE"/>
                  <w:w w:val="97"/>
                </w:rPr>
                <w:t>EXECUTIVE COMPENSATION</w:t>
              </w:r>
            </w:hyperlink>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80"/>
        </w:trPr>
        <w:tc>
          <w:tcPr>
            <w:tcW w:w="4800" w:type="dxa"/>
            <w:vAlign w:val="bottom"/>
            <w:gridSpan w:val="30"/>
          </w:tcPr>
          <w:p>
            <w:pPr>
              <w:spacing w:after="0" w:line="181" w:lineRule="exact"/>
              <w:rPr>
                <w:rFonts w:ascii="Arial" w:cs="Arial" w:eastAsia="Arial" w:hAnsi="Arial"/>
                <w:sz w:val="18"/>
                <w:szCs w:val="18"/>
                <w:color w:val="0000EE"/>
              </w:rPr>
            </w:pPr>
            <w:hyperlink w:anchor="page157">
              <w:r>
                <w:rPr>
                  <w:rFonts w:ascii="Arial" w:cs="Arial" w:eastAsia="Arial" w:hAnsi="Arial"/>
                  <w:sz w:val="18"/>
                  <w:szCs w:val="18"/>
                  <w:color w:val="0000EE"/>
                </w:rPr>
                <w:t>CERTAIN RELATIONSHIPS AND RELATED PARTY</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Borders>
              <w:top w:val="single" w:sz="8" w:color="0000EE"/>
            </w:tcBorders>
          </w:tcPr>
          <w:p>
            <w:pPr>
              <w:spacing w:after="0"/>
              <w:rPr>
                <w:sz w:val="15"/>
                <w:szCs w:val="15"/>
                <w:color w:val="auto"/>
              </w:rPr>
            </w:pPr>
          </w:p>
        </w:tc>
        <w:tc>
          <w:tcPr>
            <w:tcW w:w="1400" w:type="dxa"/>
            <w:vAlign w:val="bottom"/>
            <w:tcBorders>
              <w:top w:val="single" w:sz="8" w:color="0000EE"/>
              <w:bottom w:val="single" w:sz="8" w:color="0000EE"/>
            </w:tcBorders>
            <w:gridSpan w:val="11"/>
          </w:tcPr>
          <w:p>
            <w:pPr>
              <w:spacing w:after="0" w:line="181" w:lineRule="exact"/>
              <w:rPr>
                <w:rFonts w:ascii="Arial" w:cs="Arial" w:eastAsia="Arial" w:hAnsi="Arial"/>
                <w:sz w:val="18"/>
                <w:szCs w:val="18"/>
                <w:color w:val="0000EE"/>
                <w:w w:val="97"/>
              </w:rPr>
            </w:pPr>
            <w:hyperlink w:anchor="page157">
              <w:r>
                <w:rPr>
                  <w:rFonts w:ascii="Arial" w:cs="Arial" w:eastAsia="Arial" w:hAnsi="Arial"/>
                  <w:sz w:val="18"/>
                  <w:szCs w:val="18"/>
                  <w:color w:val="0000EE"/>
                  <w:w w:val="97"/>
                </w:rPr>
                <w:t>TRANSACTIONS</w:t>
              </w:r>
            </w:hyperlink>
          </w:p>
        </w:tc>
        <w:tc>
          <w:tcPr>
            <w:tcW w:w="900" w:type="dxa"/>
            <w:vAlign w:val="bottom"/>
            <w:tcBorders>
              <w:top w:val="single" w:sz="8" w:color="0000EE"/>
            </w:tcBorders>
            <w:gridSpan w:val="7"/>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80"/>
        </w:trPr>
        <w:tc>
          <w:tcPr>
            <w:tcW w:w="2480" w:type="dxa"/>
            <w:vAlign w:val="bottom"/>
            <w:gridSpan w:val="19"/>
          </w:tcPr>
          <w:p>
            <w:pPr>
              <w:spacing w:after="0" w:line="181" w:lineRule="exact"/>
              <w:rPr>
                <w:rFonts w:ascii="Arial" w:cs="Arial" w:eastAsia="Arial" w:hAnsi="Arial"/>
                <w:sz w:val="18"/>
                <w:szCs w:val="18"/>
                <w:color w:val="0000EE"/>
                <w:w w:val="98"/>
              </w:rPr>
            </w:pPr>
            <w:hyperlink w:anchor="page161">
              <w:r>
                <w:rPr>
                  <w:rFonts w:ascii="Arial" w:cs="Arial" w:eastAsia="Arial" w:hAnsi="Arial"/>
                  <w:sz w:val="18"/>
                  <w:szCs w:val="18"/>
                  <w:color w:val="0000EE"/>
                  <w:w w:val="98"/>
                </w:rPr>
                <w:t>PRINCIPAL STOCKHOLDERS</w:t>
              </w:r>
            </w:hyperlink>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gridSpan w:val="30"/>
          </w:tcPr>
          <w:p>
            <w:pPr>
              <w:spacing w:after="0" w:line="181" w:lineRule="exact"/>
              <w:rPr>
                <w:rFonts w:ascii="Arial" w:cs="Arial" w:eastAsia="Arial" w:hAnsi="Arial"/>
                <w:sz w:val="18"/>
                <w:szCs w:val="18"/>
                <w:color w:val="0000EE"/>
              </w:rPr>
            </w:pPr>
            <w:hyperlink w:anchor="page163">
              <w:r>
                <w:rPr>
                  <w:rFonts w:ascii="Arial" w:cs="Arial" w:eastAsia="Arial" w:hAnsi="Arial"/>
                  <w:sz w:val="18"/>
                  <w:szCs w:val="18"/>
                  <w:color w:val="0000EE"/>
                </w:rPr>
                <w:t>DESCRIPTION OF CAPITAL STOCK</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80" w:type="dxa"/>
            <w:vAlign w:val="bottom"/>
            <w:tcBorders>
              <w:bottom w:val="single" w:sz="8" w:color="0000EE"/>
            </w:tcBorders>
            <w:gridSpan w:val="22"/>
          </w:tcPr>
          <w:p>
            <w:pPr>
              <w:spacing w:after="0" w:line="181" w:lineRule="exact"/>
              <w:rPr>
                <w:rFonts w:ascii="Arial" w:cs="Arial" w:eastAsia="Arial" w:hAnsi="Arial"/>
                <w:sz w:val="18"/>
                <w:szCs w:val="18"/>
                <w:color w:val="0000EE"/>
                <w:w w:val="98"/>
              </w:rPr>
            </w:pPr>
            <w:hyperlink w:anchor="page171">
              <w:r>
                <w:rPr>
                  <w:rFonts w:ascii="Arial" w:cs="Arial" w:eastAsia="Arial" w:hAnsi="Arial"/>
                  <w:sz w:val="18"/>
                  <w:szCs w:val="18"/>
                  <w:color w:val="0000EE"/>
                  <w:w w:val="98"/>
                </w:rPr>
                <w:t>SHARES ELIGIBLE FOR FUTURE SALE</w:t>
              </w:r>
            </w:hyperlink>
          </w:p>
        </w:tc>
        <w:tc>
          <w:tcPr>
            <w:tcW w:w="1520" w:type="dxa"/>
            <w:vAlign w:val="bottom"/>
            <w:gridSpan w:val="8"/>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0"/>
        </w:trPr>
        <w:tc>
          <w:tcPr>
            <w:tcW w:w="4800" w:type="dxa"/>
            <w:vAlign w:val="bottom"/>
            <w:gridSpan w:val="30"/>
          </w:tcPr>
          <w:p>
            <w:pPr>
              <w:spacing w:after="0" w:line="181" w:lineRule="exact"/>
              <w:rPr>
                <w:rFonts w:ascii="Arial" w:cs="Arial" w:eastAsia="Arial" w:hAnsi="Arial"/>
                <w:sz w:val="18"/>
                <w:szCs w:val="18"/>
                <w:color w:val="0000EE"/>
              </w:rPr>
            </w:pPr>
            <w:hyperlink w:anchor="page174">
              <w:r>
                <w:rPr>
                  <w:rFonts w:ascii="Arial" w:cs="Arial" w:eastAsia="Arial" w:hAnsi="Arial"/>
                  <w:sz w:val="18"/>
                  <w:szCs w:val="18"/>
                  <w:color w:val="0000EE"/>
                </w:rPr>
                <w:t>MATERIAL U.S. FEDERAL INCOME TAX</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620" w:type="dxa"/>
            <w:vAlign w:val="bottom"/>
            <w:gridSpan w:val="29"/>
          </w:tcPr>
          <w:p>
            <w:pPr>
              <w:spacing w:after="0" w:line="181" w:lineRule="exact"/>
              <w:rPr>
                <w:rFonts w:ascii="Arial" w:cs="Arial" w:eastAsia="Arial" w:hAnsi="Arial"/>
                <w:sz w:val="18"/>
                <w:szCs w:val="18"/>
                <w:color w:val="0000EE"/>
              </w:rPr>
            </w:pPr>
            <w:hyperlink w:anchor="page174">
              <w:r>
                <w:rPr>
                  <w:rFonts w:ascii="Arial" w:cs="Arial" w:eastAsia="Arial" w:hAnsi="Arial"/>
                  <w:sz w:val="18"/>
                  <w:szCs w:val="18"/>
                  <w:color w:val="0000EE"/>
                </w:rPr>
                <w:t>CONSEQUENCES TO NON-U.S. HOLDERS OF OUR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2300" w:type="dxa"/>
            <w:vAlign w:val="bottom"/>
            <w:tcBorders>
              <w:top w:val="single" w:sz="8" w:color="0000EE"/>
            </w:tcBorders>
            <w:gridSpan w:val="18"/>
          </w:tcPr>
          <w:p>
            <w:pPr>
              <w:spacing w:after="0" w:line="181" w:lineRule="exact"/>
              <w:rPr>
                <w:rFonts w:ascii="Arial" w:cs="Arial" w:eastAsia="Arial" w:hAnsi="Arial"/>
                <w:sz w:val="18"/>
                <w:szCs w:val="18"/>
                <w:color w:val="0000EE"/>
                <w:w w:val="98"/>
              </w:rPr>
            </w:pPr>
            <w:hyperlink w:anchor="page174">
              <w:r>
                <w:rPr>
                  <w:rFonts w:ascii="Arial" w:cs="Arial" w:eastAsia="Arial" w:hAnsi="Arial"/>
                  <w:sz w:val="18"/>
                  <w:szCs w:val="18"/>
                  <w:color w:val="0000EE"/>
                  <w:w w:val="98"/>
                </w:rPr>
                <w:t>CLASS A COMMON STOCK</w:t>
              </w:r>
            </w:hyperlink>
          </w:p>
        </w:tc>
        <w:tc>
          <w:tcPr>
            <w:tcW w:w="4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400" w:type="dxa"/>
            <w:vAlign w:val="bottom"/>
            <w:tcBorders>
              <w:bottom w:val="single" w:sz="8" w:color="0000EE"/>
            </w:tcBorders>
            <w:gridSpan w:val="8"/>
          </w:tcPr>
          <w:p>
            <w:pPr>
              <w:spacing w:after="0" w:line="181" w:lineRule="exact"/>
              <w:rPr>
                <w:rFonts w:ascii="Arial" w:cs="Arial" w:eastAsia="Arial" w:hAnsi="Arial"/>
                <w:sz w:val="18"/>
                <w:szCs w:val="18"/>
                <w:color w:val="0000EE"/>
                <w:w w:val="97"/>
              </w:rPr>
            </w:pPr>
            <w:hyperlink w:anchor="page178">
              <w:r>
                <w:rPr>
                  <w:rFonts w:ascii="Arial" w:cs="Arial" w:eastAsia="Arial" w:hAnsi="Arial"/>
                  <w:sz w:val="18"/>
                  <w:szCs w:val="18"/>
                  <w:color w:val="0000EE"/>
                  <w:w w:val="97"/>
                </w:rPr>
                <w:t>UNDERWRITING</w:t>
              </w:r>
            </w:hyperlink>
          </w:p>
        </w:tc>
        <w:tc>
          <w:tcPr>
            <w:tcW w:w="1080" w:type="dxa"/>
            <w:vAlign w:val="bottom"/>
            <w:gridSpan w:val="11"/>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80"/>
        </w:trPr>
        <w:tc>
          <w:tcPr>
            <w:tcW w:w="1460" w:type="dxa"/>
            <w:vAlign w:val="bottom"/>
            <w:tcBorders>
              <w:bottom w:val="single" w:sz="8" w:color="0000EE"/>
            </w:tcBorders>
            <w:gridSpan w:val="10"/>
          </w:tcPr>
          <w:p>
            <w:pPr>
              <w:spacing w:after="0" w:line="181" w:lineRule="exact"/>
              <w:rPr>
                <w:rFonts w:ascii="Arial" w:cs="Arial" w:eastAsia="Arial" w:hAnsi="Arial"/>
                <w:sz w:val="18"/>
                <w:szCs w:val="18"/>
                <w:color w:val="0000EE"/>
                <w:w w:val="96"/>
              </w:rPr>
            </w:pPr>
            <w:hyperlink w:anchor="page184">
              <w:r>
                <w:rPr>
                  <w:rFonts w:ascii="Arial" w:cs="Arial" w:eastAsia="Arial" w:hAnsi="Arial"/>
                  <w:sz w:val="18"/>
                  <w:szCs w:val="18"/>
                  <w:color w:val="0000EE"/>
                  <w:w w:val="96"/>
                </w:rPr>
                <w:t>LEGAL MATTERS</w:t>
              </w:r>
            </w:hyperlink>
          </w:p>
        </w:tc>
        <w:tc>
          <w:tcPr>
            <w:tcW w:w="1020" w:type="dxa"/>
            <w:vAlign w:val="bottom"/>
            <w:gridSpan w:val="9"/>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80"/>
        </w:trPr>
        <w:tc>
          <w:tcPr>
            <w:tcW w:w="2480" w:type="dxa"/>
            <w:vAlign w:val="bottom"/>
            <w:gridSpan w:val="19"/>
          </w:tcPr>
          <w:p>
            <w:pPr>
              <w:spacing w:after="0" w:line="181" w:lineRule="exact"/>
              <w:rPr>
                <w:rFonts w:ascii="Arial" w:cs="Arial" w:eastAsia="Arial" w:hAnsi="Arial"/>
                <w:sz w:val="18"/>
                <w:szCs w:val="18"/>
                <w:color w:val="0000EE"/>
              </w:rPr>
            </w:pPr>
            <w:hyperlink w:anchor="page184">
              <w:r>
                <w:rPr>
                  <w:rFonts w:ascii="Arial" w:cs="Arial" w:eastAsia="Arial" w:hAnsi="Arial"/>
                  <w:sz w:val="18"/>
                  <w:szCs w:val="18"/>
                  <w:color w:val="0000EE"/>
                </w:rPr>
                <w:t>EXPERTS</w:t>
              </w:r>
            </w:hyperlink>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3560" w:type="dxa"/>
            <w:vAlign w:val="bottom"/>
            <w:gridSpan w:val="2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gridSpan w:val="30"/>
          </w:tcPr>
          <w:p>
            <w:pPr>
              <w:spacing w:after="0" w:line="181" w:lineRule="exact"/>
              <w:rPr>
                <w:rFonts w:ascii="Arial" w:cs="Arial" w:eastAsia="Arial" w:hAnsi="Arial"/>
                <w:sz w:val="18"/>
                <w:szCs w:val="18"/>
                <w:color w:val="0000EE"/>
              </w:rPr>
            </w:pPr>
            <w:hyperlink w:anchor="page185">
              <w:r>
                <w:rPr>
                  <w:rFonts w:ascii="Arial" w:cs="Arial" w:eastAsia="Arial" w:hAnsi="Arial"/>
                  <w:sz w:val="18"/>
                  <w:szCs w:val="18"/>
                  <w:color w:val="0000EE"/>
                </w:rPr>
                <w:t>WHERE YOU CAN FIND ADDITIONAL INFORMATION</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4380" w:type="dxa"/>
            <w:vAlign w:val="bottom"/>
            <w:gridSpan w:val="2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gridSpan w:val="30"/>
          </w:tcPr>
          <w:p>
            <w:pPr>
              <w:spacing w:after="0" w:line="181" w:lineRule="exact"/>
              <w:rPr>
                <w:sz w:val="20"/>
                <w:szCs w:val="20"/>
                <w:color w:val="auto"/>
              </w:rPr>
            </w:pPr>
            <w:r>
              <w:rPr>
                <w:rFonts w:ascii="Arial" w:cs="Arial" w:eastAsia="Arial" w:hAnsi="Arial"/>
                <w:sz w:val="18"/>
                <w:szCs w:val="18"/>
                <w:color w:val="0000EE"/>
              </w:rPr>
              <w:t>INDEX TO CONSOLIDATED FINANCIAL STATEMENTS</w:t>
            </w: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41"/>
        </w:trPr>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480" w:type="dxa"/>
            <w:vAlign w:val="bottom"/>
            <w:gridSpan w:val="19"/>
          </w:tcPr>
          <w:p>
            <w:pPr>
              <w:spacing w:after="0"/>
              <w:rPr>
                <w:sz w:val="20"/>
                <w:szCs w:val="20"/>
                <w:color w:val="auto"/>
              </w:rPr>
            </w:pPr>
            <w:r>
              <w:rPr>
                <w:rFonts w:ascii="Arial" w:cs="Arial" w:eastAsia="Arial" w:hAnsi="Arial"/>
                <w:sz w:val="18"/>
                <w:szCs w:val="18"/>
                <w:b w:val="1"/>
                <w:bCs w:val="1"/>
                <w:color w:val="auto"/>
              </w:rPr>
              <w:t>Through and including</w:t>
            </w:r>
          </w:p>
        </w:tc>
        <w:tc>
          <w:tcPr>
            <w:tcW w:w="2700" w:type="dxa"/>
            <w:vAlign w:val="bottom"/>
            <w:gridSpan w:val="12"/>
          </w:tcPr>
          <w:p>
            <w:pPr>
              <w:jc w:val="right"/>
              <w:spacing w:after="0"/>
              <w:rPr>
                <w:sz w:val="20"/>
                <w:szCs w:val="20"/>
                <w:color w:val="auto"/>
              </w:rPr>
            </w:pPr>
            <w:r>
              <w:rPr>
                <w:rFonts w:ascii="Arial" w:cs="Arial" w:eastAsia="Arial" w:hAnsi="Arial"/>
                <w:sz w:val="18"/>
                <w:szCs w:val="18"/>
                <w:b w:val="1"/>
                <w:bCs w:val="1"/>
                <w:color w:val="auto"/>
              </w:rPr>
              <w:t>, 2021 (the 25th day after the</w:t>
            </w:r>
          </w:p>
        </w:tc>
        <w:tc>
          <w:tcPr>
            <w:tcW w:w="0" w:type="dxa"/>
            <w:vAlign w:val="bottom"/>
          </w:tcPr>
          <w:p>
            <w:pPr>
              <w:spacing w:after="0"/>
              <w:rPr>
                <w:sz w:val="1"/>
                <w:szCs w:val="1"/>
                <w:color w:val="auto"/>
              </w:rPr>
            </w:pPr>
          </w:p>
        </w:tc>
      </w:tr>
    </w:tbl>
    <w:p>
      <w:pPr>
        <w:ind w:left="180"/>
        <w:spacing w:after="0" w:line="234" w:lineRule="auto"/>
        <w:rPr>
          <w:sz w:val="20"/>
          <w:szCs w:val="20"/>
          <w:color w:val="auto"/>
        </w:rPr>
      </w:pPr>
      <w:r>
        <w:rPr>
          <w:rFonts w:ascii="Arial" w:cs="Arial" w:eastAsia="Arial" w:hAnsi="Arial"/>
          <w:sz w:val="18"/>
          <w:szCs w:val="18"/>
          <w:b w:val="1"/>
          <w:bCs w:val="1"/>
          <w:color w:val="auto"/>
        </w:rPr>
        <w:t>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5" w:lineRule="exact"/>
        <w:rPr>
          <w:sz w:val="20"/>
          <w:szCs w:val="20"/>
          <w:color w:val="auto"/>
        </w:rPr>
      </w:pPr>
    </w:p>
    <w:p>
      <w:pPr>
        <w:jc w:val="both"/>
        <w:ind w:left="180"/>
        <w:spacing w:after="0" w:line="237"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related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128905</wp:posOffset>
            </wp:positionV>
            <wp:extent cx="3316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1660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187960</wp:posOffset>
            </wp:positionV>
            <wp:extent cx="331660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660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writing prospectuses we have prepared. Neither we nor any of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or in any free writing prospectus is current only as of its date regardless of the time of delivery of this prospectus or any sale of shares of Class A common stock. Our business, financial condition, results of operations and prospectus may have changed since that date.</w:t>
      </w:r>
    </w:p>
    <w:p>
      <w:pPr>
        <w:spacing w:after="0" w:line="18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3179445</wp:posOffset>
            </wp:positionV>
            <wp:extent cx="33845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845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3239135</wp:posOffset>
            </wp:positionV>
            <wp:extent cx="33845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84550" cy="25400"/>
                    </a:xfrm>
                    <a:prstGeom prst="rect">
                      <a:avLst/>
                    </a:prstGeom>
                    <a:noFill/>
                  </pic:spPr>
                </pic:pic>
              </a:graphicData>
            </a:graphic>
          </wp:anchor>
        </w:drawing>
      </w:r>
    </w:p>
    <w:p>
      <w:pPr>
        <w:sectPr>
          <w:pgSz w:w="11900" w:h="16838" w:orient="portrait"/>
          <w:cols w:equalWidth="0" w:num="2">
            <w:col w:w="5380" w:space="360"/>
            <w:col w:w="5300"/>
          </w:cols>
          <w:pgMar w:left="320" w:top="456" w:right="5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80" w:right="80" w:firstLine="545"/>
        <w:spacing w:after="0" w:line="235" w:lineRule="auto"/>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02"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color w:val="auto"/>
        </w:rPr>
        <w:t>Our fiscal year begins on February 1 and ends on January 31 of the following year. All references to (i) fiscal 2019 or fiscal year 2019 relate to the year ended January 31, 2020, (ii) fiscal 2020 or fiscal year 2020 relate to the year ended January 31, 2021 and (iii) fiscal 2021 or fiscal year 2021 relate to the year ending January 31, 2022.</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6077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5945" cy="6077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11" w:lineRule="exact"/>
        <w:rPr>
          <w:sz w:val="20"/>
          <w:szCs w:val="20"/>
          <w:color w:val="auto"/>
        </w:rPr>
      </w:pPr>
    </w:p>
    <w:p>
      <w:pPr>
        <w:ind w:left="360" w:right="40" w:firstLine="527"/>
        <w:spacing w:after="0" w:line="237"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“Rent the Runway” and “RTR” refer to Rent the Runway, Inc. and its consolidated subsidiary.</w:t>
      </w:r>
    </w:p>
    <w:p>
      <w:pPr>
        <w:spacing w:after="0" w:line="28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207" w:lineRule="exact"/>
        <w:rPr>
          <w:sz w:val="20"/>
          <w:szCs w:val="20"/>
          <w:color w:val="auto"/>
        </w:rPr>
      </w:pPr>
    </w:p>
    <w:p>
      <w:pPr>
        <w:ind w:left="360" w:right="120" w:firstLine="527"/>
        <w:spacing w:after="0" w:line="237" w:lineRule="auto"/>
        <w:rPr>
          <w:sz w:val="20"/>
          <w:szCs w:val="20"/>
          <w:color w:val="auto"/>
        </w:rPr>
      </w:pPr>
      <w:r>
        <w:rPr>
          <w:rFonts w:ascii="Arial" w:cs="Arial" w:eastAsia="Arial" w:hAnsi="Arial"/>
          <w:sz w:val="18"/>
          <w:szCs w:val="18"/>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8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w:t>
      </w:r>
    </w:p>
    <w:p>
      <w:pPr>
        <w:spacing w:after="0" w:line="2" w:lineRule="exact"/>
        <w:rPr>
          <w:sz w:val="20"/>
          <w:szCs w:val="20"/>
          <w:color w:val="auto"/>
        </w:rPr>
      </w:pPr>
    </w:p>
    <w:p>
      <w:pPr>
        <w:ind w:left="360" w:right="540"/>
        <w:spacing w:after="0" w:line="242" w:lineRule="auto"/>
        <w:rPr>
          <w:sz w:val="20"/>
          <w:szCs w:val="20"/>
          <w:color w:val="auto"/>
        </w:rPr>
      </w:pPr>
      <w:r>
        <w:rPr>
          <w:rFonts w:ascii="Arial" w:cs="Arial" w:eastAsia="Arial" w:hAnsi="Arial"/>
          <w:sz w:val="18"/>
          <w:szCs w:val="18"/>
          <w:color w:val="auto"/>
        </w:rPr>
        <w:t>total subscribers</w:t>
      </w:r>
      <w:r>
        <w:rPr>
          <w:rFonts w:ascii="Arial" w:cs="Arial" w:eastAsia="Arial" w:hAnsi="Arial"/>
          <w:sz w:val="15"/>
          <w:szCs w:val="15"/>
          <w:color w:val="auto"/>
        </w:rPr>
        <w:t>1</w:t>
      </w:r>
      <w:r>
        <w:rPr>
          <w:rFonts w:ascii="Arial" w:cs="Arial" w:eastAsia="Arial" w:hAnsi="Arial"/>
          <w:sz w:val="18"/>
          <w:szCs w:val="18"/>
          <w:color w:val="auto"/>
        </w:rPr>
        <w:t xml:space="preserve"> (active and paused) as of , 2021. For fiscal year 2019 and 2020, 78% and 89% of our total revenue (including Reserve and Resale revenue) was generated by subscribers while they were active or paused, respectively.</w:t>
      </w:r>
    </w:p>
    <w:p>
      <w:pPr>
        <w:spacing w:after="0" w:line="200" w:lineRule="exact"/>
        <w:rPr>
          <w:sz w:val="20"/>
          <w:szCs w:val="20"/>
          <w:color w:val="auto"/>
        </w:rPr>
      </w:pPr>
    </w:p>
    <w:p>
      <w:pPr>
        <w:ind w:left="360" w:right="180" w:firstLine="527"/>
        <w:spacing w:after="0" w:line="236" w:lineRule="auto"/>
        <w:rPr>
          <w:sz w:val="20"/>
          <w:szCs w:val="20"/>
          <w:color w:val="auto"/>
        </w:rPr>
      </w:pPr>
      <w:r>
        <w:rPr>
          <w:rFonts w:ascii="Arial" w:cs="Arial" w:eastAsia="Arial" w:hAnsi="Arial"/>
          <w:sz w:val="18"/>
          <w:szCs w:val="18"/>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w:t>
      </w:r>
    </w:p>
    <w:p>
      <w:pPr>
        <w:spacing w:after="0" w:line="201" w:lineRule="exact"/>
        <w:rPr>
          <w:sz w:val="20"/>
          <w:szCs w:val="20"/>
          <w:color w:val="auto"/>
        </w:rPr>
      </w:pPr>
    </w:p>
    <w:p>
      <w:pPr>
        <w:ind w:left="360" w:firstLine="527"/>
        <w:spacing w:after="0" w:line="235" w:lineRule="auto"/>
        <w:rPr>
          <w:sz w:val="20"/>
          <w:szCs w:val="20"/>
          <w:color w:val="auto"/>
        </w:rPr>
      </w:pPr>
      <w:r>
        <w:rPr>
          <w:rFonts w:ascii="Arial" w:cs="Arial" w:eastAsia="Arial" w:hAnsi="Arial"/>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(approximately $ 47,000 and $37,000 in designer retail value on an annualized basis in fiscal year 2019 and for the first five months of fiscal year 2021, respectively).</w:t>
      </w:r>
      <w:r>
        <w:rPr>
          <w:rFonts w:ascii="Arial" w:cs="Arial" w:eastAsia="Arial" w:hAnsi="Arial"/>
          <w:sz w:val="15"/>
          <w:szCs w:val="15"/>
          <w:color w:val="auto"/>
        </w:rPr>
        <w:t>2</w:t>
      </w:r>
      <w:r>
        <w:rPr>
          <w:rFonts w:ascii="Arial" w:cs="Arial" w:eastAsia="Arial" w:hAnsi="Arial"/>
          <w:sz w:val="18"/>
          <w:szCs w:val="18"/>
          <w:color w:val="auto"/>
        </w:rPr>
        <w:t xml:space="preserve"> We have become an everyday utility; our most engaged subscribers</w:t>
      </w:r>
    </w:p>
    <w:p>
      <w:pPr>
        <w:spacing w:after="0" w:line="65" w:lineRule="exact"/>
        <w:rPr>
          <w:sz w:val="20"/>
          <w:szCs w:val="20"/>
          <w:color w:val="auto"/>
        </w:rPr>
      </w:pPr>
    </w:p>
    <w:p>
      <w:pPr>
        <w:ind w:left="660" w:hanging="306"/>
        <w:spacing w:after="0"/>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Total subscribers represent the number of subscribers with an active or paused membership as of the last day of the fiscal period and excludes subscribers who</w:t>
      </w:r>
    </w:p>
    <w:p>
      <w:pPr>
        <w:ind w:left="660"/>
        <w:spacing w:after="0" w:line="227" w:lineRule="auto"/>
        <w:rPr>
          <w:sz w:val="20"/>
          <w:szCs w:val="20"/>
          <w:color w:val="auto"/>
        </w:rPr>
      </w:pPr>
      <w:r>
        <w:rPr>
          <w:rFonts w:ascii="Arial" w:cs="Arial" w:eastAsia="Arial" w:hAnsi="Arial"/>
          <w:sz w:val="14"/>
          <w:szCs w:val="14"/>
          <w:color w:val="auto"/>
        </w:rPr>
        <w:t>had an active or paused subscription during the fiscal period, but ended their subscription prior to the last day of the fiscal period.</w:t>
      </w:r>
    </w:p>
    <w:p>
      <w:pPr>
        <w:spacing w:after="0" w:line="8" w:lineRule="exact"/>
        <w:rPr>
          <w:sz w:val="20"/>
          <w:szCs w:val="20"/>
          <w:color w:val="auto"/>
        </w:rPr>
      </w:pPr>
    </w:p>
    <w:p>
      <w:pPr>
        <w:ind w:left="660" w:right="240" w:hanging="306"/>
        <w:spacing w:after="0" w:line="197"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3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6"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501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5945" cy="5501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0" w:right="60"/>
        <w:spacing w:after="0" w:line="239" w:lineRule="auto"/>
        <w:rPr>
          <w:sz w:val="20"/>
          <w:szCs w:val="20"/>
          <w:color w:val="auto"/>
        </w:rPr>
      </w:pPr>
      <w:r>
        <w:rPr>
          <w:rFonts w:ascii="Arial" w:cs="Arial" w:eastAsia="Arial" w:hAnsi="Arial"/>
          <w:sz w:val="18"/>
          <w:szCs w:val="18"/>
          <w:color w:val="auto"/>
        </w:rPr>
        <w:t>wear Rent the Runway more than 100 days per year. We believe that the convenience and access to a broad assortment of designer brands, categories and styles helps drive our strong customer engagement.</w:t>
      </w:r>
    </w:p>
    <w:p>
      <w:pPr>
        <w:spacing w:after="0" w:line="202" w:lineRule="exact"/>
        <w:rPr>
          <w:sz w:val="20"/>
          <w:szCs w:val="20"/>
          <w:color w:val="auto"/>
        </w:rPr>
      </w:pPr>
    </w:p>
    <w:p>
      <w:pPr>
        <w:ind w:left="360" w:right="20" w:firstLine="527"/>
        <w:spacing w:after="0" w:line="234" w:lineRule="auto"/>
        <w:rPr>
          <w:sz w:val="20"/>
          <w:szCs w:val="20"/>
          <w:color w:val="auto"/>
        </w:rPr>
      </w:pPr>
      <w:r>
        <w:rPr>
          <w:rFonts w:ascii="Arial" w:cs="Arial" w:eastAsia="Arial" w:hAnsi="Arial"/>
          <w:sz w:val="18"/>
          <w:szCs w:val="18"/>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204" w:lineRule="exact"/>
        <w:rPr>
          <w:sz w:val="20"/>
          <w:szCs w:val="20"/>
          <w:color w:val="auto"/>
        </w:rPr>
      </w:pPr>
    </w:p>
    <w:p>
      <w:pPr>
        <w:ind w:left="360" w:right="120" w:firstLine="527"/>
        <w:spacing w:after="0" w:line="239" w:lineRule="auto"/>
        <w:rPr>
          <w:sz w:val="20"/>
          <w:szCs w:val="20"/>
          <w:color w:val="auto"/>
        </w:rPr>
      </w:pPr>
      <w:r>
        <w:rPr>
          <w:rFonts w:ascii="Arial" w:cs="Arial" w:eastAsia="Arial" w:hAnsi="Arial"/>
          <w:sz w:val="18"/>
          <w:szCs w:val="18"/>
          <w:color w:val="auto"/>
        </w:rPr>
        <w:t>Our Closet in the Cloud connects our deeply engaged customers and our differentiated brand partners on a powerful platform built around our brand, data, logistics and technology advantages.</w:t>
      </w:r>
    </w:p>
    <w:p>
      <w:pPr>
        <w:spacing w:after="0" w:line="91" w:lineRule="exact"/>
        <w:rPr>
          <w:sz w:val="20"/>
          <w:szCs w:val="20"/>
          <w:color w:val="auto"/>
        </w:rPr>
      </w:pPr>
    </w:p>
    <w:p>
      <w:pPr>
        <w:ind w:left="1060" w:right="40" w:hanging="185"/>
        <w:spacing w:after="0" w:line="23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Brand Partner Advantage. </w:t>
      </w:r>
      <w:r>
        <w:rPr>
          <w:rFonts w:ascii="Arial" w:cs="Arial" w:eastAsia="Arial" w:hAnsi="Arial"/>
          <w:sz w:val="18"/>
          <w:szCs w:val="18"/>
          <w:color w:val="auto"/>
        </w:rPr>
        <w:t>Our assortment contains thousands of new, current season styles procured from our brand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 Today, we acquire our products through three channels: Wholesale, Share by RTR and Exclusive Designs</w:t>
      </w:r>
      <w:r>
        <w:rPr>
          <w:rFonts w:ascii="Arial" w:cs="Arial" w:eastAsia="Arial" w:hAnsi="Arial"/>
          <w:sz w:val="18"/>
          <w:szCs w:val="18"/>
          <w:i w:val="1"/>
          <w:iCs w:val="1"/>
          <w:color w:val="auto"/>
        </w:rPr>
        <w:t>.</w:t>
      </w:r>
      <w:r>
        <w:rPr>
          <w:rFonts w:ascii="Arial" w:cs="Arial" w:eastAsia="Arial" w:hAnsi="Arial"/>
          <w:sz w:val="18"/>
          <w:szCs w:val="18"/>
          <w:color w:val="auto"/>
        </w:rPr>
        <w:t xml:space="preserve"> Through Share by RTR, we acquire items directly from brand partners on consignment, at zero or low upfront cost and revenue share with our brands each time an item is rented. We leverage our data to create highly desirable Exclusive Designs in collaboration with select brand partners that we manufacture through third-party partners to be more durable and at significantly lower cost. The portion of our products sourced through Share by RTR and Exclusive Designs - our more asset-light sources - has grown from approximately 26% in fiscal year 2019 to approximately 54% in fiscal year 2020.</w:t>
      </w:r>
    </w:p>
    <w:p>
      <w:pPr>
        <w:spacing w:after="0" w:line="94" w:lineRule="exact"/>
        <w:rPr>
          <w:rFonts w:ascii="Arial" w:cs="Arial" w:eastAsia="Arial" w:hAnsi="Arial"/>
          <w:sz w:val="18"/>
          <w:szCs w:val="18"/>
          <w:color w:val="auto"/>
        </w:rPr>
      </w:pPr>
    </w:p>
    <w:p>
      <w:pPr>
        <w:ind w:left="1060" w:right="80" w:hanging="185"/>
        <w:spacing w:after="0" w:line="241"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Data Advantage. </w:t>
      </w:r>
      <w:r>
        <w:rPr>
          <w:rFonts w:ascii="Arial" w:cs="Arial" w:eastAsia="Arial" w:hAnsi="Arial"/>
          <w:sz w:val="18"/>
          <w:szCs w:val="18"/>
          <w:color w:val="auto"/>
        </w:rPr>
        <w:t>We capture a vast amount of quality, actionable data on our customers and products. We leverage this</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90" w:lineRule="exact"/>
        <w:rPr>
          <w:rFonts w:ascii="Arial" w:cs="Arial" w:eastAsia="Arial" w:hAnsi="Arial"/>
          <w:sz w:val="18"/>
          <w:szCs w:val="18"/>
          <w:color w:val="auto"/>
        </w:rPr>
      </w:pPr>
    </w:p>
    <w:p>
      <w:pPr>
        <w:ind w:left="1060" w:right="20" w:hanging="185"/>
        <w:spacing w:after="0" w:line="23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Technology and Logistics Advantage. </w:t>
      </w:r>
      <w:r>
        <w:rPr>
          <w:rFonts w:ascii="Arial" w:cs="Arial" w:eastAsia="Arial" w:hAnsi="Arial"/>
          <w:sz w:val="18"/>
          <w:szCs w:val="18"/>
          <w:color w:val="auto"/>
        </w:rPr>
        <w:t>We have developed a proprietary operating system for the sharing economy of</w:t>
      </w:r>
      <w:r>
        <w:rPr>
          <w:rFonts w:ascii="Arial" w:cs="Arial" w:eastAsia="Arial" w:hAnsi="Arial"/>
          <w:sz w:val="18"/>
          <w:szCs w:val="18"/>
          <w:i w:val="1"/>
          <w:iCs w:val="1"/>
          <w:color w:val="auto"/>
        </w:rPr>
        <w:t xml:space="preserve"> </w:t>
      </w:r>
      <w:r>
        <w:rPr>
          <w:rFonts w:ascii="Arial" w:cs="Arial" w:eastAsia="Arial" w:hAnsi="Arial"/>
          <w:sz w:val="18"/>
          <w:szCs w:val="18"/>
          <w:color w:val="auto"/>
        </w:rPr>
        <w:t>physical 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subscription, a-la-carte rental and resale in one easy experience for the customer.</w:t>
      </w:r>
    </w:p>
    <w:p>
      <w:pPr>
        <w:spacing w:after="0" w:line="203" w:lineRule="exact"/>
        <w:rPr>
          <w:sz w:val="20"/>
          <w:szCs w:val="20"/>
          <w:color w:val="auto"/>
        </w:rPr>
      </w:pPr>
    </w:p>
    <w:p>
      <w:pPr>
        <w:ind w:left="360" w:firstLine="527"/>
        <w:spacing w:after="0" w:line="235" w:lineRule="auto"/>
        <w:rPr>
          <w:sz w:val="20"/>
          <w:szCs w:val="20"/>
          <w:color w:val="auto"/>
        </w:rPr>
      </w:pPr>
      <w:r>
        <w:rPr>
          <w:rFonts w:ascii="Arial" w:cs="Arial" w:eastAsia="Arial" w:hAnsi="Arial"/>
          <w:sz w:val="18"/>
          <w:szCs w:val="18"/>
          <w:color w:val="auto"/>
        </w:rPr>
        <w:t>Since our inception, organic growth, or word-of-mouth marketing, has been a key advantage for RTR. Many of our customers publicly share their love of the Rent the Runway experience on social media and in their personal lives, which helps drive brand awareness and new customer acquisition. Because of how customers use Rent the Runway, renting bold dynamic pieces, and the confidence they feel, our clothing becomes a visual billboard and advertising for the platform. As a result, since our founding, we have spent less than 10% of total revenue on marketing, and our growth has been mostly organic.</w:t>
      </w: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6" w:right="7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280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5945" cy="52800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0" w:right="500"/>
        <w:spacing w:after="0" w:line="239" w:lineRule="auto"/>
        <w:rPr>
          <w:sz w:val="20"/>
          <w:szCs w:val="20"/>
          <w:color w:val="auto"/>
        </w:rPr>
      </w:pPr>
      <w:r>
        <w:rPr>
          <w:rFonts w:ascii="Arial" w:cs="Arial" w:eastAsia="Arial" w:hAnsi="Arial"/>
          <w:sz w:val="18"/>
          <w:szCs w:val="18"/>
          <w:color w:val="auto"/>
        </w:rPr>
        <w:t>More than 88% of our customers over the last 12 years have been acquired via word-of-mouth. Our brand and deeply engaged community have allowed us to acquire customers efficiently even as we have scaled.</w:t>
      </w:r>
    </w:p>
    <w:p>
      <w:pPr>
        <w:spacing w:after="0" w:line="202" w:lineRule="exact"/>
        <w:rPr>
          <w:sz w:val="20"/>
          <w:szCs w:val="20"/>
          <w:color w:val="auto"/>
        </w:rPr>
      </w:pPr>
    </w:p>
    <w:p>
      <w:pPr>
        <w:ind w:left="360" w:right="820" w:firstLine="527"/>
        <w:spacing w:after="0" w:line="239" w:lineRule="auto"/>
        <w:rPr>
          <w:sz w:val="20"/>
          <w:szCs w:val="20"/>
          <w:color w:val="auto"/>
        </w:rPr>
      </w:pPr>
      <w:r>
        <w:rPr>
          <w:rFonts w:ascii="Arial" w:cs="Arial" w:eastAsia="Arial" w:hAnsi="Arial"/>
          <w:sz w:val="18"/>
          <w:szCs w:val="18"/>
          <w:color w:val="auto"/>
        </w:rPr>
        <w:t>We generate revenue from our Subscription, Reserve and Resale offerings. The majority of revenue comes from our Subscription offering, which is highly recurring and drives customer engagement.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achieved the following operating and financial results:</w:t>
      </w:r>
    </w:p>
    <w:p>
      <w:pPr>
        <w:spacing w:after="0" w:line="114" w:lineRule="exact"/>
        <w:rPr>
          <w:sz w:val="20"/>
          <w:szCs w:val="20"/>
          <w:color w:val="auto"/>
        </w:rPr>
      </w:pPr>
    </w:p>
    <w:p>
      <w:pPr>
        <w:ind w:left="1060" w:right="100" w:hanging="185"/>
        <w:spacing w:after="0" w:line="23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had 147,866 and 95,245 total subscribers at the end of fiscal year 2019 and fiscal year 2020, respectively, and 133,572 and 54,797 active subscribers (excluding paused subscribers), respectively;</w:t>
      </w:r>
    </w:p>
    <w:p>
      <w:pPr>
        <w:spacing w:after="0" w:line="108" w:lineRule="exact"/>
        <w:rPr>
          <w:rFonts w:ascii="Arial" w:cs="Arial" w:eastAsia="Arial" w:hAnsi="Arial"/>
          <w:sz w:val="18"/>
          <w:szCs w:val="18"/>
          <w:color w:val="auto"/>
        </w:rPr>
      </w:pPr>
    </w:p>
    <w:p>
      <w:pPr>
        <w:ind w:left="1060" w:hanging="1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was $256.9 million and $157.5 million in fiscal year 2019 and fiscal year 2020, respectively;</w:t>
      </w:r>
    </w:p>
    <w:p>
      <w:pPr>
        <w:spacing w:after="0" w:line="113" w:lineRule="exact"/>
        <w:rPr>
          <w:rFonts w:ascii="Arial" w:cs="Arial" w:eastAsia="Arial" w:hAnsi="Arial"/>
          <w:sz w:val="18"/>
          <w:szCs w:val="18"/>
          <w:color w:val="auto"/>
        </w:rPr>
      </w:pPr>
    </w:p>
    <w:p>
      <w:pPr>
        <w:ind w:left="1060" w:hanging="1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$53.6 million and $15.5 million in fiscal year 2019 and fiscal year 2020, respectively;</w:t>
      </w:r>
    </w:p>
    <w:p>
      <w:pPr>
        <w:spacing w:after="0" w:line="113" w:lineRule="exact"/>
        <w:rPr>
          <w:rFonts w:ascii="Arial" w:cs="Arial" w:eastAsia="Arial" w:hAnsi="Arial"/>
          <w:sz w:val="18"/>
          <w:szCs w:val="18"/>
          <w:color w:val="auto"/>
        </w:rPr>
      </w:pPr>
    </w:p>
    <w:p>
      <w:pPr>
        <w:ind w:left="1060" w:right="220" w:hanging="185"/>
        <w:spacing w:after="0" w:line="23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Excluding Product Depreciation was $129.3 million and $85.4 million in fiscal year 2019 and fiscal year 2020, respectively;</w:t>
      </w:r>
    </w:p>
    <w:p>
      <w:pPr>
        <w:spacing w:after="0" w:line="108" w:lineRule="exact"/>
        <w:rPr>
          <w:rFonts w:ascii="Arial" w:cs="Arial" w:eastAsia="Arial" w:hAnsi="Arial"/>
          <w:sz w:val="18"/>
          <w:szCs w:val="18"/>
          <w:color w:val="auto"/>
        </w:rPr>
      </w:pPr>
    </w:p>
    <w:p>
      <w:pPr>
        <w:ind w:left="1060" w:hanging="1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was $(153.9) million and $(171.1) million in fiscal year 2019 and fiscal year 2020, respectively; and</w:t>
      </w:r>
    </w:p>
    <w:p>
      <w:pPr>
        <w:spacing w:after="0" w:line="113" w:lineRule="exact"/>
        <w:rPr>
          <w:rFonts w:ascii="Arial" w:cs="Arial" w:eastAsia="Arial" w:hAnsi="Arial"/>
          <w:sz w:val="18"/>
          <w:szCs w:val="18"/>
          <w:color w:val="auto"/>
        </w:rPr>
      </w:pPr>
    </w:p>
    <w:p>
      <w:pPr>
        <w:ind w:left="1060" w:hanging="1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was $(18.0) million and $(20.3) million in fiscal year 2019 and fiscal year 2020, respectively.</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Trends in Our Favor</w:t>
      </w:r>
    </w:p>
    <w:p>
      <w:pPr>
        <w:spacing w:after="0" w:line="229" w:lineRule="exact"/>
        <w:rPr>
          <w:sz w:val="20"/>
          <w:szCs w:val="20"/>
          <w:color w:val="auto"/>
        </w:rPr>
      </w:pPr>
    </w:p>
    <w:p>
      <w:pPr>
        <w:ind w:left="360" w:right="200" w:firstLine="527"/>
        <w:spacing w:after="0" w:line="239" w:lineRule="auto"/>
        <w:rPr>
          <w:sz w:val="20"/>
          <w:szCs w:val="20"/>
          <w:color w:val="auto"/>
        </w:rPr>
      </w:pPr>
      <w:r>
        <w:rPr>
          <w:rFonts w:ascii="Arial" w:cs="Arial" w:eastAsia="Arial" w:hAnsi="Arial"/>
          <w:sz w:val="18"/>
          <w:szCs w:val="18"/>
          <w:color w:val="auto"/>
        </w:rPr>
        <w:t>We are witnessing trends that are driving consumer and brand behavior in our favor, though the extent to which they may be impacted by the COVID-19 pandemic remains uncertain.</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Consumer Trends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Some of the key trends impacting consumers in our industry include:</w:t>
      </w:r>
    </w:p>
    <w:p>
      <w:pPr>
        <w:spacing w:after="0" w:line="52" w:lineRule="exact"/>
        <w:rPr>
          <w:sz w:val="20"/>
          <w:szCs w:val="20"/>
          <w:color w:val="auto"/>
        </w:rPr>
      </w:pPr>
    </w:p>
    <w:p>
      <w:pPr>
        <w:ind w:left="1060" w:hanging="185"/>
        <w:spacing w:after="0" w:line="24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from Ownership to Access: </w:t>
      </w:r>
      <w:r>
        <w:rPr>
          <w:rFonts w:ascii="Arial" w:cs="Arial" w:eastAsia="Arial" w:hAnsi="Arial"/>
          <w:sz w:val="18"/>
          <w:szCs w:val="18"/>
          <w:color w:val="auto"/>
        </w:rPr>
        <w:t>In 2020, access models represented 64% of the U.S. recorded music market, 71%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home entertainment market and 17% of the U.S. hospitality market.</w:t>
      </w:r>
      <w:r>
        <w:rPr>
          <w:rFonts w:ascii="Arial" w:cs="Arial" w:eastAsia="Arial" w:hAnsi="Arial"/>
          <w:sz w:val="15"/>
          <w:szCs w:val="15"/>
          <w:color w:val="auto"/>
        </w:rPr>
        <w:t>3</w:t>
      </w:r>
      <w:r>
        <w:rPr>
          <w:rFonts w:ascii="Arial" w:cs="Arial" w:eastAsia="Arial" w:hAnsi="Arial"/>
          <w:sz w:val="18"/>
          <w:szCs w:val="18"/>
          <w:color w:val="auto"/>
        </w:rPr>
        <w:t xml:space="preserve"> Businesses such as Spotify, Netflix and Airbnb have been built in the transition to access and we believe that the apparel industry is ripe for this same disruption.</w:t>
      </w:r>
    </w:p>
    <w:p>
      <w:pPr>
        <w:spacing w:after="0" w:line="39" w:lineRule="exact"/>
        <w:rPr>
          <w:rFonts w:ascii="Arial" w:cs="Arial" w:eastAsia="Arial" w:hAnsi="Arial"/>
          <w:sz w:val="18"/>
          <w:szCs w:val="18"/>
          <w:color w:val="auto"/>
        </w:rPr>
      </w:pPr>
    </w:p>
    <w:p>
      <w:pPr>
        <w:ind w:left="1060" w:hanging="185"/>
        <w:spacing w:after="0" w:line="24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Desire for Variety and Newness: </w:t>
      </w:r>
      <w:r>
        <w:rPr>
          <w:rFonts w:ascii="Arial" w:cs="Arial" w:eastAsia="Arial" w:hAnsi="Arial"/>
          <w:sz w:val="18"/>
          <w:szCs w:val="18"/>
          <w:color w:val="auto"/>
        </w:rPr>
        <w:t>Consumers are increasingly seeking variety and newness in their wardrobes. Closets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and, according to the Wall Street Journal, the average consumer buys approximately 70 items of clothing per year as compared to 40 items per year in 1990.</w:t>
      </w:r>
      <w:r>
        <w:rPr>
          <w:rFonts w:ascii="Arial" w:cs="Arial" w:eastAsia="Arial" w:hAnsi="Arial"/>
          <w:sz w:val="15"/>
          <w:szCs w:val="15"/>
          <w:color w:val="auto"/>
        </w:rPr>
        <w:t>4</w:t>
      </w:r>
    </w:p>
    <w:p>
      <w:pPr>
        <w:spacing w:after="0" w:line="174" w:lineRule="exact"/>
        <w:rPr>
          <w:sz w:val="20"/>
          <w:szCs w:val="20"/>
          <w:color w:val="auto"/>
        </w:rPr>
      </w:pPr>
    </w:p>
    <w:p>
      <w:pPr>
        <w:ind w:left="880" w:right="200" w:hanging="526"/>
        <w:spacing w:after="0" w:line="190" w:lineRule="auto"/>
        <w:tabs>
          <w:tab w:leader="none" w:pos="88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Access models within the recorded music market according to Recording Industry Association of America, Year-End Music Industry Revenue Report, 2020. Access models within the home entertainment market according to Digital Entertainment Group, DEG Year-End Digital Media Entertainment Report, 2020, Access models within the hospitality market according to Euromonitor International Ltd.</w:t>
      </w:r>
    </w:p>
    <w:p>
      <w:pPr>
        <w:ind w:left="880" w:hanging="526"/>
        <w:spacing w:after="0" w:line="186" w:lineRule="auto"/>
        <w:tabs>
          <w:tab w:leader="none" w:pos="880" w:val="left"/>
        </w:tabs>
        <w:numPr>
          <w:ilvl w:val="0"/>
          <w:numId w:val="9"/>
        </w:numPr>
        <w:rPr>
          <w:rFonts w:ascii="Arial" w:cs="Arial" w:eastAsia="Arial" w:hAnsi="Arial"/>
          <w:sz w:val="20"/>
          <w:szCs w:val="20"/>
          <w:color w:val="auto"/>
          <w:vertAlign w:val="superscript"/>
        </w:rPr>
      </w:pPr>
      <w:r>
        <w:rPr>
          <w:rFonts w:ascii="Arial" w:cs="Arial" w:eastAsia="Arial" w:hAnsi="Arial"/>
          <w:sz w:val="12"/>
          <w:szCs w:val="12"/>
          <w:color w:val="auto"/>
        </w:rPr>
        <w:t>Wall Street Journal, Ups and Downs of U.S. Clothes Shopping, September 2014.</w:t>
      </w:r>
    </w:p>
    <w:p>
      <w:pPr>
        <w:spacing w:after="0" w:line="38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320" w:top="456" w:right="7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6085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5945" cy="60858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60" w:right="260" w:hanging="185"/>
        <w:spacing w:after="0" w:line="24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of Online Shopping: </w:t>
      </w:r>
      <w:r>
        <w:rPr>
          <w:rFonts w:ascii="Arial" w:cs="Arial" w:eastAsia="Arial" w:hAnsi="Arial"/>
          <w:sz w:val="18"/>
          <w:szCs w:val="18"/>
          <w:color w:val="auto"/>
        </w:rPr>
        <w:t>Despite the fact that closets are growing, online sales represent the fastest growing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apparel market. U.S. online apparel grew at a 17% CAGR between 2015 and 2020 while the broader apparel sector declined, according to Euromonitor.</w:t>
      </w:r>
      <w:r>
        <w:rPr>
          <w:rFonts w:ascii="Arial" w:cs="Arial" w:eastAsia="Arial" w:hAnsi="Arial"/>
          <w:sz w:val="15"/>
          <w:szCs w:val="15"/>
          <w:color w:val="auto"/>
        </w:rPr>
        <w:t>5</w:t>
      </w:r>
    </w:p>
    <w:p>
      <w:pPr>
        <w:spacing w:after="0" w:line="39" w:lineRule="exact"/>
        <w:rPr>
          <w:rFonts w:ascii="Arial" w:cs="Arial" w:eastAsia="Arial" w:hAnsi="Arial"/>
          <w:sz w:val="18"/>
          <w:szCs w:val="18"/>
          <w:color w:val="auto"/>
        </w:rPr>
      </w:pPr>
    </w:p>
    <w:p>
      <w:pPr>
        <w:ind w:left="1060" w:right="120" w:hanging="185"/>
        <w:spacing w:after="0" w:line="24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Media Driving Fashion: </w:t>
      </w:r>
      <w:r>
        <w:rPr>
          <w:rFonts w:ascii="Arial" w:cs="Arial" w:eastAsia="Arial" w:hAnsi="Arial"/>
          <w:sz w:val="18"/>
          <w:szCs w:val="18"/>
          <w:color w:val="auto"/>
        </w:rPr>
        <w:t>Millennials post nine selfies a week on social media, according to Now Sourcing.</w:t>
      </w:r>
      <w:r>
        <w:rPr>
          <w:rFonts w:ascii="Arial" w:cs="Arial" w:eastAsia="Arial" w:hAnsi="Arial"/>
          <w:sz w:val="15"/>
          <w:szCs w:val="15"/>
          <w:color w:val="auto"/>
        </w:rPr>
        <w:t>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ubiquity of fashion on social media has meant that consumers have a higher awareness of aspirational brands outside their income level.</w:t>
      </w:r>
    </w:p>
    <w:p>
      <w:pPr>
        <w:spacing w:after="0" w:line="39" w:lineRule="exact"/>
        <w:rPr>
          <w:rFonts w:ascii="Arial" w:cs="Arial" w:eastAsia="Arial" w:hAnsi="Arial"/>
          <w:sz w:val="18"/>
          <w:szCs w:val="18"/>
          <w:color w:val="auto"/>
        </w:rPr>
      </w:pPr>
    </w:p>
    <w:p>
      <w:pPr>
        <w:ind w:left="1060" w:right="140" w:hanging="185"/>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Increasingly Female Workforce: </w:t>
      </w:r>
      <w:r>
        <w:rPr>
          <w:rFonts w:ascii="Arial" w:cs="Arial" w:eastAsia="Arial" w:hAnsi="Arial"/>
          <w:sz w:val="18"/>
          <w:szCs w:val="18"/>
          <w:color w:val="auto"/>
        </w:rPr>
        <w:t>As of January 2021, women represented 47% of the workforce according to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Bureau for Labor Statistics and U.S. Census.</w:t>
      </w:r>
      <w:r>
        <w:rPr>
          <w:rFonts w:ascii="Arial" w:cs="Arial" w:eastAsia="Arial" w:hAnsi="Arial"/>
          <w:sz w:val="15"/>
          <w:szCs w:val="15"/>
          <w:color w:val="auto"/>
        </w:rPr>
        <w:t>7</w:t>
      </w:r>
      <w:r>
        <w:rPr>
          <w:rFonts w:ascii="Arial" w:cs="Arial" w:eastAsia="Arial" w:hAnsi="Arial"/>
          <w:sz w:val="18"/>
          <w:szCs w:val="18"/>
          <w:color w:val="auto"/>
        </w:rPr>
        <w:t xml:space="preserve"> This increasingly female workforce is spending 3x more than their male counterparts on workwear, with 50% of women feeling pressure to be “put together” at work according to a Refinery29 study.</w:t>
      </w:r>
      <w:r>
        <w:rPr>
          <w:rFonts w:ascii="Arial" w:cs="Arial" w:eastAsia="Arial" w:hAnsi="Arial"/>
          <w:sz w:val="15"/>
          <w:szCs w:val="15"/>
          <w:color w:val="auto"/>
        </w:rPr>
        <w:t>8</w:t>
      </w:r>
    </w:p>
    <w:p>
      <w:pPr>
        <w:spacing w:after="0" w:line="83" w:lineRule="exact"/>
        <w:rPr>
          <w:rFonts w:ascii="Arial" w:cs="Arial" w:eastAsia="Arial" w:hAnsi="Arial"/>
          <w:sz w:val="18"/>
          <w:szCs w:val="18"/>
          <w:color w:val="auto"/>
        </w:rPr>
      </w:pPr>
    </w:p>
    <w:p>
      <w:pPr>
        <w:ind w:left="1060" w:right="140" w:hanging="185"/>
        <w:spacing w:after="0" w:line="24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Importance of Sustainability: </w:t>
      </w:r>
      <w:r>
        <w:rPr>
          <w:rFonts w:ascii="Arial" w:cs="Arial" w:eastAsia="Arial" w:hAnsi="Arial"/>
          <w:sz w:val="18"/>
          <w:szCs w:val="18"/>
          <w:color w:val="auto"/>
        </w:rPr>
        <w:t>Consumers are increasingly aware of the impact their choices are making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 and seeking more sustainable alternatives. According to McKinsey, internet searches for “sustainable fashion” grew 3x between 2016 and 2019.</w:t>
      </w:r>
      <w:r>
        <w:rPr>
          <w:rFonts w:ascii="Arial" w:cs="Arial" w:eastAsia="Arial" w:hAnsi="Arial"/>
          <w:sz w:val="15"/>
          <w:szCs w:val="15"/>
          <w:color w:val="auto"/>
        </w:rPr>
        <w:t>9</w:t>
      </w:r>
    </w:p>
    <w:p>
      <w:pPr>
        <w:spacing w:after="0" w:line="79" w:lineRule="exact"/>
        <w:rPr>
          <w:rFonts w:ascii="Arial" w:cs="Arial" w:eastAsia="Arial" w:hAnsi="Arial"/>
          <w:sz w:val="18"/>
          <w:szCs w:val="18"/>
          <w:color w:val="auto"/>
        </w:rPr>
      </w:pPr>
    </w:p>
    <w:p>
      <w:pPr>
        <w:ind w:left="1060" w:right="40" w:hanging="185"/>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Normalization of Secondhand: </w:t>
      </w:r>
      <w:r>
        <w:rPr>
          <w:rFonts w:ascii="Arial" w:cs="Arial" w:eastAsia="Arial" w:hAnsi="Arial"/>
          <w:sz w:val="18"/>
          <w:szCs w:val="18"/>
          <w:color w:val="auto"/>
        </w:rPr>
        <w:t>Secondhand fashion has become more mainstream, driven by its affordability, uniqueness,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and alignment with environmental consciousness.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designer brands, whether accessible or prestige, face challenges to grow their businesses and serve their consumers.</w:t>
      </w:r>
    </w:p>
    <w:p>
      <w:pPr>
        <w:ind w:left="360"/>
        <w:spacing w:after="0"/>
        <w:rPr>
          <w:sz w:val="20"/>
          <w:szCs w:val="20"/>
          <w:color w:val="auto"/>
        </w:rPr>
      </w:pPr>
      <w:r>
        <w:rPr>
          <w:rFonts w:ascii="Arial" w:cs="Arial" w:eastAsia="Arial" w:hAnsi="Arial"/>
          <w:sz w:val="18"/>
          <w:szCs w:val="18"/>
          <w:color w:val="auto"/>
        </w:rPr>
        <w:t>Those challenges include:</w:t>
      </w:r>
    </w:p>
    <w:p>
      <w:pPr>
        <w:spacing w:after="0" w:line="92" w:lineRule="exact"/>
        <w:rPr>
          <w:sz w:val="20"/>
          <w:szCs w:val="20"/>
          <w:color w:val="auto"/>
        </w:rPr>
      </w:pPr>
    </w:p>
    <w:p>
      <w:pPr>
        <w:ind w:left="1060" w:hanging="185"/>
        <w:spacing w:after="0" w:line="24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Decline of Traditional Wholesale Channels: </w:t>
      </w:r>
      <w:r>
        <w:rPr>
          <w:rFonts w:ascii="Arial" w:cs="Arial" w:eastAsia="Arial" w:hAnsi="Arial"/>
          <w:sz w:val="18"/>
          <w:szCs w:val="18"/>
          <w:color w:val="auto"/>
        </w:rPr>
        <w:t>It is estimated that 80,000 retailers, or 9% of the 878,000 stores in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close their doors in the next five years.</w:t>
      </w:r>
      <w:r>
        <w:rPr>
          <w:rFonts w:ascii="Arial" w:cs="Arial" w:eastAsia="Arial" w:hAnsi="Arial"/>
          <w:sz w:val="15"/>
          <w:szCs w:val="15"/>
          <w:color w:val="auto"/>
        </w:rPr>
        <w:t>10</w:t>
      </w:r>
      <w:r>
        <w:rPr>
          <w:rFonts w:ascii="Arial" w:cs="Arial" w:eastAsia="Arial" w:hAnsi="Arial"/>
          <w:sz w:val="18"/>
          <w:szCs w:val="18"/>
          <w:color w:val="auto"/>
        </w:rPr>
        <w:t xml:space="preserve"> Department stores, one-fifth of which have closed since 2018, have traditionally represented a majority of brands’ revenue, making a decline in traffic a headwind on revenue.</w:t>
      </w:r>
      <w:r>
        <w:rPr>
          <w:rFonts w:ascii="Arial" w:cs="Arial" w:eastAsia="Arial" w:hAnsi="Arial"/>
          <w:sz w:val="15"/>
          <w:szCs w:val="15"/>
          <w:color w:val="auto"/>
        </w:rPr>
        <w:t>11</w:t>
      </w:r>
    </w:p>
    <w:p>
      <w:pPr>
        <w:spacing w:after="0" w:line="79" w:lineRule="exact"/>
        <w:rPr>
          <w:rFonts w:ascii="Arial" w:cs="Arial" w:eastAsia="Arial" w:hAnsi="Arial"/>
          <w:sz w:val="18"/>
          <w:szCs w:val="18"/>
          <w:color w:val="auto"/>
        </w:rPr>
      </w:pPr>
    </w:p>
    <w:p>
      <w:pPr>
        <w:ind w:left="1060" w:right="60" w:hanging="185"/>
        <w:spacing w:after="0" w:line="24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Direct-to-Consumer, or DTC, as an Essential Channel for Every Brand: </w:t>
      </w:r>
      <w:r>
        <w:rPr>
          <w:rFonts w:ascii="Arial" w:cs="Arial" w:eastAsia="Arial" w:hAnsi="Arial"/>
          <w:sz w:val="18"/>
          <w:szCs w:val="18"/>
          <w:color w:val="auto"/>
        </w:rPr>
        <w:t>Given the growth in online and the challenges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traditional wholesale channels, brands are increasingly seeking DTC channels but often lack the financial or human capital to build them.</w:t>
      </w:r>
    </w:p>
    <w:p>
      <w:pPr>
        <w:spacing w:after="0" w:line="79" w:lineRule="exact"/>
        <w:rPr>
          <w:rFonts w:ascii="Arial" w:cs="Arial" w:eastAsia="Arial" w:hAnsi="Arial"/>
          <w:sz w:val="18"/>
          <w:szCs w:val="18"/>
          <w:color w:val="auto"/>
        </w:rPr>
      </w:pPr>
    </w:p>
    <w:p>
      <w:pPr>
        <w:ind w:left="1060" w:right="520" w:hanging="185"/>
        <w:spacing w:after="0" w:line="294"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Larger, More Fractured Discovery Landscape: </w:t>
      </w:r>
      <w:r>
        <w:rPr>
          <w:rFonts w:ascii="Arial" w:cs="Arial" w:eastAsia="Arial" w:hAnsi="Arial"/>
          <w:sz w:val="17"/>
          <w:szCs w:val="17"/>
          <w:color w:val="auto"/>
        </w:rPr>
        <w:t>According to Publicis Sapient, 87% of shoppers today begin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searches online, meaning that younger customers are focused on direct search for brands they already know.</w:t>
      </w:r>
      <w:r>
        <w:rPr>
          <w:rFonts w:ascii="Arial" w:cs="Arial" w:eastAsia="Arial" w:hAnsi="Arial"/>
          <w:sz w:val="14"/>
          <w:szCs w:val="14"/>
          <w:color w:val="auto"/>
        </w:rPr>
        <w:t>12</w:t>
      </w:r>
    </w:p>
    <w:p>
      <w:pPr>
        <w:spacing w:after="0" w:line="42" w:lineRule="exact"/>
        <w:rPr>
          <w:rFonts w:ascii="Arial" w:cs="Arial" w:eastAsia="Arial" w:hAnsi="Arial"/>
          <w:sz w:val="17"/>
          <w:szCs w:val="17"/>
          <w:color w:val="auto"/>
        </w:rPr>
      </w:pPr>
    </w:p>
    <w:p>
      <w:pPr>
        <w:ind w:left="1060" w:right="40" w:hanging="185"/>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Consumer Base: </w:t>
      </w:r>
      <w:r>
        <w:rPr>
          <w:rFonts w:ascii="Arial" w:cs="Arial" w:eastAsia="Arial" w:hAnsi="Arial"/>
          <w:sz w:val="18"/>
          <w:szCs w:val="18"/>
          <w:color w:val="auto"/>
        </w:rPr>
        <w:t>The average age of a luxury department store customer is 51 years old, meaning it is more difficult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brand partners to reach younger customers through traditional channels.</w:t>
      </w:r>
      <w:r>
        <w:rPr>
          <w:rFonts w:ascii="Arial" w:cs="Arial" w:eastAsia="Arial" w:hAnsi="Arial"/>
          <w:sz w:val="15"/>
          <w:szCs w:val="15"/>
          <w:color w:val="auto"/>
        </w:rPr>
        <w:t>13</w:t>
      </w:r>
    </w:p>
    <w:p>
      <w:pPr>
        <w:spacing w:after="0" w:line="65" w:lineRule="exact"/>
        <w:rPr>
          <w:rFonts w:ascii="Arial" w:cs="Arial" w:eastAsia="Arial" w:hAnsi="Arial"/>
          <w:sz w:val="18"/>
          <w:szCs w:val="18"/>
          <w:color w:val="auto"/>
        </w:rPr>
      </w:pPr>
    </w:p>
    <w:p>
      <w:pPr>
        <w:ind w:left="1060" w:right="220" w:hanging="185"/>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Heightened Competition from Mass and Fast Fashion</w:t>
      </w:r>
      <w:r>
        <w:rPr>
          <w:rFonts w:ascii="Arial" w:cs="Arial" w:eastAsia="Arial" w:hAnsi="Arial"/>
          <w:sz w:val="18"/>
          <w:szCs w:val="18"/>
          <w:color w:val="auto"/>
        </w:rPr>
        <w:t>: The desire for newness has led to enormous competition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apparel industry from mass and fast fashion brands who can quickly</w:t>
      </w:r>
    </w:p>
    <w:p>
      <w:pPr>
        <w:spacing w:after="0" w:line="160" w:lineRule="exact"/>
        <w:rPr>
          <w:sz w:val="20"/>
          <w:szCs w:val="20"/>
          <w:color w:val="auto"/>
        </w:rPr>
      </w:pPr>
    </w:p>
    <w:p>
      <w:pPr>
        <w:ind w:left="880" w:right="120" w:hanging="526"/>
        <w:spacing w:after="0" w:line="186" w:lineRule="auto"/>
        <w:tabs>
          <w:tab w:leader="none" w:pos="880" w:val="left"/>
        </w:tabs>
        <w:numPr>
          <w:ilvl w:val="0"/>
          <w:numId w:val="12"/>
        </w:numPr>
        <w:rPr>
          <w:rFonts w:ascii="Arial" w:cs="Arial" w:eastAsia="Arial" w:hAnsi="Arial"/>
          <w:sz w:val="22"/>
          <w:szCs w:val="22"/>
          <w:color w:val="auto"/>
          <w:vertAlign w:val="superscript"/>
        </w:rPr>
      </w:pPr>
      <w:r>
        <w:rPr>
          <w:rFonts w:ascii="Arial" w:cs="Arial" w:eastAsia="Arial" w:hAnsi="Arial"/>
          <w:sz w:val="13"/>
          <w:szCs w:val="13"/>
          <w:color w:val="auto"/>
        </w:rPr>
        <w:t>Euromonitor International Ltd, Apparel &amp; Footwear 2021 (“Euromonitor Apparel &amp; Footwear 2021”). Retail Value RSP includes sales tax, current prices, year-over-year exchange rates. Apparel is defined as apparel and footwear.</w:t>
      </w:r>
    </w:p>
    <w:p>
      <w:pPr>
        <w:ind w:left="880" w:hanging="526"/>
        <w:spacing w:after="0" w:line="187" w:lineRule="auto"/>
        <w:tabs>
          <w:tab w:leader="none" w:pos="880" w:val="left"/>
        </w:tabs>
        <w:numPr>
          <w:ilvl w:val="0"/>
          <w:numId w:val="13"/>
        </w:numPr>
        <w:rPr>
          <w:rFonts w:ascii="Arial" w:cs="Arial" w:eastAsia="Arial" w:hAnsi="Arial"/>
          <w:sz w:val="18"/>
          <w:szCs w:val="18"/>
          <w:color w:val="auto"/>
          <w:vertAlign w:val="superscript"/>
        </w:rPr>
      </w:pPr>
      <w:r>
        <w:rPr>
          <w:rFonts w:ascii="Arial" w:cs="Arial" w:eastAsia="Arial" w:hAnsi="Arial"/>
          <w:sz w:val="11"/>
          <w:szCs w:val="11"/>
          <w:color w:val="auto"/>
        </w:rPr>
        <w:t>Now Sourcing, How Augmented Reality Has Changed Selfies Forever.</w:t>
      </w:r>
    </w:p>
    <w:p>
      <w:pPr>
        <w:ind w:left="880" w:hanging="526"/>
        <w:spacing w:after="0" w:line="186" w:lineRule="auto"/>
        <w:tabs>
          <w:tab w:leader="none" w:pos="88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U.S. Bureau for Labor Statistics, Labor Force Statistics from the Current Population Survey—Household Data Annual Averages—Employment Status of the</w:t>
      </w:r>
    </w:p>
    <w:p>
      <w:pPr>
        <w:spacing w:after="0" w:line="34" w:lineRule="exact"/>
        <w:rPr>
          <w:sz w:val="20"/>
          <w:szCs w:val="20"/>
          <w:color w:val="auto"/>
        </w:rPr>
      </w:pPr>
    </w:p>
    <w:p>
      <w:pPr>
        <w:ind w:left="880" w:hanging="526"/>
        <w:spacing w:after="0"/>
        <w:tabs>
          <w:tab w:leader="none" w:pos="88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Triple spend on clothing according to Glamour, The Glass Runway: Our Exclusive Survey on the State of the Fashion Industry, May 2018. 50% of women</w:t>
      </w:r>
    </w:p>
    <w:p>
      <w:pPr>
        <w:ind w:left="880"/>
        <w:spacing w:after="0" w:line="227" w:lineRule="auto"/>
        <w:rPr>
          <w:rFonts w:ascii="Arial" w:cs="Arial" w:eastAsia="Arial" w:hAnsi="Arial"/>
          <w:sz w:val="24"/>
          <w:szCs w:val="24"/>
          <w:color w:val="auto"/>
          <w:vertAlign w:val="superscript"/>
        </w:rPr>
      </w:pPr>
      <w:r>
        <w:rPr>
          <w:rFonts w:ascii="Arial" w:cs="Arial" w:eastAsia="Arial" w:hAnsi="Arial"/>
          <w:sz w:val="14"/>
          <w:szCs w:val="14"/>
          <w:color w:val="auto"/>
        </w:rPr>
        <w:t>according to Refinery29 and Rent the Runway, Self Expression &amp; Dressing: Survey Findings, February 2019 (“Refinery29 Survey”).</w:t>
      </w:r>
    </w:p>
    <w:p>
      <w:pPr>
        <w:ind w:left="880" w:hanging="526"/>
        <w:spacing w:after="0" w:line="186" w:lineRule="auto"/>
        <w:tabs>
          <w:tab w:leader="none" w:pos="880" w:val="left"/>
        </w:tabs>
        <w:numPr>
          <w:ilvl w:val="0"/>
          <w:numId w:val="16"/>
        </w:numPr>
        <w:rPr>
          <w:rFonts w:ascii="Arial" w:cs="Arial" w:eastAsia="Arial" w:hAnsi="Arial"/>
          <w:sz w:val="18"/>
          <w:szCs w:val="18"/>
          <w:color w:val="auto"/>
          <w:vertAlign w:val="superscript"/>
        </w:rPr>
      </w:pPr>
      <w:r>
        <w:rPr>
          <w:rFonts w:ascii="Arial" w:cs="Arial" w:eastAsia="Arial" w:hAnsi="Arial"/>
          <w:sz w:val="11"/>
          <w:szCs w:val="11"/>
          <w:color w:val="auto"/>
        </w:rPr>
        <w:t>McKinsey &amp; Co., Fashion’s New Must-Have: Sustainable Sourcing at Scale, October 2019.</w:t>
      </w:r>
    </w:p>
    <w:p>
      <w:pPr>
        <w:ind w:left="880" w:hanging="526"/>
        <w:spacing w:after="0" w:line="184" w:lineRule="auto"/>
        <w:tabs>
          <w:tab w:leader="none" w:pos="88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Quartz, What an Estimated 80,000 Store Closings Say About the Future of US Retail, April 2021.</w:t>
      </w:r>
    </w:p>
    <w:p>
      <w:pPr>
        <w:ind w:left="880" w:hanging="526"/>
        <w:spacing w:after="0" w:line="185" w:lineRule="auto"/>
        <w:tabs>
          <w:tab w:leader="none" w:pos="880" w:val="left"/>
        </w:tabs>
        <w:numPr>
          <w:ilvl w:val="0"/>
          <w:numId w:val="17"/>
        </w:numPr>
        <w:rPr>
          <w:rFonts w:ascii="Arial" w:cs="Arial" w:eastAsia="Arial" w:hAnsi="Arial"/>
          <w:sz w:val="18"/>
          <w:szCs w:val="18"/>
          <w:color w:val="auto"/>
          <w:vertAlign w:val="superscript"/>
        </w:rPr>
      </w:pPr>
      <w:r>
        <w:rPr>
          <w:rFonts w:ascii="Arial" w:cs="Arial" w:eastAsia="Arial" w:hAnsi="Arial"/>
          <w:sz w:val="11"/>
          <w:szCs w:val="11"/>
          <w:color w:val="auto"/>
        </w:rPr>
        <w:t>Forbes, Unprecedented Decline: One Fifth of All American Department Stores Have Closed Since 2018, July 2020.</w:t>
      </w:r>
    </w:p>
    <w:p>
      <w:pPr>
        <w:ind w:left="880" w:hanging="526"/>
        <w:spacing w:after="0" w:line="185" w:lineRule="auto"/>
        <w:tabs>
          <w:tab w:leader="none" w:pos="880" w:val="left"/>
        </w:tabs>
        <w:numPr>
          <w:ilvl w:val="0"/>
          <w:numId w:val="17"/>
        </w:numPr>
        <w:rPr>
          <w:rFonts w:ascii="Arial" w:cs="Arial" w:eastAsia="Arial" w:hAnsi="Arial"/>
          <w:sz w:val="18"/>
          <w:szCs w:val="18"/>
          <w:color w:val="auto"/>
          <w:vertAlign w:val="superscript"/>
        </w:rPr>
      </w:pPr>
      <w:r>
        <w:rPr>
          <w:rFonts w:ascii="Arial" w:cs="Arial" w:eastAsia="Arial" w:hAnsi="Arial"/>
          <w:sz w:val="11"/>
          <w:szCs w:val="11"/>
          <w:color w:val="auto"/>
        </w:rPr>
        <w:t>Salesforce and Publicis Sapient, Shopper First Retailing, 2018.</w:t>
      </w:r>
    </w:p>
    <w:p>
      <w:pPr>
        <w:ind w:left="880" w:hanging="526"/>
        <w:spacing w:after="0" w:line="187" w:lineRule="auto"/>
        <w:tabs>
          <w:tab w:leader="none" w:pos="88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Racked, More than 40% of Neiman Marcus Shoppers are Millionaires, August 2015.</w:t>
      </w:r>
    </w:p>
    <w:p>
      <w:pPr>
        <w:spacing w:after="0" w:line="38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320" w:top="456" w:right="7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899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5945" cy="58997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20"/>
        <w:spacing w:after="0" w:line="239" w:lineRule="auto"/>
        <w:rPr>
          <w:sz w:val="20"/>
          <w:szCs w:val="20"/>
          <w:color w:val="auto"/>
        </w:rPr>
      </w:pPr>
      <w:r>
        <w:rPr>
          <w:rFonts w:ascii="Arial" w:cs="Arial" w:eastAsia="Arial" w:hAnsi="Arial"/>
          <w:sz w:val="18"/>
          <w:szCs w:val="18"/>
          <w:color w:val="auto"/>
        </w:rPr>
        <w:t>manufacture and copy styles at lower prices than designer brands. In 2020, mass market and fast fashion comprised 42% of the U.S. apparel market, up from 31% ten years ago.</w:t>
      </w:r>
      <w:r>
        <w:rPr>
          <w:rFonts w:ascii="Arial" w:cs="Arial" w:eastAsia="Arial" w:hAnsi="Arial"/>
          <w:sz w:val="15"/>
          <w:szCs w:val="15"/>
          <w:color w:val="auto"/>
        </w:rPr>
        <w:t>14</w:t>
      </w:r>
    </w:p>
    <w:p>
      <w:pPr>
        <w:spacing w:after="0" w:line="87" w:lineRule="exact"/>
        <w:rPr>
          <w:sz w:val="20"/>
          <w:szCs w:val="20"/>
          <w:color w:val="auto"/>
        </w:rPr>
      </w:pPr>
    </w:p>
    <w:p>
      <w:pPr>
        <w:ind w:left="1060" w:right="280" w:hanging="185"/>
        <w:spacing w:after="0" w:line="248"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Growing Importance of Data</w:t>
      </w:r>
      <w:r>
        <w:rPr>
          <w:rFonts w:ascii="Arial" w:cs="Arial" w:eastAsia="Arial" w:hAnsi="Arial"/>
          <w:sz w:val="18"/>
          <w:szCs w:val="18"/>
          <w:color w:val="auto"/>
        </w:rPr>
        <w:t>: Data is critical to helping brands assess their product and efficiently acquire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traditional wholesale channels, brands receive very minimal data, and the data they do receive is often a season old.</w:t>
      </w: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Customer Value Proposition</w:t>
      </w:r>
    </w:p>
    <w:p>
      <w:pPr>
        <w:spacing w:after="0" w:line="229" w:lineRule="exact"/>
        <w:rPr>
          <w:sz w:val="20"/>
          <w:szCs w:val="20"/>
          <w:color w:val="auto"/>
        </w:rPr>
      </w:pPr>
    </w:p>
    <w:p>
      <w:pPr>
        <w:jc w:val="both"/>
        <w:ind w:left="360" w:right="240" w:firstLine="527"/>
        <w:spacing w:after="0" w:line="237" w:lineRule="auto"/>
        <w:rPr>
          <w:sz w:val="20"/>
          <w:szCs w:val="20"/>
          <w:color w:val="auto"/>
        </w:rPr>
      </w:pPr>
      <w:r>
        <w:rPr>
          <w:rFonts w:ascii="Arial" w:cs="Arial" w:eastAsia="Arial" w:hAnsi="Arial"/>
          <w:sz w:val="18"/>
          <w:szCs w:val="18"/>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Magic of Rent the Runway</w:t>
      </w:r>
    </w:p>
    <w:p>
      <w:pPr>
        <w:spacing w:after="0" w:line="122" w:lineRule="exact"/>
        <w:rPr>
          <w:sz w:val="20"/>
          <w:szCs w:val="20"/>
          <w:color w:val="auto"/>
        </w:rPr>
      </w:pPr>
    </w:p>
    <w:p>
      <w:pPr>
        <w:ind w:left="360" w:firstLine="527"/>
        <w:spacing w:after="0" w:line="239" w:lineRule="auto"/>
        <w:rPr>
          <w:sz w:val="20"/>
          <w:szCs w:val="20"/>
          <w:color w:val="auto"/>
        </w:rPr>
      </w:pPr>
      <w:r>
        <w:rPr>
          <w:rFonts w:ascii="Arial" w:cs="Arial" w:eastAsia="Arial" w:hAnsi="Arial"/>
          <w:sz w:val="18"/>
          <w:szCs w:val="18"/>
          <w:color w:val="auto"/>
        </w:rPr>
        <w:t>When our customers use Rent the Runway, they experience the magic of accessing an “Unlimited Closet” of constantly rotating styles while saving money and time and reducing clothing waste.</w:t>
      </w:r>
    </w:p>
    <w:p>
      <w:pPr>
        <w:spacing w:after="0" w:line="87" w:lineRule="exact"/>
        <w:rPr>
          <w:sz w:val="20"/>
          <w:szCs w:val="20"/>
          <w:color w:val="auto"/>
        </w:rPr>
      </w:pPr>
    </w:p>
    <w:p>
      <w:pPr>
        <w:ind w:left="1060" w:right="100" w:hanging="185"/>
        <w:spacing w:after="0" w:line="243"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Variety and Discovery. </w:t>
      </w:r>
      <w:r>
        <w:rPr>
          <w:rFonts w:ascii="Arial" w:cs="Arial" w:eastAsia="Arial" w:hAnsi="Arial"/>
          <w:sz w:val="18"/>
          <w:szCs w:val="18"/>
          <w:color w:val="auto"/>
        </w:rPr>
        <w:t>With over 18,000 styles across over 750 brands and hundreds of categories available in our Closet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Cloud, Rent the Runway gives customers the ability to always wear something new to them and encourages customers to expand their fashion tastes. We are a brand discovery engine, as our subscribers wear 54 brands in their first year, on average.</w:t>
      </w:r>
    </w:p>
    <w:p>
      <w:pPr>
        <w:spacing w:after="0" w:line="83" w:lineRule="exact"/>
        <w:rPr>
          <w:rFonts w:ascii="Arial" w:cs="Arial" w:eastAsia="Arial" w:hAnsi="Arial"/>
          <w:sz w:val="18"/>
          <w:szCs w:val="18"/>
          <w:color w:val="auto"/>
        </w:rPr>
      </w:pPr>
    </w:p>
    <w:p>
      <w:pPr>
        <w:ind w:left="1060" w:right="100" w:hanging="185"/>
        <w:spacing w:after="0" w:line="23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w:t>
      </w:r>
      <w:r>
        <w:rPr>
          <w:rFonts w:ascii="Arial" w:cs="Arial" w:eastAsia="Arial" w:hAnsi="Arial"/>
          <w:sz w:val="18"/>
          <w:szCs w:val="18"/>
          <w:color w:val="auto"/>
        </w:rPr>
        <w:t>Rent the Runway makes thousands of designer styles accessible to all through our Subscription offering for a flat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monthly 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 market and fast fashion players while offering access to authentic designer items. Approximately 60% of our subscribers report spending between $100 and $500 less per month on clothes when they have a subscription to RTR.</w:t>
      </w:r>
    </w:p>
    <w:p>
      <w:pPr>
        <w:spacing w:after="0" w:line="85" w:lineRule="exact"/>
        <w:rPr>
          <w:rFonts w:ascii="Arial" w:cs="Arial" w:eastAsia="Arial" w:hAnsi="Arial"/>
          <w:sz w:val="18"/>
          <w:szCs w:val="18"/>
          <w:color w:val="auto"/>
        </w:rPr>
      </w:pPr>
    </w:p>
    <w:p>
      <w:pPr>
        <w:ind w:left="1060" w:right="80" w:hanging="185"/>
        <w:spacing w:after="0" w:line="24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Self-Confidence. </w:t>
      </w:r>
      <w:r>
        <w:rPr>
          <w:rFonts w:ascii="Arial" w:cs="Arial" w:eastAsia="Arial" w:hAnsi="Arial"/>
          <w:sz w:val="18"/>
          <w:szCs w:val="18"/>
          <w:color w:val="auto"/>
        </w:rPr>
        <w:t>83% of our subscribers say RTR makes them the most confident version of themselves at work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social settings. Because there is no commitment to keep an item on RTR, we fuel greater self-expression for our customers. Our average subscriber receives four compliments each time she wears RTR.</w:t>
      </w:r>
    </w:p>
    <w:p>
      <w:pPr>
        <w:spacing w:after="0" w:line="79" w:lineRule="exact"/>
        <w:rPr>
          <w:rFonts w:ascii="Arial" w:cs="Arial" w:eastAsia="Arial" w:hAnsi="Arial"/>
          <w:sz w:val="18"/>
          <w:szCs w:val="18"/>
          <w:color w:val="auto"/>
        </w:rPr>
      </w:pPr>
    </w:p>
    <w:p>
      <w:pPr>
        <w:ind w:left="1060" w:right="40" w:hanging="185"/>
        <w:spacing w:after="0" w:line="243"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Personalization and Convenience. </w:t>
      </w:r>
      <w:r>
        <w:rPr>
          <w:rFonts w:ascii="Arial" w:cs="Arial" w:eastAsia="Arial" w:hAnsi="Arial"/>
          <w:sz w:val="18"/>
          <w:szCs w:val="18"/>
          <w:color w:val="auto"/>
        </w:rPr>
        <w:t>We use our rich customer data to create a personalized storefront for customers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their style preferences, browsing history and past rentals. Our understanding of our customer improves with each interaction, and we use our personalization algorithm to continuously tailor style recommendations. In fiscal year 2019, subscribers who used our personalized recommendations had 2.7x longer tenure.</w:t>
      </w:r>
    </w:p>
    <w:p>
      <w:pPr>
        <w:spacing w:after="0" w:line="83" w:lineRule="exact"/>
        <w:rPr>
          <w:rFonts w:ascii="Arial" w:cs="Arial" w:eastAsia="Arial" w:hAnsi="Arial"/>
          <w:sz w:val="18"/>
          <w:szCs w:val="18"/>
          <w:color w:val="auto"/>
        </w:rPr>
      </w:pPr>
    </w:p>
    <w:p>
      <w:pPr>
        <w:ind w:left="1060" w:right="100" w:hanging="1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Experience and Community. </w:t>
      </w:r>
      <w:r>
        <w:rPr>
          <w:rFonts w:ascii="Arial" w:cs="Arial" w:eastAsia="Arial" w:hAnsi="Arial"/>
          <w:sz w:val="18"/>
          <w:szCs w:val="18"/>
          <w:color w:val="auto"/>
        </w:rPr>
        <w:t>Our customers are deeply engaged, as evidenced by the 22 million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submitted through June 2021.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w:t>
      </w:r>
    </w:p>
    <w:p>
      <w:pPr>
        <w:spacing w:after="0" w:line="76" w:lineRule="exact"/>
        <w:rPr>
          <w:sz w:val="20"/>
          <w:szCs w:val="20"/>
          <w:color w:val="auto"/>
        </w:rPr>
      </w:pPr>
    </w:p>
    <w:p>
      <w:pPr>
        <w:ind w:left="880" w:hanging="526"/>
        <w:spacing w:after="0"/>
        <w:tabs>
          <w:tab w:leader="none" w:pos="8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GlobalData, Resale Report, 2021. Mass market is defined as Amazon, off-price, and value retail.</w:t>
      </w:r>
    </w:p>
    <w:p>
      <w:pPr>
        <w:spacing w:after="0" w:line="3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5945" cy="56368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60" w:right="80" w:hanging="185"/>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Sustainability. </w:t>
      </w:r>
      <w:r>
        <w:rPr>
          <w:rFonts w:ascii="Arial" w:cs="Arial" w:eastAsia="Arial" w:hAnsi="Arial"/>
          <w:sz w:val="18"/>
          <w:szCs w:val="18"/>
          <w:color w:val="auto"/>
        </w:rPr>
        <w:t>Our success in building a rent versus buy mindset is evidenced by the fact that 83% of our subscribers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bought less fast fashion since using RTR and 89% buy fewer clothes than they used to prior to joining RTR.</w:t>
      </w:r>
    </w:p>
    <w:p>
      <w:pPr>
        <w:spacing w:after="0" w:line="26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Brand Value Proposition</w:t>
      </w:r>
    </w:p>
    <w:p>
      <w:pPr>
        <w:spacing w:after="0" w:line="229" w:lineRule="exact"/>
        <w:rPr>
          <w:sz w:val="20"/>
          <w:szCs w:val="20"/>
          <w:color w:val="auto"/>
        </w:rPr>
      </w:pPr>
    </w:p>
    <w:p>
      <w:pPr>
        <w:jc w:val="both"/>
        <w:ind w:left="360" w:right="180" w:firstLine="527"/>
        <w:spacing w:after="0" w:line="236" w:lineRule="auto"/>
        <w:rPr>
          <w:sz w:val="20"/>
          <w:szCs w:val="20"/>
          <w:color w:val="auto"/>
        </w:rPr>
      </w:pPr>
      <w:r>
        <w:rPr>
          <w:rFonts w:ascii="Arial" w:cs="Arial" w:eastAsia="Arial" w:hAnsi="Arial"/>
          <w:sz w:val="18"/>
          <w:szCs w:val="18"/>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January 31, 2021, no single brand partner accounted for more than 2% of active units available on site.</w:t>
      </w:r>
    </w:p>
    <w:p>
      <w:pPr>
        <w:spacing w:after="0" w:line="201" w:lineRule="exact"/>
        <w:rPr>
          <w:sz w:val="20"/>
          <w:szCs w:val="20"/>
          <w:color w:val="auto"/>
        </w:rPr>
      </w:pPr>
    </w:p>
    <w:p>
      <w:pPr>
        <w:ind w:left="360" w:right="180" w:firstLine="527"/>
        <w:spacing w:after="0" w:line="250" w:lineRule="auto"/>
        <w:rPr>
          <w:sz w:val="20"/>
          <w:szCs w:val="20"/>
          <w:color w:val="auto"/>
        </w:rPr>
      </w:pPr>
      <w:r>
        <w:rPr>
          <w:rFonts w:ascii="Arial" w:cs="Arial" w:eastAsia="Arial" w:hAnsi="Arial"/>
          <w:sz w:val="17"/>
          <w:szCs w:val="17"/>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control how they appear to a new and critical customer segment.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94" w:lineRule="exact"/>
        <w:rPr>
          <w:sz w:val="20"/>
          <w:szCs w:val="20"/>
          <w:color w:val="auto"/>
        </w:rPr>
      </w:pPr>
    </w:p>
    <w:p>
      <w:pPr>
        <w:ind w:left="360" w:right="60" w:firstLine="527"/>
        <w:spacing w:after="0" w:line="237" w:lineRule="auto"/>
        <w:rPr>
          <w:sz w:val="20"/>
          <w:szCs w:val="20"/>
          <w:color w:val="auto"/>
        </w:rPr>
      </w:pPr>
      <w:r>
        <w:rPr>
          <w:rFonts w:ascii="Arial" w:cs="Arial" w:eastAsia="Arial" w:hAnsi="Arial"/>
          <w:sz w:val="18"/>
          <w:szCs w:val="18"/>
          <w:color w:val="auto"/>
        </w:rPr>
        <w:t>Brands that were on the RTR platform for five years from fiscal year 2014 through fiscal year 2019 saw the gross merchandise value, or GMV, of their products acquired by RTR increase by 293% over that time.</w:t>
      </w:r>
      <w:r>
        <w:rPr>
          <w:rFonts w:ascii="Arial" w:cs="Arial" w:eastAsia="Arial" w:hAnsi="Arial"/>
          <w:sz w:val="15"/>
          <w:szCs w:val="15"/>
          <w:color w:val="auto"/>
        </w:rPr>
        <w:t>15</w:t>
      </w:r>
      <w:r>
        <w:rPr>
          <w:rFonts w:ascii="Arial" w:cs="Arial" w:eastAsia="Arial" w:hAnsi="Arial"/>
          <w:sz w:val="18"/>
          <w:szCs w:val="18"/>
          <w:color w:val="auto"/>
        </w:rPr>
        <w:t xml:space="preserve"> We are widely recognized by the brand community as an important and growing distribution channel for their businesses.</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Benefits for Brands</w:t>
      </w:r>
    </w:p>
    <w:p>
      <w:pPr>
        <w:spacing w:after="0" w:line="122" w:lineRule="exact"/>
        <w:rPr>
          <w:sz w:val="20"/>
          <w:szCs w:val="20"/>
          <w:color w:val="auto"/>
        </w:rPr>
      </w:pPr>
    </w:p>
    <w:p>
      <w:pPr>
        <w:ind w:left="360" w:right="400" w:firstLine="527"/>
        <w:spacing w:after="0" w:line="239" w:lineRule="auto"/>
        <w:rPr>
          <w:sz w:val="20"/>
          <w:szCs w:val="20"/>
          <w:color w:val="auto"/>
        </w:rPr>
      </w:pPr>
      <w:r>
        <w:rPr>
          <w:rFonts w:ascii="Arial" w:cs="Arial" w:eastAsia="Arial" w:hAnsi="Arial"/>
          <w:sz w:val="18"/>
          <w:szCs w:val="18"/>
          <w:color w:val="auto"/>
        </w:rPr>
        <w:t>When our brand partners join Rent the Runway, they trust that our platform will grow their customer base, build their brand awareness and enable them to innovate their business.</w:t>
      </w:r>
    </w:p>
    <w:p>
      <w:pPr>
        <w:spacing w:after="0" w:line="87" w:lineRule="exact"/>
        <w:rPr>
          <w:sz w:val="20"/>
          <w:szCs w:val="20"/>
          <w:color w:val="auto"/>
        </w:rPr>
      </w:pPr>
    </w:p>
    <w:p>
      <w:pPr>
        <w:ind w:left="1060" w:right="140" w:hanging="185"/>
        <w:spacing w:after="0" w:line="24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Brand. </w:t>
      </w:r>
      <w:r>
        <w:rPr>
          <w:rFonts w:ascii="Arial" w:cs="Arial" w:eastAsia="Arial" w:hAnsi="Arial"/>
          <w:sz w:val="18"/>
          <w:szCs w:val="18"/>
          <w:color w:val="auto"/>
        </w:rPr>
        <w:t>Rent the Runway is a trusted platform for discovery and access, and we present our brand partners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79" w:lineRule="exact"/>
        <w:rPr>
          <w:rFonts w:ascii="Arial" w:cs="Arial" w:eastAsia="Arial" w:hAnsi="Arial"/>
          <w:sz w:val="18"/>
          <w:szCs w:val="18"/>
          <w:color w:val="auto"/>
        </w:rPr>
      </w:pPr>
    </w:p>
    <w:p>
      <w:pPr>
        <w:ind w:left="1060" w:hanging="185"/>
        <w:spacing w:after="0" w:line="243"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Discovery and Acquisition. </w:t>
      </w:r>
      <w:r>
        <w:rPr>
          <w:rFonts w:ascii="Arial" w:cs="Arial" w:eastAsia="Arial" w:hAnsi="Arial"/>
          <w:sz w:val="18"/>
          <w:szCs w:val="18"/>
          <w:color w:val="auto"/>
        </w:rPr>
        <w:t>With over 2.5 million lifetime customers as of June 2021 across all offerings,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our brand partners with a new way to reach both current luxury consumers and aspirational luxury consumers. Approximately 82% of our subscribers purchased one or more brands they discovered on Rent the Runway (either from RTR or elsewhere).</w:t>
      </w:r>
    </w:p>
    <w:p>
      <w:pPr>
        <w:spacing w:after="0" w:line="83" w:lineRule="exact"/>
        <w:rPr>
          <w:rFonts w:ascii="Arial" w:cs="Arial" w:eastAsia="Arial" w:hAnsi="Arial"/>
          <w:sz w:val="18"/>
          <w:szCs w:val="18"/>
          <w:color w:val="auto"/>
        </w:rPr>
      </w:pPr>
    </w:p>
    <w:p>
      <w:pPr>
        <w:ind w:left="1060" w:right="40" w:hanging="185"/>
        <w:spacing w:after="0" w:line="243"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Their Business. </w:t>
      </w:r>
      <w:r>
        <w:rPr>
          <w:rFonts w:ascii="Arial" w:cs="Arial" w:eastAsia="Arial" w:hAnsi="Arial"/>
          <w:sz w:val="18"/>
          <w:szCs w:val="18"/>
          <w:color w:val="auto"/>
        </w:rPr>
        <w:t>We serve as an important channel for over 750 brands that see us as essential to their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success.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w:t>
      </w:r>
    </w:p>
    <w:p>
      <w:pPr>
        <w:spacing w:after="0" w:line="178" w:lineRule="exact"/>
        <w:rPr>
          <w:sz w:val="20"/>
          <w:szCs w:val="20"/>
          <w:color w:val="auto"/>
        </w:rPr>
      </w:pPr>
    </w:p>
    <w:p>
      <w:pPr>
        <w:ind w:left="880" w:right="20" w:hanging="526"/>
        <w:spacing w:after="0" w:line="197" w:lineRule="auto"/>
        <w:tabs>
          <w:tab w:leader="none" w:pos="88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GMV is calculated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38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6"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857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5945" cy="58572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60" w:right="120" w:hanging="185"/>
        <w:spacing w:after="0" w:line="24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More Profitable Partnership. </w:t>
      </w:r>
      <w:r>
        <w:rPr>
          <w:rFonts w:ascii="Arial" w:cs="Arial" w:eastAsia="Arial" w:hAnsi="Arial"/>
          <w:sz w:val="18"/>
          <w:szCs w:val="18"/>
          <w:color w:val="auto"/>
        </w:rPr>
        <w:t>We are a more profitable partner to brands than legacy retailers because we do not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to sign margin agreements with us or return-to-vendor agreements, which have historically levied brands with higher inventory risk than their retail partners.</w:t>
      </w:r>
    </w:p>
    <w:p>
      <w:pPr>
        <w:spacing w:after="0" w:line="79" w:lineRule="exact"/>
        <w:rPr>
          <w:rFonts w:ascii="Arial" w:cs="Arial" w:eastAsia="Arial" w:hAnsi="Arial"/>
          <w:sz w:val="18"/>
          <w:szCs w:val="18"/>
          <w:color w:val="auto"/>
        </w:rPr>
      </w:pPr>
    </w:p>
    <w:p>
      <w:pPr>
        <w:jc w:val="both"/>
        <w:ind w:left="1060" w:right="120" w:hanging="185"/>
        <w:spacing w:after="0" w:line="24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Compete with Mass and Fast Fashion. </w:t>
      </w:r>
      <w:r>
        <w:rPr>
          <w:rFonts w:ascii="Arial" w:cs="Arial" w:eastAsia="Arial" w:hAnsi="Arial"/>
          <w:sz w:val="18"/>
          <w:szCs w:val="18"/>
          <w:color w:val="auto"/>
        </w:rPr>
        <w:t>We enable brands to compete with wear-it-once, mass and fast fashion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offering their premium products at a more accessible price point, enabling brands to connect with a broad customer base without diluting their brand.</w:t>
      </w:r>
    </w:p>
    <w:p>
      <w:pPr>
        <w:spacing w:after="0" w:line="79" w:lineRule="exact"/>
        <w:rPr>
          <w:rFonts w:ascii="Arial" w:cs="Arial" w:eastAsia="Arial" w:hAnsi="Arial"/>
          <w:sz w:val="18"/>
          <w:szCs w:val="18"/>
          <w:color w:val="auto"/>
        </w:rPr>
      </w:pPr>
    </w:p>
    <w:p>
      <w:pPr>
        <w:ind w:left="1060" w:right="300" w:hanging="185"/>
        <w:spacing w:after="0" w:line="243"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w:t>
      </w:r>
      <w:r>
        <w:rPr>
          <w:rFonts w:ascii="Arial" w:cs="Arial" w:eastAsia="Arial" w:hAnsi="Arial"/>
          <w:sz w:val="18"/>
          <w:szCs w:val="18"/>
          <w:color w:val="auto"/>
        </w:rPr>
        <w:t>We provide our brand partners with actionable data and customer feedback that is not available via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channels and is differentiated from what they collect through their own DTC channels. This data allows them to adjust their designs in order to grow and optimize their businesses and manufacture styles that last longer and are more sustainable.</w:t>
      </w:r>
    </w:p>
    <w:p>
      <w:pPr>
        <w:spacing w:after="0" w:line="83" w:lineRule="exact"/>
        <w:rPr>
          <w:rFonts w:ascii="Arial" w:cs="Arial" w:eastAsia="Arial" w:hAnsi="Arial"/>
          <w:sz w:val="18"/>
          <w:szCs w:val="18"/>
          <w:color w:val="auto"/>
        </w:rPr>
      </w:pPr>
    </w:p>
    <w:p>
      <w:pPr>
        <w:ind w:left="1060" w:right="40" w:hanging="185"/>
        <w:spacing w:after="0" w:line="24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Sustainability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allows brands to participate in the circular economy and provides a way for them to address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secondhand market. As of June 2021, 67% of our brand partners believed that RTR is an important part of their business’s sustainability strategy.</w:t>
      </w: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Rent the Runway Virality and Marketing Strategy</w:t>
      </w:r>
    </w:p>
    <w:p>
      <w:pPr>
        <w:spacing w:after="0" w:line="229"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Our brand and deeply engaged consumer base have allowed us to acquire customers efficiently. Since our founding, we have spent less than 10% of total revenue on marketing, and our growth has been mostly organic. More than 88% of our customers over the last 12 years have been acquired via word of mouth.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was 20% among U.S. women ages 18 - 45 with a household income of $50,000 or more.</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Total Addressable Market</w:t>
      </w:r>
    </w:p>
    <w:p>
      <w:pPr>
        <w:spacing w:after="0" w:line="229" w:lineRule="exact"/>
        <w:rPr>
          <w:sz w:val="20"/>
          <w:szCs w:val="20"/>
          <w:color w:val="auto"/>
        </w:rPr>
      </w:pPr>
    </w:p>
    <w:p>
      <w:pPr>
        <w:jc w:val="both"/>
        <w:ind w:left="360" w:right="160" w:firstLine="527"/>
        <w:spacing w:after="0" w:line="236" w:lineRule="auto"/>
        <w:rPr>
          <w:sz w:val="20"/>
          <w:szCs w:val="20"/>
          <w:color w:val="auto"/>
        </w:rPr>
      </w:pPr>
      <w:r>
        <w:rPr>
          <w:rFonts w:ascii="Arial" w:cs="Arial" w:eastAsia="Arial" w:hAnsi="Arial"/>
          <w:sz w:val="18"/>
          <w:szCs w:val="18"/>
          <w:color w:val="auto"/>
        </w:rPr>
        <w:t>Apparel is a large market that is rapidly shifting online. According to Euromonitor, the U.S. apparel market was $286 billion in 2020 of which 37% or $107 billion is online. The online U.S. apparel market is expected to grow at a 12% compound annual growth rate, or CAGR, compared to the overall apparel market, which is expected to grow at a 3% CAGR between 2020 and 2025. In 2025, the U.S. apparel market is expected to be $395 billion of which 49% or $192 billion is expected to be online.</w:t>
      </w:r>
      <w:r>
        <w:rPr>
          <w:rFonts w:ascii="Arial" w:cs="Arial" w:eastAsia="Arial" w:hAnsi="Arial"/>
          <w:sz w:val="15"/>
          <w:szCs w:val="15"/>
          <w:color w:val="auto"/>
        </w:rPr>
        <w:t>16</w:t>
      </w:r>
    </w:p>
    <w:p>
      <w:pPr>
        <w:spacing w:after="0" w:line="201"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We address the secondhand market, which is the fastest growing portion of the apparel market today. According to GlobalData, this market is at $27 billion in 2020 and is expected to increase to $77 billion in 2025, growing at a 23% CAGR. We are changing consumer purchasing behavior by creating a sharing economy for fashion and believe we will contribute to the growth of this market.</w:t>
      </w:r>
    </w:p>
    <w:p>
      <w:pPr>
        <w:spacing w:after="0" w:line="189" w:lineRule="exact"/>
        <w:rPr>
          <w:sz w:val="20"/>
          <w:szCs w:val="20"/>
          <w:color w:val="auto"/>
        </w:rPr>
      </w:pPr>
    </w:p>
    <w:p>
      <w:pPr>
        <w:ind w:left="360" w:right="440" w:firstLine="527"/>
        <w:spacing w:after="0" w:line="246" w:lineRule="auto"/>
        <w:rPr>
          <w:sz w:val="20"/>
          <w:szCs w:val="20"/>
          <w:color w:val="auto"/>
        </w:rPr>
      </w:pPr>
      <w:r>
        <w:rPr>
          <w:rFonts w:ascii="Arial" w:cs="Arial" w:eastAsia="Arial" w:hAnsi="Arial"/>
          <w:sz w:val="17"/>
          <w:szCs w:val="17"/>
          <w:color w:val="auto"/>
        </w:rPr>
        <w:t>We believe we are in the early innings of this opportunity. As of the end of fiscal year 2019 and 2020, we had 147,866 and 95,245 total subscribers (which includes both active and paused), respectively. Since 2009, we have had over 2.5 million lifetime</w:t>
      </w:r>
    </w:p>
    <w:p>
      <w:pPr>
        <w:ind w:left="360" w:right="1140"/>
        <w:spacing w:after="0" w:line="239" w:lineRule="auto"/>
        <w:rPr>
          <w:sz w:val="20"/>
          <w:szCs w:val="20"/>
          <w:color w:val="auto"/>
        </w:rPr>
      </w:pPr>
      <w:r>
        <w:rPr>
          <w:rFonts w:ascii="Arial" w:cs="Arial" w:eastAsia="Arial" w:hAnsi="Arial"/>
          <w:sz w:val="18"/>
          <w:szCs w:val="18"/>
          <w:color w:val="auto"/>
        </w:rPr>
        <w:t>customers across all of our offerings, and as of July 31, 2021, we had over total subscribers, representing less than % of the total population of women aged 18 and above in the U.S.</w:t>
      </w:r>
    </w:p>
    <w:p>
      <w:pPr>
        <w:spacing w:after="0" w:line="181" w:lineRule="exact"/>
        <w:rPr>
          <w:sz w:val="20"/>
          <w:szCs w:val="20"/>
          <w:color w:val="auto"/>
        </w:rPr>
      </w:pPr>
    </w:p>
    <w:p>
      <w:pPr>
        <w:ind w:left="880" w:right="320" w:hanging="526"/>
        <w:spacing w:after="0" w:line="181" w:lineRule="auto"/>
        <w:tabs>
          <w:tab w:leader="none" w:pos="88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Euromonitor Apparel &amp; Footwear 2021. Euromonitor International Ltd, Retailing, 2020 (“Euromonitor Retailing 2020”). Retail Value RSP includes sales tax, current prices and year-over-year exchange rates. Apparel is defined as apparel and footwear.</w:t>
      </w:r>
    </w:p>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6"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415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5945" cy="54159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key elements of our growth strategy are:</w:t>
      </w:r>
    </w:p>
    <w:p>
      <w:pPr>
        <w:spacing w:after="0" w:line="92" w:lineRule="exact"/>
        <w:rPr>
          <w:sz w:val="20"/>
          <w:szCs w:val="20"/>
          <w:color w:val="auto"/>
        </w:rPr>
      </w:pPr>
    </w:p>
    <w:p>
      <w:pPr>
        <w:ind w:left="1060" w:right="140" w:hanging="185"/>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Subscribers. </w:t>
      </w:r>
      <w:r>
        <w:rPr>
          <w:rFonts w:ascii="Arial" w:cs="Arial" w:eastAsia="Arial" w:hAnsi="Arial"/>
          <w:sz w:val="18"/>
          <w:szCs w:val="18"/>
          <w:color w:val="auto"/>
        </w:rPr>
        <w:t>With our differentiated brand and organic virality, strong funnel of new customers through Reserve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Resale and our continued focus on marketing efficiency, we are focused on growing our subscriber base.</w:t>
      </w:r>
    </w:p>
    <w:p>
      <w:pPr>
        <w:spacing w:after="0" w:line="65" w:lineRule="exact"/>
        <w:rPr>
          <w:rFonts w:ascii="Arial" w:cs="Arial" w:eastAsia="Arial" w:hAnsi="Arial"/>
          <w:sz w:val="18"/>
          <w:szCs w:val="18"/>
          <w:color w:val="auto"/>
        </w:rPr>
      </w:pPr>
    </w:p>
    <w:p>
      <w:pPr>
        <w:ind w:left="1060" w:right="120" w:hanging="185"/>
        <w:spacing w:after="0" w:line="24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Assortment by Adding New Brand Partners and Deepening Existing Brand Partner Relationships.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focused on expanding our product assortment and in particular, we intend to accelerate our capex-light partnerships via Share by RTR and Exclusive Designs.</w:t>
      </w:r>
    </w:p>
    <w:p>
      <w:pPr>
        <w:spacing w:after="0" w:line="79" w:lineRule="exact"/>
        <w:rPr>
          <w:rFonts w:ascii="Arial" w:cs="Arial" w:eastAsia="Arial" w:hAnsi="Arial"/>
          <w:sz w:val="18"/>
          <w:szCs w:val="18"/>
          <w:color w:val="auto"/>
        </w:rPr>
      </w:pPr>
    </w:p>
    <w:p>
      <w:pPr>
        <w:ind w:left="1060" w:right="20" w:hanging="185"/>
        <w:spacing w:after="0" w:line="24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the Customer Experience. </w:t>
      </w:r>
      <w:r>
        <w:rPr>
          <w:rFonts w:ascii="Arial" w:cs="Arial" w:eastAsia="Arial" w:hAnsi="Arial"/>
          <w:sz w:val="18"/>
          <w:szCs w:val="18"/>
          <w:color w:val="auto"/>
        </w:rPr>
        <w:t>Our customer experience includes interactions online and the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have offline wearing Rent the Runway. We are focused on driving continuous improvements in both areas, particularly on personalization, social features and transportation innovation.</w:t>
      </w:r>
    </w:p>
    <w:p>
      <w:pPr>
        <w:spacing w:after="0" w:line="79" w:lineRule="exact"/>
        <w:rPr>
          <w:rFonts w:ascii="Arial" w:cs="Arial" w:eastAsia="Arial" w:hAnsi="Arial"/>
          <w:sz w:val="18"/>
          <w:szCs w:val="18"/>
          <w:color w:val="auto"/>
        </w:rPr>
      </w:pPr>
    </w:p>
    <w:p>
      <w:pPr>
        <w:ind w:left="1060" w:right="80" w:hanging="185"/>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Launch New Categories and Offerings. </w:t>
      </w:r>
      <w:r>
        <w:rPr>
          <w:rFonts w:ascii="Arial" w:cs="Arial" w:eastAsia="Arial" w:hAnsi="Arial"/>
          <w:sz w:val="18"/>
          <w:szCs w:val="18"/>
          <w:color w:val="auto"/>
        </w:rPr>
        <w:t>Our flexible membership platform and physical logistical infrastructure means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can launch new categories and offerings that resonate with our customers and their lifestyles.</w:t>
      </w:r>
    </w:p>
    <w:p>
      <w:pPr>
        <w:spacing w:after="0" w:line="65" w:lineRule="exact"/>
        <w:rPr>
          <w:rFonts w:ascii="Arial" w:cs="Arial" w:eastAsia="Arial" w:hAnsi="Arial"/>
          <w:sz w:val="18"/>
          <w:szCs w:val="18"/>
          <w:color w:val="auto"/>
        </w:rPr>
      </w:pPr>
    </w:p>
    <w:p>
      <w:pPr>
        <w:ind w:left="1060" w:hanging="185"/>
        <w:spacing w:after="0" w:line="24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our Brand Partner Marketplace Enablement Tools. </w:t>
      </w:r>
      <w:r>
        <w:rPr>
          <w:rFonts w:ascii="Arial" w:cs="Arial" w:eastAsia="Arial" w:hAnsi="Arial"/>
          <w:sz w:val="18"/>
          <w:szCs w:val="18"/>
          <w:color w:val="auto"/>
        </w:rPr>
        <w:t>Our goal is to help our brands build bigger businesses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and off our platform. We intend to continue to expand Share by RTR and provide more tools to our brand partners to grow their businesses and assortments across subscription, rental and resale.</w:t>
      </w:r>
    </w:p>
    <w:p>
      <w:pPr>
        <w:spacing w:after="0" w:line="79" w:lineRule="exact"/>
        <w:rPr>
          <w:rFonts w:ascii="Arial" w:cs="Arial" w:eastAsia="Arial" w:hAnsi="Arial"/>
          <w:sz w:val="18"/>
          <w:szCs w:val="18"/>
          <w:color w:val="auto"/>
        </w:rPr>
      </w:pPr>
    </w:p>
    <w:p>
      <w:pPr>
        <w:ind w:left="1060" w:right="140" w:hanging="185"/>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Leverage in Operational Efficiency. </w:t>
      </w:r>
      <w:r>
        <w:rPr>
          <w:rFonts w:ascii="Arial" w:cs="Arial" w:eastAsia="Arial" w:hAnsi="Arial"/>
          <w:sz w:val="18"/>
          <w:szCs w:val="18"/>
          <w:color w:val="auto"/>
        </w:rPr>
        <w:t>We are focused on using our data to drive actionable insights and improve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parts of our operations.</w:t>
      </w:r>
    </w:p>
    <w:p>
      <w:pPr>
        <w:spacing w:after="0" w:line="65" w:lineRule="exact"/>
        <w:rPr>
          <w:rFonts w:ascii="Arial" w:cs="Arial" w:eastAsia="Arial" w:hAnsi="Arial"/>
          <w:sz w:val="18"/>
          <w:szCs w:val="18"/>
          <w:color w:val="auto"/>
        </w:rPr>
      </w:pPr>
    </w:p>
    <w:p>
      <w:pPr>
        <w:ind w:left="1060" w:right="60" w:hanging="185"/>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We may invest in creating a sharing economy of physical goods around the world. We may choose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do this organically or through partnerships and acquisitions.</w:t>
      </w:r>
    </w:p>
    <w:p>
      <w:pPr>
        <w:spacing w:after="0" w:line="26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prospects.</w:t>
      </w:r>
    </w:p>
    <w:p>
      <w:pPr>
        <w:spacing w:after="0" w:line="96" w:lineRule="exact"/>
        <w:rPr>
          <w:sz w:val="20"/>
          <w:szCs w:val="20"/>
          <w:color w:val="auto"/>
        </w:rPr>
      </w:pPr>
    </w:p>
    <w:p>
      <w:pPr>
        <w:ind w:left="1060" w:right="320" w:hanging="185"/>
        <w:spacing w:after="0" w:line="23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108" w:lineRule="exact"/>
        <w:rPr>
          <w:rFonts w:ascii="Arial" w:cs="Arial" w:eastAsia="Arial" w:hAnsi="Arial"/>
          <w:sz w:val="18"/>
          <w:szCs w:val="18"/>
          <w:color w:val="auto"/>
        </w:rPr>
      </w:pPr>
    </w:p>
    <w:p>
      <w:pPr>
        <w:ind w:left="1060" w:hanging="185"/>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COVID-19 pandemic has had, and may in the future continue to have, a material adverse impact on our business.</w:t>
      </w:r>
    </w:p>
    <w:p>
      <w:pPr>
        <w:spacing w:after="0" w:line="113" w:lineRule="exact"/>
        <w:rPr>
          <w:rFonts w:ascii="Arial" w:cs="Arial" w:eastAsia="Arial" w:hAnsi="Arial"/>
          <w:sz w:val="18"/>
          <w:szCs w:val="18"/>
          <w:color w:val="auto"/>
        </w:rPr>
      </w:pPr>
    </w:p>
    <w:p>
      <w:pPr>
        <w:ind w:left="1060" w:hanging="185"/>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113" w:lineRule="exact"/>
        <w:rPr>
          <w:rFonts w:ascii="Arial" w:cs="Arial" w:eastAsia="Arial" w:hAnsi="Arial"/>
          <w:sz w:val="18"/>
          <w:szCs w:val="18"/>
          <w:color w:val="auto"/>
        </w:rPr>
      </w:pPr>
    </w:p>
    <w:p>
      <w:pPr>
        <w:ind w:left="1060" w:right="180" w:hanging="185"/>
        <w:spacing w:after="0" w:line="23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60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5945" cy="56026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185"/>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113" w:lineRule="exact"/>
        <w:rPr>
          <w:rFonts w:ascii="Arial" w:cs="Arial" w:eastAsia="Arial" w:hAnsi="Arial"/>
          <w:sz w:val="18"/>
          <w:szCs w:val="18"/>
          <w:color w:val="auto"/>
        </w:rPr>
      </w:pPr>
    </w:p>
    <w:p>
      <w:pPr>
        <w:ind w:left="1060" w:right="40" w:hanging="185"/>
        <w:spacing w:after="0" w:line="23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are unable to accurately forecast customer demand, manage our products effectively and plan for future expenses, our operating results could be adversely affected.</w:t>
      </w:r>
    </w:p>
    <w:p>
      <w:pPr>
        <w:spacing w:after="0" w:line="108" w:lineRule="exact"/>
        <w:rPr>
          <w:rFonts w:ascii="Arial" w:cs="Arial" w:eastAsia="Arial" w:hAnsi="Arial"/>
          <w:sz w:val="18"/>
          <w:szCs w:val="18"/>
          <w:color w:val="auto"/>
        </w:rPr>
      </w:pPr>
    </w:p>
    <w:p>
      <w:pPr>
        <w:ind w:left="1060" w:hanging="185"/>
        <w:spacing w:after="0" w:line="23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108" w:lineRule="exact"/>
        <w:rPr>
          <w:rFonts w:ascii="Arial" w:cs="Arial" w:eastAsia="Arial" w:hAnsi="Arial"/>
          <w:sz w:val="18"/>
          <w:szCs w:val="18"/>
          <w:color w:val="auto"/>
        </w:rPr>
      </w:pPr>
    </w:p>
    <w:p>
      <w:pPr>
        <w:ind w:left="1060" w:right="140" w:hanging="185"/>
        <w:spacing w:after="0" w:line="267"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86" w:lineRule="exact"/>
        <w:rPr>
          <w:rFonts w:ascii="Arial" w:cs="Arial" w:eastAsia="Arial" w:hAnsi="Arial"/>
          <w:sz w:val="17"/>
          <w:szCs w:val="17"/>
          <w:color w:val="auto"/>
        </w:rPr>
      </w:pPr>
    </w:p>
    <w:p>
      <w:pPr>
        <w:ind w:left="1060" w:right="240" w:hanging="185"/>
        <w:spacing w:after="0" w:line="235"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108" w:lineRule="exact"/>
        <w:rPr>
          <w:rFonts w:ascii="Arial" w:cs="Arial" w:eastAsia="Arial" w:hAnsi="Arial"/>
          <w:sz w:val="18"/>
          <w:szCs w:val="18"/>
          <w:color w:val="auto"/>
        </w:rPr>
      </w:pPr>
    </w:p>
    <w:p>
      <w:pPr>
        <w:ind w:left="1060" w:hanging="185"/>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113" w:lineRule="exact"/>
        <w:rPr>
          <w:rFonts w:ascii="Arial" w:cs="Arial" w:eastAsia="Arial" w:hAnsi="Arial"/>
          <w:sz w:val="18"/>
          <w:szCs w:val="18"/>
          <w:color w:val="auto"/>
        </w:rPr>
      </w:pPr>
    </w:p>
    <w:p>
      <w:pPr>
        <w:ind w:left="1060" w:right="20" w:hanging="185"/>
        <w:spacing w:after="0" w:line="23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107" w:lineRule="exact"/>
        <w:rPr>
          <w:rFonts w:ascii="Arial" w:cs="Arial" w:eastAsia="Arial" w:hAnsi="Arial"/>
          <w:sz w:val="18"/>
          <w:szCs w:val="18"/>
          <w:color w:val="auto"/>
        </w:rPr>
      </w:pPr>
    </w:p>
    <w:p>
      <w:pPr>
        <w:ind w:left="1060" w:right="60" w:hanging="185"/>
        <w:spacing w:after="0" w:line="23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108" w:lineRule="exact"/>
        <w:rPr>
          <w:rFonts w:ascii="Arial" w:cs="Arial" w:eastAsia="Arial" w:hAnsi="Arial"/>
          <w:sz w:val="18"/>
          <w:szCs w:val="18"/>
          <w:color w:val="auto"/>
        </w:rPr>
      </w:pPr>
    </w:p>
    <w:p>
      <w:pPr>
        <w:ind w:left="1060" w:right="480" w:hanging="185"/>
        <w:spacing w:after="0" w:line="23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107" w:lineRule="exact"/>
        <w:rPr>
          <w:rFonts w:ascii="Arial" w:cs="Arial" w:eastAsia="Arial" w:hAnsi="Arial"/>
          <w:sz w:val="18"/>
          <w:szCs w:val="18"/>
          <w:color w:val="auto"/>
        </w:rPr>
      </w:pPr>
    </w:p>
    <w:p>
      <w:pPr>
        <w:ind w:left="1060" w:hanging="185"/>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face risks associated with brand partners from whom our products are sourced or co-manufactured.</w:t>
      </w:r>
    </w:p>
    <w:p>
      <w:pPr>
        <w:spacing w:after="0" w:line="113" w:lineRule="exact"/>
        <w:rPr>
          <w:rFonts w:ascii="Arial" w:cs="Arial" w:eastAsia="Arial" w:hAnsi="Arial"/>
          <w:sz w:val="18"/>
          <w:szCs w:val="18"/>
          <w:color w:val="auto"/>
        </w:rPr>
      </w:pPr>
    </w:p>
    <w:p>
      <w:pPr>
        <w:ind w:left="1060" w:right="260" w:hanging="185"/>
        <w:spacing w:after="0" w:line="23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108" w:lineRule="exact"/>
        <w:rPr>
          <w:rFonts w:ascii="Arial" w:cs="Arial" w:eastAsia="Arial" w:hAnsi="Arial"/>
          <w:sz w:val="18"/>
          <w:szCs w:val="18"/>
          <w:color w:val="auto"/>
        </w:rPr>
      </w:pPr>
    </w:p>
    <w:p>
      <w:pPr>
        <w:ind w:left="1060" w:hanging="185"/>
        <w:spacing w:after="0" w:line="23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108" w:lineRule="exact"/>
        <w:rPr>
          <w:rFonts w:ascii="Arial" w:cs="Arial" w:eastAsia="Arial" w:hAnsi="Arial"/>
          <w:sz w:val="18"/>
          <w:szCs w:val="18"/>
          <w:color w:val="auto"/>
        </w:rPr>
      </w:pPr>
    </w:p>
    <w:p>
      <w:pPr>
        <w:ind w:left="1060" w:right="240" w:hanging="185"/>
        <w:spacing w:after="0" w:line="23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108" w:lineRule="exact"/>
        <w:rPr>
          <w:rFonts w:ascii="Arial" w:cs="Arial" w:eastAsia="Arial" w:hAnsi="Arial"/>
          <w:sz w:val="18"/>
          <w:szCs w:val="18"/>
          <w:color w:val="auto"/>
        </w:rPr>
      </w:pPr>
    </w:p>
    <w:p>
      <w:pPr>
        <w:ind w:left="1060" w:hanging="185"/>
        <w:spacing w:after="0" w:line="23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w:t>
      </w: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6"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509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5945" cy="55092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200"/>
        <w:spacing w:after="0" w:line="239" w:lineRule="auto"/>
        <w:rPr>
          <w:sz w:val="20"/>
          <w:szCs w:val="20"/>
          <w:color w:val="auto"/>
        </w:rPr>
      </w:pPr>
      <w:r>
        <w:rPr>
          <w:rFonts w:ascii="Arial" w:cs="Arial" w:eastAsia="Arial" w:hAnsi="Arial"/>
          <w:sz w:val="18"/>
          <w:szCs w:val="18"/>
          <w:color w:val="auto"/>
        </w:rPr>
        <w:t>on , including our CEO and Co-Founder, and her affiliates, which will limit your ability to influence the outcome of important transactions, including a change of control.</w:t>
      </w:r>
    </w:p>
    <w:p>
      <w:pPr>
        <w:spacing w:after="0" w:line="109" w:lineRule="exact"/>
        <w:rPr>
          <w:sz w:val="20"/>
          <w:szCs w:val="20"/>
          <w:color w:val="auto"/>
        </w:rPr>
      </w:pPr>
    </w:p>
    <w:p>
      <w:pPr>
        <w:ind w:left="1060" w:right="120" w:hanging="185"/>
        <w:spacing w:after="0" w:line="23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active, liquid, and orderly market for our Class A common stock may not develop or be sustained. You may be unable to sell your shares of Class A common stock at or above the price at which you purchased them.</w:t>
      </w:r>
    </w:p>
    <w:p>
      <w:pPr>
        <w:spacing w:after="0" w:line="108" w:lineRule="exact"/>
        <w:rPr>
          <w:rFonts w:ascii="Arial" w:cs="Arial" w:eastAsia="Arial" w:hAnsi="Arial"/>
          <w:sz w:val="18"/>
          <w:szCs w:val="18"/>
          <w:color w:val="auto"/>
        </w:rPr>
      </w:pPr>
    </w:p>
    <w:p>
      <w:pPr>
        <w:ind w:left="1060" w:hanging="185"/>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share price may be volatile, and you may be unable to sell your shares at or above the offering price.</w:t>
      </w:r>
    </w:p>
    <w:p>
      <w:pPr>
        <w:spacing w:after="0" w:line="113" w:lineRule="exact"/>
        <w:rPr>
          <w:rFonts w:ascii="Arial" w:cs="Arial" w:eastAsia="Arial" w:hAnsi="Arial"/>
          <w:sz w:val="18"/>
          <w:szCs w:val="18"/>
          <w:color w:val="auto"/>
        </w:rPr>
      </w:pPr>
    </w:p>
    <w:p>
      <w:pPr>
        <w:ind w:left="1060" w:right="100" w:hanging="185"/>
        <w:spacing w:after="0" w:line="23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this offering, company insiders will continue to have the ability to control or significantly influence all matters submitted to stockholders for approval.</w:t>
      </w:r>
    </w:p>
    <w:p>
      <w:pPr>
        <w:spacing w:after="0" w:line="108" w:lineRule="exact"/>
        <w:rPr>
          <w:rFonts w:ascii="Arial" w:cs="Arial" w:eastAsia="Arial" w:hAnsi="Arial"/>
          <w:sz w:val="18"/>
          <w:szCs w:val="18"/>
          <w:color w:val="auto"/>
        </w:rPr>
      </w:pPr>
    </w:p>
    <w:p>
      <w:pPr>
        <w:ind w:left="1060" w:right="260" w:hanging="185"/>
        <w:spacing w:after="0" w:line="23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management has broad discretion in the use of the net proceeds from this offering and may not use the net proceeds effectively.</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60" w:firstLine="527"/>
        <w:spacing w:after="0" w:line="236" w:lineRule="auto"/>
        <w:rPr>
          <w:sz w:val="20"/>
          <w:szCs w:val="20"/>
          <w:color w:val="auto"/>
        </w:rPr>
      </w:pPr>
      <w:r>
        <w:rPr>
          <w:rFonts w:ascii="Arial" w:cs="Arial" w:eastAsia="Arial" w:hAnsi="Arial"/>
          <w:sz w:val="18"/>
          <w:szCs w:val="18"/>
          <w:color w:val="auto"/>
        </w:rPr>
        <w:t>We were incorporated as Rent the Runway, Inc. in Delaware on March 3, 2009. Our principal executive offices are located at 10 Jay Street, Brooklyn, New York 11201. Our telephone number is (646) 832-3582.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201" w:lineRule="exact"/>
        <w:rPr>
          <w:sz w:val="20"/>
          <w:szCs w:val="20"/>
          <w:color w:val="auto"/>
        </w:rPr>
      </w:pPr>
    </w:p>
    <w:p>
      <w:pPr>
        <w:ind w:left="360" w:right="220" w:firstLine="527"/>
        <w:spacing w:after="0" w:line="234" w:lineRule="auto"/>
        <w:rPr>
          <w:sz w:val="20"/>
          <w:szCs w:val="20"/>
          <w:color w:val="auto"/>
        </w:rPr>
      </w:pPr>
      <w:r>
        <w:rPr>
          <w:rFonts w:ascii="Arial" w:cs="Arial" w:eastAsia="Arial" w:hAnsi="Arial"/>
          <w:sz w:val="18"/>
          <w:szCs w:val="18"/>
          <w:color w:val="auto"/>
        </w:rPr>
        <w:t xml:space="preserve">Our design logo, “Rent the Runway,” and our other registered or common law trademarks, service marks or trade names appearing in this prospectus are the property of Rent the Runway, Inc. This prospectus also contains trademarks, trade names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8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60" w:firstLine="527"/>
        <w:spacing w:after="0" w:line="237"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08" w:lineRule="exact"/>
        <w:rPr>
          <w:sz w:val="20"/>
          <w:szCs w:val="20"/>
          <w:color w:val="auto"/>
        </w:rPr>
      </w:pPr>
    </w:p>
    <w:p>
      <w:pPr>
        <w:ind w:left="1060" w:right="740" w:hanging="185"/>
        <w:spacing w:after="0" w:line="239"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Management’s Discussion and Analysis of Financial Condition and Results of Operations disclosure;</w:t>
      </w:r>
    </w:p>
    <w:p>
      <w:pPr>
        <w:spacing w:after="0" w:line="108" w:lineRule="exact"/>
        <w:rPr>
          <w:rFonts w:ascii="Arial" w:cs="Arial" w:eastAsia="Arial" w:hAnsi="Arial"/>
          <w:sz w:val="18"/>
          <w:szCs w:val="18"/>
          <w:color w:val="auto"/>
        </w:rPr>
      </w:pPr>
    </w:p>
    <w:p>
      <w:pPr>
        <w:ind w:left="1060" w:right="100" w:hanging="185"/>
        <w:spacing w:after="0" w:line="239"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as amended, the Sarbanes-Oxley Act;</w:t>
      </w:r>
    </w:p>
    <w:p>
      <w:pPr>
        <w:spacing w:after="0" w:line="3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456"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2862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5945" cy="28625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80" w:hanging="185"/>
        <w:spacing w:after="0" w:line="23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permitted to take advantage of extended transition periods for complying with new or revised accounting standards which allows an emerging growth company to delay the adoption of some accounting standards until those standards would otherwise apply to private companies;</w:t>
      </w:r>
    </w:p>
    <w:p>
      <w:pPr>
        <w:spacing w:after="0" w:line="108" w:lineRule="exact"/>
        <w:rPr>
          <w:rFonts w:ascii="Arial" w:cs="Arial" w:eastAsia="Arial" w:hAnsi="Arial"/>
          <w:sz w:val="18"/>
          <w:szCs w:val="18"/>
          <w:color w:val="auto"/>
        </w:rPr>
      </w:pPr>
    </w:p>
    <w:p>
      <w:pPr>
        <w:ind w:left="1060" w:right="180" w:hanging="185"/>
        <w:spacing w:after="0" w:line="23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108" w:lineRule="exact"/>
        <w:rPr>
          <w:rFonts w:ascii="Arial" w:cs="Arial" w:eastAsia="Arial" w:hAnsi="Arial"/>
          <w:sz w:val="18"/>
          <w:szCs w:val="18"/>
          <w:color w:val="auto"/>
        </w:rPr>
      </w:pPr>
    </w:p>
    <w:p>
      <w:pPr>
        <w:ind w:left="1060" w:right="80" w:hanging="185"/>
        <w:spacing w:after="0" w:line="23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202" w:lineRule="exact"/>
        <w:rPr>
          <w:sz w:val="20"/>
          <w:szCs w:val="20"/>
          <w:color w:val="auto"/>
        </w:rPr>
      </w:pPr>
    </w:p>
    <w:p>
      <w:pPr>
        <w:ind w:left="360" w:firstLine="527"/>
        <w:spacing w:after="0" w:line="233" w:lineRule="auto"/>
        <w:rPr>
          <w:sz w:val="20"/>
          <w:szCs w:val="20"/>
          <w:color w:val="auto"/>
        </w:rPr>
      </w:pPr>
      <w:r>
        <w:rPr>
          <w:rFonts w:ascii="Arial" w:cs="Arial" w:eastAsia="Arial" w:hAnsi="Arial"/>
          <w:sz w:val="18"/>
          <w:szCs w:val="18"/>
          <w:color w:val="auto"/>
        </w:rPr>
        <w:t>We may take advantage of these reduced reporting and other requirements until the last day of our fiscal year following the fifth anniversary of the completion of this offering, or such earlier time that we are no longer an emerging growth company. If certain events occur prior to the end of such five-year period, including if we have more than $1.07 billion in annual gross revenue, have more than $700 million in market value of our Class A common stock held by non-affiliates, or issue more than $ 1.0 billion of non-convertible debt over a three-year period, we will cease to be an emerging growth company prior to the end of such five-year period. We may choose to take advantage of some but not all of these reduced requirements. We have elected to adopt the reduced requirements with respect to our financial statements and the related “Management’s Discussion and Analysis of Financial Condition and Results of Operations” disclosure. We also have elected to take advantage of the extended transition periods for complying with new or revised accounting standards. As a result, the information that we provide to stockholders may be different than the information you may receive from other public companies in which you hold equity.</w:t>
      </w:r>
    </w:p>
    <w:p>
      <w:pPr>
        <w:spacing w:after="0" w:line="3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6"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526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5945" cy="552640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80"/>
          </w:cols>
          <w:pgMar w:left="320" w:top="456" w:right="499" w:bottom="1440" w:gutter="0" w:footer="0" w:header="0"/>
        </w:sectPr>
      </w:pPr>
    </w:p>
    <w:p>
      <w:pPr>
        <w:spacing w:after="0" w:line="2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Shares of Class A common stock offered by us</w:t>
      </w:r>
    </w:p>
    <w:p>
      <w:pPr>
        <w:spacing w:after="0" w:line="261" w:lineRule="exact"/>
        <w:rPr>
          <w:sz w:val="20"/>
          <w:szCs w:val="20"/>
          <w:color w:val="auto"/>
        </w:rPr>
      </w:pPr>
    </w:p>
    <w:p>
      <w:pPr>
        <w:ind w:left="540" w:right="460" w:hanging="177"/>
        <w:spacing w:after="0" w:line="239" w:lineRule="auto"/>
        <w:rPr>
          <w:sz w:val="20"/>
          <w:szCs w:val="20"/>
          <w:color w:val="auto"/>
        </w:rPr>
      </w:pPr>
      <w:r>
        <w:rPr>
          <w:rFonts w:ascii="Arial" w:cs="Arial" w:eastAsia="Arial" w:hAnsi="Arial"/>
          <w:sz w:val="18"/>
          <w:szCs w:val="18"/>
          <w:color w:val="auto"/>
        </w:rPr>
        <w:t>Shares of Class A common stock to be outstanding after this offering</w:t>
      </w:r>
    </w:p>
    <w:p>
      <w:pPr>
        <w:spacing w:after="0" w:line="256" w:lineRule="exact"/>
        <w:rPr>
          <w:sz w:val="20"/>
          <w:szCs w:val="20"/>
          <w:color w:val="auto"/>
        </w:rPr>
      </w:pPr>
    </w:p>
    <w:p>
      <w:pPr>
        <w:ind w:left="540" w:right="440" w:hanging="177"/>
        <w:spacing w:after="0" w:line="239" w:lineRule="auto"/>
        <w:rPr>
          <w:sz w:val="20"/>
          <w:szCs w:val="20"/>
          <w:color w:val="auto"/>
        </w:rPr>
      </w:pPr>
      <w:r>
        <w:rPr>
          <w:rFonts w:ascii="Arial" w:cs="Arial" w:eastAsia="Arial" w:hAnsi="Arial"/>
          <w:sz w:val="18"/>
          <w:szCs w:val="18"/>
          <w:color w:val="auto"/>
        </w:rPr>
        <w:t>Shares of Class B common stock to be outstanding after this offering</w:t>
      </w:r>
    </w:p>
    <w:p>
      <w:pPr>
        <w:spacing w:after="0" w:line="55" w:lineRule="exact"/>
        <w:rPr>
          <w:sz w:val="20"/>
          <w:szCs w:val="20"/>
          <w:color w:val="auto"/>
        </w:rPr>
      </w:pPr>
    </w:p>
    <w:p>
      <w:pPr>
        <w:ind w:left="540" w:hanging="177"/>
        <w:spacing w:after="0" w:line="239" w:lineRule="auto"/>
        <w:rPr>
          <w:sz w:val="20"/>
          <w:szCs w:val="20"/>
          <w:color w:val="auto"/>
        </w:rPr>
      </w:pPr>
      <w:r>
        <w:rPr>
          <w:rFonts w:ascii="Arial" w:cs="Arial" w:eastAsia="Arial" w:hAnsi="Arial"/>
          <w:sz w:val="18"/>
          <w:szCs w:val="18"/>
          <w:color w:val="auto"/>
        </w:rPr>
        <w:t>Total shares of Class A common stock and Class B common stock to be outstanding after this offering</w:t>
      </w:r>
    </w:p>
    <w:p>
      <w:pPr>
        <w:spacing w:after="0" w:line="200" w:lineRule="exact"/>
        <w:rPr>
          <w:sz w:val="20"/>
          <w:szCs w:val="20"/>
          <w:color w:val="auto"/>
        </w:rPr>
      </w:pPr>
    </w:p>
    <w:p>
      <w:pPr>
        <w:spacing w:after="0" w:line="256" w:lineRule="exact"/>
        <w:rPr>
          <w:sz w:val="20"/>
          <w:szCs w:val="20"/>
          <w:color w:val="auto"/>
        </w:rPr>
      </w:pPr>
    </w:p>
    <w:p>
      <w:pPr>
        <w:ind w:left="540" w:right="300" w:hanging="177"/>
        <w:spacing w:after="0" w:line="239" w:lineRule="auto"/>
        <w:rPr>
          <w:sz w:val="20"/>
          <w:szCs w:val="20"/>
          <w:color w:val="auto"/>
        </w:rPr>
      </w:pPr>
      <w:r>
        <w:rPr>
          <w:rFonts w:ascii="Arial" w:cs="Arial" w:eastAsia="Arial" w:hAnsi="Arial"/>
          <w:sz w:val="18"/>
          <w:szCs w:val="18"/>
          <w:color w:val="auto"/>
        </w:rPr>
        <w:t>Over-allotment option to purchase additional shares of Class A common stock</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782"/>
        <w:spacing w:after="0"/>
        <w:tabs>
          <w:tab w:leader="none" w:pos="2062"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7"/>
          <w:szCs w:val="17"/>
          <w:color w:val="auto"/>
        </w:rPr>
        <w:t>shares if the underwriters exercise in</w:t>
      </w:r>
    </w:p>
    <w:p>
      <w:pPr>
        <w:ind w:left="2"/>
        <w:spacing w:after="0"/>
        <w:rPr>
          <w:sz w:val="20"/>
          <w:szCs w:val="20"/>
          <w:color w:val="auto"/>
        </w:rPr>
      </w:pPr>
      <w:r>
        <w:rPr>
          <w:rFonts w:ascii="Arial" w:cs="Arial" w:eastAsia="Arial" w:hAnsi="Arial"/>
          <w:sz w:val="18"/>
          <w:szCs w:val="18"/>
          <w:color w:val="auto"/>
        </w:rPr>
        <w:t>full their option to purchase additional shares).</w:t>
      </w:r>
    </w:p>
    <w:p>
      <w:pPr>
        <w:spacing w:after="0" w:line="254" w:lineRule="exact"/>
        <w:rPr>
          <w:sz w:val="20"/>
          <w:szCs w:val="20"/>
          <w:color w:val="auto"/>
        </w:rPr>
      </w:pPr>
    </w:p>
    <w:p>
      <w:pPr>
        <w:ind w:left="782"/>
        <w:spacing w:after="0"/>
        <w:tabs>
          <w:tab w:leader="none" w:pos="2062"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7"/>
          <w:szCs w:val="17"/>
          <w:color w:val="auto"/>
        </w:rPr>
        <w:t>shares if the underwriters exercise in</w:t>
      </w:r>
    </w:p>
    <w:p>
      <w:pPr>
        <w:ind w:left="2"/>
        <w:spacing w:after="0"/>
        <w:rPr>
          <w:sz w:val="20"/>
          <w:szCs w:val="20"/>
          <w:color w:val="auto"/>
        </w:rPr>
      </w:pPr>
      <w:r>
        <w:rPr>
          <w:rFonts w:ascii="Arial" w:cs="Arial" w:eastAsia="Arial" w:hAnsi="Arial"/>
          <w:sz w:val="18"/>
          <w:szCs w:val="18"/>
          <w:color w:val="auto"/>
        </w:rPr>
        <w:t>full their option to purchase additional shares).</w:t>
      </w:r>
    </w:p>
    <w:p>
      <w:pPr>
        <w:spacing w:after="0" w:line="261" w:lineRule="exact"/>
        <w:rPr>
          <w:sz w:val="20"/>
          <w:szCs w:val="20"/>
          <w:color w:val="auto"/>
        </w:rPr>
      </w:pPr>
    </w:p>
    <w:p>
      <w:pPr>
        <w:ind w:left="782"/>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54" w:lineRule="exact"/>
        <w:rPr>
          <w:sz w:val="20"/>
          <w:szCs w:val="20"/>
          <w:color w:val="auto"/>
        </w:rPr>
      </w:pPr>
    </w:p>
    <w:p>
      <w:pPr>
        <w:ind w:left="782"/>
        <w:spacing w:after="0"/>
        <w:tabs>
          <w:tab w:leader="none" w:pos="2062"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7"/>
          <w:szCs w:val="17"/>
          <w:color w:val="auto"/>
        </w:rPr>
        <w:t>shares if the underwriters exercise in</w:t>
      </w:r>
    </w:p>
    <w:p>
      <w:pPr>
        <w:ind w:left="2"/>
        <w:spacing w:after="0"/>
        <w:rPr>
          <w:sz w:val="20"/>
          <w:szCs w:val="20"/>
          <w:color w:val="auto"/>
        </w:rPr>
      </w:pPr>
      <w:r>
        <w:rPr>
          <w:rFonts w:ascii="Arial" w:cs="Arial" w:eastAsia="Arial" w:hAnsi="Arial"/>
          <w:sz w:val="18"/>
          <w:szCs w:val="18"/>
          <w:color w:val="auto"/>
        </w:rPr>
        <w:t>full their option to purchase additional shares).</w:t>
      </w:r>
    </w:p>
    <w:p>
      <w:pPr>
        <w:spacing w:after="0" w:line="261" w:lineRule="exact"/>
        <w:rPr>
          <w:sz w:val="20"/>
          <w:szCs w:val="20"/>
          <w:color w:val="auto"/>
        </w:rPr>
      </w:pPr>
    </w:p>
    <w:p>
      <w:pPr>
        <w:ind w:left="782"/>
        <w:spacing w:after="0"/>
        <w:rPr>
          <w:sz w:val="20"/>
          <w:szCs w:val="20"/>
          <w:color w:val="auto"/>
        </w:rPr>
      </w:pPr>
      <w:r>
        <w:rPr>
          <w:rFonts w:ascii="Arial" w:cs="Arial" w:eastAsia="Arial" w:hAnsi="Arial"/>
          <w:sz w:val="18"/>
          <w:szCs w:val="18"/>
          <w:color w:val="auto"/>
        </w:rPr>
        <w:t>shares.</w:t>
      </w:r>
    </w:p>
    <w:p>
      <w:pPr>
        <w:spacing w:after="0" w:line="54" w:lineRule="exact"/>
        <w:rPr>
          <w:sz w:val="20"/>
          <w:szCs w:val="20"/>
          <w:color w:val="auto"/>
        </w:rPr>
      </w:pPr>
    </w:p>
    <w:p>
      <w:pPr>
        <w:ind w:left="2"/>
        <w:spacing w:after="0"/>
        <w:rPr>
          <w:sz w:val="20"/>
          <w:szCs w:val="20"/>
          <w:color w:val="auto"/>
        </w:rPr>
      </w:pPr>
      <w:r>
        <w:rPr>
          <w:rFonts w:ascii="Arial" w:cs="Arial" w:eastAsia="Arial" w:hAnsi="Arial"/>
          <w:sz w:val="18"/>
          <w:szCs w:val="18"/>
          <w:color w:val="auto"/>
        </w:rPr>
        <w:t>We estimate, based upon an assumed initial public offering</w:t>
      </w:r>
    </w:p>
    <w:p>
      <w:pPr>
        <w:ind w:left="2" w:right="440"/>
        <w:spacing w:after="0" w:line="232" w:lineRule="auto"/>
        <w:rPr>
          <w:sz w:val="20"/>
          <w:szCs w:val="20"/>
          <w:color w:val="auto"/>
        </w:rPr>
      </w:pPr>
      <w:r>
        <w:rPr>
          <w:rFonts w:ascii="Arial" w:cs="Arial" w:eastAsia="Arial" w:hAnsi="Arial"/>
          <w:sz w:val="18"/>
          <w:szCs w:val="18"/>
          <w:color w:val="auto"/>
        </w:rPr>
        <w:t>price of $ per share (which is the midpoint of the price range set forth on the cover page of this prospectus), that we will receive net proceeds from this offering of approximately</w:t>
      </w:r>
    </w:p>
    <w:p>
      <w:pPr>
        <w:spacing w:after="0" w:line="1" w:lineRule="exact"/>
        <w:rPr>
          <w:sz w:val="20"/>
          <w:szCs w:val="20"/>
          <w:color w:val="auto"/>
        </w:rPr>
      </w:pPr>
    </w:p>
    <w:p>
      <w:pPr>
        <w:ind w:left="2" w:right="260" w:hanging="2"/>
        <w:spacing w:after="0" w:line="234" w:lineRule="auto"/>
        <w:tabs>
          <w:tab w:leader="none" w:pos="5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million (or $ million if the underwriters exercise in full their option to purchase additional shares), after deducting estimated underwriting discounts and commissions and estimated offering expenses payable by us. We intend to use the net proceeds from this offering for working capital, to fund growth and for other general corporate purposes. We will have broad discretion in the way that we use the net proceeds of this offering. See “Use of Proceeds.”</w:t>
      </w:r>
    </w:p>
    <w:p>
      <w:pPr>
        <w:spacing w:after="0" w:line="49" w:lineRule="exact"/>
        <w:rPr>
          <w:sz w:val="20"/>
          <w:szCs w:val="20"/>
          <w:color w:val="auto"/>
        </w:rPr>
      </w:pPr>
    </w:p>
    <w:p>
      <w:pPr>
        <w:sectPr>
          <w:pgSz w:w="11900" w:h="16838" w:orient="portrait"/>
          <w:cols w:equalWidth="0" w:num="2">
            <w:col w:w="5580" w:space="258"/>
            <w:col w:w="5242"/>
          </w:cols>
          <w:pgMar w:left="320" w:top="456" w:right="49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3260" w:type="dxa"/>
            <w:vAlign w:val="bottom"/>
          </w:tcPr>
          <w:p>
            <w:pPr>
              <w:ind w:left="180"/>
              <w:spacing w:after="0"/>
              <w:rPr>
                <w:sz w:val="20"/>
                <w:szCs w:val="20"/>
                <w:color w:val="auto"/>
              </w:rPr>
            </w:pPr>
            <w:r>
              <w:rPr>
                <w:rFonts w:ascii="Arial" w:cs="Arial" w:eastAsia="Arial" w:hAnsi="Arial"/>
                <w:sz w:val="18"/>
                <w:szCs w:val="18"/>
                <w:color w:val="auto"/>
              </w:rPr>
              <w:t>Voting rights</w:t>
            </w:r>
          </w:p>
        </w:tc>
        <w:tc>
          <w:tcPr>
            <w:tcW w:w="7640" w:type="dxa"/>
            <w:vAlign w:val="bottom"/>
          </w:tcPr>
          <w:p>
            <w:pPr>
              <w:ind w:left="2400"/>
              <w:spacing w:after="0"/>
              <w:rPr>
                <w:sz w:val="20"/>
                <w:szCs w:val="20"/>
                <w:color w:val="auto"/>
              </w:rPr>
            </w:pPr>
            <w:r>
              <w:rPr>
                <w:rFonts w:ascii="Arial" w:cs="Arial" w:eastAsia="Arial" w:hAnsi="Arial"/>
                <w:sz w:val="18"/>
                <w:szCs w:val="18"/>
                <w:color w:val="auto"/>
              </w:rPr>
              <w:t>Each share of Class A common stock is entitled to one vote per</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share. Each share of Class B common stock is entitled to votes</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per share and is convertible into one share of Class A common</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stock at any time. Holders of shares of our Class A common</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stock and Class B common stock will vote together as a single</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class on all matters (including the election of directors)</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submitted to a vote of stockholders except as otherwise</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provided in our amended and restated certificate of</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incorporation or as required by applicable law. Jennifer Y.</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Hyman, our Co-Founder, Chief Executive Officer and the Chair</w:t>
            </w:r>
          </w:p>
        </w:tc>
      </w:tr>
      <w:tr>
        <w:trPr>
          <w:trHeight w:val="200"/>
        </w:trPr>
        <w:tc>
          <w:tcPr>
            <w:tcW w:w="3260" w:type="dxa"/>
            <w:vAlign w:val="bottom"/>
          </w:tcPr>
          <w:p>
            <w:pPr>
              <w:spacing w:after="0"/>
              <w:rPr>
                <w:sz w:val="17"/>
                <w:szCs w:val="17"/>
                <w:color w:val="auto"/>
              </w:rPr>
            </w:pPr>
          </w:p>
        </w:tc>
        <w:tc>
          <w:tcPr>
            <w:tcW w:w="7640" w:type="dxa"/>
            <w:vAlign w:val="bottom"/>
          </w:tcPr>
          <w:p>
            <w:pPr>
              <w:ind w:left="2400"/>
              <w:spacing w:after="0" w:line="201" w:lineRule="exact"/>
              <w:rPr>
                <w:sz w:val="20"/>
                <w:szCs w:val="20"/>
                <w:color w:val="auto"/>
              </w:rPr>
            </w:pPr>
            <w:r>
              <w:rPr>
                <w:rFonts w:ascii="Arial" w:cs="Arial" w:eastAsia="Arial" w:hAnsi="Arial"/>
                <w:sz w:val="18"/>
                <w:szCs w:val="18"/>
                <w:color w:val="auto"/>
              </w:rPr>
              <w:t>of our board of directors, and her affiliates will hold all of the</w:t>
            </w:r>
          </w:p>
        </w:tc>
      </w:tr>
      <w:tr>
        <w:trPr>
          <w:trHeight w:val="213"/>
        </w:trPr>
        <w:tc>
          <w:tcPr>
            <w:tcW w:w="3260" w:type="dxa"/>
            <w:vAlign w:val="bottom"/>
          </w:tcPr>
          <w:p>
            <w:pPr>
              <w:spacing w:after="0"/>
              <w:rPr>
                <w:sz w:val="18"/>
                <w:szCs w:val="18"/>
                <w:color w:val="auto"/>
              </w:rPr>
            </w:pPr>
          </w:p>
        </w:tc>
        <w:tc>
          <w:tcPr>
            <w:tcW w:w="7640" w:type="dxa"/>
            <w:vAlign w:val="bottom"/>
          </w:tcPr>
          <w:p>
            <w:pPr>
              <w:ind w:left="2400"/>
              <w:spacing w:after="0"/>
              <w:rPr>
                <w:sz w:val="20"/>
                <w:szCs w:val="20"/>
                <w:color w:val="auto"/>
              </w:rPr>
            </w:pPr>
            <w:r>
              <w:rPr>
                <w:rFonts w:ascii="Arial" w:cs="Arial" w:eastAsia="Arial" w:hAnsi="Arial"/>
                <w:sz w:val="18"/>
                <w:szCs w:val="18"/>
                <w:color w:val="auto"/>
              </w:rPr>
              <w:t>outstanding shares of Class B</w:t>
            </w:r>
          </w:p>
        </w:tc>
      </w:tr>
      <w:tr>
        <w:trPr>
          <w:trHeight w:val="225"/>
        </w:trPr>
        <w:tc>
          <w:tcPr>
            <w:tcW w:w="3260" w:type="dxa"/>
            <w:vAlign w:val="bottom"/>
            <w:tcBorders>
              <w:bottom w:val="single" w:sz="8" w:color="auto"/>
            </w:tcBorders>
          </w:tcPr>
          <w:p>
            <w:pPr>
              <w:spacing w:after="0"/>
              <w:rPr>
                <w:sz w:val="19"/>
                <w:szCs w:val="19"/>
                <w:color w:val="auto"/>
              </w:rPr>
            </w:pPr>
          </w:p>
        </w:tc>
        <w:tc>
          <w:tcPr>
            <w:tcW w:w="7640" w:type="dxa"/>
            <w:vAlign w:val="bottom"/>
            <w:tcBorders>
              <w:bottom w:val="single" w:sz="8" w:color="auto"/>
            </w:tcBorders>
          </w:tcPr>
          <w:p>
            <w:pPr>
              <w:spacing w:after="0"/>
              <w:rPr>
                <w:sz w:val="19"/>
                <w:szCs w:val="19"/>
                <w:color w:val="auto"/>
              </w:rPr>
            </w:pPr>
          </w:p>
        </w:tc>
      </w:tr>
      <w:tr>
        <w:trPr>
          <w:trHeight w:val="356"/>
        </w:trPr>
        <w:tc>
          <w:tcPr>
            <w:tcW w:w="3260" w:type="dxa"/>
            <w:vAlign w:val="bottom"/>
          </w:tcPr>
          <w:p>
            <w:pPr>
              <w:spacing w:after="0"/>
              <w:rPr>
                <w:sz w:val="24"/>
                <w:szCs w:val="24"/>
                <w:color w:val="auto"/>
              </w:rPr>
            </w:pPr>
          </w:p>
        </w:tc>
        <w:tc>
          <w:tcPr>
            <w:tcW w:w="7640" w:type="dxa"/>
            <w:vAlign w:val="bottom"/>
          </w:tcPr>
          <w:p>
            <w:pPr>
              <w:ind w:left="20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80"/>
          </w:cols>
          <w:pgMar w:left="320" w:top="456"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306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5945" cy="5306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6720" w:type="dxa"/>
            <w:vAlign w:val="bottom"/>
            <w:gridSpan w:val="3"/>
          </w:tcPr>
          <w:p>
            <w:pPr>
              <w:ind w:left="1760"/>
              <w:spacing w:after="0"/>
              <w:rPr>
                <w:sz w:val="20"/>
                <w:szCs w:val="20"/>
                <w:color w:val="auto"/>
              </w:rPr>
            </w:pPr>
            <w:r>
              <w:rPr>
                <w:rFonts w:ascii="Arial" w:cs="Arial" w:eastAsia="Arial" w:hAnsi="Arial"/>
                <w:sz w:val="18"/>
                <w:szCs w:val="18"/>
                <w:color w:val="auto"/>
              </w:rPr>
              <w:t>common stock. Immediately following the completion of this</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offering, shares of Class A common stock will collectively</w:t>
            </w:r>
          </w:p>
        </w:tc>
      </w:tr>
      <w:tr>
        <w:trPr>
          <w:trHeight w:val="200"/>
        </w:trPr>
        <w:tc>
          <w:tcPr>
            <w:tcW w:w="3720" w:type="dxa"/>
            <w:vAlign w:val="bottom"/>
          </w:tcPr>
          <w:p>
            <w:pPr>
              <w:spacing w:after="0"/>
              <w:rPr>
                <w:sz w:val="17"/>
                <w:szCs w:val="17"/>
                <w:color w:val="auto"/>
              </w:rPr>
            </w:pPr>
          </w:p>
        </w:tc>
        <w:tc>
          <w:tcPr>
            <w:tcW w:w="3720" w:type="dxa"/>
            <w:vAlign w:val="bottom"/>
            <w:gridSpan w:val="2"/>
          </w:tcPr>
          <w:p>
            <w:pPr>
              <w:ind w:left="1760"/>
              <w:spacing w:after="0" w:line="201" w:lineRule="exact"/>
              <w:rPr>
                <w:sz w:val="20"/>
                <w:szCs w:val="20"/>
                <w:color w:val="auto"/>
              </w:rPr>
            </w:pPr>
            <w:r>
              <w:rPr>
                <w:rFonts w:ascii="Arial" w:cs="Arial" w:eastAsia="Arial" w:hAnsi="Arial"/>
                <w:sz w:val="18"/>
                <w:szCs w:val="18"/>
                <w:color w:val="auto"/>
              </w:rPr>
              <w:t>represent approximately</w:t>
            </w:r>
          </w:p>
        </w:tc>
        <w:tc>
          <w:tcPr>
            <w:tcW w:w="3000" w:type="dxa"/>
            <w:vAlign w:val="bottom"/>
          </w:tcPr>
          <w:p>
            <w:pPr>
              <w:ind w:left="200"/>
              <w:spacing w:after="0" w:line="201" w:lineRule="exact"/>
              <w:rPr>
                <w:sz w:val="20"/>
                <w:szCs w:val="20"/>
                <w:color w:val="auto"/>
              </w:rPr>
            </w:pPr>
            <w:r>
              <w:rPr>
                <w:rFonts w:ascii="Arial" w:cs="Arial" w:eastAsia="Arial" w:hAnsi="Arial"/>
                <w:sz w:val="18"/>
                <w:szCs w:val="18"/>
                <w:color w:val="auto"/>
              </w:rPr>
              <w:t>% of our total issued and</w:t>
            </w:r>
          </w:p>
        </w:tc>
      </w:tr>
      <w:tr>
        <w:trPr>
          <w:trHeight w:val="200"/>
        </w:trPr>
        <w:tc>
          <w:tcPr>
            <w:tcW w:w="3720" w:type="dxa"/>
            <w:vAlign w:val="bottom"/>
          </w:tcPr>
          <w:p>
            <w:pPr>
              <w:spacing w:after="0"/>
              <w:rPr>
                <w:sz w:val="17"/>
                <w:szCs w:val="17"/>
                <w:color w:val="auto"/>
              </w:rPr>
            </w:pPr>
          </w:p>
        </w:tc>
        <w:tc>
          <w:tcPr>
            <w:tcW w:w="3720" w:type="dxa"/>
            <w:vAlign w:val="bottom"/>
            <w:gridSpan w:val="2"/>
          </w:tcPr>
          <w:p>
            <w:pPr>
              <w:ind w:left="1760"/>
              <w:spacing w:after="0" w:line="201" w:lineRule="exact"/>
              <w:rPr>
                <w:sz w:val="20"/>
                <w:szCs w:val="20"/>
                <w:color w:val="auto"/>
              </w:rPr>
            </w:pPr>
            <w:r>
              <w:rPr>
                <w:rFonts w:ascii="Arial" w:cs="Arial" w:eastAsia="Arial" w:hAnsi="Arial"/>
                <w:sz w:val="18"/>
                <w:szCs w:val="18"/>
                <w:color w:val="auto"/>
              </w:rPr>
              <w:t>outstanding shares and</w:t>
            </w:r>
          </w:p>
        </w:tc>
        <w:tc>
          <w:tcPr>
            <w:tcW w:w="3000" w:type="dxa"/>
            <w:vAlign w:val="bottom"/>
          </w:tcPr>
          <w:p>
            <w:pPr>
              <w:ind w:left="140"/>
              <w:spacing w:after="0" w:line="201" w:lineRule="exact"/>
              <w:rPr>
                <w:sz w:val="20"/>
                <w:szCs w:val="20"/>
                <w:color w:val="auto"/>
              </w:rPr>
            </w:pPr>
            <w:r>
              <w:rPr>
                <w:rFonts w:ascii="Arial" w:cs="Arial" w:eastAsia="Arial" w:hAnsi="Arial"/>
                <w:sz w:val="18"/>
                <w:szCs w:val="18"/>
                <w:color w:val="auto"/>
                <w:w w:val="97"/>
              </w:rPr>
              <w:t>% of the voting power attached to all</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of our issued and outstanding shares (or   % and   %,</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respectively, if the underwriters exercise in full their option to</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purchase additional shares of Class A common stock), and</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shares of Class B common stock will collectively represent</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approximately   % of our total issued and outstanding shares</w:t>
            </w:r>
          </w:p>
        </w:tc>
      </w:tr>
      <w:tr>
        <w:trPr>
          <w:trHeight w:val="200"/>
        </w:trPr>
        <w:tc>
          <w:tcPr>
            <w:tcW w:w="3720" w:type="dxa"/>
            <w:vAlign w:val="bottom"/>
          </w:tcPr>
          <w:p>
            <w:pPr>
              <w:spacing w:after="0"/>
              <w:rPr>
                <w:sz w:val="17"/>
                <w:szCs w:val="17"/>
                <w:color w:val="auto"/>
              </w:rPr>
            </w:pPr>
          </w:p>
        </w:tc>
        <w:tc>
          <w:tcPr>
            <w:tcW w:w="2180" w:type="dxa"/>
            <w:vAlign w:val="bottom"/>
          </w:tcPr>
          <w:p>
            <w:pPr>
              <w:ind w:left="1760"/>
              <w:spacing w:after="0" w:line="201" w:lineRule="exact"/>
              <w:rPr>
                <w:sz w:val="20"/>
                <w:szCs w:val="20"/>
                <w:color w:val="auto"/>
              </w:rPr>
            </w:pPr>
            <w:r>
              <w:rPr>
                <w:rFonts w:ascii="Arial" w:cs="Arial" w:eastAsia="Arial" w:hAnsi="Arial"/>
                <w:sz w:val="18"/>
                <w:szCs w:val="18"/>
                <w:color w:val="auto"/>
              </w:rPr>
              <w:t>and</w:t>
            </w:r>
          </w:p>
        </w:tc>
        <w:tc>
          <w:tcPr>
            <w:tcW w:w="45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of the voting power attached to all of our issued and</w:t>
            </w:r>
          </w:p>
        </w:tc>
      </w:tr>
      <w:tr>
        <w:trPr>
          <w:trHeight w:val="200"/>
        </w:trPr>
        <w:tc>
          <w:tcPr>
            <w:tcW w:w="3720" w:type="dxa"/>
            <w:vAlign w:val="bottom"/>
          </w:tcPr>
          <w:p>
            <w:pPr>
              <w:spacing w:after="0"/>
              <w:rPr>
                <w:sz w:val="17"/>
                <w:szCs w:val="17"/>
                <w:color w:val="auto"/>
              </w:rPr>
            </w:pPr>
          </w:p>
        </w:tc>
        <w:tc>
          <w:tcPr>
            <w:tcW w:w="3720" w:type="dxa"/>
            <w:vAlign w:val="bottom"/>
            <w:gridSpan w:val="2"/>
          </w:tcPr>
          <w:p>
            <w:pPr>
              <w:ind w:left="1760"/>
              <w:spacing w:after="0" w:line="201" w:lineRule="exact"/>
              <w:rPr>
                <w:sz w:val="20"/>
                <w:szCs w:val="20"/>
                <w:color w:val="auto"/>
              </w:rPr>
            </w:pPr>
            <w:r>
              <w:rPr>
                <w:rFonts w:ascii="Arial" w:cs="Arial" w:eastAsia="Arial" w:hAnsi="Arial"/>
                <w:sz w:val="18"/>
                <w:szCs w:val="18"/>
                <w:color w:val="auto"/>
              </w:rPr>
              <w:t>outstanding shares (or</w:t>
            </w:r>
          </w:p>
        </w:tc>
        <w:tc>
          <w:tcPr>
            <w:tcW w:w="3000" w:type="dxa"/>
            <w:vAlign w:val="bottom"/>
          </w:tcPr>
          <w:p>
            <w:pPr>
              <w:ind w:left="60"/>
              <w:spacing w:after="0" w:line="201" w:lineRule="exact"/>
              <w:rPr>
                <w:sz w:val="20"/>
                <w:szCs w:val="20"/>
                <w:color w:val="auto"/>
              </w:rPr>
            </w:pPr>
            <w:r>
              <w:rPr>
                <w:rFonts w:ascii="Arial" w:cs="Arial" w:eastAsia="Arial" w:hAnsi="Arial"/>
                <w:sz w:val="18"/>
                <w:szCs w:val="18"/>
                <w:color w:val="auto"/>
              </w:rPr>
              <w:t>% and   %, respectively, if the</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underwriters exercise in full their option to purchase additional</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shares of Class A common stock). See “Description of Capital</w:t>
            </w:r>
          </w:p>
        </w:tc>
      </w:tr>
      <w:tr>
        <w:trPr>
          <w:trHeight w:val="213"/>
        </w:trPr>
        <w:tc>
          <w:tcPr>
            <w:tcW w:w="3720" w:type="dxa"/>
            <w:vAlign w:val="bottom"/>
          </w:tcPr>
          <w:p>
            <w:pPr>
              <w:spacing w:after="0"/>
              <w:rPr>
                <w:sz w:val="18"/>
                <w:szCs w:val="18"/>
                <w:color w:val="auto"/>
              </w:rPr>
            </w:pPr>
          </w:p>
        </w:tc>
        <w:tc>
          <w:tcPr>
            <w:tcW w:w="6720" w:type="dxa"/>
            <w:vAlign w:val="bottom"/>
            <w:gridSpan w:val="3"/>
          </w:tcPr>
          <w:p>
            <w:pPr>
              <w:ind w:left="1760"/>
              <w:spacing w:after="0"/>
              <w:rPr>
                <w:sz w:val="20"/>
                <w:szCs w:val="20"/>
                <w:color w:val="auto"/>
              </w:rPr>
            </w:pPr>
            <w:r>
              <w:rPr>
                <w:rFonts w:ascii="Arial" w:cs="Arial" w:eastAsia="Arial" w:hAnsi="Arial"/>
                <w:sz w:val="18"/>
                <w:szCs w:val="18"/>
                <w:color w:val="auto"/>
              </w:rPr>
              <w:t>Stock” for additional information.</w:t>
            </w:r>
          </w:p>
        </w:tc>
      </w:tr>
      <w:tr>
        <w:trPr>
          <w:trHeight w:val="254"/>
        </w:trPr>
        <w:tc>
          <w:tcPr>
            <w:tcW w:w="3720" w:type="dxa"/>
            <w:vAlign w:val="bottom"/>
          </w:tcPr>
          <w:p>
            <w:pPr>
              <w:spacing w:after="0"/>
              <w:rPr>
                <w:sz w:val="20"/>
                <w:szCs w:val="20"/>
                <w:color w:val="auto"/>
              </w:rPr>
            </w:pPr>
            <w:r>
              <w:rPr>
                <w:rFonts w:ascii="Arial" w:cs="Arial" w:eastAsia="Arial" w:hAnsi="Arial"/>
                <w:sz w:val="18"/>
                <w:szCs w:val="18"/>
                <w:color w:val="auto"/>
              </w:rPr>
              <w:t>Dividend policy</w:t>
            </w:r>
          </w:p>
        </w:tc>
        <w:tc>
          <w:tcPr>
            <w:tcW w:w="6720" w:type="dxa"/>
            <w:vAlign w:val="bottom"/>
            <w:gridSpan w:val="3"/>
          </w:tcPr>
          <w:p>
            <w:pPr>
              <w:ind w:left="1760"/>
              <w:spacing w:after="0"/>
              <w:rPr>
                <w:sz w:val="20"/>
                <w:szCs w:val="20"/>
                <w:color w:val="auto"/>
              </w:rPr>
            </w:pPr>
            <w:r>
              <w:rPr>
                <w:rFonts w:ascii="Arial" w:cs="Arial" w:eastAsia="Arial" w:hAnsi="Arial"/>
                <w:sz w:val="18"/>
                <w:szCs w:val="18"/>
                <w:color w:val="auto"/>
              </w:rPr>
              <w:t>We do not expect to pay any dividends on our common stock</w:t>
            </w:r>
          </w:p>
        </w:tc>
      </w:tr>
      <w:tr>
        <w:trPr>
          <w:trHeight w:val="213"/>
        </w:trPr>
        <w:tc>
          <w:tcPr>
            <w:tcW w:w="3720" w:type="dxa"/>
            <w:vAlign w:val="bottom"/>
          </w:tcPr>
          <w:p>
            <w:pPr>
              <w:spacing w:after="0"/>
              <w:rPr>
                <w:sz w:val="18"/>
                <w:szCs w:val="18"/>
                <w:color w:val="auto"/>
              </w:rPr>
            </w:pPr>
          </w:p>
        </w:tc>
        <w:tc>
          <w:tcPr>
            <w:tcW w:w="6720" w:type="dxa"/>
            <w:vAlign w:val="bottom"/>
            <w:gridSpan w:val="3"/>
          </w:tcPr>
          <w:p>
            <w:pPr>
              <w:ind w:left="1760"/>
              <w:spacing w:after="0"/>
              <w:rPr>
                <w:sz w:val="20"/>
                <w:szCs w:val="20"/>
                <w:color w:val="auto"/>
              </w:rPr>
            </w:pPr>
            <w:r>
              <w:rPr>
                <w:rFonts w:ascii="Arial" w:cs="Arial" w:eastAsia="Arial" w:hAnsi="Arial"/>
                <w:sz w:val="18"/>
                <w:szCs w:val="18"/>
                <w:color w:val="auto"/>
              </w:rPr>
              <w:t>for the foreseeable future. See “Dividend Policy.”</w:t>
            </w:r>
          </w:p>
        </w:tc>
      </w:tr>
      <w:tr>
        <w:trPr>
          <w:trHeight w:val="254"/>
        </w:trPr>
        <w:tc>
          <w:tcPr>
            <w:tcW w:w="3720" w:type="dxa"/>
            <w:vAlign w:val="bottom"/>
          </w:tcPr>
          <w:p>
            <w:pPr>
              <w:spacing w:after="0"/>
              <w:rPr>
                <w:sz w:val="20"/>
                <w:szCs w:val="20"/>
                <w:color w:val="auto"/>
              </w:rPr>
            </w:pPr>
            <w:r>
              <w:rPr>
                <w:rFonts w:ascii="Arial" w:cs="Arial" w:eastAsia="Arial" w:hAnsi="Arial"/>
                <w:sz w:val="18"/>
                <w:szCs w:val="18"/>
                <w:color w:val="auto"/>
              </w:rPr>
              <w:t>Risk factors</w:t>
            </w:r>
          </w:p>
        </w:tc>
        <w:tc>
          <w:tcPr>
            <w:tcW w:w="6720" w:type="dxa"/>
            <w:vAlign w:val="bottom"/>
            <w:gridSpan w:val="3"/>
          </w:tcPr>
          <w:p>
            <w:pPr>
              <w:ind w:left="1760"/>
              <w:spacing w:after="0"/>
              <w:rPr>
                <w:sz w:val="20"/>
                <w:szCs w:val="20"/>
                <w:color w:val="auto"/>
              </w:rPr>
            </w:pPr>
            <w:r>
              <w:rPr>
                <w:rFonts w:ascii="Arial" w:cs="Arial" w:eastAsia="Arial" w:hAnsi="Arial"/>
                <w:sz w:val="18"/>
                <w:szCs w:val="18"/>
                <w:color w:val="auto"/>
              </w:rPr>
              <w:t>Investing in our common stock involves a high degree of risk.</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w w:val="98"/>
              </w:rPr>
              <w:t>See “Risk Factors” beginning on page 20 and other information</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included in this prospectus for a discussion of factors you</w:t>
            </w:r>
          </w:p>
        </w:tc>
      </w:tr>
      <w:tr>
        <w:trPr>
          <w:trHeight w:val="200"/>
        </w:trPr>
        <w:tc>
          <w:tcPr>
            <w:tcW w:w="3720" w:type="dxa"/>
            <w:vAlign w:val="bottom"/>
          </w:tcPr>
          <w:p>
            <w:pPr>
              <w:spacing w:after="0"/>
              <w:rPr>
                <w:sz w:val="17"/>
                <w:szCs w:val="17"/>
                <w:color w:val="auto"/>
              </w:rPr>
            </w:pPr>
          </w:p>
        </w:tc>
        <w:tc>
          <w:tcPr>
            <w:tcW w:w="6720" w:type="dxa"/>
            <w:vAlign w:val="bottom"/>
            <w:gridSpan w:val="3"/>
          </w:tcPr>
          <w:p>
            <w:pPr>
              <w:ind w:left="1760"/>
              <w:spacing w:after="0" w:line="201" w:lineRule="exact"/>
              <w:rPr>
                <w:sz w:val="20"/>
                <w:szCs w:val="20"/>
                <w:color w:val="auto"/>
              </w:rPr>
            </w:pPr>
            <w:r>
              <w:rPr>
                <w:rFonts w:ascii="Arial" w:cs="Arial" w:eastAsia="Arial" w:hAnsi="Arial"/>
                <w:sz w:val="18"/>
                <w:szCs w:val="18"/>
                <w:color w:val="auto"/>
              </w:rPr>
              <w:t>should carefully consider before investing in our Class A</w:t>
            </w:r>
          </w:p>
        </w:tc>
      </w:tr>
      <w:tr>
        <w:trPr>
          <w:trHeight w:val="213"/>
        </w:trPr>
        <w:tc>
          <w:tcPr>
            <w:tcW w:w="3720" w:type="dxa"/>
            <w:vAlign w:val="bottom"/>
          </w:tcPr>
          <w:p>
            <w:pPr>
              <w:spacing w:after="0"/>
              <w:rPr>
                <w:sz w:val="18"/>
                <w:szCs w:val="18"/>
                <w:color w:val="auto"/>
              </w:rPr>
            </w:pPr>
          </w:p>
        </w:tc>
        <w:tc>
          <w:tcPr>
            <w:tcW w:w="3720" w:type="dxa"/>
            <w:vAlign w:val="bottom"/>
            <w:gridSpan w:val="2"/>
          </w:tcPr>
          <w:p>
            <w:pPr>
              <w:ind w:left="1760"/>
              <w:spacing w:after="0"/>
              <w:rPr>
                <w:sz w:val="20"/>
                <w:szCs w:val="20"/>
                <w:color w:val="auto"/>
              </w:rPr>
            </w:pPr>
            <w:r>
              <w:rPr>
                <w:rFonts w:ascii="Arial" w:cs="Arial" w:eastAsia="Arial" w:hAnsi="Arial"/>
                <w:sz w:val="18"/>
                <w:szCs w:val="18"/>
                <w:color w:val="auto"/>
              </w:rPr>
              <w:t>common stock.</w:t>
            </w:r>
          </w:p>
        </w:tc>
        <w:tc>
          <w:tcPr>
            <w:tcW w:w="3000" w:type="dxa"/>
            <w:vAlign w:val="bottom"/>
          </w:tcPr>
          <w:p>
            <w:pPr>
              <w:spacing w:after="0"/>
              <w:rPr>
                <w:sz w:val="18"/>
                <w:szCs w:val="18"/>
                <w:color w:val="auto"/>
              </w:rPr>
            </w:pPr>
          </w:p>
        </w:tc>
      </w:tr>
      <w:tr>
        <w:trPr>
          <w:trHeight w:val="267"/>
        </w:trPr>
        <w:tc>
          <w:tcPr>
            <w:tcW w:w="3720" w:type="dxa"/>
            <w:vAlign w:val="bottom"/>
          </w:tcPr>
          <w:p>
            <w:pPr>
              <w:spacing w:after="0"/>
              <w:rPr>
                <w:sz w:val="20"/>
                <w:szCs w:val="20"/>
                <w:color w:val="auto"/>
              </w:rPr>
            </w:pPr>
            <w:r>
              <w:rPr>
                <w:rFonts w:ascii="Arial" w:cs="Arial" w:eastAsia="Arial" w:hAnsi="Arial"/>
                <w:sz w:val="18"/>
                <w:szCs w:val="18"/>
                <w:color w:val="auto"/>
              </w:rPr>
              <w:t>Proposed trading symbol</w:t>
            </w:r>
          </w:p>
        </w:tc>
        <w:tc>
          <w:tcPr>
            <w:tcW w:w="2180" w:type="dxa"/>
            <w:vAlign w:val="bottom"/>
          </w:tcPr>
          <w:p>
            <w:pPr>
              <w:ind w:left="1760"/>
              <w:spacing w:after="0"/>
              <w:rPr>
                <w:sz w:val="20"/>
                <w:szCs w:val="20"/>
                <w:color w:val="auto"/>
              </w:rPr>
            </w:pPr>
            <w:r>
              <w:rPr>
                <w:rFonts w:ascii="Arial" w:cs="Arial" w:eastAsia="Arial" w:hAnsi="Arial"/>
                <w:sz w:val="18"/>
                <w:szCs w:val="18"/>
                <w:color w:val="auto"/>
              </w:rPr>
              <w:t>“</w:t>
            </w:r>
          </w:p>
        </w:tc>
        <w:tc>
          <w:tcPr>
            <w:tcW w:w="1540" w:type="dxa"/>
            <w:vAlign w:val="bottom"/>
          </w:tcPr>
          <w:p>
            <w:pPr>
              <w:ind w:left="480"/>
              <w:spacing w:after="0"/>
              <w:rPr>
                <w:sz w:val="20"/>
                <w:szCs w:val="20"/>
                <w:color w:val="auto"/>
              </w:rPr>
            </w:pPr>
            <w:r>
              <w:rPr>
                <w:rFonts w:ascii="Arial" w:cs="Arial" w:eastAsia="Arial" w:hAnsi="Arial"/>
                <w:sz w:val="18"/>
                <w:szCs w:val="18"/>
                <w:color w:val="auto"/>
              </w:rPr>
              <w:t>.”</w:t>
            </w:r>
          </w:p>
        </w:tc>
        <w:tc>
          <w:tcPr>
            <w:tcW w:w="3000" w:type="dxa"/>
            <w:vAlign w:val="bottom"/>
          </w:tcPr>
          <w:p>
            <w:pPr>
              <w:spacing w:after="0"/>
              <w:rPr>
                <w:sz w:val="23"/>
                <w:szCs w:val="23"/>
                <w:color w:val="auto"/>
              </w:rPr>
            </w:pPr>
          </w:p>
        </w:tc>
      </w:tr>
    </w:tbl>
    <w:p>
      <w:pPr>
        <w:spacing w:after="0" w:line="2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Class A common stock and Class B common stock to be outstanding after this offering is based</w:t>
      </w:r>
    </w:p>
    <w:p>
      <w:pPr>
        <w:sectPr>
          <w:pgSz w:w="11900" w:h="16838" w:orient="portrait"/>
          <w:cols w:equalWidth="0" w:num="1">
            <w:col w:w="10860"/>
          </w:cols>
          <w:pgMar w:left="320" w:top="456" w:right="719" w:bottom="1440" w:gutter="0" w:footer="0" w:header="0"/>
        </w:sectPr>
      </w:pPr>
    </w:p>
    <w:p>
      <w:pPr>
        <w:spacing w:after="0" w:line="6" w:lineRule="exact"/>
        <w:rPr>
          <w:sz w:val="20"/>
          <w:szCs w:val="20"/>
          <w:color w:val="auto"/>
        </w:rPr>
      </w:pPr>
    </w:p>
    <w:p>
      <w:pPr>
        <w:ind w:left="360"/>
        <w:spacing w:after="0" w:line="232" w:lineRule="auto"/>
        <w:rPr>
          <w:sz w:val="20"/>
          <w:szCs w:val="20"/>
          <w:color w:val="auto"/>
        </w:rPr>
      </w:pPr>
      <w:r>
        <w:rPr>
          <w:rFonts w:ascii="Arial" w:cs="Arial" w:eastAsia="Arial" w:hAnsi="Arial"/>
          <w:sz w:val="18"/>
          <w:szCs w:val="18"/>
          <w:color w:val="auto"/>
        </w:rPr>
        <w:t>on shares of our Class A common stock and shares of our Class B common stock outstanding as of 2021, after giving effect to the automatic conversion of all outstanding shares of our redeemable preferred stock into of our Class A common stock upon closing of this offering, and excludes:</w:t>
      </w:r>
    </w:p>
    <w:p>
      <w:pPr>
        <w:spacing w:after="0" w:line="20" w:lineRule="exact"/>
        <w:rPr>
          <w:sz w:val="20"/>
          <w:szCs w:val="20"/>
          <w:color w:val="auto"/>
        </w:rPr>
      </w:pPr>
      <w:r>
        <w:rPr>
          <w:sz w:val="20"/>
          <w:szCs w:val="20"/>
          <w:color w:val="auto"/>
        </w:rPr>
        <w:br w:type="column"/>
      </w:r>
    </w:p>
    <w:p>
      <w:pPr>
        <w:ind w:left="200"/>
        <w:spacing w:after="0" w:line="22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319" w:lineRule="exact"/>
        <w:rPr>
          <w:sz w:val="20"/>
          <w:szCs w:val="20"/>
          <w:color w:val="auto"/>
        </w:rPr>
      </w:pPr>
    </w:p>
    <w:p>
      <w:pPr>
        <w:sectPr>
          <w:pgSz w:w="11900" w:h="16838" w:orient="portrait"/>
          <w:cols w:equalWidth="0" w:num="2">
            <w:col w:w="9680" w:space="580"/>
            <w:col w:w="600"/>
          </w:cols>
          <w:pgMar w:left="320" w:top="456" w:right="719" w:bottom="1440" w:gutter="0" w:footer="0" w:header="0"/>
          <w:type w:val="continuous"/>
        </w:sectPr>
      </w:pPr>
    </w:p>
    <w:p>
      <w:pPr>
        <w:ind w:left="88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issuable upon exercise of stock options outstanding as of</w:t>
      </w:r>
    </w:p>
    <w:p>
      <w:pPr>
        <w:ind w:left="1060"/>
        <w:spacing w:after="0"/>
        <w:rPr>
          <w:sz w:val="20"/>
          <w:szCs w:val="20"/>
          <w:color w:val="auto"/>
        </w:rPr>
      </w:pPr>
      <w:r>
        <w:rPr>
          <w:rFonts w:ascii="Arial" w:cs="Arial" w:eastAsia="Arial" w:hAnsi="Arial"/>
          <w:sz w:val="17"/>
          <w:szCs w:val="17"/>
          <w:color w:val="auto"/>
        </w:rPr>
        <w:t>our 2009 Stock Incentive Plan, as amended, or the 2009 Plan, at a weighted average exercise price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2021 under</w:t>
      </w:r>
    </w:p>
    <w:p>
      <w:pPr>
        <w:ind w:left="460"/>
        <w:spacing w:after="0"/>
        <w:rPr>
          <w:sz w:val="20"/>
          <w:szCs w:val="20"/>
          <w:color w:val="auto"/>
        </w:rPr>
      </w:pPr>
      <w:r>
        <w:rPr>
          <w:rFonts w:ascii="Arial" w:cs="Arial" w:eastAsia="Arial" w:hAnsi="Arial"/>
          <w:sz w:val="18"/>
          <w:szCs w:val="18"/>
          <w:color w:val="auto"/>
        </w:rPr>
        <w:t>per share;</w:t>
      </w:r>
    </w:p>
    <w:p>
      <w:pPr>
        <w:spacing w:after="0" w:line="107" w:lineRule="exact"/>
        <w:rPr>
          <w:sz w:val="20"/>
          <w:szCs w:val="20"/>
          <w:color w:val="auto"/>
        </w:rPr>
      </w:pPr>
    </w:p>
    <w:p>
      <w:pPr>
        <w:sectPr>
          <w:pgSz w:w="11900" w:h="16838" w:orient="portrait"/>
          <w:cols w:equalWidth="0" w:num="2">
            <w:col w:w="9260" w:space="320"/>
            <w:col w:w="1280"/>
          </w:cols>
          <w:pgMar w:left="320" w:top="456" w:right="719" w:bottom="1440" w:gutter="0" w:footer="0" w:header="0"/>
          <w:type w:val="continuous"/>
        </w:sectPr>
      </w:pPr>
    </w:p>
    <w:p>
      <w:pPr>
        <w:ind w:left="88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issuable upon exercise of stock options outstanding as of</w:t>
      </w:r>
    </w:p>
    <w:p>
      <w:pPr>
        <w:ind w:left="1060"/>
        <w:spacing w:after="0"/>
        <w:rPr>
          <w:sz w:val="20"/>
          <w:szCs w:val="20"/>
          <w:color w:val="auto"/>
        </w:rPr>
      </w:pPr>
      <w:r>
        <w:rPr>
          <w:rFonts w:ascii="Arial" w:cs="Arial" w:eastAsia="Arial" w:hAnsi="Arial"/>
          <w:sz w:val="17"/>
          <w:szCs w:val="17"/>
          <w:color w:val="auto"/>
        </w:rPr>
        <w:t>our 2019 Stock Incentive Plan, as amended, or the 2019 Plan, at a weighted average exercise price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2021 under</w:t>
      </w:r>
    </w:p>
    <w:p>
      <w:pPr>
        <w:ind w:left="460"/>
        <w:spacing w:after="0"/>
        <w:rPr>
          <w:sz w:val="20"/>
          <w:szCs w:val="20"/>
          <w:color w:val="auto"/>
        </w:rPr>
      </w:pPr>
      <w:r>
        <w:rPr>
          <w:rFonts w:ascii="Arial" w:cs="Arial" w:eastAsia="Arial" w:hAnsi="Arial"/>
          <w:sz w:val="18"/>
          <w:szCs w:val="18"/>
          <w:color w:val="auto"/>
        </w:rPr>
        <w:t>per share;</w:t>
      </w:r>
    </w:p>
    <w:p>
      <w:pPr>
        <w:spacing w:after="0" w:line="114" w:lineRule="exact"/>
        <w:rPr>
          <w:sz w:val="20"/>
          <w:szCs w:val="20"/>
          <w:color w:val="auto"/>
        </w:rPr>
      </w:pPr>
    </w:p>
    <w:p>
      <w:pPr>
        <w:sectPr>
          <w:pgSz w:w="11900" w:h="16838" w:orient="portrait"/>
          <w:cols w:equalWidth="0" w:num="2">
            <w:col w:w="9260" w:space="320"/>
            <w:col w:w="1280"/>
          </w:cols>
          <w:pgMar w:left="320" w:top="456" w:right="719" w:bottom="1440" w:gutter="0" w:footer="0" w:header="0"/>
          <w:type w:val="continuous"/>
        </w:sectPr>
      </w:pPr>
    </w:p>
    <w:p>
      <w:pPr>
        <w:ind w:left="1060" w:right="120" w:hanging="186"/>
        <w:spacing w:after="0" w:line="239" w:lineRule="auto"/>
        <w:tabs>
          <w:tab w:leader="none" w:pos="1040" w:val="left"/>
        </w:tabs>
        <w:rPr>
          <w:sz w:val="20"/>
          <w:szCs w:val="20"/>
          <w:color w:val="auto"/>
        </w:rPr>
      </w:pPr>
      <w:r>
        <w:rPr>
          <w:rFonts w:ascii="Arial" w:cs="Arial" w:eastAsia="Arial" w:hAnsi="Arial"/>
          <w:sz w:val="18"/>
          <w:szCs w:val="18"/>
          <w:color w:val="auto"/>
        </w:rPr>
        <w:t>•</w:t>
        <w:tab/>
        <w:t>restricted stock units, or RSUs, covering shares of Class A common stock as of issuable upon satisfaction of service-based and liquidity-based vesting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which are</w:t>
      </w:r>
    </w:p>
    <w:p>
      <w:pPr>
        <w:spacing w:after="0" w:line="325" w:lineRule="exact"/>
        <w:rPr>
          <w:sz w:val="20"/>
          <w:szCs w:val="20"/>
          <w:color w:val="auto"/>
        </w:rPr>
      </w:pPr>
    </w:p>
    <w:p>
      <w:pPr>
        <w:sectPr>
          <w:pgSz w:w="11900" w:h="16838" w:orient="portrait"/>
          <w:cols w:equalWidth="0" w:num="2">
            <w:col w:w="8760" w:space="720"/>
            <w:col w:w="1380"/>
          </w:cols>
          <w:pgMar w:left="320" w:top="456" w:right="719" w:bottom="1440" w:gutter="0" w:footer="0" w:header="0"/>
          <w:type w:val="continuous"/>
        </w:sectPr>
      </w:pPr>
    </w:p>
    <w:p>
      <w:pPr>
        <w:ind w:left="1060" w:right="80" w:hanging="186"/>
        <w:spacing w:after="0" w:line="239" w:lineRule="auto"/>
        <w:tabs>
          <w:tab w:leader="none" w:pos="1040" w:val="left"/>
        </w:tabs>
        <w:rPr>
          <w:sz w:val="20"/>
          <w:szCs w:val="20"/>
          <w:color w:val="auto"/>
        </w:rPr>
      </w:pPr>
      <w:r>
        <w:rPr>
          <w:rFonts w:ascii="Arial" w:cs="Arial" w:eastAsia="Arial" w:hAnsi="Arial"/>
          <w:sz w:val="18"/>
          <w:szCs w:val="18"/>
          <w:color w:val="auto"/>
        </w:rPr>
        <w:t>•</w:t>
        <w:tab/>
        <w:t>shares of Class A common stock issuable upon exercise of stock options outstanding as of , 2021, granted to early participants of our “designer collective,” or the Designer Collective Grants, at a weighted average exercise price of</w:t>
      </w:r>
    </w:p>
    <w:p>
      <w:pPr>
        <w:sectPr>
          <w:pgSz w:w="11900" w:h="16838" w:orient="portrait"/>
          <w:cols w:equalWidth="0" w:num="1">
            <w:col w:w="10860"/>
          </w:cols>
          <w:pgMar w:left="320" w:top="456" w:right="719" w:bottom="1440" w:gutter="0" w:footer="0" w:header="0"/>
          <w:type w:val="continuous"/>
        </w:sectPr>
      </w:pPr>
    </w:p>
    <w:p>
      <w:pPr>
        <w:ind w:left="1960" w:hanging="898"/>
        <w:spacing w:after="0" w:line="233"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 share;</w:t>
      </w: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60"/>
          </w:cols>
          <w:pgMar w:left="320" w:top="456" w:right="7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3575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5945" cy="35750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185"/>
        <w:spacing w:after="0" w:line="237" w:lineRule="auto"/>
        <w:tabs>
          <w:tab w:leader="none" w:pos="1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Incentive Award Plan, or the 2021 Plan, which will become effective on the date immediately prior to the date our registration of which this prospectus forms a part becomes effective, as described in “Executive Compensation—Equity Compensation;”</w:t>
      </w:r>
    </w:p>
    <w:p>
      <w:pPr>
        <w:spacing w:after="0" w:line="102" w:lineRule="exact"/>
        <w:rPr>
          <w:sz w:val="20"/>
          <w:szCs w:val="20"/>
          <w:color w:val="auto"/>
        </w:rPr>
      </w:pPr>
    </w:p>
    <w:p>
      <w:pPr>
        <w:ind w:left="880"/>
        <w:spacing w:after="0"/>
        <w:tabs>
          <w:tab w:leader="none" w:pos="4760" w:val="left"/>
        </w:tabs>
        <w:rPr>
          <w:sz w:val="20"/>
          <w:szCs w:val="20"/>
          <w:color w:val="auto"/>
        </w:rPr>
      </w:pPr>
      <w:r>
        <w:rPr>
          <w:rFonts w:ascii="Arial" w:cs="Arial" w:eastAsia="Arial" w:hAnsi="Arial"/>
          <w:sz w:val="18"/>
          <w:szCs w:val="18"/>
          <w:color w:val="auto"/>
        </w:rPr>
        <w:t>•  the exercise of warrants to purchase</w:t>
      </w:r>
      <w:r>
        <w:rPr>
          <w:sz w:val="20"/>
          <w:szCs w:val="20"/>
          <w:color w:val="auto"/>
        </w:rPr>
        <w:tab/>
      </w:r>
      <w:r>
        <w:rPr>
          <w:rFonts w:ascii="Arial" w:cs="Arial" w:eastAsia="Arial" w:hAnsi="Arial"/>
          <w:sz w:val="17"/>
          <w:szCs w:val="17"/>
          <w:color w:val="auto"/>
        </w:rPr>
        <w:t>shares of Class A common stock, which will result in the net issuance</w:t>
      </w:r>
    </w:p>
    <w:p>
      <w:pPr>
        <w:ind w:left="1060"/>
        <w:spacing w:after="0"/>
        <w:tabs>
          <w:tab w:leader="none" w:pos="20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in connection with this offering; and</w:t>
      </w:r>
    </w:p>
    <w:p>
      <w:pPr>
        <w:sectPr>
          <w:pgSz w:w="11900" w:h="16838" w:orient="portrait"/>
          <w:cols w:equalWidth="0" w:num="1">
            <w:col w:w="10720"/>
          </w:cols>
          <w:pgMar w:left="320" w:top="456" w:right="859" w:bottom="1440" w:gutter="0" w:footer="0" w:header="0"/>
        </w:sectPr>
      </w:pPr>
    </w:p>
    <w:p>
      <w:pPr>
        <w:spacing w:after="0" w:line="114" w:lineRule="exact"/>
        <w:rPr>
          <w:sz w:val="20"/>
          <w:szCs w:val="20"/>
          <w:color w:val="auto"/>
        </w:rPr>
      </w:pPr>
    </w:p>
    <w:p>
      <w:pPr>
        <w:ind w:left="1060" w:right="120" w:hanging="186"/>
        <w:spacing w:after="0" w:line="239" w:lineRule="auto"/>
        <w:tabs>
          <w:tab w:leader="none" w:pos="1040" w:val="left"/>
        </w:tabs>
        <w:rPr>
          <w:sz w:val="20"/>
          <w:szCs w:val="20"/>
          <w:color w:val="auto"/>
        </w:rPr>
      </w:pPr>
      <w:r>
        <w:rPr>
          <w:rFonts w:ascii="Arial" w:cs="Arial" w:eastAsia="Arial" w:hAnsi="Arial"/>
          <w:sz w:val="18"/>
          <w:szCs w:val="18"/>
          <w:color w:val="auto"/>
        </w:rPr>
        <w:t>•</w:t>
        <w:tab/>
        <w:t>shares of Class A common stock issuable upon the exercise of warrants outstanding as of exercise price of $ per share.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2021 with an</w:t>
      </w:r>
    </w:p>
    <w:p>
      <w:pPr>
        <w:spacing w:after="0" w:line="416" w:lineRule="exact"/>
        <w:rPr>
          <w:sz w:val="20"/>
          <w:szCs w:val="20"/>
          <w:color w:val="auto"/>
        </w:rPr>
      </w:pPr>
    </w:p>
    <w:p>
      <w:pPr>
        <w:sectPr>
          <w:pgSz w:w="11900" w:h="16838" w:orient="portrait"/>
          <w:cols w:equalWidth="0" w:num="2">
            <w:col w:w="8860" w:space="720"/>
            <w:col w:w="1140"/>
          </w:cols>
          <w:pgMar w:left="320" w:top="456" w:right="859" w:bottom="1440" w:gutter="0" w:footer="0" w:header="0"/>
          <w:type w:val="continuous"/>
        </w:sectPr>
      </w:pPr>
    </w:p>
    <w:p>
      <w:pPr>
        <w:spacing w:after="0" w:line="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Unless we indicate otherwise or the context otherwise requires, all information in this prospectus assumes or gives effect to:</w:t>
      </w:r>
    </w:p>
    <w:p>
      <w:pPr>
        <w:spacing w:after="0" w:line="125" w:lineRule="exact"/>
        <w:rPr>
          <w:sz w:val="20"/>
          <w:szCs w:val="20"/>
          <w:color w:val="auto"/>
        </w:rPr>
      </w:pPr>
    </w:p>
    <w:p>
      <w:pPr>
        <w:ind w:left="1060" w:right="20" w:hanging="185"/>
        <w:spacing w:after="0" w:line="239"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or Amended Charter, and the adoption of our amended and restated bylaws, or Amended Bylaws, each of which will occur upon closing of this offering;</w:t>
      </w:r>
    </w:p>
    <w:p>
      <w:pPr>
        <w:spacing w:after="0" w:line="10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740" w:type="dxa"/>
            <w:vAlign w:val="bottom"/>
            <w:gridSpan w:val="4"/>
          </w:tcPr>
          <w:p>
            <w:pPr>
              <w:ind w:left="60"/>
              <w:spacing w:after="0"/>
              <w:rPr>
                <w:sz w:val="20"/>
                <w:szCs w:val="20"/>
                <w:color w:val="auto"/>
              </w:rPr>
            </w:pPr>
            <w:r>
              <w:rPr>
                <w:rFonts w:ascii="Arial" w:cs="Arial" w:eastAsia="Arial" w:hAnsi="Arial"/>
                <w:sz w:val="18"/>
                <w:szCs w:val="18"/>
                <w:color w:val="auto"/>
              </w:rPr>
              <w:t>the automatic conversion of all outstanding shares of our redeemable preferred stock into</w:t>
            </w: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shares of our Class A</w:t>
            </w:r>
          </w:p>
        </w:tc>
      </w:tr>
      <w:tr>
        <w:trPr>
          <w:trHeight w:val="213"/>
        </w:trPr>
        <w:tc>
          <w:tcPr>
            <w:tcW w:w="120" w:type="dxa"/>
            <w:vAlign w:val="bottom"/>
          </w:tcPr>
          <w:p>
            <w:pPr>
              <w:spacing w:after="0"/>
              <w:rPr>
                <w:sz w:val="18"/>
                <w:szCs w:val="18"/>
                <w:color w:val="auto"/>
              </w:rPr>
            </w:pPr>
          </w:p>
        </w:tc>
        <w:tc>
          <w:tcPr>
            <w:tcW w:w="5480" w:type="dxa"/>
            <w:vAlign w:val="bottom"/>
            <w:gridSpan w:val="3"/>
          </w:tcPr>
          <w:p>
            <w:pPr>
              <w:ind w:left="60"/>
              <w:spacing w:after="0"/>
              <w:rPr>
                <w:sz w:val="20"/>
                <w:szCs w:val="20"/>
                <w:color w:val="auto"/>
              </w:rPr>
            </w:pPr>
            <w:r>
              <w:rPr>
                <w:rFonts w:ascii="Arial" w:cs="Arial" w:eastAsia="Arial" w:hAnsi="Arial"/>
                <w:sz w:val="18"/>
                <w:szCs w:val="18"/>
                <w:color w:val="auto"/>
              </w:rPr>
              <w:t>common stock, upon closing of this offering;</w:t>
            </w:r>
          </w:p>
        </w:tc>
        <w:tc>
          <w:tcPr>
            <w:tcW w:w="2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2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740" w:type="dxa"/>
            <w:vAlign w:val="bottom"/>
            <w:gridSpan w:val="4"/>
          </w:tcPr>
          <w:p>
            <w:pPr>
              <w:ind w:left="60"/>
              <w:spacing w:after="0"/>
              <w:rPr>
                <w:sz w:val="20"/>
                <w:szCs w:val="20"/>
                <w:color w:val="auto"/>
              </w:rPr>
            </w:pPr>
            <w:r>
              <w:rPr>
                <w:rFonts w:ascii="Arial" w:cs="Arial" w:eastAsia="Arial" w:hAnsi="Arial"/>
                <w:sz w:val="18"/>
                <w:szCs w:val="18"/>
                <w:color w:val="auto"/>
              </w:rPr>
              <w:t>no exercise of the outstanding options or settlement of outstanding RSUs described above after</w:t>
            </w:r>
          </w:p>
        </w:tc>
        <w:tc>
          <w:tcPr>
            <w:tcW w:w="1960" w:type="dxa"/>
            <w:vAlign w:val="bottom"/>
          </w:tcPr>
          <w:p>
            <w:pPr>
              <w:jc w:val="right"/>
              <w:ind w:right="691"/>
              <w:spacing w:after="0"/>
              <w:rPr>
                <w:sz w:val="20"/>
                <w:szCs w:val="20"/>
                <w:color w:val="auto"/>
              </w:rPr>
            </w:pPr>
            <w:r>
              <w:rPr>
                <w:rFonts w:ascii="Arial" w:cs="Arial" w:eastAsia="Arial" w:hAnsi="Arial"/>
                <w:sz w:val="18"/>
                <w:szCs w:val="18"/>
                <w:color w:val="auto"/>
              </w:rPr>
              <w:t>, 2021;</w:t>
            </w:r>
          </w:p>
        </w:tc>
      </w:tr>
      <w:tr>
        <w:trPr>
          <w:trHeight w:val="30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480" w:type="dxa"/>
            <w:vAlign w:val="bottom"/>
            <w:gridSpan w:val="3"/>
          </w:tcPr>
          <w:p>
            <w:pPr>
              <w:ind w:left="60"/>
              <w:spacing w:after="0"/>
              <w:rPr>
                <w:sz w:val="20"/>
                <w:szCs w:val="20"/>
                <w:color w:val="auto"/>
              </w:rPr>
            </w:pPr>
            <w:r>
              <w:rPr>
                <w:rFonts w:ascii="Arial" w:cs="Arial" w:eastAsia="Arial" w:hAnsi="Arial"/>
                <w:sz w:val="18"/>
                <w:szCs w:val="18"/>
                <w:color w:val="auto"/>
              </w:rPr>
              <w:t>no exercise by the underwriters of their option to purchase up to</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additional shares of Class A common stock from</w:t>
            </w:r>
          </w:p>
        </w:tc>
      </w:tr>
      <w:tr>
        <w:trPr>
          <w:trHeight w:val="213"/>
        </w:trPr>
        <w:tc>
          <w:tcPr>
            <w:tcW w:w="120" w:type="dxa"/>
            <w:vAlign w:val="bottom"/>
          </w:tcPr>
          <w:p>
            <w:pPr>
              <w:spacing w:after="0"/>
              <w:rPr>
                <w:sz w:val="18"/>
                <w:szCs w:val="18"/>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us;</w:t>
            </w:r>
          </w:p>
        </w:tc>
        <w:tc>
          <w:tcPr>
            <w:tcW w:w="1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0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380" w:type="dxa"/>
            <w:vAlign w:val="bottom"/>
            <w:gridSpan w:val="2"/>
          </w:tcPr>
          <w:p>
            <w:pPr>
              <w:ind w:left="60"/>
              <w:spacing w:after="0"/>
              <w:rPr>
                <w:sz w:val="20"/>
                <w:szCs w:val="20"/>
                <w:color w:val="auto"/>
              </w:rPr>
            </w:pPr>
            <w:r>
              <w:rPr>
                <w:rFonts w:ascii="Arial" w:cs="Arial" w:eastAsia="Arial" w:hAnsi="Arial"/>
                <w:sz w:val="18"/>
                <w:szCs w:val="18"/>
                <w:color w:val="auto"/>
              </w:rPr>
              <w:t>an initial public offering price of $</w:t>
            </w:r>
          </w:p>
        </w:tc>
        <w:tc>
          <w:tcPr>
            <w:tcW w:w="6320" w:type="dxa"/>
            <w:vAlign w:val="bottom"/>
            <w:gridSpan w:val="3"/>
          </w:tcPr>
          <w:p>
            <w:pPr>
              <w:jc w:val="right"/>
              <w:spacing w:after="0"/>
              <w:rPr>
                <w:sz w:val="20"/>
                <w:szCs w:val="20"/>
                <w:color w:val="auto"/>
              </w:rPr>
            </w:pPr>
            <w:r>
              <w:rPr>
                <w:rFonts w:ascii="Arial" w:cs="Arial" w:eastAsia="Arial" w:hAnsi="Arial"/>
                <w:sz w:val="18"/>
                <w:szCs w:val="18"/>
                <w:color w:val="auto"/>
                <w:w w:val="99"/>
              </w:rPr>
              <w:t>per share of Class A common stock, which is the midpoint of the range set forth</w:t>
            </w:r>
          </w:p>
        </w:tc>
      </w:tr>
      <w:tr>
        <w:trPr>
          <w:trHeight w:val="213"/>
        </w:trPr>
        <w:tc>
          <w:tcPr>
            <w:tcW w:w="120" w:type="dxa"/>
            <w:vAlign w:val="bottom"/>
          </w:tcPr>
          <w:p>
            <w:pPr>
              <w:spacing w:after="0"/>
              <w:rPr>
                <w:sz w:val="18"/>
                <w:szCs w:val="18"/>
                <w:color w:val="auto"/>
              </w:rPr>
            </w:pPr>
          </w:p>
        </w:tc>
        <w:tc>
          <w:tcPr>
            <w:tcW w:w="3380" w:type="dxa"/>
            <w:vAlign w:val="bottom"/>
            <w:gridSpan w:val="2"/>
          </w:tcPr>
          <w:p>
            <w:pPr>
              <w:ind w:left="60"/>
              <w:spacing w:after="0"/>
              <w:rPr>
                <w:sz w:val="20"/>
                <w:szCs w:val="20"/>
                <w:color w:val="auto"/>
              </w:rPr>
            </w:pPr>
            <w:r>
              <w:rPr>
                <w:rFonts w:ascii="Arial" w:cs="Arial" w:eastAsia="Arial" w:hAnsi="Arial"/>
                <w:sz w:val="18"/>
                <w:szCs w:val="18"/>
                <w:color w:val="auto"/>
                <w:w w:val="99"/>
              </w:rPr>
              <w:t>on the cover page of this prospectus; and</w:t>
            </w:r>
          </w:p>
        </w:tc>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0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an exchange of</w:t>
            </w:r>
          </w:p>
        </w:tc>
        <w:tc>
          <w:tcPr>
            <w:tcW w:w="7980" w:type="dxa"/>
            <w:vAlign w:val="bottom"/>
            <w:gridSpan w:val="4"/>
          </w:tcPr>
          <w:p>
            <w:pPr>
              <w:jc w:val="right"/>
              <w:spacing w:after="0"/>
              <w:rPr>
                <w:sz w:val="20"/>
                <w:szCs w:val="20"/>
                <w:color w:val="auto"/>
              </w:rPr>
            </w:pPr>
            <w:r>
              <w:rPr>
                <w:rFonts w:ascii="Arial" w:cs="Arial" w:eastAsia="Arial" w:hAnsi="Arial"/>
                <w:sz w:val="18"/>
                <w:szCs w:val="18"/>
                <w:color w:val="auto"/>
              </w:rPr>
              <w:t>shares of Class A common stock held by our CEO and Co-Founder for an equivalent number of</w:t>
            </w:r>
          </w:p>
        </w:tc>
      </w:tr>
    </w:tbl>
    <w:p>
      <w:pPr>
        <w:ind w:left="1060" w:right="260"/>
        <w:spacing w:after="0" w:line="239" w:lineRule="auto"/>
        <w:rPr>
          <w:sz w:val="20"/>
          <w:szCs w:val="20"/>
          <w:color w:val="auto"/>
        </w:rPr>
      </w:pPr>
      <w:r>
        <w:rPr>
          <w:rFonts w:ascii="Arial" w:cs="Arial" w:eastAsia="Arial" w:hAnsi="Arial"/>
          <w:sz w:val="18"/>
          <w:szCs w:val="18"/>
          <w:color w:val="auto"/>
        </w:rPr>
        <w:t>shares of our Class B common stock immediately prior to the completion of this offering pursuant to the terms of certain exchange agreements, or the Class B Exchange.</w:t>
      </w:r>
    </w:p>
    <w:p>
      <w:pPr>
        <w:spacing w:after="0" w:line="38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320" w:top="456" w:right="8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6230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5945" cy="62306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11" w:lineRule="exact"/>
        <w:rPr>
          <w:sz w:val="20"/>
          <w:szCs w:val="20"/>
          <w:color w:val="auto"/>
        </w:rPr>
      </w:pPr>
    </w:p>
    <w:p>
      <w:pPr>
        <w:ind w:left="360" w:right="240" w:firstLine="527"/>
        <w:spacing w:after="0" w:line="267" w:lineRule="auto"/>
        <w:rPr>
          <w:sz w:val="20"/>
          <w:szCs w:val="20"/>
          <w:color w:val="auto"/>
        </w:rPr>
      </w:pPr>
      <w:r>
        <w:rPr>
          <w:rFonts w:ascii="Arial" w:cs="Arial" w:eastAsia="Arial" w:hAnsi="Arial"/>
          <w:sz w:val="17"/>
          <w:szCs w:val="17"/>
          <w:i w:val="1"/>
          <w:iCs w:val="1"/>
          <w:color w:val="auto"/>
        </w:rPr>
        <w:t>The summary consolidated statements of operations data for the years ended January 31, 2020 and 2021 and the summary consolidated balance sheet data as of January 31, 2021 have been derived from our audited consolidated financial statements included elsewhere in this prospectus. Our historical results are not necessarily indicative of our results in any future period.</w:t>
      </w:r>
    </w:p>
    <w:p>
      <w:pPr>
        <w:spacing w:after="0" w:line="162" w:lineRule="exact"/>
        <w:rPr>
          <w:sz w:val="20"/>
          <w:szCs w:val="20"/>
          <w:color w:val="auto"/>
        </w:rPr>
      </w:pPr>
    </w:p>
    <w:p>
      <w:pPr>
        <w:ind w:left="360" w:right="160" w:firstLine="527"/>
        <w:spacing w:after="0" w:line="246" w:lineRule="auto"/>
        <w:rPr>
          <w:sz w:val="20"/>
          <w:szCs w:val="20"/>
          <w:color w:val="auto"/>
        </w:rPr>
      </w:pPr>
      <w:r>
        <w:rPr>
          <w:rFonts w:ascii="Arial" w:cs="Arial" w:eastAsia="Arial" w:hAnsi="Arial"/>
          <w:sz w:val="18"/>
          <w:szCs w:val="18"/>
          <w:i w:val="1"/>
          <w:iCs w:val="1"/>
          <w:color w:val="auto"/>
        </w:rPr>
        <w:t>You should read the following summary consolidated financial data together with the section titled “Management’s Discussion and Analysis of Financial Condition and Results of Operations” and our audited consolidated financial statements and the related notes included elsewhere in this prospectus.</w:t>
      </w: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4"/>
        </w:trPr>
        <w:tc>
          <w:tcPr>
            <w:tcW w:w="76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4"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jc w:val="center"/>
              <w:ind w:right="12"/>
              <w:spacing w:after="0" w:line="141" w:lineRule="exact"/>
              <w:rPr>
                <w:sz w:val="20"/>
                <w:szCs w:val="20"/>
                <w:color w:val="auto"/>
              </w:rPr>
            </w:pPr>
            <w:r>
              <w:rPr>
                <w:rFonts w:ascii="Arial" w:cs="Arial" w:eastAsia="Arial" w:hAnsi="Arial"/>
                <w:sz w:val="14"/>
                <w:szCs w:val="14"/>
                <w:b w:val="1"/>
                <w:bCs w:val="1"/>
                <w:color w:val="auto"/>
              </w:rPr>
              <w:t>(in millions, except share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00"/>
        </w:trPr>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4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Subscription and Reserve rental revenue</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0"/>
        </w:trPr>
        <w:tc>
          <w:tcPr>
            <w:tcW w:w="7640" w:type="dxa"/>
            <w:vAlign w:val="bottom"/>
          </w:tcPr>
          <w:p>
            <w:pPr>
              <w:ind w:left="360"/>
              <w:spacing w:after="0" w:line="201" w:lineRule="exact"/>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7"/>
                <w:szCs w:val="17"/>
                <w:color w:val="auto"/>
              </w:rPr>
            </w:pPr>
          </w:p>
        </w:tc>
        <w:tc>
          <w:tcPr>
            <w:tcW w:w="1660" w:type="dxa"/>
            <w:vAlign w:val="bottom"/>
            <w:gridSpan w:val="2"/>
          </w:tcPr>
          <w:p>
            <w:pPr>
              <w:jc w:val="right"/>
              <w:ind w:right="760"/>
              <w:spacing w:after="0" w:line="201"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6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Total revenue, net</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00"/>
        </w:trPr>
        <w:tc>
          <w:tcPr>
            <w:tcW w:w="7640" w:type="dxa"/>
            <w:vAlign w:val="bottom"/>
          </w:tcPr>
          <w:p>
            <w:pPr>
              <w:spacing w:after="0" w:line="201" w:lineRule="exact"/>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Fulfillment</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0"/>
        </w:trPr>
        <w:tc>
          <w:tcPr>
            <w:tcW w:w="7640" w:type="dxa"/>
            <w:vAlign w:val="bottom"/>
          </w:tcPr>
          <w:p>
            <w:pPr>
              <w:ind w:left="360"/>
              <w:spacing w:after="0" w:line="201" w:lineRule="exact"/>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7"/>
                <w:szCs w:val="17"/>
                <w:color w:val="auto"/>
              </w:rPr>
            </w:pPr>
          </w:p>
        </w:tc>
        <w:tc>
          <w:tcPr>
            <w:tcW w:w="1660" w:type="dxa"/>
            <w:vAlign w:val="bottom"/>
            <w:gridSpan w:val="2"/>
          </w:tcPr>
          <w:p>
            <w:pPr>
              <w:jc w:val="right"/>
              <w:ind w:right="760"/>
              <w:spacing w:after="0" w:line="201" w:lineRule="exact"/>
              <w:rPr>
                <w:sz w:val="20"/>
                <w:szCs w:val="20"/>
                <w:color w:val="auto"/>
              </w:rPr>
            </w:pPr>
            <w:r>
              <w:rPr>
                <w:rFonts w:ascii="Arial" w:cs="Arial" w:eastAsia="Arial" w:hAnsi="Arial"/>
                <w:sz w:val="18"/>
                <w:szCs w:val="18"/>
                <w:color w:val="auto"/>
              </w:rPr>
              <w:t>40.2</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0"/>
        </w:trPr>
        <w:tc>
          <w:tcPr>
            <w:tcW w:w="7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Marketing</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0"/>
        </w:trPr>
        <w:tc>
          <w:tcPr>
            <w:tcW w:w="7640" w:type="dxa"/>
            <w:vAlign w:val="bottom"/>
          </w:tcPr>
          <w:p>
            <w:pPr>
              <w:ind w:left="360"/>
              <w:spacing w:after="0" w:line="201"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660" w:type="dxa"/>
            <w:vAlign w:val="bottom"/>
            <w:gridSpan w:val="2"/>
          </w:tcPr>
          <w:p>
            <w:pPr>
              <w:jc w:val="right"/>
              <w:ind w:right="760"/>
              <w:spacing w:after="0" w:line="201" w:lineRule="exact"/>
              <w:rPr>
                <w:sz w:val="20"/>
                <w:szCs w:val="20"/>
                <w:color w:val="auto"/>
              </w:rPr>
            </w:pPr>
            <w:r>
              <w:rPr>
                <w:rFonts w:ascii="Arial" w:cs="Arial" w:eastAsia="Arial" w:hAnsi="Arial"/>
                <w:sz w:val="18"/>
                <w:szCs w:val="18"/>
                <w:color w:val="auto"/>
              </w:rPr>
              <w:t>98.9</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0"/>
        </w:trPr>
        <w:tc>
          <w:tcPr>
            <w:tcW w:w="7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Rental product depreciation and revenue share</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0"/>
        </w:trPr>
        <w:tc>
          <w:tcPr>
            <w:tcW w:w="7640" w:type="dxa"/>
            <w:vAlign w:val="bottom"/>
          </w:tcPr>
          <w:p>
            <w:pPr>
              <w:ind w:left="360"/>
              <w:spacing w:after="0" w:line="201" w:lineRule="exact"/>
              <w:rPr>
                <w:sz w:val="20"/>
                <w:szCs w:val="20"/>
                <w:color w:val="auto"/>
              </w:rPr>
            </w:pPr>
            <w:r>
              <w:rPr>
                <w:rFonts w:ascii="Arial" w:cs="Arial" w:eastAsia="Arial" w:hAnsi="Arial"/>
                <w:sz w:val="18"/>
                <w:szCs w:val="18"/>
                <w:color w:val="auto"/>
              </w:rPr>
              <w:t>Other depreciation and amortization</w:t>
            </w:r>
          </w:p>
        </w:tc>
        <w:tc>
          <w:tcPr>
            <w:tcW w:w="100" w:type="dxa"/>
            <w:vAlign w:val="bottom"/>
          </w:tcPr>
          <w:p>
            <w:pPr>
              <w:spacing w:after="0"/>
              <w:rPr>
                <w:sz w:val="17"/>
                <w:szCs w:val="17"/>
                <w:color w:val="auto"/>
              </w:rPr>
            </w:pPr>
          </w:p>
        </w:tc>
        <w:tc>
          <w:tcPr>
            <w:tcW w:w="1660" w:type="dxa"/>
            <w:vAlign w:val="bottom"/>
            <w:gridSpan w:val="2"/>
          </w:tcPr>
          <w:p>
            <w:pPr>
              <w:jc w:val="right"/>
              <w:ind w:right="760"/>
              <w:spacing w:after="0" w:line="201" w:lineRule="exact"/>
              <w:rPr>
                <w:sz w:val="20"/>
                <w:szCs w:val="20"/>
                <w:color w:val="auto"/>
              </w:rPr>
            </w:pPr>
            <w:r>
              <w:rPr>
                <w:rFonts w:ascii="Arial" w:cs="Arial" w:eastAsia="Arial" w:hAnsi="Arial"/>
                <w:sz w:val="18"/>
                <w:szCs w:val="18"/>
                <w:color w:val="auto"/>
              </w:rPr>
              <w:t>21.6</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6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640" w:type="dxa"/>
            <w:vAlign w:val="bottom"/>
          </w:tcPr>
          <w:p>
            <w:pPr>
              <w:ind w:left="106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95"/>
        </w:trPr>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 (expense), net</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00"/>
              <w:spacing w:after="0" w:line="201" w:lineRule="exact"/>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0"/>
        </w:trPr>
        <w:tc>
          <w:tcPr>
            <w:tcW w:w="7640" w:type="dxa"/>
            <w:vAlign w:val="bottom"/>
          </w:tcPr>
          <w:p>
            <w:pPr>
              <w:spacing w:after="0" w:line="201" w:lineRule="exact"/>
              <w:rPr>
                <w:sz w:val="20"/>
                <w:szCs w:val="20"/>
                <w:color w:val="auto"/>
              </w:rPr>
            </w:pPr>
            <w:r>
              <w:rPr>
                <w:rFonts w:ascii="Arial" w:cs="Arial" w:eastAsia="Arial" w:hAnsi="Arial"/>
                <w:sz w:val="18"/>
                <w:szCs w:val="18"/>
                <w:color w:val="auto"/>
              </w:rPr>
              <w:t>Other income / (expense), net</w:t>
            </w:r>
          </w:p>
        </w:tc>
        <w:tc>
          <w:tcPr>
            <w:tcW w:w="100" w:type="dxa"/>
            <w:vAlign w:val="bottom"/>
          </w:tcPr>
          <w:p>
            <w:pPr>
              <w:spacing w:after="0"/>
              <w:rPr>
                <w:sz w:val="17"/>
                <w:szCs w:val="17"/>
                <w:color w:val="auto"/>
              </w:rPr>
            </w:pPr>
          </w:p>
        </w:tc>
        <w:tc>
          <w:tcPr>
            <w:tcW w:w="1660" w:type="dxa"/>
            <w:vAlign w:val="bottom"/>
            <w:gridSpan w:val="2"/>
          </w:tcPr>
          <w:p>
            <w:pPr>
              <w:jc w:val="right"/>
              <w:ind w:right="700"/>
              <w:spacing w:after="0" w:line="201"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64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Net loss before benefit from income taxes</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00"/>
              <w:spacing w:after="0" w:line="201" w:lineRule="exact"/>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307"/>
        </w:trPr>
        <w:tc>
          <w:tcPr>
            <w:tcW w:w="76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tcPr>
          <w:p>
            <w:pPr>
              <w:spacing w:after="0"/>
              <w:rPr>
                <w:sz w:val="24"/>
                <w:szCs w:val="2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64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700"/>
              <w:spacing w:after="0" w:line="201" w:lineRule="exact"/>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40" w:type="dxa"/>
            <w:vAlign w:val="bottom"/>
            <w:vMerge w:val="continue"/>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700"/>
              <w:spacing w:after="0" w:line="194" w:lineRule="exact"/>
              <w:rPr>
                <w:sz w:val="20"/>
                <w:szCs w:val="20"/>
                <w:color w:val="auto"/>
              </w:rPr>
            </w:pPr>
            <w:r>
              <w:rPr>
                <w:rFonts w:ascii="Arial" w:cs="Arial" w:eastAsia="Arial" w:hAnsi="Arial"/>
                <w:sz w:val="18"/>
                <w:szCs w:val="18"/>
                <w:color w:val="auto"/>
              </w:rPr>
              <w:t>(14.04)</w:t>
            </w:r>
          </w:p>
        </w:tc>
        <w:tc>
          <w:tcPr>
            <w:tcW w:w="10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194" w:lineRule="exact"/>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40" w:type="dxa"/>
            <w:vAlign w:val="bottom"/>
            <w:shd w:val="clear" w:color="auto" w:fill="CCEEFF"/>
          </w:tcPr>
          <w:p>
            <w:pPr>
              <w:ind w:left="180"/>
              <w:spacing w:after="0" w:line="204"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60"/>
              <w:spacing w:after="0" w:line="204" w:lineRule="exact"/>
              <w:rPr>
                <w:sz w:val="20"/>
                <w:szCs w:val="20"/>
                <w:color w:val="auto"/>
              </w:rPr>
            </w:pPr>
            <w:r>
              <w:rPr>
                <w:rFonts w:ascii="Arial" w:cs="Arial" w:eastAsia="Arial" w:hAnsi="Arial"/>
                <w:sz w:val="18"/>
                <w:szCs w:val="18"/>
                <w:color w:val="auto"/>
                <w:w w:val="97"/>
              </w:rPr>
              <w:t>10,964,634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4" w:lineRule="exact"/>
              <w:rPr>
                <w:sz w:val="20"/>
                <w:szCs w:val="20"/>
                <w:color w:val="auto"/>
              </w:rPr>
            </w:pPr>
            <w:r>
              <w:rPr>
                <w:rFonts w:ascii="Arial" w:cs="Arial" w:eastAsia="Arial" w:hAnsi="Arial"/>
                <w:sz w:val="18"/>
                <w:szCs w:val="18"/>
                <w:color w:val="auto"/>
                <w:w w:val="97"/>
              </w:rPr>
              <w:t>11,138,851</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40" w:type="dxa"/>
            <w:vAlign w:val="bottom"/>
          </w:tcPr>
          <w:p>
            <w:pPr>
              <w:ind w:left="180"/>
              <w:spacing w:after="0" w:line="204" w:lineRule="exact"/>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40" w:right="3580" w:hanging="177"/>
        <w:spacing w:after="0" w:line="239" w:lineRule="auto"/>
        <w:rPr>
          <w:sz w:val="20"/>
          <w:szCs w:val="20"/>
          <w:color w:val="auto"/>
        </w:rPr>
      </w:pPr>
      <w:r>
        <w:rPr>
          <w:rFonts w:ascii="Arial" w:cs="Arial" w:eastAsia="Arial" w:hAnsi="Arial"/>
          <w:sz w:val="18"/>
          <w:szCs w:val="18"/>
          <w:color w:val="auto"/>
        </w:rPr>
        <w:t>Weighted-average shares used in computing pro forma net loss per share attributable to common stockholders, basic and diluted (unaudited)</w:t>
      </w:r>
      <w:r>
        <w:rPr>
          <w:rFonts w:ascii="Arial" w:cs="Arial" w:eastAsia="Arial" w:hAnsi="Arial"/>
          <w:sz w:val="15"/>
          <w:szCs w:val="15"/>
          <w:color w:val="auto"/>
        </w:rPr>
        <w:t>(2)</w:t>
      </w:r>
    </w:p>
    <w:p>
      <w:pPr>
        <w:spacing w:after="0" w:line="208" w:lineRule="exact"/>
        <w:rPr>
          <w:sz w:val="20"/>
          <w:szCs w:val="20"/>
          <w:color w:val="auto"/>
        </w:rPr>
      </w:pPr>
    </w:p>
    <w:p>
      <w:pPr>
        <w:ind w:left="760" w:right="300" w:hanging="406"/>
        <w:spacing w:after="0" w:line="238" w:lineRule="auto"/>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Note 14 to our consolidated financial statements included elsewhere in this prospectus for an explanation of the method used to calculate our basic and diluted net loss per share and the weighted-average number of shares used in the computation of the per share amounts.</w:t>
      </w:r>
    </w:p>
    <w:p>
      <w:pPr>
        <w:spacing w:after="0" w:line="1" w:lineRule="exact"/>
        <w:rPr>
          <w:rFonts w:ascii="Arial" w:cs="Arial" w:eastAsia="Arial" w:hAnsi="Arial"/>
          <w:sz w:val="14"/>
          <w:szCs w:val="14"/>
          <w:color w:val="auto"/>
        </w:rPr>
      </w:pPr>
    </w:p>
    <w:p>
      <w:pPr>
        <w:ind w:left="760" w:right="80" w:hanging="406"/>
        <w:spacing w:after="0" w:line="253" w:lineRule="auto"/>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 forma net loss per share gives effect to the automatic conversion of all of our outstanding shares of redeemable preferred stock into an aggregate of shares of Class A common stock.</w:t>
      </w: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320" w:top="456"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3041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5945" cy="30410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7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54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 January 31, 2021</w:t>
            </w:r>
          </w:p>
        </w:tc>
      </w:tr>
      <w:tr>
        <w:trPr>
          <w:trHeight w:val="137"/>
        </w:trPr>
        <w:tc>
          <w:tcPr>
            <w:tcW w:w="7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ind w:left="620"/>
              <w:spacing w:after="0" w:line="137" w:lineRule="exact"/>
              <w:rPr>
                <w:sz w:val="20"/>
                <w:szCs w:val="20"/>
                <w:color w:val="auto"/>
              </w:rPr>
            </w:pPr>
            <w:r>
              <w:rPr>
                <w:rFonts w:ascii="Arial" w:cs="Arial" w:eastAsia="Arial" w:hAnsi="Arial"/>
                <w:sz w:val="14"/>
                <w:szCs w:val="14"/>
                <w:b w:val="1"/>
                <w:bCs w:val="1"/>
                <w:color w:val="auto"/>
              </w:rPr>
              <w:t>Pro</w:t>
            </w:r>
          </w:p>
        </w:tc>
        <w:tc>
          <w:tcPr>
            <w:tcW w:w="1060" w:type="dxa"/>
            <w:vAlign w:val="bottom"/>
            <w:tcBorders>
              <w:top w:val="single" w:sz="8" w:color="auto"/>
            </w:tcBorders>
          </w:tcPr>
          <w:p>
            <w:pPr>
              <w:ind w:left="140"/>
              <w:spacing w:after="0" w:line="137" w:lineRule="exact"/>
              <w:rPr>
                <w:sz w:val="20"/>
                <w:szCs w:val="20"/>
                <w:color w:val="auto"/>
              </w:rPr>
            </w:pPr>
            <w:r>
              <w:rPr>
                <w:rFonts w:ascii="Arial" w:cs="Arial" w:eastAsia="Arial" w:hAnsi="Arial"/>
                <w:sz w:val="14"/>
                <w:szCs w:val="14"/>
                <w:b w:val="1"/>
                <w:bCs w:val="1"/>
                <w:color w:val="auto"/>
                <w:w w:val="97"/>
              </w:rPr>
              <w:t>Pro Forma As</w:t>
            </w:r>
          </w:p>
        </w:tc>
        <w:tc>
          <w:tcPr>
            <w:tcW w:w="60" w:type="dxa"/>
            <w:vAlign w:val="bottom"/>
          </w:tcPr>
          <w:p>
            <w:pPr>
              <w:spacing w:after="0"/>
              <w:rPr>
                <w:sz w:val="11"/>
                <w:szCs w:val="11"/>
                <w:color w:val="auto"/>
              </w:rPr>
            </w:pPr>
          </w:p>
        </w:tc>
      </w:tr>
      <w:tr>
        <w:trPr>
          <w:trHeight w:val="177"/>
        </w:trPr>
        <w:tc>
          <w:tcPr>
            <w:tcW w:w="7200" w:type="dxa"/>
            <w:vAlign w:val="bottom"/>
          </w:tcPr>
          <w:p>
            <w:pPr>
              <w:spacing w:after="0"/>
              <w:rPr>
                <w:sz w:val="15"/>
                <w:szCs w:val="15"/>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Actual</w:t>
            </w:r>
          </w:p>
        </w:tc>
        <w:tc>
          <w:tcPr>
            <w:tcW w:w="1420" w:type="dxa"/>
            <w:vAlign w:val="bottom"/>
          </w:tcPr>
          <w:p>
            <w:pPr>
              <w:ind w:left="440"/>
              <w:spacing w:after="0" w:line="177" w:lineRule="exact"/>
              <w:rPr>
                <w:sz w:val="20"/>
                <w:szCs w:val="20"/>
                <w:color w:val="auto"/>
              </w:rPr>
            </w:pPr>
            <w:r>
              <w:rPr>
                <w:rFonts w:ascii="Arial" w:cs="Arial" w:eastAsia="Arial" w:hAnsi="Arial"/>
                <w:sz w:val="12"/>
                <w:szCs w:val="12"/>
                <w:b w:val="1"/>
                <w:bCs w:val="1"/>
                <w:color w:val="auto"/>
              </w:rPr>
              <w:t>Forma</w:t>
            </w:r>
            <w:r>
              <w:rPr>
                <w:rFonts w:ascii="Arial" w:cs="Arial" w:eastAsia="Arial" w:hAnsi="Arial"/>
                <w:sz w:val="20"/>
                <w:szCs w:val="20"/>
                <w:b w:val="1"/>
                <w:bCs w:val="1"/>
                <w:color w:val="auto"/>
                <w:vertAlign w:val="superscript"/>
              </w:rPr>
              <w:t>(2)</w:t>
            </w:r>
          </w:p>
        </w:tc>
        <w:tc>
          <w:tcPr>
            <w:tcW w:w="1120" w:type="dxa"/>
            <w:vAlign w:val="bottom"/>
            <w:gridSpan w:val="2"/>
          </w:tcPr>
          <w:p>
            <w:pPr>
              <w:ind w:left="160"/>
              <w:spacing w:after="0" w:line="177"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(2)(3)</w:t>
            </w:r>
          </w:p>
        </w:tc>
      </w:tr>
      <w:tr>
        <w:trPr>
          <w:trHeight w:val="154"/>
        </w:trPr>
        <w:tc>
          <w:tcPr>
            <w:tcW w:w="7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ind w:left="460"/>
              <w:spacing w:after="0" w:line="154" w:lineRule="exact"/>
              <w:rPr>
                <w:sz w:val="20"/>
                <w:szCs w:val="20"/>
                <w:color w:val="auto"/>
              </w:rPr>
            </w:pPr>
            <w:r>
              <w:rPr>
                <w:rFonts w:ascii="Arial" w:cs="Arial" w:eastAsia="Arial" w:hAnsi="Arial"/>
                <w:sz w:val="14"/>
                <w:szCs w:val="14"/>
                <w:b w:val="1"/>
                <w:bCs w:val="1"/>
                <w:color w:val="auto"/>
              </w:rPr>
              <w:t>(in millions)</w:t>
            </w:r>
          </w:p>
        </w:tc>
        <w:tc>
          <w:tcPr>
            <w:tcW w:w="10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0"/>
        </w:trPr>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720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ind w:right="74"/>
              <w:spacing w:after="0" w:line="201" w:lineRule="exact"/>
              <w:rPr>
                <w:sz w:val="20"/>
                <w:szCs w:val="20"/>
                <w:color w:val="auto"/>
              </w:rPr>
            </w:pPr>
            <w:r>
              <w:rPr>
                <w:rFonts w:ascii="Arial" w:cs="Arial" w:eastAsia="Arial" w:hAnsi="Arial"/>
                <w:sz w:val="18"/>
                <w:szCs w:val="18"/>
                <w:color w:val="auto"/>
              </w:rPr>
              <w:t>$  95.3</w:t>
            </w:r>
          </w:p>
        </w:tc>
        <w:tc>
          <w:tcPr>
            <w:tcW w:w="142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0"/>
        </w:trPr>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780" w:type="dxa"/>
            <w:vAlign w:val="bottom"/>
            <w:shd w:val="clear" w:color="auto" w:fill="CCEEFF"/>
          </w:tcPr>
          <w:p>
            <w:pPr>
              <w:jc w:val="right"/>
              <w:ind w:right="74"/>
              <w:spacing w:after="0" w:line="201" w:lineRule="exact"/>
              <w:rPr>
                <w:sz w:val="20"/>
                <w:szCs w:val="20"/>
                <w:color w:val="auto"/>
              </w:rPr>
            </w:pPr>
            <w:r>
              <w:rPr>
                <w:rFonts w:ascii="Arial" w:cs="Arial" w:eastAsia="Arial" w:hAnsi="Arial"/>
                <w:sz w:val="18"/>
                <w:szCs w:val="18"/>
                <w:color w:val="auto"/>
              </w:rPr>
              <w:t>62.8</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7200" w:type="dxa"/>
            <w:vAlign w:val="bottom"/>
          </w:tcPr>
          <w:p>
            <w:pPr>
              <w:spacing w:after="0" w:line="201" w:lineRule="exact"/>
              <w:rPr>
                <w:sz w:val="20"/>
                <w:szCs w:val="20"/>
                <w:color w:val="auto"/>
              </w:rPr>
            </w:pPr>
            <w:r>
              <w:rPr>
                <w:rFonts w:ascii="Arial" w:cs="Arial" w:eastAsia="Arial" w:hAnsi="Arial"/>
                <w:sz w:val="18"/>
                <w:szCs w:val="18"/>
                <w:color w:val="auto"/>
              </w:rPr>
              <w:t>Total assets</w:t>
            </w:r>
          </w:p>
        </w:tc>
        <w:tc>
          <w:tcPr>
            <w:tcW w:w="780" w:type="dxa"/>
            <w:vAlign w:val="bottom"/>
          </w:tcPr>
          <w:p>
            <w:pPr>
              <w:jc w:val="right"/>
              <w:ind w:right="74"/>
              <w:spacing w:after="0" w:line="201" w:lineRule="exact"/>
              <w:rPr>
                <w:sz w:val="20"/>
                <w:szCs w:val="20"/>
                <w:color w:val="auto"/>
              </w:rPr>
            </w:pPr>
            <w:r>
              <w:rPr>
                <w:rFonts w:ascii="Arial" w:cs="Arial" w:eastAsia="Arial" w:hAnsi="Arial"/>
                <w:sz w:val="18"/>
                <w:szCs w:val="18"/>
                <w:color w:val="auto"/>
              </w:rPr>
              <w:t>320.7</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preferred stock</w:t>
            </w:r>
          </w:p>
        </w:tc>
        <w:tc>
          <w:tcPr>
            <w:tcW w:w="780" w:type="dxa"/>
            <w:vAlign w:val="bottom"/>
            <w:shd w:val="clear" w:color="auto" w:fill="CCEEFF"/>
          </w:tcPr>
          <w:p>
            <w:pPr>
              <w:jc w:val="right"/>
              <w:ind w:right="74"/>
              <w:spacing w:after="0" w:line="201" w:lineRule="exact"/>
              <w:rPr>
                <w:sz w:val="20"/>
                <w:szCs w:val="20"/>
                <w:color w:val="auto"/>
              </w:rPr>
            </w:pPr>
            <w:r>
              <w:rPr>
                <w:rFonts w:ascii="Arial" w:cs="Arial" w:eastAsia="Arial" w:hAnsi="Arial"/>
                <w:sz w:val="18"/>
                <w:szCs w:val="18"/>
                <w:color w:val="auto"/>
              </w:rPr>
              <w:t>388.1</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720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780" w:type="dxa"/>
            <w:vAlign w:val="bottom"/>
          </w:tcPr>
          <w:p>
            <w:pPr>
              <w:jc w:val="right"/>
              <w:ind w:right="14"/>
              <w:spacing w:after="0" w:line="201" w:lineRule="exact"/>
              <w:rPr>
                <w:sz w:val="20"/>
                <w:szCs w:val="20"/>
                <w:color w:val="auto"/>
              </w:rPr>
            </w:pPr>
            <w:r>
              <w:rPr>
                <w:rFonts w:ascii="Arial" w:cs="Arial" w:eastAsia="Arial" w:hAnsi="Arial"/>
                <w:sz w:val="18"/>
                <w:szCs w:val="18"/>
                <w:color w:val="auto"/>
              </w:rPr>
              <w:t>(589.4)</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stockholders’ deficit</w:t>
            </w:r>
          </w:p>
        </w:tc>
        <w:tc>
          <w:tcPr>
            <w:tcW w:w="78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(526.7)</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191" w:lineRule="exact"/>
        <w:rPr>
          <w:sz w:val="20"/>
          <w:szCs w:val="20"/>
          <w:color w:val="auto"/>
        </w:rPr>
      </w:pPr>
    </w:p>
    <w:p>
      <w:pPr>
        <w:ind w:left="760" w:hanging="40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tbl>
      <w:tblPr>
        <w:tblLayout w:type="fixed"/>
        <w:tblInd w:w="360" w:type="dxa"/>
        <w:tblCellMar>
          <w:top w:w="0" w:type="dxa"/>
          <w:left w:w="0" w:type="dxa"/>
          <w:bottom w:w="0" w:type="dxa"/>
          <w:right w:w="0" w:type="dxa"/>
        </w:tblCellMar>
      </w:tblPr>
      <w:tr>
        <w:trPr>
          <w:trHeight w:val="160"/>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81"/>
              </w:rPr>
              <w:t>(2)</w:t>
            </w:r>
          </w:p>
        </w:tc>
        <w:tc>
          <w:tcPr>
            <w:tcW w:w="8200" w:type="dxa"/>
            <w:vAlign w:val="bottom"/>
            <w:gridSpan w:val="6"/>
          </w:tcPr>
          <w:p>
            <w:pPr>
              <w:ind w:left="120"/>
              <w:spacing w:after="0"/>
              <w:rPr>
                <w:sz w:val="20"/>
                <w:szCs w:val="20"/>
                <w:color w:val="auto"/>
              </w:rPr>
            </w:pPr>
            <w:r>
              <w:rPr>
                <w:rFonts w:ascii="Arial" w:cs="Arial" w:eastAsia="Arial" w:hAnsi="Arial"/>
                <w:sz w:val="14"/>
                <w:szCs w:val="14"/>
                <w:color w:val="auto"/>
              </w:rPr>
              <w:t>Gives effect to the automatic conversion of all of our outstanding shares of redeemable preferred stock into an aggregate of</w:t>
            </w:r>
          </w:p>
        </w:tc>
        <w:tc>
          <w:tcPr>
            <w:tcW w:w="2040" w:type="dxa"/>
            <w:vAlign w:val="bottom"/>
          </w:tcPr>
          <w:p>
            <w:pPr>
              <w:ind w:left="320"/>
              <w:spacing w:after="0"/>
              <w:rPr>
                <w:sz w:val="20"/>
                <w:szCs w:val="20"/>
                <w:color w:val="auto"/>
              </w:rPr>
            </w:pPr>
            <w:r>
              <w:rPr>
                <w:rFonts w:ascii="Arial" w:cs="Arial" w:eastAsia="Arial" w:hAnsi="Arial"/>
                <w:sz w:val="14"/>
                <w:szCs w:val="14"/>
                <w:color w:val="auto"/>
              </w:rPr>
              <w:t>shares of Class A common</w:t>
            </w:r>
          </w:p>
        </w:tc>
      </w:tr>
      <w:tr>
        <w:trPr>
          <w:trHeight w:val="160"/>
        </w:trPr>
        <w:tc>
          <w:tcPr>
            <w:tcW w:w="280" w:type="dxa"/>
            <w:vAlign w:val="bottom"/>
          </w:tcPr>
          <w:p>
            <w:pPr>
              <w:spacing w:after="0"/>
              <w:rPr>
                <w:sz w:val="13"/>
                <w:szCs w:val="13"/>
                <w:color w:val="auto"/>
              </w:rPr>
            </w:pPr>
          </w:p>
        </w:tc>
        <w:tc>
          <w:tcPr>
            <w:tcW w:w="3880" w:type="dxa"/>
            <w:vAlign w:val="bottom"/>
            <w:gridSpan w:val="3"/>
          </w:tcPr>
          <w:p>
            <w:pPr>
              <w:ind w:left="120"/>
              <w:spacing w:after="0"/>
              <w:rPr>
                <w:sz w:val="20"/>
                <w:szCs w:val="20"/>
                <w:color w:val="auto"/>
              </w:rPr>
            </w:pPr>
            <w:r>
              <w:rPr>
                <w:rFonts w:ascii="Arial" w:cs="Arial" w:eastAsia="Arial" w:hAnsi="Arial"/>
                <w:sz w:val="14"/>
                <w:szCs w:val="14"/>
                <w:color w:val="auto"/>
              </w:rPr>
              <w:t>stock, upon closing of this offering.</w:t>
            </w:r>
          </w:p>
        </w:tc>
        <w:tc>
          <w:tcPr>
            <w:tcW w:w="14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60"/>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81"/>
              </w:rPr>
              <w:t>(3)</w:t>
            </w:r>
          </w:p>
        </w:tc>
        <w:tc>
          <w:tcPr>
            <w:tcW w:w="7100" w:type="dxa"/>
            <w:vAlign w:val="bottom"/>
            <w:gridSpan w:val="5"/>
          </w:tcPr>
          <w:p>
            <w:pPr>
              <w:ind w:left="120"/>
              <w:spacing w:after="0"/>
              <w:rPr>
                <w:sz w:val="20"/>
                <w:szCs w:val="20"/>
                <w:color w:val="auto"/>
              </w:rPr>
            </w:pPr>
            <w:r>
              <w:rPr>
                <w:rFonts w:ascii="Arial" w:cs="Arial" w:eastAsia="Arial" w:hAnsi="Arial"/>
                <w:sz w:val="14"/>
                <w:szCs w:val="14"/>
                <w:color w:val="auto"/>
              </w:rPr>
              <w:t>Gives effect to (i) the pro forma adjustments set forth in footnote (2) above and (ii) the issuance and sale of</w:t>
            </w:r>
          </w:p>
        </w:tc>
        <w:tc>
          <w:tcPr>
            <w:tcW w:w="3140" w:type="dxa"/>
            <w:vAlign w:val="bottom"/>
            <w:gridSpan w:val="2"/>
          </w:tcPr>
          <w:p>
            <w:pPr>
              <w:ind w:left="260"/>
              <w:spacing w:after="0"/>
              <w:rPr>
                <w:sz w:val="20"/>
                <w:szCs w:val="20"/>
                <w:color w:val="auto"/>
              </w:rPr>
            </w:pPr>
            <w:r>
              <w:rPr>
                <w:rFonts w:ascii="Arial" w:cs="Arial" w:eastAsia="Arial" w:hAnsi="Arial"/>
                <w:sz w:val="14"/>
                <w:szCs w:val="14"/>
                <w:color w:val="auto"/>
              </w:rPr>
              <w:t>shares of our Class A common stock in this</w:t>
            </w:r>
          </w:p>
        </w:tc>
      </w:tr>
      <w:tr>
        <w:trPr>
          <w:trHeight w:val="160"/>
        </w:trPr>
        <w:tc>
          <w:tcPr>
            <w:tcW w:w="280" w:type="dxa"/>
            <w:vAlign w:val="bottom"/>
          </w:tcPr>
          <w:p>
            <w:pPr>
              <w:spacing w:after="0"/>
              <w:rPr>
                <w:sz w:val="13"/>
                <w:szCs w:val="13"/>
                <w:color w:val="auto"/>
              </w:rPr>
            </w:pPr>
          </w:p>
        </w:tc>
        <w:tc>
          <w:tcPr>
            <w:tcW w:w="3880" w:type="dxa"/>
            <w:vAlign w:val="bottom"/>
            <w:gridSpan w:val="3"/>
          </w:tcPr>
          <w:p>
            <w:pPr>
              <w:ind w:left="120"/>
              <w:spacing w:after="0"/>
              <w:rPr>
                <w:sz w:val="20"/>
                <w:szCs w:val="20"/>
                <w:color w:val="auto"/>
              </w:rPr>
            </w:pPr>
            <w:r>
              <w:rPr>
                <w:rFonts w:ascii="Arial" w:cs="Arial" w:eastAsia="Arial" w:hAnsi="Arial"/>
                <w:sz w:val="14"/>
                <w:szCs w:val="14"/>
                <w:color w:val="auto"/>
              </w:rPr>
              <w:t>offering at the assumed initial public offering price of $</w:t>
            </w:r>
          </w:p>
        </w:tc>
        <w:tc>
          <w:tcPr>
            <w:tcW w:w="6360" w:type="dxa"/>
            <w:vAlign w:val="bottom"/>
            <w:gridSpan w:val="4"/>
          </w:tcPr>
          <w:p>
            <w:pPr>
              <w:ind w:left="160"/>
              <w:spacing w:after="0"/>
              <w:rPr>
                <w:sz w:val="20"/>
                <w:szCs w:val="20"/>
                <w:color w:val="auto"/>
              </w:rPr>
            </w:pPr>
            <w:r>
              <w:rPr>
                <w:rFonts w:ascii="Arial" w:cs="Arial" w:eastAsia="Arial" w:hAnsi="Arial"/>
                <w:sz w:val="14"/>
                <w:szCs w:val="14"/>
                <w:color w:val="auto"/>
              </w:rPr>
              <w:t>per share, which is the midpoint of the price range set forth on the cover page of this prospectus,</w:t>
            </w:r>
          </w:p>
        </w:tc>
      </w:tr>
      <w:tr>
        <w:trPr>
          <w:trHeight w:val="160"/>
        </w:trPr>
        <w:tc>
          <w:tcPr>
            <w:tcW w:w="280" w:type="dxa"/>
            <w:vAlign w:val="bottom"/>
          </w:tcPr>
          <w:p>
            <w:pPr>
              <w:spacing w:after="0"/>
              <w:rPr>
                <w:sz w:val="13"/>
                <w:szCs w:val="13"/>
                <w:color w:val="auto"/>
              </w:rPr>
            </w:pPr>
          </w:p>
        </w:tc>
        <w:tc>
          <w:tcPr>
            <w:tcW w:w="10240" w:type="dxa"/>
            <w:vAlign w:val="bottom"/>
            <w:gridSpan w:val="7"/>
          </w:tcPr>
          <w:p>
            <w:pPr>
              <w:ind w:left="120"/>
              <w:spacing w:after="0"/>
              <w:rPr>
                <w:sz w:val="20"/>
                <w:szCs w:val="20"/>
                <w:color w:val="auto"/>
              </w:rPr>
            </w:pPr>
            <w:r>
              <w:rPr>
                <w:rFonts w:ascii="Arial" w:cs="Arial" w:eastAsia="Arial" w:hAnsi="Arial"/>
                <w:sz w:val="14"/>
                <w:szCs w:val="14"/>
                <w:color w:val="auto"/>
              </w:rPr>
              <w:t>and after deducting the estimated underwriting discounts and commissions and estimated offering expenses payable by us. A $1.00 increase or decrease, as</w:t>
            </w:r>
          </w:p>
        </w:tc>
      </w:tr>
      <w:tr>
        <w:trPr>
          <w:trHeight w:val="160"/>
        </w:trPr>
        <w:tc>
          <w:tcPr>
            <w:tcW w:w="280" w:type="dxa"/>
            <w:vAlign w:val="bottom"/>
          </w:tcPr>
          <w:p>
            <w:pPr>
              <w:spacing w:after="0"/>
              <w:rPr>
                <w:sz w:val="13"/>
                <w:szCs w:val="13"/>
                <w:color w:val="auto"/>
              </w:rPr>
            </w:pPr>
          </w:p>
        </w:tc>
        <w:tc>
          <w:tcPr>
            <w:tcW w:w="3880" w:type="dxa"/>
            <w:vAlign w:val="bottom"/>
            <w:gridSpan w:val="3"/>
          </w:tcPr>
          <w:p>
            <w:pPr>
              <w:ind w:left="120"/>
              <w:spacing w:after="0"/>
              <w:rPr>
                <w:sz w:val="20"/>
                <w:szCs w:val="20"/>
                <w:color w:val="auto"/>
              </w:rPr>
            </w:pPr>
            <w:r>
              <w:rPr>
                <w:rFonts w:ascii="Arial" w:cs="Arial" w:eastAsia="Arial" w:hAnsi="Arial"/>
                <w:sz w:val="14"/>
                <w:szCs w:val="14"/>
                <w:color w:val="auto"/>
              </w:rPr>
              <w:t>applicable, in the assumed initial public offering price of $</w:t>
            </w:r>
          </w:p>
        </w:tc>
        <w:tc>
          <w:tcPr>
            <w:tcW w:w="6360" w:type="dxa"/>
            <w:vAlign w:val="bottom"/>
            <w:gridSpan w:val="4"/>
          </w:tcPr>
          <w:p>
            <w:pPr>
              <w:ind w:left="360"/>
              <w:spacing w:after="0"/>
              <w:rPr>
                <w:sz w:val="20"/>
                <w:szCs w:val="20"/>
                <w:color w:val="auto"/>
              </w:rPr>
            </w:pPr>
            <w:r>
              <w:rPr>
                <w:rFonts w:ascii="Arial" w:cs="Arial" w:eastAsia="Arial" w:hAnsi="Arial"/>
                <w:sz w:val="14"/>
                <w:szCs w:val="14"/>
                <w:color w:val="auto"/>
              </w:rPr>
              <w:t>per share, which is the midpoint of the price range set forth on the cover page of this</w:t>
            </w:r>
          </w:p>
        </w:tc>
      </w:tr>
      <w:tr>
        <w:trPr>
          <w:trHeight w:val="160"/>
        </w:trPr>
        <w:tc>
          <w:tcPr>
            <w:tcW w:w="280" w:type="dxa"/>
            <w:vAlign w:val="bottom"/>
          </w:tcPr>
          <w:p>
            <w:pPr>
              <w:spacing w:after="0"/>
              <w:rPr>
                <w:sz w:val="13"/>
                <w:szCs w:val="13"/>
                <w:color w:val="auto"/>
              </w:rPr>
            </w:pPr>
          </w:p>
        </w:tc>
        <w:tc>
          <w:tcPr>
            <w:tcW w:w="10240" w:type="dxa"/>
            <w:vAlign w:val="bottom"/>
            <w:gridSpan w:val="7"/>
          </w:tcPr>
          <w:p>
            <w:pPr>
              <w:ind w:left="120"/>
              <w:spacing w:after="0"/>
              <w:rPr>
                <w:sz w:val="20"/>
                <w:szCs w:val="20"/>
                <w:color w:val="auto"/>
              </w:rPr>
            </w:pPr>
            <w:r>
              <w:rPr>
                <w:rFonts w:ascii="Arial" w:cs="Arial" w:eastAsia="Arial" w:hAnsi="Arial"/>
                <w:sz w:val="14"/>
                <w:szCs w:val="14"/>
                <w:color w:val="auto"/>
              </w:rPr>
              <w:t>prospectus, would increase or decrease, as applicable, each of cash and cash equivalents, total assets and total stockholders’ deficit on a pro forma basis by</w:t>
            </w:r>
          </w:p>
        </w:tc>
      </w:tr>
      <w:tr>
        <w:trPr>
          <w:trHeight w:val="160"/>
        </w:trPr>
        <w:tc>
          <w:tcPr>
            <w:tcW w:w="28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approximately $</w:t>
            </w:r>
          </w:p>
        </w:tc>
        <w:tc>
          <w:tcPr>
            <w:tcW w:w="8840" w:type="dxa"/>
            <w:vAlign w:val="bottom"/>
            <w:gridSpan w:val="5"/>
          </w:tcPr>
          <w:p>
            <w:pPr>
              <w:ind w:left="240"/>
              <w:spacing w:after="0"/>
              <w:rPr>
                <w:sz w:val="20"/>
                <w:szCs w:val="20"/>
                <w:color w:val="auto"/>
              </w:rPr>
            </w:pPr>
            <w:r>
              <w:rPr>
                <w:rFonts w:ascii="Arial" w:cs="Arial" w:eastAsia="Arial" w:hAnsi="Arial"/>
                <w:sz w:val="14"/>
                <w:szCs w:val="14"/>
                <w:color w:val="auto"/>
              </w:rPr>
              <w:t>million, assuming the number of shares offered, as set forth on the cover page of this prospectus, remains the same, and after deducting</w:t>
            </w:r>
          </w:p>
        </w:tc>
      </w:tr>
      <w:tr>
        <w:trPr>
          <w:trHeight w:val="160"/>
        </w:trPr>
        <w:tc>
          <w:tcPr>
            <w:tcW w:w="280" w:type="dxa"/>
            <w:vAlign w:val="bottom"/>
          </w:tcPr>
          <w:p>
            <w:pPr>
              <w:spacing w:after="0"/>
              <w:rPr>
                <w:sz w:val="13"/>
                <w:szCs w:val="13"/>
                <w:color w:val="auto"/>
              </w:rPr>
            </w:pPr>
          </w:p>
        </w:tc>
        <w:tc>
          <w:tcPr>
            <w:tcW w:w="10240" w:type="dxa"/>
            <w:vAlign w:val="bottom"/>
            <w:gridSpan w:val="7"/>
          </w:tcPr>
          <w:p>
            <w:pPr>
              <w:ind w:left="120"/>
              <w:spacing w:after="0"/>
              <w:rPr>
                <w:sz w:val="20"/>
                <w:szCs w:val="20"/>
                <w:color w:val="auto"/>
              </w:rPr>
            </w:pPr>
            <w:r>
              <w:rPr>
                <w:rFonts w:ascii="Arial" w:cs="Arial" w:eastAsia="Arial" w:hAnsi="Arial"/>
                <w:sz w:val="14"/>
                <w:szCs w:val="14"/>
                <w:color w:val="auto"/>
              </w:rPr>
              <w:t>the estimated underwriting discounts and commissions and estimated offering expenses payable by us. Each 1,000,000 share increase or decrease, as</w:t>
            </w:r>
          </w:p>
        </w:tc>
      </w:tr>
      <w:tr>
        <w:trPr>
          <w:trHeight w:val="160"/>
        </w:trPr>
        <w:tc>
          <w:tcPr>
            <w:tcW w:w="280" w:type="dxa"/>
            <w:vAlign w:val="bottom"/>
          </w:tcPr>
          <w:p>
            <w:pPr>
              <w:spacing w:after="0"/>
              <w:rPr>
                <w:sz w:val="13"/>
                <w:szCs w:val="13"/>
                <w:color w:val="auto"/>
              </w:rPr>
            </w:pPr>
          </w:p>
        </w:tc>
        <w:tc>
          <w:tcPr>
            <w:tcW w:w="10240" w:type="dxa"/>
            <w:vAlign w:val="bottom"/>
            <w:gridSpan w:val="7"/>
          </w:tcPr>
          <w:p>
            <w:pPr>
              <w:ind w:left="120"/>
              <w:spacing w:after="0"/>
              <w:rPr>
                <w:sz w:val="20"/>
                <w:szCs w:val="20"/>
                <w:color w:val="auto"/>
              </w:rPr>
            </w:pPr>
            <w:r>
              <w:rPr>
                <w:rFonts w:ascii="Arial" w:cs="Arial" w:eastAsia="Arial" w:hAnsi="Arial"/>
                <w:sz w:val="14"/>
                <w:szCs w:val="14"/>
                <w:color w:val="auto"/>
              </w:rPr>
              <w:t>applicable, in the number of shares offered in this offering would increase or decrease, as applicable, the net proceeds to us from this offering by approximately</w:t>
            </w:r>
          </w:p>
        </w:tc>
      </w:tr>
      <w:tr>
        <w:trPr>
          <w:trHeight w:val="160"/>
        </w:trPr>
        <w:tc>
          <w:tcPr>
            <w:tcW w:w="28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4"/>
                <w:szCs w:val="14"/>
                <w:color w:val="auto"/>
              </w:rPr>
              <w:t>$</w:t>
            </w:r>
          </w:p>
        </w:tc>
        <w:tc>
          <w:tcPr>
            <w:tcW w:w="4900" w:type="dxa"/>
            <w:vAlign w:val="bottom"/>
            <w:gridSpan w:val="3"/>
          </w:tcPr>
          <w:p>
            <w:pPr>
              <w:ind w:left="260"/>
              <w:spacing w:after="0"/>
              <w:rPr>
                <w:sz w:val="20"/>
                <w:szCs w:val="20"/>
                <w:color w:val="auto"/>
              </w:rPr>
            </w:pPr>
            <w:r>
              <w:rPr>
                <w:rFonts w:ascii="Arial" w:cs="Arial" w:eastAsia="Arial" w:hAnsi="Arial"/>
                <w:sz w:val="14"/>
                <w:szCs w:val="14"/>
                <w:color w:val="auto"/>
              </w:rPr>
              <w:t>million, assuming that the price per share for the offering remains at $</w:t>
            </w:r>
          </w:p>
        </w:tc>
        <w:tc>
          <w:tcPr>
            <w:tcW w:w="4880" w:type="dxa"/>
            <w:vAlign w:val="bottom"/>
            <w:gridSpan w:val="3"/>
          </w:tcPr>
          <w:p>
            <w:pPr>
              <w:ind w:left="240"/>
              <w:spacing w:after="0"/>
              <w:rPr>
                <w:sz w:val="20"/>
                <w:szCs w:val="20"/>
                <w:color w:val="auto"/>
              </w:rPr>
            </w:pPr>
            <w:r>
              <w:rPr>
                <w:rFonts w:ascii="Arial" w:cs="Arial" w:eastAsia="Arial" w:hAnsi="Arial"/>
                <w:sz w:val="14"/>
                <w:szCs w:val="14"/>
                <w:color w:val="auto"/>
              </w:rPr>
              <w:t>(which is the midpoint of the price range set forth on the cover page of</w:t>
            </w:r>
          </w:p>
        </w:tc>
      </w:tr>
    </w:tbl>
    <w:p>
      <w:pPr>
        <w:ind w:left="760"/>
        <w:spacing w:after="0"/>
        <w:rPr>
          <w:sz w:val="20"/>
          <w:szCs w:val="20"/>
          <w:color w:val="auto"/>
        </w:rPr>
      </w:pPr>
      <w:r>
        <w:rPr>
          <w:rFonts w:ascii="Arial" w:cs="Arial" w:eastAsia="Arial" w:hAnsi="Arial"/>
          <w:sz w:val="14"/>
          <w:szCs w:val="14"/>
          <w:color w:val="auto"/>
        </w:rPr>
        <w:t>this prospectus), and after deducting the estimated underwriting discounts and commissions and estimated offering expenses payable by us.</w:t>
      </w: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320" w:top="456"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5543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5945" cy="55435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Key Business and Financial Metrics</w:t>
      </w:r>
    </w:p>
    <w:p>
      <w:pPr>
        <w:spacing w:after="0" w:line="216" w:lineRule="exact"/>
        <w:rPr>
          <w:sz w:val="20"/>
          <w:szCs w:val="20"/>
          <w:color w:val="auto"/>
        </w:rPr>
      </w:pPr>
    </w:p>
    <w:p>
      <w:pPr>
        <w:ind w:left="360" w:firstLine="527"/>
        <w:spacing w:after="0" w:line="234"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98"/>
              </w:rPr>
              <w:t>Year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4"/>
        </w:trPr>
        <w:tc>
          <w:tcPr>
            <w:tcW w:w="8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left="360"/>
              <w:spacing w:after="0"/>
              <w:rPr>
                <w:sz w:val="20"/>
                <w:szCs w:val="20"/>
                <w:color w:val="auto"/>
              </w:rPr>
            </w:pPr>
            <w:r>
              <w:rPr>
                <w:rFonts w:ascii="Arial" w:cs="Arial" w:eastAsia="Arial" w:hAnsi="Arial"/>
                <w:sz w:val="14"/>
                <w:szCs w:val="14"/>
                <w:b w:val="1"/>
                <w:bCs w:val="1"/>
                <w:color w:val="auto"/>
              </w:rPr>
              <w:t>January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8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0"/>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5"/>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4"/>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ind w:right="15"/>
              <w:spacing w:after="0" w:line="154" w:lineRule="exact"/>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3"/>
                <w:szCs w:val="13"/>
                <w:color w:val="auto"/>
              </w:rPr>
            </w:pPr>
          </w:p>
        </w:tc>
      </w:tr>
      <w:tr>
        <w:trPr>
          <w:trHeight w:val="200"/>
        </w:trPr>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Active subscribers (at the end of period)</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8"/>
              </w:rPr>
              <w:t>133,572</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4"/>
              </w:rPr>
              <w:t>54,797</w:t>
            </w:r>
          </w:p>
        </w:tc>
      </w:tr>
      <w:tr>
        <w:trPr>
          <w:trHeight w:val="200"/>
        </w:trPr>
        <w:tc>
          <w:tcPr>
            <w:tcW w:w="8460" w:type="dxa"/>
            <w:vAlign w:val="bottom"/>
          </w:tcPr>
          <w:p>
            <w:pPr>
              <w:spacing w:after="0" w:line="201" w:lineRule="exact"/>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200"/>
              <w:spacing w:after="0" w:line="201" w:lineRule="exact"/>
              <w:rPr>
                <w:sz w:val="20"/>
                <w:szCs w:val="20"/>
                <w:color w:val="auto"/>
              </w:rPr>
            </w:pPr>
            <w:r>
              <w:rPr>
                <w:rFonts w:ascii="Arial" w:cs="Arial" w:eastAsia="Arial" w:hAnsi="Arial"/>
                <w:sz w:val="18"/>
                <w:szCs w:val="18"/>
                <w:color w:val="auto"/>
              </w:rPr>
              <w:t>53.6</w:t>
            </w: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15.5</w:t>
            </w:r>
          </w:p>
        </w:tc>
      </w:tr>
      <w:tr>
        <w:trPr>
          <w:trHeight w:val="200"/>
        </w:trPr>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 excluding product depreciation</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129.3</w:t>
            </w:r>
          </w:p>
        </w:tc>
        <w:tc>
          <w:tcPr>
            <w:tcW w:w="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85.4</w:t>
            </w:r>
          </w:p>
        </w:tc>
      </w:tr>
      <w:tr>
        <w:trPr>
          <w:trHeight w:val="213"/>
        </w:trPr>
        <w:tc>
          <w:tcPr>
            <w:tcW w:w="846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0"/>
              <w:spacing w:after="0"/>
              <w:rPr>
                <w:sz w:val="20"/>
                <w:szCs w:val="20"/>
                <w:color w:val="auto"/>
              </w:rPr>
            </w:pPr>
            <w:r>
              <w:rPr>
                <w:rFonts w:ascii="Arial" w:cs="Arial" w:eastAsia="Arial" w:hAnsi="Arial"/>
                <w:sz w:val="18"/>
                <w:szCs w:val="18"/>
                <w:color w:val="auto"/>
              </w:rPr>
              <w:t>(18.0)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r>
    </w:tbl>
    <w:p>
      <w:pPr>
        <w:spacing w:after="0" w:line="200"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Each of Gross Profit Excluding Product Depreciation and Adjusted EBITDA is a non-GAAP financial measure. See below for a reconciliation of Gross Profit Excluding Product Depreciation and Adjusted EBITDA to each of their most directly comparable GAAP financial measures, gross profit and net loss, respectively. For additional information about, and the definitions of, our key business and financial metrics and why we consider Gross Profit Excluding Product Depreciation and Adjusted EBITDA to be useful metrics, see “Management’s Discussion and Analysis of Financial Condition and Results of Operations —Key Business and Financial Metrics” and “Management’s Discussion and Analysis of Financial Condition and Results of Operations—Non-GAAP Financial Metrics.”</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Non-GAAP Financial Metrics</w:t>
      </w:r>
    </w:p>
    <w:p>
      <w:pPr>
        <w:spacing w:after="0" w:line="229" w:lineRule="exact"/>
        <w:rPr>
          <w:sz w:val="20"/>
          <w:szCs w:val="20"/>
          <w:color w:val="auto"/>
        </w:rPr>
      </w:pPr>
    </w:p>
    <w:p>
      <w:pPr>
        <w:ind w:left="360" w:right="80" w:firstLine="527"/>
        <w:spacing w:after="0" w:line="234"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04" w:lineRule="exact"/>
        <w:rPr>
          <w:sz w:val="20"/>
          <w:szCs w:val="20"/>
          <w:color w:val="auto"/>
        </w:rPr>
      </w:pPr>
    </w:p>
    <w:p>
      <w:pPr>
        <w:ind w:left="360" w:right="80" w:firstLine="527"/>
        <w:spacing w:after="0" w:line="236" w:lineRule="auto"/>
        <w:rPr>
          <w:sz w:val="20"/>
          <w:szCs w:val="20"/>
          <w:color w:val="auto"/>
        </w:rPr>
      </w:pPr>
      <w:r>
        <w:rPr>
          <w:rFonts w:ascii="Arial" w:cs="Arial" w:eastAsia="Arial" w:hAnsi="Arial"/>
          <w:sz w:val="18"/>
          <w:szCs w:val="18"/>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320" w:top="456"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6595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5945" cy="65951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0" w:right="440" w:firstLine="527"/>
        <w:spacing w:after="0" w:line="239" w:lineRule="auto"/>
        <w:rPr>
          <w:sz w:val="20"/>
          <w:szCs w:val="20"/>
          <w:color w:val="auto"/>
        </w:rPr>
      </w:pPr>
      <w:r>
        <w:rPr>
          <w:rFonts w:ascii="Arial" w:cs="Arial" w:eastAsia="Arial" w:hAnsi="Arial"/>
          <w:sz w:val="18"/>
          <w:szCs w:val="18"/>
          <w:color w:val="auto"/>
        </w:rPr>
        <w:t>We use Gross Profit Excluding Product Depreciation to measure our total variable profit excluding non-cash expenses as an indicator of the cash gross profit available to cover our costs and expenses and capital expenditures.</w:t>
      </w:r>
    </w:p>
    <w:p>
      <w:pPr>
        <w:spacing w:after="0" w:line="162" w:lineRule="exact"/>
        <w:rPr>
          <w:sz w:val="20"/>
          <w:szCs w:val="20"/>
          <w:color w:val="auto"/>
        </w:rPr>
      </w:pPr>
    </w:p>
    <w:p>
      <w:pPr>
        <w:ind w:left="360" w:right="240" w:firstLine="527"/>
        <w:spacing w:after="0" w:line="239" w:lineRule="auto"/>
        <w:rPr>
          <w:sz w:val="20"/>
          <w:szCs w:val="20"/>
          <w:color w:val="auto"/>
        </w:rPr>
      </w:pPr>
      <w:r>
        <w:rPr>
          <w:rFonts w:ascii="Arial" w:cs="Arial" w:eastAsia="Arial" w:hAnsi="Arial"/>
          <w:sz w:val="18"/>
          <w:szCs w:val="18"/>
          <w:color w:val="auto"/>
        </w:rPr>
        <w:t>We use Fulfillment Profit to measure the efficiency of inbound, outbound and processing costs. We use Contribution Profit as a key measure of our overall efficiency, including fulfillment expense, total product costs and credit card fees.</w:t>
      </w:r>
    </w:p>
    <w:p>
      <w:pPr>
        <w:spacing w:after="0" w:line="176" w:lineRule="exact"/>
        <w:rPr>
          <w:sz w:val="20"/>
          <w:szCs w:val="20"/>
          <w:color w:val="auto"/>
        </w:rPr>
      </w:pPr>
    </w:p>
    <w:p>
      <w:pPr>
        <w:ind w:left="360" w:right="360" w:firstLine="527"/>
        <w:spacing w:after="0" w:line="237" w:lineRule="auto"/>
        <w:rPr>
          <w:sz w:val="20"/>
          <w:szCs w:val="20"/>
          <w:color w:val="auto"/>
        </w:rPr>
      </w:pPr>
      <w:r>
        <w:rPr>
          <w:rFonts w:ascii="Arial" w:cs="Arial" w:eastAsia="Arial" w:hAnsi="Arial"/>
          <w:sz w:val="18"/>
          <w:szCs w:val="18"/>
          <w:color w:val="auto"/>
        </w:rPr>
        <w:t>The following table presents a reconciliation of total revenue, net, the most comparable GAAP financial measure, to each of Fulfillment Profit, Gross Profit Excluding Product Depreciation, and Contribution Profit, respectively, for the years ended January 31, 2020 and 2021:</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8220" w:type="dxa"/>
            <w:vAlign w:val="bottom"/>
          </w:tcPr>
          <w:p>
            <w:pPr>
              <w:spacing w:after="0"/>
              <w:rPr>
                <w:sz w:val="15"/>
                <w:szCs w:val="15"/>
                <w:color w:val="auto"/>
              </w:rPr>
            </w:pPr>
          </w:p>
        </w:tc>
        <w:tc>
          <w:tcPr>
            <w:tcW w:w="23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8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53"/>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gridSpan w:val="2"/>
          </w:tcPr>
          <w:p>
            <w:pPr>
              <w:jc w:val="right"/>
              <w:ind w:right="140"/>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4"/>
        </w:trPr>
        <w:tc>
          <w:tcPr>
            <w:tcW w:w="8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680"/>
              <w:spacing w:after="0" w:line="154"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r>
      <w:tr>
        <w:trPr>
          <w:trHeight w:val="200"/>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revenue, net</w:t>
            </w:r>
          </w:p>
        </w:tc>
        <w:tc>
          <w:tcPr>
            <w:tcW w:w="7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99"/>
              </w:rPr>
              <w:t>$ 256.9</w:t>
            </w:r>
          </w:p>
        </w:tc>
        <w:tc>
          <w:tcPr>
            <w:tcW w:w="16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$ 157.5</w:t>
            </w:r>
          </w:p>
        </w:tc>
      </w:tr>
      <w:tr>
        <w:trPr>
          <w:trHeight w:val="200"/>
        </w:trPr>
        <w:tc>
          <w:tcPr>
            <w:tcW w:w="8220" w:type="dxa"/>
            <w:vAlign w:val="bottom"/>
          </w:tcPr>
          <w:p>
            <w:pPr>
              <w:spacing w:after="0" w:line="201" w:lineRule="exact"/>
              <w:rPr>
                <w:sz w:val="20"/>
                <w:szCs w:val="20"/>
                <w:color w:val="auto"/>
              </w:rPr>
            </w:pPr>
            <w:r>
              <w:rPr>
                <w:rFonts w:ascii="Arial" w:cs="Arial" w:eastAsia="Arial" w:hAnsi="Arial"/>
                <w:sz w:val="18"/>
                <w:szCs w:val="18"/>
                <w:color w:val="auto"/>
              </w:rPr>
              <w:t>Fulfillment</w:t>
            </w:r>
          </w:p>
        </w:tc>
        <w:tc>
          <w:tcPr>
            <w:tcW w:w="7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118.1</w:t>
            </w:r>
          </w:p>
        </w:tc>
        <w:tc>
          <w:tcPr>
            <w:tcW w:w="16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53.0</w:t>
            </w:r>
          </w:p>
        </w:tc>
      </w:tr>
      <w:tr>
        <w:trPr>
          <w:trHeight w:val="27"/>
        </w:trPr>
        <w:tc>
          <w:tcPr>
            <w:tcW w:w="8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8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Fulfillment profit</w:t>
            </w:r>
          </w:p>
        </w:tc>
        <w:tc>
          <w:tcPr>
            <w:tcW w:w="7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138.8</w:t>
            </w:r>
          </w:p>
        </w:tc>
        <w:tc>
          <w:tcPr>
            <w:tcW w:w="16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104.5</w:t>
            </w:r>
          </w:p>
        </w:tc>
      </w:tr>
      <w:tr>
        <w:trPr>
          <w:trHeight w:val="307"/>
        </w:trPr>
        <w:tc>
          <w:tcPr>
            <w:tcW w:w="8220" w:type="dxa"/>
            <w:vAlign w:val="bottom"/>
          </w:tcPr>
          <w:p>
            <w:pPr>
              <w:spacing w:after="0"/>
              <w:rPr>
                <w:sz w:val="20"/>
                <w:szCs w:val="20"/>
                <w:color w:val="auto"/>
              </w:rPr>
            </w:pPr>
            <w:r>
              <w:rPr>
                <w:rFonts w:ascii="Arial" w:cs="Arial" w:eastAsia="Arial" w:hAnsi="Arial"/>
                <w:sz w:val="18"/>
                <w:szCs w:val="18"/>
                <w:color w:val="auto"/>
              </w:rPr>
              <w:t>Revenue share</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19.1</w:t>
            </w:r>
          </w:p>
        </w:tc>
      </w:tr>
      <w:tr>
        <w:trPr>
          <w:trHeight w:val="33"/>
        </w:trPr>
        <w:tc>
          <w:tcPr>
            <w:tcW w:w="82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8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Gross profit excluding product depreciation</w:t>
            </w:r>
          </w:p>
        </w:tc>
        <w:tc>
          <w:tcPr>
            <w:tcW w:w="7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129.3</w:t>
            </w:r>
          </w:p>
        </w:tc>
        <w:tc>
          <w:tcPr>
            <w:tcW w:w="16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85.4</w:t>
            </w:r>
          </w:p>
        </w:tc>
      </w:tr>
      <w:tr>
        <w:trPr>
          <w:trHeight w:val="200"/>
        </w:trPr>
        <w:tc>
          <w:tcPr>
            <w:tcW w:w="8220" w:type="dxa"/>
            <w:vAlign w:val="bottom"/>
          </w:tcPr>
          <w:p>
            <w:pPr>
              <w:spacing w:after="0" w:line="201" w:lineRule="exact"/>
              <w:rPr>
                <w:sz w:val="20"/>
                <w:szCs w:val="20"/>
                <w:color w:val="auto"/>
              </w:rPr>
            </w:pPr>
            <w:r>
              <w:rPr>
                <w:rFonts w:ascii="Arial" w:cs="Arial" w:eastAsia="Arial" w:hAnsi="Arial"/>
                <w:sz w:val="18"/>
                <w:szCs w:val="18"/>
                <w:color w:val="auto"/>
              </w:rPr>
              <w:t>Rental product depreciation</w:t>
            </w:r>
          </w:p>
        </w:tc>
        <w:tc>
          <w:tcPr>
            <w:tcW w:w="7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75.7</w:t>
            </w:r>
          </w:p>
        </w:tc>
        <w:tc>
          <w:tcPr>
            <w:tcW w:w="16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69.9</w:t>
            </w:r>
          </w:p>
        </w:tc>
      </w:tr>
      <w:tr>
        <w:trPr>
          <w:trHeight w:val="27"/>
        </w:trPr>
        <w:tc>
          <w:tcPr>
            <w:tcW w:w="8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8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Gross profit</w:t>
            </w:r>
          </w:p>
        </w:tc>
        <w:tc>
          <w:tcPr>
            <w:tcW w:w="7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53.6</w:t>
            </w:r>
          </w:p>
        </w:tc>
        <w:tc>
          <w:tcPr>
            <w:tcW w:w="16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15.5</w:t>
            </w:r>
          </w:p>
        </w:tc>
      </w:tr>
      <w:tr>
        <w:trPr>
          <w:trHeight w:val="307"/>
        </w:trPr>
        <w:tc>
          <w:tcPr>
            <w:tcW w:w="8220" w:type="dxa"/>
            <w:vAlign w:val="bottom"/>
          </w:tcPr>
          <w:p>
            <w:pPr>
              <w:spacing w:after="0"/>
              <w:rPr>
                <w:sz w:val="20"/>
                <w:szCs w:val="20"/>
                <w:color w:val="auto"/>
              </w:rPr>
            </w:pPr>
            <w:r>
              <w:rPr>
                <w:rFonts w:ascii="Arial" w:cs="Arial" w:eastAsia="Arial" w:hAnsi="Arial"/>
                <w:sz w:val="18"/>
                <w:szCs w:val="18"/>
                <w:color w:val="auto"/>
              </w:rPr>
              <w:t>Credit card processing fees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r>
      <w:tr>
        <w:trPr>
          <w:trHeight w:val="27"/>
        </w:trPr>
        <w:tc>
          <w:tcPr>
            <w:tcW w:w="8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8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Contribution profit</w:t>
            </w:r>
          </w:p>
        </w:tc>
        <w:tc>
          <w:tcPr>
            <w:tcW w:w="7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45.4</w:t>
            </w:r>
          </w:p>
        </w:tc>
        <w:tc>
          <w:tcPr>
            <w:tcW w:w="16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11.1</w:t>
            </w:r>
          </w:p>
        </w:tc>
      </w:tr>
      <w:tr>
        <w:trPr>
          <w:trHeight w:val="307"/>
        </w:trPr>
        <w:tc>
          <w:tcPr>
            <w:tcW w:w="8220" w:type="dxa"/>
            <w:vAlign w:val="bottom"/>
          </w:tcPr>
          <w:p>
            <w:pPr>
              <w:spacing w:after="0"/>
              <w:rPr>
                <w:sz w:val="20"/>
                <w:szCs w:val="20"/>
                <w:color w:val="auto"/>
              </w:rPr>
            </w:pPr>
            <w:r>
              <w:rPr>
                <w:rFonts w:ascii="Arial" w:cs="Arial" w:eastAsia="Arial" w:hAnsi="Arial"/>
                <w:sz w:val="18"/>
                <w:szCs w:val="18"/>
                <w:color w:val="auto"/>
              </w:rPr>
              <w:t>Technology</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37.7</w:t>
            </w:r>
          </w:p>
        </w:tc>
      </w:tr>
      <w:tr>
        <w:trPr>
          <w:trHeight w:val="200"/>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Marketing</w:t>
            </w:r>
          </w:p>
        </w:tc>
        <w:tc>
          <w:tcPr>
            <w:tcW w:w="7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22.9</w:t>
            </w:r>
          </w:p>
        </w:tc>
        <w:tc>
          <w:tcPr>
            <w:tcW w:w="16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8.1</w:t>
            </w:r>
          </w:p>
        </w:tc>
      </w:tr>
      <w:tr>
        <w:trPr>
          <w:trHeight w:val="200"/>
        </w:trPr>
        <w:tc>
          <w:tcPr>
            <w:tcW w:w="8220" w:type="dxa"/>
            <w:vAlign w:val="bottom"/>
          </w:tcPr>
          <w:p>
            <w:pPr>
              <w:spacing w:after="0" w:line="201" w:lineRule="exact"/>
              <w:rPr>
                <w:sz w:val="20"/>
                <w:szCs w:val="20"/>
                <w:color w:val="auto"/>
              </w:rPr>
            </w:pPr>
            <w:r>
              <w:rPr>
                <w:rFonts w:ascii="Arial" w:cs="Arial" w:eastAsia="Arial" w:hAnsi="Arial"/>
                <w:sz w:val="18"/>
                <w:szCs w:val="18"/>
                <w:color w:val="auto"/>
              </w:rPr>
              <w:t>General and administrative (excluding credit card processing fees)</w:t>
            </w:r>
          </w:p>
        </w:tc>
        <w:tc>
          <w:tcPr>
            <w:tcW w:w="7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90.7</w:t>
            </w:r>
          </w:p>
        </w:tc>
        <w:tc>
          <w:tcPr>
            <w:tcW w:w="16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72.8</w:t>
            </w:r>
          </w:p>
        </w:tc>
      </w:tr>
      <w:tr>
        <w:trPr>
          <w:trHeight w:val="200"/>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depreciation and amortization</w:t>
            </w:r>
          </w:p>
        </w:tc>
        <w:tc>
          <w:tcPr>
            <w:tcW w:w="7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21.6</w:t>
            </w:r>
          </w:p>
        </w:tc>
        <w:tc>
          <w:tcPr>
            <w:tcW w:w="16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23.0</w:t>
            </w:r>
          </w:p>
        </w:tc>
      </w:tr>
      <w:tr>
        <w:trPr>
          <w:trHeight w:val="20"/>
        </w:trPr>
        <w:tc>
          <w:tcPr>
            <w:tcW w:w="8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822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$(130.5)</w:t>
            </w:r>
          </w:p>
        </w:tc>
      </w:tr>
    </w:tbl>
    <w:p>
      <w:pPr>
        <w:spacing w:after="0" w:line="161" w:lineRule="exact"/>
        <w:rPr>
          <w:sz w:val="20"/>
          <w:szCs w:val="20"/>
          <w:color w:val="auto"/>
        </w:rPr>
      </w:pPr>
    </w:p>
    <w:p>
      <w:pPr>
        <w:ind w:left="360" w:right="320" w:firstLine="527"/>
        <w:spacing w:after="0" w:line="239" w:lineRule="auto"/>
        <w:rPr>
          <w:sz w:val="20"/>
          <w:szCs w:val="20"/>
          <w:color w:val="auto"/>
        </w:rPr>
      </w:pPr>
      <w:r>
        <w:rPr>
          <w:rFonts w:ascii="Arial" w:cs="Arial" w:eastAsia="Arial" w:hAnsi="Arial"/>
          <w:sz w:val="18"/>
          <w:szCs w:val="18"/>
          <w:color w:val="auto"/>
        </w:rPr>
        <w:t>Adjusted EBITDA is included in this prospectus because it is a key performance measure used by management to assess our operating performance and the operating leverage of our business.</w:t>
      </w:r>
    </w:p>
    <w:p>
      <w:pPr>
        <w:spacing w:after="0" w:line="162" w:lineRule="exact"/>
        <w:rPr>
          <w:sz w:val="20"/>
          <w:szCs w:val="20"/>
          <w:color w:val="auto"/>
        </w:rPr>
      </w:pPr>
    </w:p>
    <w:p>
      <w:pPr>
        <w:ind w:left="360" w:right="320" w:firstLine="527"/>
        <w:spacing w:after="0" w:line="239"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measures, to Adjusted EBITDA, for the years ended January 31, 2020 and 2021:</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7"/>
          </w:tcPr>
          <w:p>
            <w:pPr>
              <w:ind w:left="180"/>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1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4"/>
        </w:trPr>
        <w:tc>
          <w:tcPr>
            <w:tcW w:w="1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0"/>
              <w:spacing w:after="0" w:line="154" w:lineRule="exact"/>
              <w:rPr>
                <w:sz w:val="20"/>
                <w:szCs w:val="20"/>
                <w:color w:val="auto"/>
              </w:rPr>
            </w:pPr>
            <w:r>
              <w:rPr>
                <w:rFonts w:ascii="Arial" w:cs="Arial" w:eastAsia="Arial" w:hAnsi="Arial"/>
                <w:sz w:val="14"/>
                <w:szCs w:val="14"/>
                <w:b w:val="1"/>
                <w:bCs w:val="1"/>
                <w:color w:val="auto"/>
                <w:w w:val="99"/>
              </w:rPr>
              <w:t>(in millions)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0"/>
        </w:trPr>
        <w:tc>
          <w:tcPr>
            <w:tcW w:w="18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4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w w:val="94"/>
              </w:rPr>
              <w:t>(153.9)</w:t>
            </w:r>
          </w:p>
        </w:tc>
        <w:tc>
          <w:tcPr>
            <w:tcW w:w="9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(171.1)</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Interest (income) / expense, net</w:t>
            </w:r>
            <w:r>
              <w:rPr>
                <w:rFonts w:ascii="Arial" w:cs="Arial" w:eastAsia="Arial" w:hAnsi="Arial"/>
                <w:sz w:val="15"/>
                <w:szCs w:val="15"/>
                <w:color w:val="auto"/>
              </w:rPr>
              <w:t>(1)</w:t>
            </w: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24.0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46.6</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Rental product depreciation</w:t>
            </w: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75.7</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69.9</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Other depreciation and amortization</w:t>
            </w:r>
            <w:r>
              <w:rPr>
                <w:rFonts w:ascii="Arial" w:cs="Arial" w:eastAsia="Arial" w:hAnsi="Arial"/>
                <w:sz w:val="15"/>
                <w:szCs w:val="15"/>
                <w:color w:val="auto"/>
              </w:rPr>
              <w:t>(2)</w:t>
            </w: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21.6</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23.0</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compensation</w:t>
            </w:r>
            <w:r>
              <w:rPr>
                <w:rFonts w:ascii="Arial" w:cs="Arial" w:eastAsia="Arial" w:hAnsi="Arial"/>
                <w:sz w:val="15"/>
                <w:szCs w:val="15"/>
                <w:color w:val="auto"/>
              </w:rPr>
              <w:t>(3)</w:t>
            </w: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6.8</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Write-off of liquidated assets</w:t>
            </w:r>
            <w:r>
              <w:rPr>
                <w:rFonts w:ascii="Arial" w:cs="Arial" w:eastAsia="Arial" w:hAnsi="Arial"/>
                <w:sz w:val="15"/>
                <w:szCs w:val="15"/>
                <w:color w:val="auto"/>
              </w:rPr>
              <w:t>(4)</w:t>
            </w: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4.1</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Non-recurring adjustments</w:t>
            </w:r>
            <w:r>
              <w:rPr>
                <w:rFonts w:ascii="Arial" w:cs="Arial" w:eastAsia="Arial" w:hAnsi="Arial"/>
                <w:sz w:val="15"/>
                <w:szCs w:val="15"/>
                <w:color w:val="auto"/>
              </w:rPr>
              <w:t>(5)</w:t>
            </w: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3.8</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Benefit from income taxes</w:t>
            </w: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(0.2)</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(income) / expense, net</w:t>
            </w: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0.1</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r>
      <w:tr>
        <w:trPr>
          <w:trHeight w:val="200"/>
        </w:trPr>
        <w:tc>
          <w:tcPr>
            <w:tcW w:w="18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Other (gains) / losses</w:t>
            </w:r>
            <w:r>
              <w:rPr>
                <w:rFonts w:ascii="Arial" w:cs="Arial" w:eastAsia="Arial" w:hAnsi="Arial"/>
                <w:sz w:val="15"/>
                <w:szCs w:val="15"/>
                <w:color w:val="auto"/>
              </w:rPr>
              <w:t>(6)</w:t>
            </w: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r>
      <w:tr>
        <w:trPr>
          <w:trHeight w:val="27"/>
        </w:trPr>
        <w:tc>
          <w:tcPr>
            <w:tcW w:w="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0"/>
        </w:trPr>
        <w:tc>
          <w:tcPr>
            <w:tcW w:w="18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(18.0)</w:t>
            </w:r>
          </w:p>
        </w:tc>
        <w:tc>
          <w:tcPr>
            <w:tcW w:w="9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(20.3)</w:t>
            </w: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4"/>
        </w:trPr>
        <w:tc>
          <w:tcPr>
            <w:tcW w:w="18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356"/>
        </w:trPr>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120" w:type="dxa"/>
            <w:vAlign w:val="bottom"/>
          </w:tcPr>
          <w:p>
            <w:pPr>
              <w:jc w:val="right"/>
              <w:ind w:right="277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200025</wp:posOffset>
            </wp:positionV>
            <wp:extent cx="6925945" cy="12172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594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hanging="40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debt discount amortization of $3.2 million in fiscal year 2019 and $5.1 million in fiscal year 2020.</w:t>
      </w:r>
    </w:p>
    <w:p>
      <w:pPr>
        <w:ind w:left="760" w:hanging="40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non-rental product depreciation and capitalized software amortization.</w:t>
      </w:r>
    </w:p>
    <w:p>
      <w:pPr>
        <w:ind w:left="760" w:hanging="40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the non-cash expense for stock-based compensation.</w:t>
      </w:r>
    </w:p>
    <w:p>
      <w:pPr>
        <w:ind w:left="760" w:hanging="40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products that had previously been held for sale.</w:t>
      </w:r>
    </w:p>
    <w:p>
      <w:pPr>
        <w:ind w:left="760" w:hanging="406"/>
        <w:spacing w:after="0" w:line="238" w:lineRule="auto"/>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w:t>
      </w:r>
    </w:p>
    <w:p>
      <w:pPr>
        <w:spacing w:after="0" w:line="1" w:lineRule="exact"/>
        <w:rPr>
          <w:rFonts w:ascii="Arial" w:cs="Arial" w:eastAsia="Arial" w:hAnsi="Arial"/>
          <w:sz w:val="14"/>
          <w:szCs w:val="14"/>
          <w:color w:val="auto"/>
        </w:rPr>
      </w:pPr>
    </w:p>
    <w:p>
      <w:pPr>
        <w:ind w:left="760" w:hanging="40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costs associated with the write-off of asset disposals, operating lease termination and foreign exchange.</w:t>
      </w:r>
    </w:p>
    <w:p>
      <w:pPr>
        <w:spacing w:after="0" w:line="39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60"/>
          </w:cols>
          <w:pgMar w:left="320" w:top="456" w:right="9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ind w:left="180" w:right="20"/>
        <w:spacing w:after="0" w:line="23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 In addition, the impacts of the COVID-19 pandemic may exacerbate the risks described below as well as risks and uncertainties not presently known to us.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00" w:lineRule="exact"/>
        <w:rPr>
          <w:sz w:val="20"/>
          <w:szCs w:val="20"/>
          <w:color w:val="auto"/>
        </w:rPr>
      </w:pPr>
    </w:p>
    <w:p>
      <w:pPr>
        <w:ind w:left="180" w:right="160" w:firstLine="545"/>
        <w:spacing w:after="0" w:line="264"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8"/>
          <w:szCs w:val="18"/>
          <w:color w:val="auto"/>
        </w:rPr>
        <w:t>.</w:t>
      </w:r>
    </w:p>
    <w:p>
      <w:pPr>
        <w:spacing w:after="0" w:line="74" w:lineRule="exact"/>
        <w:rPr>
          <w:sz w:val="20"/>
          <w:szCs w:val="20"/>
          <w:color w:val="auto"/>
        </w:rPr>
      </w:pPr>
    </w:p>
    <w:p>
      <w:pPr>
        <w:ind w:left="180" w:right="280" w:firstLine="545"/>
        <w:spacing w:after="0" w:line="246" w:lineRule="auto"/>
        <w:rPr>
          <w:sz w:val="20"/>
          <w:szCs w:val="20"/>
          <w:color w:val="auto"/>
        </w:rPr>
      </w:pPr>
      <w:r>
        <w:rPr>
          <w:rFonts w:ascii="Arial" w:cs="Arial" w:eastAsia="Arial" w:hAnsi="Arial"/>
          <w:sz w:val="17"/>
          <w:szCs w:val="17"/>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Although the COVID-19 pandemic has materially adversely affected our fiscal year 2020 operating and financial results, resulting in our</w:t>
      </w:r>
    </w:p>
    <w:p>
      <w:pPr>
        <w:ind w:left="180" w:right="640"/>
        <w:spacing w:after="0" w:line="232" w:lineRule="auto"/>
        <w:rPr>
          <w:sz w:val="20"/>
          <w:szCs w:val="20"/>
          <w:color w:val="auto"/>
        </w:rPr>
      </w:pPr>
      <w:r>
        <w:rPr>
          <w:rFonts w:ascii="Arial" w:cs="Arial" w:eastAsia="Arial" w:hAnsi="Arial"/>
          <w:sz w:val="18"/>
          <w:szCs w:val="18"/>
          <w:color w:val="auto"/>
        </w:rPr>
        <w:t>total revenue decreasing 38.7% from $256.9 million in fiscal year 2019 to $157.5 million, our revenue increased % from $ million for the six months ended July 31, 2020 to $ million for the six months ended July 31, 2021 and we may</w:t>
      </w:r>
    </w:p>
    <w:p>
      <w:pPr>
        <w:spacing w:after="0" w:line="1" w:lineRule="exact"/>
        <w:rPr>
          <w:sz w:val="20"/>
          <w:szCs w:val="20"/>
          <w:color w:val="auto"/>
        </w:rPr>
      </w:pPr>
    </w:p>
    <w:p>
      <w:pPr>
        <w:ind w:left="180"/>
        <w:spacing w:after="0" w:line="234" w:lineRule="auto"/>
        <w:rPr>
          <w:sz w:val="20"/>
          <w:szCs w:val="20"/>
          <w:color w:val="auto"/>
        </w:rPr>
      </w:pPr>
      <w:r>
        <w:rPr>
          <w:rFonts w:ascii="Arial" w:cs="Arial" w:eastAsia="Arial" w:hAnsi="Arial"/>
          <w:sz w:val="18"/>
          <w:szCs w:val="18"/>
          <w:color w:val="auto"/>
        </w:rPr>
        <w:t>experience significant growth in the future.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204" w:lineRule="exact"/>
        <w:rPr>
          <w:sz w:val="20"/>
          <w:szCs w:val="20"/>
          <w:color w:val="auto"/>
        </w:rPr>
      </w:pPr>
    </w:p>
    <w:p>
      <w:pPr>
        <w:ind w:left="180" w:right="20" w:firstLine="545"/>
        <w:spacing w:after="0" w:line="246" w:lineRule="auto"/>
        <w:rPr>
          <w:sz w:val="20"/>
          <w:szCs w:val="20"/>
          <w:color w:val="auto"/>
        </w:rPr>
      </w:pPr>
      <w:r>
        <w:rPr>
          <w:rFonts w:ascii="Arial" w:cs="Arial" w:eastAsia="Arial" w:hAnsi="Arial"/>
          <w:sz w:val="17"/>
          <w:szCs w:val="17"/>
          <w:color w:val="auto"/>
        </w:rPr>
        <w:t>Our growth strategy is focused on continuing to grow and retain our subscriber and customer base, expanding our brand partner relationships and product assortment, increasing our brand awareness, advertising and other marketing spending, and continuing to invest</w:t>
      </w:r>
    </w:p>
    <w:p>
      <w:pPr>
        <w:ind w:left="180" w:right="20"/>
        <w:spacing w:after="0" w:line="233" w:lineRule="auto"/>
        <w:rPr>
          <w:sz w:val="20"/>
          <w:szCs w:val="20"/>
          <w:color w:val="auto"/>
        </w:rPr>
      </w:pPr>
      <w:r>
        <w:rPr>
          <w:rFonts w:ascii="Arial" w:cs="Arial" w:eastAsia="Arial" w:hAnsi="Arial"/>
          <w:sz w:val="18"/>
          <w:szCs w:val="18"/>
          <w:color w:val="auto"/>
        </w:rPr>
        <w:t>in our offerings and technology. For the six months ended July 31, 2021, over % of our total revenue was generated by our subscribers. Our base subscription plans range from $89 to $ 199 per month and customers can customize their subscription monthly by purchasing additional slots and shipments. Our subscriptions renew automatically on a monthly basis and the subscribers may disable automatic renewal by canceling their subscription prior to the next month’s bill date. Customers may also pause their subscriptions for one to three months at a time.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items via our Reserve offering a-la-carte for four or eight days at individual rates and we provide resale offerings allowing customers to purchase pre-loved items. Our plans and offerings do not have demonstrably long track records of success and may not grow as much or as fast as we expect. If our growth rate declines, investors’ perception of our business, financial condition and results of operations may be adversely affected. To</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500"/>
        <w:spacing w:after="0" w:line="239" w:lineRule="auto"/>
        <w:rPr>
          <w:sz w:val="20"/>
          <w:szCs w:val="20"/>
          <w:color w:val="auto"/>
        </w:rPr>
      </w:pPr>
      <w:r>
        <w:rPr>
          <w:rFonts w:ascii="Arial" w:cs="Arial" w:eastAsia="Arial" w:hAnsi="Arial"/>
          <w:sz w:val="18"/>
          <w:szCs w:val="18"/>
          <w:color w:val="auto"/>
        </w:rPr>
        <w:t>the extent our growth rate slows, our business performance will become increasingly dependent on our ability to retain revenue from existing subscribers and increased sales to existing customers.</w:t>
      </w:r>
    </w:p>
    <w:p>
      <w:pPr>
        <w:spacing w:after="0" w:line="202" w:lineRule="exact"/>
        <w:rPr>
          <w:sz w:val="20"/>
          <w:szCs w:val="20"/>
          <w:color w:val="auto"/>
        </w:rPr>
      </w:pPr>
    </w:p>
    <w:p>
      <w:pPr>
        <w:ind w:left="180" w:right="40" w:firstLine="545"/>
        <w:spacing w:after="0" w:line="239"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109" w:lineRule="exact"/>
        <w:rPr>
          <w:sz w:val="20"/>
          <w:szCs w:val="20"/>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rental and resale;</w:t>
      </w:r>
    </w:p>
    <w:p>
      <w:pPr>
        <w:spacing w:after="0" w:line="113" w:lineRule="exact"/>
        <w:rPr>
          <w:rFonts w:ascii="Arial" w:cs="Arial" w:eastAsia="Arial" w:hAnsi="Arial"/>
          <w:sz w:val="18"/>
          <w:szCs w:val="18"/>
          <w:color w:val="auto"/>
        </w:rPr>
      </w:pPr>
    </w:p>
    <w:p>
      <w:pPr>
        <w:ind w:left="920" w:right="260" w:hanging="212"/>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our subscription, a-la-carte and resale offerings so that we are able to attract new customers, and retain and expand our relationships with existing customers;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and operating expenses;</w:t>
      </w:r>
    </w:p>
    <w:p>
      <w:pPr>
        <w:spacing w:after="0" w:line="113" w:lineRule="exact"/>
        <w:rPr>
          <w:rFonts w:ascii="Arial" w:cs="Arial" w:eastAsia="Arial" w:hAnsi="Arial"/>
          <w:sz w:val="18"/>
          <w:szCs w:val="18"/>
          <w:color w:val="auto"/>
        </w:rPr>
      </w:pPr>
    </w:p>
    <w:p>
      <w:pPr>
        <w:ind w:left="920" w:right="80" w:hanging="212"/>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evolving customer demands and respond swiftly and appropriately to new and changing styles, trends or desired consumer preferences;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transition from “unlimited” subscriptions to usage-based subscription plans at different price points;</w:t>
      </w:r>
    </w:p>
    <w:p>
      <w:pPr>
        <w:spacing w:after="0" w:line="113" w:lineRule="exact"/>
        <w:rPr>
          <w:rFonts w:ascii="Arial" w:cs="Arial" w:eastAsia="Arial" w:hAnsi="Arial"/>
          <w:sz w:val="18"/>
          <w:szCs w:val="18"/>
          <w:color w:val="auto"/>
        </w:rPr>
      </w:pPr>
    </w:p>
    <w:p>
      <w:pPr>
        <w:ind w:left="920" w:hanging="212"/>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grow our Share by RTR and Exclusive Design offerings;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customers with a high-quality experience, including customer service and support that meets their needs;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3" w:lineRule="exact"/>
        <w:rPr>
          <w:rFonts w:ascii="Arial" w:cs="Arial" w:eastAsia="Arial" w:hAnsi="Arial"/>
          <w:sz w:val="18"/>
          <w:szCs w:val="18"/>
          <w:color w:val="auto"/>
        </w:rPr>
      </w:pPr>
    </w:p>
    <w:p>
      <w:pPr>
        <w:ind w:left="920" w:right="20" w:hanging="212"/>
        <w:spacing w:after="0" w:line="267" w:lineRule="auto"/>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86" w:lineRule="exact"/>
        <w:rPr>
          <w:rFonts w:ascii="Arial" w:cs="Arial" w:eastAsia="Arial" w:hAnsi="Arial"/>
          <w:sz w:val="17"/>
          <w:szCs w:val="17"/>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3" w:lineRule="exact"/>
        <w:rPr>
          <w:rFonts w:ascii="Arial" w:cs="Arial" w:eastAsia="Arial" w:hAnsi="Arial"/>
          <w:sz w:val="18"/>
          <w:szCs w:val="18"/>
          <w:color w:val="auto"/>
        </w:rPr>
      </w:pPr>
    </w:p>
    <w:p>
      <w:pPr>
        <w:ind w:left="920" w:right="160" w:hanging="212"/>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108" w:lineRule="exact"/>
        <w:rPr>
          <w:rFonts w:ascii="Arial" w:cs="Arial" w:eastAsia="Arial" w:hAnsi="Arial"/>
          <w:sz w:val="18"/>
          <w:szCs w:val="18"/>
          <w:color w:val="auto"/>
        </w:rPr>
      </w:pPr>
    </w:p>
    <w:p>
      <w:pPr>
        <w:ind w:left="920" w:right="40" w:hanging="212"/>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w:t>
      </w:r>
    </w:p>
    <w:p>
      <w:pPr>
        <w:spacing w:after="0" w:line="113" w:lineRule="exact"/>
        <w:rPr>
          <w:rFonts w:ascii="Arial" w:cs="Arial" w:eastAsia="Arial" w:hAnsi="Arial"/>
          <w:sz w:val="18"/>
          <w:szCs w:val="18"/>
          <w:color w:val="auto"/>
        </w:rPr>
      </w:pPr>
    </w:p>
    <w:p>
      <w:pPr>
        <w:ind w:left="920" w:right="200" w:hanging="212"/>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 and</w:t>
      </w:r>
    </w:p>
    <w:p>
      <w:pPr>
        <w:spacing w:after="0" w:line="108" w:lineRule="exact"/>
        <w:rPr>
          <w:rFonts w:ascii="Arial" w:cs="Arial" w:eastAsia="Arial" w:hAnsi="Arial"/>
          <w:sz w:val="18"/>
          <w:szCs w:val="18"/>
          <w:color w:val="auto"/>
        </w:rPr>
      </w:pPr>
    </w:p>
    <w:p>
      <w:pPr>
        <w:ind w:left="920" w:right="40" w:hanging="212"/>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identify and acquire, partner or invest in products, technologies, or businesses that we believe could complement or expand our business.</w:t>
      </w:r>
    </w:p>
    <w:p>
      <w:pPr>
        <w:spacing w:after="0" w:line="202"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20"/>
        <w:spacing w:after="0" w:line="239" w:lineRule="auto"/>
        <w:rPr>
          <w:sz w:val="20"/>
          <w:szCs w:val="20"/>
          <w:color w:val="auto"/>
        </w:rPr>
      </w:pPr>
      <w:r>
        <w:rPr>
          <w:rFonts w:ascii="Arial" w:cs="Arial" w:eastAsia="Arial" w:hAnsi="Arial"/>
          <w:sz w:val="18"/>
          <w:szCs w:val="18"/>
          <w:color w:val="auto"/>
        </w:rPr>
        <w:t>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202"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r>
        <w:rPr>
          <w:rFonts w:ascii="Arial" w:cs="Arial" w:eastAsia="Arial" w:hAnsi="Arial"/>
          <w:sz w:val="18"/>
          <w:szCs w:val="18"/>
          <w:color w:val="auto"/>
        </w:rPr>
        <w:t>.</w:t>
      </w:r>
    </w:p>
    <w:p>
      <w:pPr>
        <w:spacing w:after="0" w:line="122"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third-party vendors and service providers, and we may continue to be materially adversely impacted as a result of the negative past, present and future impact upon our brand partners, third-party vendors and service providers.</w:t>
      </w:r>
    </w:p>
    <w:p>
      <w:pPr>
        <w:spacing w:after="0" w:line="101" w:lineRule="exact"/>
        <w:rPr>
          <w:sz w:val="20"/>
          <w:szCs w:val="20"/>
          <w:color w:val="auto"/>
        </w:rPr>
      </w:pPr>
    </w:p>
    <w:p>
      <w:pPr>
        <w:ind w:left="180" w:right="820" w:firstLine="545"/>
        <w:spacing w:after="0" w:line="239" w:lineRule="auto"/>
        <w:rPr>
          <w:sz w:val="20"/>
          <w:szCs w:val="20"/>
          <w:color w:val="auto"/>
        </w:rPr>
      </w:pPr>
      <w:r>
        <w:rPr>
          <w:rFonts w:ascii="Arial" w:cs="Arial" w:eastAsia="Arial" w:hAnsi="Arial"/>
          <w:sz w:val="18"/>
          <w:szCs w:val="18"/>
          <w:color w:val="auto"/>
        </w:rPr>
        <w:t>The COVID-19 pandemic has materially adversely affected our fiscal year 2020 operating and financial results due to the occurrence of the following events or circumstances, among others:</w:t>
      </w:r>
    </w:p>
    <w:p>
      <w:pPr>
        <w:spacing w:after="0" w:line="109" w:lineRule="exact"/>
        <w:rPr>
          <w:sz w:val="20"/>
          <w:szCs w:val="20"/>
          <w:color w:val="auto"/>
        </w:rPr>
      </w:pPr>
    </w:p>
    <w:p>
      <w:pPr>
        <w:ind w:left="920" w:right="400" w:hanging="212"/>
        <w:spacing w:after="0" w:line="23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108" w:lineRule="exact"/>
        <w:rPr>
          <w:rFonts w:ascii="Arial" w:cs="Arial" w:eastAsia="Arial" w:hAnsi="Arial"/>
          <w:sz w:val="18"/>
          <w:szCs w:val="18"/>
          <w:color w:val="auto"/>
        </w:rPr>
      </w:pPr>
    </w:p>
    <w:p>
      <w:pPr>
        <w:ind w:left="920" w:right="280" w:hanging="212"/>
        <w:spacing w:after="0" w:line="237"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number of subscribers paused or canceled their subscriptions or downgraded to lower-priced plans, and we experienced significant decreased demand for our a-la-carte offering and customers canceled their existing orders for special events;</w:t>
      </w:r>
    </w:p>
    <w:p>
      <w:pPr>
        <w:spacing w:after="0" w:line="108" w:lineRule="exact"/>
        <w:rPr>
          <w:rFonts w:ascii="Arial" w:cs="Arial" w:eastAsia="Arial" w:hAnsi="Arial"/>
          <w:sz w:val="18"/>
          <w:szCs w:val="18"/>
          <w:color w:val="auto"/>
        </w:rPr>
      </w:pPr>
    </w:p>
    <w:p>
      <w:pPr>
        <w:ind w:left="920" w:right="600" w:hanging="212"/>
        <w:spacing w:after="0" w:line="23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subscribers engaged less, which impacted the success of our organic marketing and reduced the volume of our data and business insights;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disruptions of the operations of our brand partners and delays in shipment and delivery of our products;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pausing all of our paid marketing spend and eliminating or significantly reducing investments in growth initiatives;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carrying more products relative to customer demand, negatively impacting gross margins;</w:t>
      </w:r>
    </w:p>
    <w:p>
      <w:pPr>
        <w:spacing w:after="0" w:line="113" w:lineRule="exact"/>
        <w:rPr>
          <w:rFonts w:ascii="Arial" w:cs="Arial" w:eastAsia="Arial" w:hAnsi="Arial"/>
          <w:sz w:val="18"/>
          <w:szCs w:val="18"/>
          <w:color w:val="auto"/>
        </w:rPr>
      </w:pPr>
    </w:p>
    <w:p>
      <w:pPr>
        <w:ind w:left="920" w:right="80" w:hanging="212"/>
        <w:spacing w:after="0" w:line="23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performance-based revenue share payments to brands were decreased due to lower total revenue, impacting our brand partner relationships and value proposition;</w:t>
      </w:r>
    </w:p>
    <w:p>
      <w:pPr>
        <w:spacing w:after="0" w:line="108" w:lineRule="exact"/>
        <w:rPr>
          <w:rFonts w:ascii="Arial" w:cs="Arial" w:eastAsia="Arial" w:hAnsi="Arial"/>
          <w:sz w:val="18"/>
          <w:szCs w:val="18"/>
          <w:color w:val="auto"/>
        </w:rPr>
      </w:pPr>
    </w:p>
    <w:p>
      <w:pPr>
        <w:ind w:left="920" w:right="180" w:hanging="212"/>
        <w:spacing w:after="0" w:line="23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implementing temporary salary cuts, employee layoffs and furloughs, and pausing recruiting efforts, which negatively impacted employee morale and resulted in an increase in regrettable employee attrition; and</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closure of our brick-and-mortar retail stores, which was perceived negatively by some customers.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6"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80" w:firstLine="545"/>
        <w:spacing w:after="0" w:line="236" w:lineRule="auto"/>
        <w:rPr>
          <w:sz w:val="20"/>
          <w:szCs w:val="20"/>
          <w:color w:val="auto"/>
        </w:rPr>
      </w:pPr>
      <w:r>
        <w:rPr>
          <w:rFonts w:ascii="Arial" w:cs="Arial" w:eastAsia="Arial" w:hAnsi="Arial"/>
          <w:sz w:val="18"/>
          <w:szCs w:val="18"/>
          <w:color w:val="auto"/>
        </w:rPr>
        <w:t>As the recovery period continues, particularly in the United States, and shelter-in-place orders and travel advisories are lifted, the effects of the COVID-19 pandemic, including the identification and spread of new variants of the virus, such as the Delta variant, may continue to have a negative impact on our business operations and long-term financial results of operations due to the occurrence of the following events or circumstances, among others:</w:t>
      </w:r>
    </w:p>
    <w:p>
      <w:pPr>
        <w:spacing w:after="0" w:line="108" w:lineRule="exact"/>
        <w:rPr>
          <w:sz w:val="20"/>
          <w:szCs w:val="20"/>
          <w:color w:val="auto"/>
        </w:rPr>
      </w:pPr>
    </w:p>
    <w:p>
      <w:pPr>
        <w:ind w:left="920" w:right="160" w:hanging="212"/>
        <w:spacing w:after="0" w:line="237"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difficulty in accurately predicting the timing and pace of our business recovery, particularly increased demand, subscriber levels, and Reserve and resale orders, leading to potentially over-spending and lower profitability if recovery is not as strong as or when we expected;</w:t>
      </w:r>
    </w:p>
    <w:p>
      <w:pPr>
        <w:spacing w:after="0" w:line="108" w:lineRule="exact"/>
        <w:rPr>
          <w:rFonts w:ascii="Arial" w:cs="Arial" w:eastAsia="Arial" w:hAnsi="Arial"/>
          <w:sz w:val="18"/>
          <w:szCs w:val="18"/>
          <w:color w:val="auto"/>
        </w:rPr>
      </w:pPr>
    </w:p>
    <w:p>
      <w:pPr>
        <w:ind w:left="920" w:right="280" w:hanging="212"/>
        <w:spacing w:after="0" w:line="239"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meet increased demand and provide an optimal customer experience as a result of difficulty in hiring additional employees, particularly in our fulfillment, operations and customer experience functions;</w:t>
      </w:r>
    </w:p>
    <w:p>
      <w:pPr>
        <w:spacing w:after="0" w:line="108" w:lineRule="exact"/>
        <w:rPr>
          <w:rFonts w:ascii="Arial" w:cs="Arial" w:eastAsia="Arial" w:hAnsi="Arial"/>
          <w:sz w:val="18"/>
          <w:szCs w:val="18"/>
          <w:color w:val="auto"/>
        </w:rPr>
      </w:pPr>
    </w:p>
    <w:p>
      <w:pPr>
        <w:ind w:left="920" w:right="200" w:hanging="212"/>
        <w:spacing w:after="0" w:line="239"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continuing disruptions of the operations of our brand partners, which could impact our ability to acquire an adequate depth and breadth of products at favorable prices in a timely manner to match demand;</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efficiently re-start our paid marketing efforts; and</w:t>
      </w:r>
    </w:p>
    <w:p>
      <w:pPr>
        <w:spacing w:after="0" w:line="113" w:lineRule="exact"/>
        <w:rPr>
          <w:rFonts w:ascii="Arial" w:cs="Arial" w:eastAsia="Arial" w:hAnsi="Arial"/>
          <w:sz w:val="18"/>
          <w:szCs w:val="18"/>
          <w:color w:val="auto"/>
        </w:rPr>
      </w:pPr>
    </w:p>
    <w:p>
      <w:pPr>
        <w:ind w:left="920" w:right="120" w:hanging="212"/>
        <w:spacing w:after="0" w:line="237"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possible resurgences of the COVID-19 pandemic, including as a result of new variants of the virus, such as the Delta variant, or otherwise, that lead to new or additional shelter-in-place orders and/or travel advisories, which may dampen future demand for our products and offering.</w:t>
      </w:r>
    </w:p>
    <w:p>
      <w:pPr>
        <w:spacing w:after="0" w:line="202"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 -19 adversely affects our operations and global economic conditions more generally, it may also have the effect of heightening many of the other risks described in these Risk Factors.</w:t>
      </w:r>
    </w:p>
    <w:p>
      <w:pPr>
        <w:spacing w:after="0" w:line="202" w:lineRule="exact"/>
        <w:rPr>
          <w:sz w:val="20"/>
          <w:szCs w:val="20"/>
          <w:color w:val="auto"/>
        </w:rPr>
      </w:pPr>
    </w:p>
    <w:p>
      <w:pPr>
        <w:ind w:left="180" w:right="20" w:firstLine="545"/>
        <w:spacing w:after="0" w:line="234" w:lineRule="auto"/>
        <w:rPr>
          <w:sz w:val="20"/>
          <w:szCs w:val="20"/>
          <w:color w:val="auto"/>
        </w:rPr>
      </w:pPr>
      <w:r>
        <w:rPr>
          <w:rFonts w:ascii="Arial" w:cs="Arial" w:eastAsia="Arial" w:hAnsi="Arial"/>
          <w:sz w:val="18"/>
          <w:szCs w:val="18"/>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“Management’s Discussion and Analysis of Financial Position and Results of Operations” for more details on the impact of the COVID-19 pandemic and associated economic disruptions, and the actual operational and financial impacts that we have experienced to date.</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r>
        <w:rPr>
          <w:rFonts w:ascii="Arial" w:cs="Arial" w:eastAsia="Arial" w:hAnsi="Arial"/>
          <w:sz w:val="18"/>
          <w:szCs w:val="18"/>
          <w:color w:val="auto"/>
        </w:rPr>
        <w:t>.</w:t>
      </w:r>
    </w:p>
    <w:p>
      <w:pPr>
        <w:spacing w:after="0" w:line="122" w:lineRule="exact"/>
        <w:rPr>
          <w:sz w:val="20"/>
          <w:szCs w:val="20"/>
          <w:color w:val="auto"/>
        </w:rPr>
      </w:pPr>
    </w:p>
    <w:p>
      <w:pPr>
        <w:jc w:val="both"/>
        <w:ind w:left="180" w:right="20" w:firstLine="545"/>
        <w:spacing w:after="0" w:line="237"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4" w:lineRule="exact"/>
        <w:rPr>
          <w:sz w:val="20"/>
          <w:szCs w:val="20"/>
          <w:color w:val="auto"/>
        </w:rPr>
      </w:pPr>
    </w:p>
    <w:p>
      <w:pPr>
        <w:ind w:left="920" w:hanging="212"/>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how effectively differentiated our offerings and value proposition are from those of our competitors;</w:t>
      </w:r>
    </w:p>
    <w:p>
      <w:pPr>
        <w:spacing w:after="0" w:line="113" w:lineRule="exact"/>
        <w:rPr>
          <w:rFonts w:ascii="Arial" w:cs="Arial" w:eastAsia="Arial" w:hAnsi="Arial"/>
          <w:sz w:val="18"/>
          <w:szCs w:val="18"/>
          <w:color w:val="auto"/>
        </w:rPr>
      </w:pPr>
    </w:p>
    <w:p>
      <w:pPr>
        <w:ind w:left="5520" w:right="2600" w:hanging="4812"/>
        <w:spacing w:after="0" w:line="409" w:lineRule="auto"/>
        <w:tabs>
          <w:tab w:leader="none" w:pos="9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and Reserve offerings; 23</w:t>
      </w:r>
    </w:p>
    <w:p>
      <w:pPr>
        <w:sectPr>
          <w:pgSz w:w="11900" w:h="16838" w:orient="portrait"/>
          <w:cols w:equalWidth="0" w:num="1">
            <w:col w:w="11060"/>
          </w:cols>
          <w:pgMar w:left="320" w:top="45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w:t>
      </w:r>
    </w:p>
    <w:p>
      <w:pPr>
        <w:spacing w:after="0" w:line="113" w:lineRule="exact"/>
        <w:rPr>
          <w:rFonts w:ascii="Arial" w:cs="Arial" w:eastAsia="Arial" w:hAnsi="Arial"/>
          <w:sz w:val="18"/>
          <w:szCs w:val="18"/>
          <w:color w:val="auto"/>
        </w:rPr>
      </w:pPr>
    </w:p>
    <w:p>
      <w:pPr>
        <w:ind w:left="920" w:right="60" w:hanging="212"/>
        <w:spacing w:after="0" w:line="239"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new brand partners and retain existing brand partners in our Share by RTR and Exclusive Design programs and acquire products on favorable and efficient terms;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services to customers;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price at which we are able to offer our rental and resale offerings;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07" w:lineRule="exact"/>
        <w:rPr>
          <w:sz w:val="20"/>
          <w:szCs w:val="20"/>
          <w:color w:val="auto"/>
        </w:rPr>
      </w:pPr>
    </w:p>
    <w:p>
      <w:pPr>
        <w:ind w:left="180" w:right="100" w:firstLine="545"/>
        <w:spacing w:after="0" w:line="234" w:lineRule="auto"/>
        <w:rPr>
          <w:sz w:val="20"/>
          <w:szCs w:val="20"/>
          <w:color w:val="auto"/>
        </w:rPr>
      </w:pPr>
      <w:r>
        <w:rPr>
          <w:rFonts w:ascii="Arial" w:cs="Arial" w:eastAsia="Arial" w:hAnsi="Arial"/>
          <w:sz w:val="18"/>
          <w:szCs w:val="18"/>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They may be willing to price their products and services more aggressively in order to gain market share or generally employ a low-cost pricing model. In addition, brands set pricing for their own new retail items, which can include promotional discounts that may adversely affect the relative value of rental and/or resale items offered by us, and, in turn, our revenue, results of operations and financial condition.</w:t>
      </w:r>
    </w:p>
    <w:p>
      <w:pPr>
        <w:spacing w:after="0" w:line="205"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Some of our potential competitors are vertically integrated and are also engaged in the manufacture and distribution of clothing. These competitors may advantageously leverage this structure to gain market share and certain vertically-integrated organizations with significant market power could potentially utilize this power to make it more difficult for us to compete.</w:t>
      </w:r>
    </w:p>
    <w:p>
      <w:pPr>
        <w:spacing w:after="0" w:line="205"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205" w:lineRule="exact"/>
        <w:rPr>
          <w:sz w:val="20"/>
          <w:szCs w:val="20"/>
          <w:color w:val="auto"/>
        </w:rPr>
      </w:pPr>
    </w:p>
    <w:p>
      <w:pPr>
        <w:ind w:left="180" w:right="280" w:firstLine="545"/>
        <w:spacing w:after="0" w:line="237"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180" w:lineRule="exact"/>
        <w:rPr>
          <w:sz w:val="20"/>
          <w:szCs w:val="20"/>
          <w:color w:val="auto"/>
        </w:rPr>
      </w:pPr>
    </w:p>
    <w:p>
      <w:pPr>
        <w:ind w:left="180" w:firstLine="545"/>
        <w:spacing w:after="0" w:line="264"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6" w:right="5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unable to cost-effectively grow our customer base, our business, financial condition and results of operations would be harmed</w:t>
      </w:r>
      <w:r>
        <w:rPr>
          <w:rFonts w:ascii="Arial" w:cs="Arial" w:eastAsia="Arial" w:hAnsi="Arial"/>
          <w:sz w:val="17"/>
          <w:szCs w:val="17"/>
          <w:color w:val="auto"/>
        </w:rPr>
        <w:t>.</w:t>
      </w:r>
    </w:p>
    <w:p>
      <w:pPr>
        <w:spacing w:after="0" w:line="134"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paused paid marketing as a result of COVID-19, we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they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high proportion of our revenue comes from highly engaged subscribers. For the six months ended July 31, 2021,</w:t>
      </w:r>
    </w:p>
    <w:p>
      <w:pPr>
        <w:ind w:left="180" w:right="100"/>
        <w:spacing w:after="0" w:line="239" w:lineRule="auto"/>
        <w:rPr>
          <w:sz w:val="20"/>
          <w:szCs w:val="20"/>
          <w:color w:val="auto"/>
        </w:rPr>
      </w:pPr>
      <w:r>
        <w:rPr>
          <w:rFonts w:ascii="Arial" w:cs="Arial" w:eastAsia="Arial" w:hAnsi="Arial"/>
          <w:sz w:val="18"/>
          <w:szCs w:val="18"/>
          <w:color w:val="auto"/>
        </w:rPr>
        <w:t>over % of our total revenue was generated by our subscribers. A decrease in the number of existing customers or a reduction in the amount existing customers spend on our offerings could negatively affect our operating results.</w:t>
      </w:r>
    </w:p>
    <w:p>
      <w:pPr>
        <w:spacing w:after="0" w:line="202" w:lineRule="exact"/>
        <w:rPr>
          <w:sz w:val="20"/>
          <w:szCs w:val="20"/>
          <w:color w:val="auto"/>
        </w:rPr>
      </w:pPr>
    </w:p>
    <w:p>
      <w:pPr>
        <w:ind w:left="180" w:right="440" w:firstLine="545"/>
        <w:spacing w:after="0" w:line="239"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109" w:lineRule="exact"/>
        <w:rPr>
          <w:sz w:val="20"/>
          <w:szCs w:val="20"/>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07" w:lineRule="exact"/>
        <w:rPr>
          <w:rFonts w:ascii="Arial" w:cs="Arial" w:eastAsia="Arial" w:hAnsi="Arial"/>
          <w:sz w:val="18"/>
          <w:szCs w:val="18"/>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113" w:lineRule="exact"/>
        <w:rPr>
          <w:rFonts w:ascii="Arial" w:cs="Arial" w:eastAsia="Arial" w:hAnsi="Arial"/>
          <w:sz w:val="18"/>
          <w:szCs w:val="18"/>
          <w:color w:val="auto"/>
        </w:rPr>
      </w:pPr>
    </w:p>
    <w:p>
      <w:pPr>
        <w:ind w:left="920" w:right="680" w:hanging="212"/>
        <w:spacing w:after="0" w:line="239"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unpredictable nature of the impact of the COVID-19 pandemic or a future outbreak of disease or similar public health concern;</w:t>
      </w:r>
    </w:p>
    <w:p>
      <w:pPr>
        <w:spacing w:after="0" w:line="108" w:lineRule="exact"/>
        <w:rPr>
          <w:rFonts w:ascii="Arial" w:cs="Arial" w:eastAsia="Arial" w:hAnsi="Arial"/>
          <w:sz w:val="18"/>
          <w:szCs w:val="18"/>
          <w:color w:val="auto"/>
        </w:rPr>
      </w:pPr>
    </w:p>
    <w:p>
      <w:pPr>
        <w:ind w:left="920" w:right="320" w:hanging="212"/>
        <w:spacing w:after="0" w:line="239"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or ESG, initiatives;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 or</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207" w:lineRule="exact"/>
        <w:rPr>
          <w:sz w:val="20"/>
          <w:szCs w:val="20"/>
          <w:color w:val="auto"/>
        </w:rPr>
      </w:pPr>
    </w:p>
    <w:p>
      <w:pPr>
        <w:ind w:left="180" w:right="40" w:firstLine="545"/>
        <w:spacing w:after="0" w:line="237" w:lineRule="auto"/>
        <w:rPr>
          <w:sz w:val="20"/>
          <w:szCs w:val="20"/>
          <w:color w:val="auto"/>
        </w:rPr>
      </w:pPr>
      <w:r>
        <w:rPr>
          <w:rFonts w:ascii="Arial" w:cs="Arial" w:eastAsia="Arial" w:hAnsi="Arial"/>
          <w:sz w:val="18"/>
          <w:szCs w:val="18"/>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6"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60"/>
        <w:spacing w:after="0" w:line="234" w:lineRule="auto"/>
        <w:rPr>
          <w:sz w:val="20"/>
          <w:szCs w:val="20"/>
          <w:color w:val="auto"/>
        </w:rPr>
      </w:pPr>
      <w:r>
        <w:rPr>
          <w:rFonts w:ascii="Arial" w:cs="Arial" w:eastAsia="Arial" w:hAnsi="Arial"/>
          <w:sz w:val="18"/>
          <w:szCs w:val="18"/>
          <w:color w:val="auto"/>
        </w:rPr>
        <w:t>word-of-mouth and other referrals may be hampered.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183" w:lineRule="exact"/>
        <w:rPr>
          <w:sz w:val="20"/>
          <w:szCs w:val="20"/>
          <w:color w:val="auto"/>
        </w:rPr>
      </w:pPr>
    </w:p>
    <w:p>
      <w:pPr>
        <w:ind w:left="180" w:right="500" w:firstLine="545"/>
        <w:spacing w:after="0" w:line="264"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8"/>
          <w:szCs w:val="18"/>
          <w:color w:val="auto"/>
        </w:rPr>
        <w:t>.</w:t>
      </w:r>
    </w:p>
    <w:p>
      <w:pPr>
        <w:spacing w:after="0" w:line="74"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202" w:lineRule="exact"/>
        <w:rPr>
          <w:sz w:val="20"/>
          <w:szCs w:val="20"/>
          <w:color w:val="auto"/>
        </w:rPr>
      </w:pPr>
    </w:p>
    <w:p>
      <w:pPr>
        <w:ind w:left="180" w:firstLine="545"/>
        <w:spacing w:after="0" w:line="251" w:lineRule="auto"/>
        <w:rPr>
          <w:sz w:val="20"/>
          <w:szCs w:val="20"/>
          <w:color w:val="auto"/>
        </w:rPr>
      </w:pPr>
      <w:r>
        <w:rPr>
          <w:rFonts w:ascii="Arial" w:cs="Arial" w:eastAsia="Arial" w:hAnsi="Arial"/>
          <w:sz w:val="17"/>
          <w:szCs w:val="17"/>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93"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22"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color w:val="auto"/>
        </w:rPr>
        <w:t>We had a net loss of $171.1 million for the year ended January 31, 2021 and have in the past had net losses. As of January 31, 2021, we had an accumulated deficit of $ 589.4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201" w:lineRule="exact"/>
        <w:rPr>
          <w:sz w:val="20"/>
          <w:szCs w:val="20"/>
          <w:color w:val="auto"/>
        </w:rPr>
      </w:pPr>
    </w:p>
    <w:p>
      <w:pPr>
        <w:ind w:left="180" w:right="100" w:firstLine="545"/>
        <w:spacing w:after="0" w:line="267" w:lineRule="auto"/>
        <w:rPr>
          <w:sz w:val="20"/>
          <w:szCs w:val="20"/>
          <w:color w:val="auto"/>
        </w:rPr>
      </w:pPr>
      <w:r>
        <w:rPr>
          <w:rFonts w:ascii="Arial" w:cs="Arial" w:eastAsia="Arial" w:hAnsi="Arial"/>
          <w:sz w:val="17"/>
          <w:szCs w:val="17"/>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86" w:lineRule="exact"/>
        <w:rPr>
          <w:sz w:val="20"/>
          <w:szCs w:val="20"/>
          <w:color w:val="auto"/>
        </w:rPr>
      </w:pPr>
    </w:p>
    <w:p>
      <w:pPr>
        <w:ind w:left="920" w:hanging="212"/>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acquire products;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the engagement of customers;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enhance our website and mobile offerings and functionality; and</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6"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invest in our operations, including our logistics fulfillment and capacity, to support the growth in our business.</w:t>
      </w:r>
    </w:p>
    <w:p>
      <w:pPr>
        <w:spacing w:after="0" w:line="207" w:lineRule="exact"/>
        <w:rPr>
          <w:sz w:val="20"/>
          <w:szCs w:val="20"/>
          <w:color w:val="auto"/>
        </w:rPr>
      </w:pPr>
    </w:p>
    <w:p>
      <w:pPr>
        <w:ind w:left="180" w:right="120" w:firstLine="545"/>
        <w:spacing w:after="0" w:line="234" w:lineRule="auto"/>
        <w:rPr>
          <w:sz w:val="20"/>
          <w:szCs w:val="20"/>
          <w:color w:val="auto"/>
        </w:rPr>
      </w:pPr>
      <w:r>
        <w:rPr>
          <w:rFonts w:ascii="Arial" w:cs="Arial" w:eastAsia="Arial" w:hAnsi="Arial"/>
          <w:sz w:val="18"/>
          <w:szCs w:val="18"/>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182" w:lineRule="exact"/>
        <w:rPr>
          <w:sz w:val="20"/>
          <w:szCs w:val="20"/>
          <w:color w:val="auto"/>
        </w:rPr>
      </w:pPr>
    </w:p>
    <w:p>
      <w:pPr>
        <w:ind w:left="180" w:right="160" w:firstLine="545"/>
        <w:spacing w:after="0" w:line="264" w:lineRule="auto"/>
        <w:rPr>
          <w:sz w:val="20"/>
          <w:szCs w:val="20"/>
          <w:color w:val="auto"/>
        </w:rPr>
      </w:pPr>
      <w:r>
        <w:rPr>
          <w:rFonts w:ascii="Arial" w:cs="Arial" w:eastAsia="Arial" w:hAnsi="Arial"/>
          <w:sz w:val="18"/>
          <w:szCs w:val="18"/>
          <w:b w:val="1"/>
          <w:bCs w:val="1"/>
          <w:i w:val="1"/>
          <w:iCs w:val="1"/>
          <w:color w:val="auto"/>
        </w:rPr>
        <w:t>If we are unable to accurately forecast customer demand, manage our products effectively and plan for future expenses, our operating results could be adversely affected.</w:t>
      </w:r>
    </w:p>
    <w:p>
      <w:pPr>
        <w:spacing w:after="0" w:line="74"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over 750 brand partners through purchasing products from our brand partners typically at a discount to wholesale cost, or Wholesale, acquired directly from brand partners on consignment at low upfront cost, with performance-based revenue share payments to our brand partners over time, or Share by RTR, and designing items using our data in collaboration with our brand partners and manufacturing items through third-party partners, or Exclusive Designs, arrangements with designer or manufacturing partners. For our business to be successful, our brand partners must be willing and able to provide us with products in specific quantities and styles of sufficient quality, in compliance with regulatory requirements, at acceptable costs and on a timely basis. We typically do not enter into long-term contracts with our brand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206" w:lineRule="exact"/>
        <w:rPr>
          <w:sz w:val="20"/>
          <w:szCs w:val="20"/>
          <w:color w:val="auto"/>
        </w:rPr>
      </w:pPr>
    </w:p>
    <w:p>
      <w:pPr>
        <w:ind w:left="180" w:right="100" w:firstLine="545"/>
        <w:spacing w:after="0" w:line="246" w:lineRule="auto"/>
        <w:rPr>
          <w:sz w:val="20"/>
          <w:szCs w:val="20"/>
          <w:color w:val="auto"/>
        </w:rPr>
      </w:pPr>
      <w:r>
        <w:rPr>
          <w:rFonts w:ascii="Arial" w:cs="Arial" w:eastAsia="Arial" w:hAnsi="Arial"/>
          <w:sz w:val="17"/>
          <w:szCs w:val="17"/>
          <w:color w:val="auto"/>
        </w:rPr>
        <w:t>In fiscal years 2019 and 2020, we expanded our relationships with brand partners and increased the proportion of our products procured under Share by RTR, and Exclusive Designs arrangements, which reduced our upfront cost of products. For Wholesale and Share by RTR items, entering into contracts in advance of a particular season requires brand partners to agree to incur costs related to manufacturing products before we have paid for it, which requires the brand partner and brands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w:t>
      </w:r>
    </w:p>
    <w:p>
      <w:pPr>
        <w:ind w:left="180" w:right="60" w:hanging="6"/>
        <w:spacing w:after="0" w:line="232" w:lineRule="auto"/>
        <w:tabs>
          <w:tab w:leader="none" w:pos="4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lack of trust in us, (2) lack of revenue earned in comparison to the projections we provided, (3) their inability to continue to spread their earnings out over the time period that the products are earning revenue on our 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and our quality standards. Our ability to obtain a sufficient selection or volume of Share by RTR</w:t>
      </w:r>
    </w:p>
    <w:p>
      <w:pPr>
        <w:spacing w:after="0" w:line="1" w:lineRule="exact"/>
        <w:rPr>
          <w:rFonts w:ascii="Arial" w:cs="Arial" w:eastAsia="Arial" w:hAnsi="Arial"/>
          <w:sz w:val="18"/>
          <w:szCs w:val="18"/>
          <w:color w:val="auto"/>
        </w:rPr>
      </w:pPr>
    </w:p>
    <w:p>
      <w:pPr>
        <w:ind w:left="180" w:right="40"/>
        <w:spacing w:after="0" w:line="239" w:lineRule="auto"/>
        <w:rPr>
          <w:rFonts w:ascii="Arial" w:cs="Arial" w:eastAsia="Arial" w:hAnsi="Arial"/>
          <w:sz w:val="18"/>
          <w:szCs w:val="18"/>
          <w:color w:val="auto"/>
        </w:rPr>
      </w:pPr>
      <w:r>
        <w:rPr>
          <w:rFonts w:ascii="Arial" w:cs="Arial" w:eastAsia="Arial" w:hAnsi="Arial"/>
          <w:sz w:val="18"/>
          <w:szCs w:val="18"/>
          <w:color w:val="auto"/>
        </w:rPr>
        <w:t>products on a timely basis at competitive prices could suffer as a result of any deterioration or change in our brand partner relationships or events that adversely affect our partners.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6"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We also source products directly from brand partners outside of the United States, including Europe, Asia and around the globe. Global sourcing and foreign trade involve numerous factors and uncertainties beyond our control including increased shipping costs, the imposition of additional import or trade restrictions, including legal or economic restrictions on overseas brand partners’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products sourcing in fiscal years 2020 and 2021 was handled remotely via video and teleconference instead of in-person. Future extended disruptions in travel and the ability to source products in-person may not be successful, and our partners may continue to face challenges in capital availability, which could lead to reduced or suboptimal products and harm our business. In addition, negative press or consumer sentiment about internationally sourced products may lead to reduced demand for our products. These and other issues affecting our international brand partners or internationally sourced products could have a material adverse effect on our business, financial condition, and results of operations.</w:t>
      </w:r>
    </w:p>
    <w:p>
      <w:pPr>
        <w:spacing w:after="0" w:line="207"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In addition, we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202"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180" w:lineRule="exact"/>
        <w:rPr>
          <w:sz w:val="20"/>
          <w:szCs w:val="20"/>
          <w:color w:val="auto"/>
        </w:rPr>
      </w:pPr>
    </w:p>
    <w:p>
      <w:pPr>
        <w:jc w:val="both"/>
        <w:ind w:left="180" w:right="120" w:firstLine="545"/>
        <w:spacing w:after="0" w:line="294" w:lineRule="auto"/>
        <w:rPr>
          <w:sz w:val="20"/>
          <w:szCs w:val="20"/>
          <w:color w:val="auto"/>
        </w:rPr>
      </w:pPr>
      <w:r>
        <w:rPr>
          <w:rFonts w:ascii="Arial" w:cs="Arial" w:eastAsia="Arial" w:hAnsi="Arial"/>
          <w:sz w:val="17"/>
          <w:szCs w:val="17"/>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7"/>
          <w:szCs w:val="17"/>
          <w:color w:val="auto"/>
        </w:rPr>
        <w:t>.</w:t>
      </w:r>
    </w:p>
    <w:p>
      <w:pPr>
        <w:spacing w:after="0" w:line="51" w:lineRule="exact"/>
        <w:rPr>
          <w:sz w:val="20"/>
          <w:szCs w:val="20"/>
          <w:color w:val="auto"/>
        </w:rPr>
      </w:pPr>
    </w:p>
    <w:p>
      <w:pPr>
        <w:ind w:left="180" w:right="80" w:firstLine="545"/>
        <w:spacing w:after="0" w:line="233"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209" w:lineRule="exact"/>
        <w:rPr>
          <w:sz w:val="20"/>
          <w:szCs w:val="20"/>
          <w:color w:val="auto"/>
        </w:rPr>
      </w:pPr>
    </w:p>
    <w:p>
      <w:pPr>
        <w:ind w:left="180" w:right="260" w:firstLine="545"/>
        <w:spacing w:after="0" w:line="237"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products mix we currently or will offer in the future.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80" w:firstLine="545"/>
        <w:spacing w:after="0" w:line="233"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we have recently phased out our “unlimited swaps” subscription plan and shifted to several subscription plans at different price points based on usage, which may introduce too much complexity for customers or be perceived as less value than the previously offered plans. We have increased our resale offerings of pre-loved products, which could introduce the uncertainty of merchandise returns and negatively impact our business. We also have expanded the categories of products we offer, such as including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183" w:lineRule="exact"/>
        <w:rPr>
          <w:sz w:val="20"/>
          <w:szCs w:val="20"/>
          <w:color w:val="auto"/>
        </w:rPr>
      </w:pPr>
    </w:p>
    <w:p>
      <w:pPr>
        <w:ind w:left="180" w:right="60" w:firstLine="545"/>
        <w:spacing w:after="0" w:line="264"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74" w:lineRule="exact"/>
        <w:rPr>
          <w:sz w:val="20"/>
          <w:szCs w:val="20"/>
          <w:color w:val="auto"/>
        </w:rPr>
      </w:pPr>
    </w:p>
    <w:p>
      <w:pPr>
        <w:ind w:left="180" w:right="40" w:firstLine="545"/>
        <w:spacing w:after="0" w:line="233"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209"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204" w:lineRule="exact"/>
        <w:rPr>
          <w:sz w:val="20"/>
          <w:szCs w:val="20"/>
          <w:color w:val="auto"/>
        </w:rPr>
      </w:pPr>
    </w:p>
    <w:p>
      <w:pPr>
        <w:ind w:left="180" w:right="20" w:firstLine="545"/>
        <w:spacing w:after="0" w:line="237" w:lineRule="auto"/>
        <w:rPr>
          <w:sz w:val="20"/>
          <w:szCs w:val="20"/>
          <w:color w:val="auto"/>
        </w:rPr>
      </w:pPr>
      <w:r>
        <w:rPr>
          <w:rFonts w:ascii="Arial" w:cs="Arial" w:eastAsia="Arial" w:hAnsi="Arial"/>
          <w:sz w:val="18"/>
          <w:szCs w:val="18"/>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both"/>
        <w:ind w:left="180" w:right="380" w:firstLine="545"/>
        <w:spacing w:after="0" w:line="294" w:lineRule="auto"/>
        <w:rPr>
          <w:sz w:val="20"/>
          <w:szCs w:val="20"/>
          <w:color w:val="auto"/>
        </w:rPr>
      </w:pPr>
      <w:r>
        <w:rPr>
          <w:rFonts w:ascii="Arial" w:cs="Arial" w:eastAsia="Arial" w:hAnsi="Arial"/>
          <w:sz w:val="17"/>
          <w:szCs w:val="17"/>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51"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206" w:lineRule="exact"/>
        <w:rPr>
          <w:sz w:val="20"/>
          <w:szCs w:val="20"/>
          <w:color w:val="auto"/>
        </w:rPr>
      </w:pPr>
    </w:p>
    <w:p>
      <w:pPr>
        <w:ind w:left="180" w:right="40" w:firstLine="545"/>
        <w:spacing w:after="0" w:line="233" w:lineRule="auto"/>
        <w:rPr>
          <w:sz w:val="20"/>
          <w:szCs w:val="20"/>
          <w:color w:val="auto"/>
        </w:rPr>
      </w:pPr>
      <w:r>
        <w:rPr>
          <w:rFonts w:ascii="Arial" w:cs="Arial" w:eastAsia="Arial" w:hAnsi="Arial"/>
          <w:sz w:val="18"/>
          <w:szCs w:val="18"/>
          <w:color w:val="auto"/>
        </w:rPr>
        <w:t>The technology underlying our platform is highly interconnected and complex and may contain undetected errors or vulnerabilities. Due to the interconnected nature of the software underlying our platform, updates to parts of our code, third-party code, and APIs,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184" w:lineRule="exact"/>
        <w:rPr>
          <w:sz w:val="20"/>
          <w:szCs w:val="20"/>
          <w:color w:val="auto"/>
        </w:rPr>
      </w:pPr>
    </w:p>
    <w:p>
      <w:pPr>
        <w:ind w:left="180" w:right="340" w:firstLine="545"/>
        <w:spacing w:after="0" w:line="264" w:lineRule="auto"/>
        <w:rPr>
          <w:sz w:val="20"/>
          <w:szCs w:val="20"/>
          <w:color w:val="auto"/>
        </w:rPr>
      </w:pPr>
      <w:r>
        <w:rPr>
          <w:rFonts w:ascii="Arial" w:cs="Arial" w:eastAsia="Arial" w:hAnsi="Arial"/>
          <w:sz w:val="18"/>
          <w:szCs w:val="18"/>
          <w:b w:val="1"/>
          <w:bCs w:val="1"/>
          <w:i w:val="1"/>
          <w:iCs w:val="1"/>
          <w:color w:val="auto"/>
        </w:rPr>
        <w:t>Any significant technology disruption or failure or data security incident could adversely affect our business, financial condition and operation</w:t>
      </w:r>
      <w:r>
        <w:rPr>
          <w:rFonts w:ascii="Arial" w:cs="Arial" w:eastAsia="Arial" w:hAnsi="Arial"/>
          <w:sz w:val="18"/>
          <w:szCs w:val="18"/>
          <w:color w:val="auto"/>
        </w:rPr>
        <w:t>.</w:t>
      </w:r>
    </w:p>
    <w:p>
      <w:pPr>
        <w:spacing w:after="0" w:line="74" w:lineRule="exact"/>
        <w:rPr>
          <w:sz w:val="20"/>
          <w:szCs w:val="20"/>
          <w:color w:val="auto"/>
        </w:rPr>
      </w:pPr>
    </w:p>
    <w:p>
      <w:pPr>
        <w:ind w:left="180" w:right="100" w:firstLine="545"/>
        <w:spacing w:after="0" w:line="234" w:lineRule="auto"/>
        <w:rPr>
          <w:sz w:val="20"/>
          <w:szCs w:val="20"/>
          <w:color w:val="auto"/>
        </w:rPr>
      </w:pPr>
      <w:r>
        <w:rPr>
          <w:rFonts w:ascii="Arial" w:cs="Arial" w:eastAsia="Arial" w:hAnsi="Arial"/>
          <w:sz w:val="18"/>
          <w:szCs w:val="18"/>
          <w:color w:val="auto"/>
        </w:rPr>
        <w:t>Our ability to effectively manage our business, particularly our products management and fulfillment operations, depends significantly on the reliability and capacity of our in-house proprietary technology, third-party software and infrastructure, and customized off-the-shelf solutions. We also collect, process and store sensitive and confidential information, including our proprietary business information and information regarding our customers, employees, suppliers and business partners. The secure processing, maintenance and transmission of this information is critical to our operations. Our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80" w:right="100"/>
        <w:spacing w:after="0" w:line="253" w:lineRule="auto"/>
        <w:rPr>
          <w:sz w:val="20"/>
          <w:szCs w:val="20"/>
          <w:color w:val="auto"/>
        </w:rPr>
      </w:pPr>
      <w:r>
        <w:rPr>
          <w:rFonts w:ascii="Arial" w:cs="Arial" w:eastAsia="Arial" w:hAnsi="Arial"/>
          <w:sz w:val="17"/>
          <w:szCs w:val="17"/>
          <w:color w:val="auto"/>
        </w:rPr>
        <w:t>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91"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Our systems and those of our third-party service providers and business partners may be vulnerable to security incidents, attacks by hackers, acts of vandalism, malware, social engineering, denial or degradation of service attacks, computer viruses, supply chain attacks, phishing attacks, ransomware attacks, misplaced or lost data, human errors or other similar events. If unauthorized parties gain access to our networks or databases, or those of our third-party service providers or business partners, they may be able to steal, publish, sell, delete, use inappropriately or modify private and sensitive information including credit card information and personally identifiable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can be highly sophisticated, change frequently, are increasingly designed to evade detection, are often not recognized until launched against a target and may originate from less regulated and remote areas around the world, we may be unable to address all possible techniques or implement adequate preventive measures for all situations.</w:t>
      </w:r>
    </w:p>
    <w:p>
      <w:pPr>
        <w:spacing w:after="0" w:line="205"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The aforementioned types of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204"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Moreover, while we maintain cyber insurance that may help provide coverage for these types of events, we cannot assure you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or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4" w:lineRule="exact"/>
        <w:rPr>
          <w:sz w:val="20"/>
          <w:szCs w:val="20"/>
          <w:color w:val="auto"/>
        </w:rPr>
      </w:pPr>
    </w:p>
    <w:p>
      <w:pPr>
        <w:ind w:left="180" w:right="80" w:firstLine="545"/>
        <w:spacing w:after="0" w:line="235" w:lineRule="auto"/>
        <w:rPr>
          <w:sz w:val="20"/>
          <w:szCs w:val="20"/>
          <w:color w:val="auto"/>
        </w:rPr>
      </w:pPr>
      <w:r>
        <w:rPr>
          <w:rFonts w:ascii="Arial" w:cs="Arial" w:eastAsia="Arial" w:hAnsi="Arial"/>
          <w:sz w:val="18"/>
          <w:szCs w:val="18"/>
          <w:color w:val="auto"/>
        </w:rPr>
        <w:t>We also rely on a number of third-party service providers to operate our critical business systems and process confidential and personal information, such as our shipping partners, Human Resources Information System and payment processor. These service providers may not have adequate security measures and could experience a security incident that compromises the confidentiality, integrity, or availability of the systems they operate for us or the information they process on our behalf and may not react or notify us in a timely manner. Moreover, we or our third-party service providers may be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320" w:top="456"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80"/>
        <w:spacing w:after="0" w:line="237" w:lineRule="auto"/>
        <w:rPr>
          <w:sz w:val="20"/>
          <w:szCs w:val="20"/>
          <w:color w:val="auto"/>
        </w:rPr>
      </w:pPr>
      <w:r>
        <w:rPr>
          <w:rFonts w:ascii="Arial" w:cs="Arial" w:eastAsia="Arial" w:hAnsi="Arial"/>
          <w:sz w:val="18"/>
          <w:szCs w:val="18"/>
          <w:color w:val="auto"/>
        </w:rPr>
        <w:t>more vulnerable to such attacks in remote work environments, which have increased in response to the COVID-19 pandemic. Any cyberattack, security incident, or material disruption or slowdown affecting our systems or those of our third-party service providers and business partners, could have a material adverse effect on our business, financial condition, and results of operations.</w:t>
      </w:r>
    </w:p>
    <w:p>
      <w:pPr>
        <w:spacing w:after="0" w:line="180" w:lineRule="exact"/>
        <w:rPr>
          <w:sz w:val="20"/>
          <w:szCs w:val="20"/>
          <w:color w:val="auto"/>
        </w:rPr>
      </w:pPr>
    </w:p>
    <w:p>
      <w:pPr>
        <w:ind w:left="180" w:right="60" w:firstLine="545"/>
        <w:spacing w:after="0" w:line="264"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74"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and rental and resale orders depends on efficient and uninterrupted e-commerce order-taking and fulfillment operations. If we are unable to allow real-time and accurate visibility to products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Risks associated with our e-commerce business include:</w:t>
      </w:r>
    </w:p>
    <w:p>
      <w:pPr>
        <w:spacing w:after="0" w:line="114" w:lineRule="exact"/>
        <w:rPr>
          <w:sz w:val="20"/>
          <w:szCs w:val="20"/>
          <w:color w:val="auto"/>
        </w:rPr>
      </w:pPr>
    </w:p>
    <w:p>
      <w:pPr>
        <w:ind w:left="920" w:right="280" w:hanging="212"/>
        <w:spacing w:after="0" w:line="256"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95" w:lineRule="exact"/>
        <w:rPr>
          <w:rFonts w:ascii="Arial" w:cs="Arial" w:eastAsia="Arial" w:hAnsi="Arial"/>
          <w:sz w:val="17"/>
          <w:szCs w:val="17"/>
          <w:color w:val="auto"/>
        </w:rPr>
      </w:pPr>
    </w:p>
    <w:p>
      <w:pPr>
        <w:ind w:left="920" w:hanging="2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cybersecurity and consumer privacy concerns and regulation;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07" w:lineRule="exact"/>
        <w:rPr>
          <w:sz w:val="20"/>
          <w:szCs w:val="20"/>
          <w:color w:val="auto"/>
        </w:rPr>
      </w:pPr>
    </w:p>
    <w:p>
      <w:pPr>
        <w:ind w:left="180" w:right="60" w:firstLine="545"/>
        <w:spacing w:after="0" w:line="236"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201"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virtual and augmented reality and other e -commerce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180" w:lineRule="exact"/>
        <w:rPr>
          <w:sz w:val="20"/>
          <w:szCs w:val="20"/>
          <w:color w:val="auto"/>
        </w:rPr>
      </w:pPr>
    </w:p>
    <w:p>
      <w:pPr>
        <w:ind w:left="180" w:right="680" w:firstLine="545"/>
        <w:spacing w:after="0" w:line="264"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We currently rely on several third-party national and regional shipping vendors for our outbound and inbound logistics. A substantial majority of our inbound shipments from customers are currently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6"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60"/>
        <w:spacing w:after="0" w:line="237" w:lineRule="auto"/>
        <w:rPr>
          <w:sz w:val="20"/>
          <w:szCs w:val="20"/>
          <w:color w:val="auto"/>
        </w:rPr>
      </w:pPr>
      <w:r>
        <w:rPr>
          <w:rFonts w:ascii="Arial" w:cs="Arial" w:eastAsia="Arial" w:hAnsi="Arial"/>
          <w:sz w:val="18"/>
          <w:szCs w:val="18"/>
          <w:color w:val="auto"/>
        </w:rPr>
        <w:t>returned through a single vendor—we have from time to time transitioned, and are currently in the process of transitioning, inbound shipments from this vendor to multiple other vendors, and we cannot predict how this transition may impact our costs and our customer sentiment and satisfaction.</w:t>
      </w:r>
    </w:p>
    <w:p>
      <w:pPr>
        <w:spacing w:after="0" w:line="202" w:lineRule="exact"/>
        <w:rPr>
          <w:sz w:val="20"/>
          <w:szCs w:val="20"/>
          <w:color w:val="auto"/>
        </w:rPr>
      </w:pPr>
    </w:p>
    <w:p>
      <w:pPr>
        <w:ind w:left="180" w:right="80" w:firstLine="545"/>
        <w:spacing w:after="0" w:line="236"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201"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could cause a decrease in their service levels or result in an increase of their prices.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209" w:lineRule="exact"/>
        <w:rPr>
          <w:sz w:val="20"/>
          <w:szCs w:val="20"/>
          <w:color w:val="auto"/>
        </w:rPr>
      </w:pPr>
    </w:p>
    <w:p>
      <w:pPr>
        <w:ind w:left="180" w:right="380" w:firstLine="545"/>
        <w:spacing w:after="0" w:line="236" w:lineRule="auto"/>
        <w:rPr>
          <w:sz w:val="20"/>
          <w:szCs w:val="20"/>
          <w:color w:val="auto"/>
        </w:rPr>
      </w:pPr>
      <w:r>
        <w:rPr>
          <w:rFonts w:ascii="Arial" w:cs="Arial" w:eastAsia="Arial" w:hAnsi="Arial"/>
          <w:sz w:val="18"/>
          <w:szCs w:val="18"/>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179" w:lineRule="exact"/>
        <w:rPr>
          <w:sz w:val="20"/>
          <w:szCs w:val="20"/>
          <w:color w:val="auto"/>
        </w:rPr>
      </w:pPr>
    </w:p>
    <w:p>
      <w:pPr>
        <w:ind w:left="180" w:right="1100" w:firstLine="545"/>
        <w:spacing w:after="0" w:line="264" w:lineRule="auto"/>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74"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109" w:lineRule="exact"/>
        <w:rPr>
          <w:sz w:val="20"/>
          <w:szCs w:val="20"/>
          <w:color w:val="auto"/>
        </w:rPr>
      </w:pPr>
    </w:p>
    <w:p>
      <w:pPr>
        <w:ind w:left="920" w:hanging="212"/>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3" w:lineRule="exact"/>
        <w:rPr>
          <w:rFonts w:ascii="Arial" w:cs="Arial" w:eastAsia="Arial" w:hAnsi="Arial"/>
          <w:sz w:val="18"/>
          <w:szCs w:val="18"/>
          <w:color w:val="auto"/>
        </w:rPr>
      </w:pPr>
    </w:p>
    <w:p>
      <w:pPr>
        <w:ind w:left="920" w:right="480" w:hanging="212"/>
        <w:spacing w:after="0" w:line="239"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and timing of our fulfillment costs and operating expenses;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new services and features we may introduce;</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3" w:lineRule="exact"/>
        <w:rPr>
          <w:rFonts w:ascii="Arial" w:cs="Arial" w:eastAsia="Arial" w:hAnsi="Arial"/>
          <w:sz w:val="18"/>
          <w:szCs w:val="18"/>
          <w:color w:val="auto"/>
        </w:rPr>
      </w:pPr>
    </w:p>
    <w:p>
      <w:pPr>
        <w:ind w:left="920" w:right="300" w:hanging="212"/>
        <w:spacing w:after="0" w:line="239"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economic and market conditions, such as those related to the COVID-19 pandemic, and other adverse global events that negatively impact commerce and consumer behavior;</w:t>
      </w:r>
    </w:p>
    <w:p>
      <w:pPr>
        <w:spacing w:after="0" w:line="108" w:lineRule="exact"/>
        <w:rPr>
          <w:rFonts w:ascii="Arial" w:cs="Arial" w:eastAsia="Arial" w:hAnsi="Arial"/>
          <w:sz w:val="18"/>
          <w:szCs w:val="18"/>
          <w:color w:val="auto"/>
        </w:rPr>
      </w:pPr>
    </w:p>
    <w:p>
      <w:pPr>
        <w:ind w:left="920" w:right="260" w:hanging="212"/>
        <w:spacing w:after="0" w:line="239"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2"/>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3" w:lineRule="exact"/>
        <w:rPr>
          <w:rFonts w:ascii="Arial" w:cs="Arial" w:eastAsia="Arial" w:hAnsi="Arial"/>
          <w:sz w:val="18"/>
          <w:szCs w:val="18"/>
          <w:color w:val="auto"/>
        </w:rPr>
      </w:pPr>
    </w:p>
    <w:p>
      <w:pPr>
        <w:ind w:left="920" w:right="220" w:hanging="212"/>
        <w:spacing w:after="0" w:line="239"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08" w:lineRule="exact"/>
        <w:rPr>
          <w:rFonts w:ascii="Arial" w:cs="Arial" w:eastAsia="Arial" w:hAnsi="Arial"/>
          <w:sz w:val="18"/>
          <w:szCs w:val="18"/>
          <w:color w:val="auto"/>
        </w:rPr>
      </w:pPr>
    </w:p>
    <w:p>
      <w:pPr>
        <w:ind w:left="920" w:right="60" w:hanging="212"/>
        <w:spacing w:after="0" w:line="239"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202"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202"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Fluctuations in our quarterly operating results and key metrics may be particularly pronounced in the current economic environment due to the uncertainty caused by, and the unprecedented nature of, the COVID-19 pandemic, consumer spending patterns, and the impacts of the gradual reopening of the offline economy and lessening of restrictions on movement. Fluctuations in our quarterly operating results and key metrics may cause those results to fall below our financial guidance or other projections, or the expectations of analysts or investors, which could cause the price of our Class A common stock to decline.</w:t>
      </w:r>
    </w:p>
    <w:p>
      <w:pPr>
        <w:spacing w:after="0" w:line="202" w:lineRule="exact"/>
        <w:rPr>
          <w:sz w:val="20"/>
          <w:szCs w:val="20"/>
          <w:color w:val="auto"/>
        </w:rPr>
      </w:pPr>
    </w:p>
    <w:p>
      <w:pPr>
        <w:ind w:left="180" w:right="120" w:firstLine="545"/>
        <w:spacing w:after="0" w:line="234"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quarterly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22" w:lineRule="exact"/>
        <w:rPr>
          <w:sz w:val="20"/>
          <w:szCs w:val="20"/>
          <w:color w:val="auto"/>
        </w:rPr>
      </w:pPr>
    </w:p>
    <w:p>
      <w:pPr>
        <w:ind w:left="180" w:right="360" w:firstLine="545"/>
        <w:spacing w:after="0" w:line="237"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w:t>
      </w:r>
    </w:p>
    <w:p>
      <w:pPr>
        <w:spacing w:after="0" w:line="202" w:lineRule="exact"/>
        <w:rPr>
          <w:sz w:val="20"/>
          <w:szCs w:val="20"/>
          <w:color w:val="auto"/>
        </w:rPr>
      </w:pPr>
    </w:p>
    <w:p>
      <w:pPr>
        <w:ind w:left="180" w:right="100" w:firstLine="545"/>
        <w:spacing w:after="0" w:line="235" w:lineRule="auto"/>
        <w:rPr>
          <w:sz w:val="20"/>
          <w:szCs w:val="20"/>
          <w:color w:val="auto"/>
        </w:rPr>
      </w:pPr>
      <w:r>
        <w:rPr>
          <w:rFonts w:ascii="Arial" w:cs="Arial" w:eastAsia="Arial" w:hAnsi="Arial"/>
          <w:sz w:val="18"/>
          <w:szCs w:val="18"/>
          <w:color w:val="auto"/>
        </w:rPr>
        <w:t>We have and plan to continue undertaking environmental, social and governance, or ESG initiatives. Any failure by us to meet our commitments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w:t>
      </w:r>
    </w:p>
    <w:p>
      <w:pPr>
        <w:spacing w:after="0" w:line="202"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In addition, achieving our ESG initiatives may result in increased costs in our supply chain, fulfillment, and/or corporate business operations, and could deviate from our initial estimates and have a material adverse effect on our business and financial condition. In addition,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increased focus on ESG matters, there can be no certainty that we will manage such issues successfully, or that we will successfully meet society’s ESG expectations or achieve our financial goals.</w:t>
      </w:r>
    </w:p>
    <w:p>
      <w:pPr>
        <w:spacing w:after="0" w:line="182" w:lineRule="exact"/>
        <w:rPr>
          <w:sz w:val="20"/>
          <w:szCs w:val="20"/>
          <w:color w:val="auto"/>
        </w:rPr>
      </w:pPr>
    </w:p>
    <w:p>
      <w:pPr>
        <w:ind w:left="180" w:right="300" w:firstLine="545"/>
        <w:spacing w:after="0" w:line="264"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74"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205" w:lineRule="exact"/>
        <w:rPr>
          <w:sz w:val="20"/>
          <w:szCs w:val="20"/>
          <w:color w:val="auto"/>
        </w:rPr>
      </w:pPr>
    </w:p>
    <w:p>
      <w:pPr>
        <w:ind w:left="180" w:firstLine="545"/>
        <w:spacing w:after="0" w:line="249" w:lineRule="auto"/>
        <w:rPr>
          <w:sz w:val="20"/>
          <w:szCs w:val="20"/>
          <w:color w:val="auto"/>
        </w:rPr>
      </w:pPr>
      <w:r>
        <w:rPr>
          <w:rFonts w:ascii="Arial" w:cs="Arial" w:eastAsia="Arial" w:hAnsi="Arial"/>
          <w:sz w:val="17"/>
          <w:szCs w:val="17"/>
          <w:color w:val="auto"/>
        </w:rPr>
        <w:t>In addition, our future success will depend upon our ability to fill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197" w:lineRule="exact"/>
        <w:rPr>
          <w:sz w:val="20"/>
          <w:szCs w:val="20"/>
          <w:color w:val="auto"/>
        </w:rPr>
      </w:pPr>
    </w:p>
    <w:p>
      <w:pPr>
        <w:ind w:left="180" w:right="200" w:firstLine="545"/>
        <w:spacing w:after="0" w:line="235" w:lineRule="auto"/>
        <w:rPr>
          <w:sz w:val="20"/>
          <w:szCs w:val="20"/>
          <w:color w:val="auto"/>
        </w:rPr>
      </w:pPr>
      <w:r>
        <w:rPr>
          <w:rFonts w:ascii="Arial" w:cs="Arial" w:eastAsia="Arial" w:hAnsi="Arial"/>
          <w:sz w:val="18"/>
          <w:szCs w:val="18"/>
          <w:color w:val="auto"/>
        </w:rPr>
        <w:t>Our corporate and customer service employees are currently almost fully remote. As COVID-19 restrictions are lifted and we contemplate reopening our offices, we plan to move to a hybrid model for New York City and Galway, and we anticipate that employees will be present in the office two to three days per week. If our needs are not aligned with our employees’ preferences, it may adversely affect our ability to recruit and retain employees. In addition, the hybrid model may negatively impact our company culture, collaboration and productivity.</w:t>
      </w:r>
    </w:p>
    <w:p>
      <w:pPr>
        <w:spacing w:after="0" w:line="202" w:lineRule="exact"/>
        <w:rPr>
          <w:sz w:val="20"/>
          <w:szCs w:val="20"/>
          <w:color w:val="auto"/>
        </w:rPr>
      </w:pPr>
    </w:p>
    <w:p>
      <w:pPr>
        <w:ind w:left="180" w:right="60" w:firstLine="545"/>
        <w:spacing w:after="0" w:line="235" w:lineRule="auto"/>
        <w:rPr>
          <w:sz w:val="20"/>
          <w:szCs w:val="20"/>
          <w:color w:val="auto"/>
        </w:rPr>
      </w:pPr>
      <w:r>
        <w:rPr>
          <w:rFonts w:ascii="Arial" w:cs="Arial" w:eastAsia="Arial" w:hAnsi="Arial"/>
          <w:sz w:val="18"/>
          <w:szCs w:val="18"/>
          <w:color w:val="auto"/>
        </w:rPr>
        <w:t>We laid off 31% of all employees and furloughed 34% of employees in fiscal year 2020 due to the unprecedented impact of COVID-19 on our business and also experienced increased voluntary attrition. If we experience continued voluntary attrition at significant rates in the future, and/or if we are unable to attract and retain qualified employees in a timely fashion, particularly in critical areas of operations such as engineering, data science and analytics, our ability to achieve our strategic objectives will be adversely impacted, and our business and future growth prospects will be harmed.</w:t>
      </w:r>
    </w:p>
    <w:p>
      <w:pPr>
        <w:spacing w:after="0" w:line="180" w:lineRule="exact"/>
        <w:rPr>
          <w:sz w:val="20"/>
          <w:szCs w:val="20"/>
          <w:color w:val="auto"/>
        </w:rPr>
      </w:pPr>
    </w:p>
    <w:p>
      <w:pPr>
        <w:ind w:left="180" w:right="380" w:firstLine="545"/>
        <w:spacing w:after="0" w:line="264" w:lineRule="auto"/>
        <w:rPr>
          <w:sz w:val="20"/>
          <w:szCs w:val="20"/>
          <w:color w:val="auto"/>
        </w:rPr>
      </w:pPr>
      <w:r>
        <w:rPr>
          <w:rFonts w:ascii="Arial" w:cs="Arial" w:eastAsia="Arial" w:hAnsi="Arial"/>
          <w:sz w:val="18"/>
          <w:szCs w:val="18"/>
          <w:b w:val="1"/>
          <w:bCs w:val="1"/>
          <w:i w:val="1"/>
          <w:iCs w:val="1"/>
          <w:color w:val="auto"/>
        </w:rPr>
        <w:t>Our company culture has contributed to our success and if we cannot maintain this culture as we grow, our business could be harmed.</w:t>
      </w:r>
    </w:p>
    <w:p>
      <w:pPr>
        <w:spacing w:after="0" w:line="74" w:lineRule="exact"/>
        <w:rPr>
          <w:sz w:val="20"/>
          <w:szCs w:val="20"/>
          <w:color w:val="auto"/>
        </w:rPr>
      </w:pPr>
    </w:p>
    <w:p>
      <w:pPr>
        <w:ind w:left="180" w:right="520" w:firstLine="545"/>
        <w:spacing w:after="0" w:line="237"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320" w:top="456"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face a number of challenges that may affect our ability to sustain our corporate culture, including:</w:t>
      </w:r>
    </w:p>
    <w:p>
      <w:pPr>
        <w:spacing w:after="0" w:line="114" w:lineRule="exact"/>
        <w:rPr>
          <w:sz w:val="20"/>
          <w:szCs w:val="20"/>
          <w:color w:val="auto"/>
        </w:rPr>
      </w:pPr>
    </w:p>
    <w:p>
      <w:pPr>
        <w:ind w:left="920" w:right="100" w:hanging="212"/>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108" w:lineRule="exact"/>
        <w:rPr>
          <w:rFonts w:ascii="Arial" w:cs="Arial" w:eastAsia="Arial" w:hAnsi="Arial"/>
          <w:sz w:val="18"/>
          <w:szCs w:val="18"/>
          <w:color w:val="auto"/>
        </w:rPr>
      </w:pPr>
    </w:p>
    <w:p>
      <w:pPr>
        <w:ind w:left="920" w:right="320" w:hanging="212"/>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increasing size, complexity and geographic diversity of our workforce, and our ability to promote a uniform and consistent culture across all our offices and employees;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207"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In particular, Diversity, Equality and Inclusion is a strategic imperative at RTR. We are focused on driving inclusiveness, innovation and stronger business results by attracting a diverse talent pool and continuing to foster an inclusive work environment for all our employees across offices.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183" w:lineRule="exact"/>
        <w:rPr>
          <w:sz w:val="20"/>
          <w:szCs w:val="20"/>
          <w:color w:val="auto"/>
        </w:rPr>
      </w:pPr>
    </w:p>
    <w:p>
      <w:pPr>
        <w:ind w:left="180" w:right="300" w:firstLine="545"/>
        <w:spacing w:after="0" w:line="264"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74" w:lineRule="exact"/>
        <w:rPr>
          <w:sz w:val="20"/>
          <w:szCs w:val="20"/>
          <w:color w:val="auto"/>
        </w:rPr>
      </w:pPr>
    </w:p>
    <w:p>
      <w:pPr>
        <w:ind w:left="180" w:right="100" w:firstLine="545"/>
        <w:spacing w:after="0" w:line="234"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202" w:lineRule="exact"/>
        <w:rPr>
          <w:sz w:val="20"/>
          <w:szCs w:val="20"/>
          <w:color w:val="auto"/>
        </w:rPr>
      </w:pPr>
    </w:p>
    <w:p>
      <w:pPr>
        <w:ind w:left="180" w:right="140" w:firstLine="545"/>
        <w:spacing w:after="0" w:line="234" w:lineRule="auto"/>
        <w:rPr>
          <w:sz w:val="20"/>
          <w:szCs w:val="20"/>
          <w:color w:val="auto"/>
        </w:rPr>
      </w:pPr>
      <w:r>
        <w:rPr>
          <w:rFonts w:ascii="Arial" w:cs="Arial" w:eastAsia="Arial" w:hAnsi="Arial"/>
          <w:sz w:val="18"/>
          <w:szCs w:val="18"/>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205" w:lineRule="exact"/>
        <w:rPr>
          <w:sz w:val="20"/>
          <w:szCs w:val="20"/>
          <w:color w:val="auto"/>
        </w:rPr>
      </w:pPr>
    </w:p>
    <w:p>
      <w:pPr>
        <w:ind w:left="180" w:right="140" w:firstLine="545"/>
        <w:spacing w:after="0" w:line="236"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business is affected by seasonality</w:t>
      </w:r>
      <w:r>
        <w:rPr>
          <w:rFonts w:ascii="Arial" w:cs="Arial" w:eastAsia="Arial" w:hAnsi="Arial"/>
          <w:sz w:val="18"/>
          <w:szCs w:val="18"/>
          <w:color w:val="auto"/>
        </w:rPr>
        <w:t>.</w:t>
      </w:r>
    </w:p>
    <w:p>
      <w:pPr>
        <w:spacing w:after="0" w:line="122" w:lineRule="exact"/>
        <w:rPr>
          <w:sz w:val="20"/>
          <w:szCs w:val="20"/>
          <w:color w:val="auto"/>
        </w:rPr>
      </w:pPr>
    </w:p>
    <w:p>
      <w:pPr>
        <w:ind w:left="180" w:right="40" w:firstLine="545"/>
        <w:spacing w:after="0" w:line="249" w:lineRule="auto"/>
        <w:rPr>
          <w:sz w:val="20"/>
          <w:szCs w:val="20"/>
          <w:color w:val="auto"/>
        </w:rPr>
      </w:pPr>
      <w:r>
        <w:rPr>
          <w:rFonts w:ascii="Arial" w:cs="Arial" w:eastAsia="Arial" w:hAnsi="Arial"/>
          <w:sz w:val="17"/>
          <w:szCs w:val="17"/>
          <w:color w:val="auto"/>
        </w:rPr>
        <w:t>Our business is subject to seasonal fluctuation. We typically realize a higher portion of revenue from our Reserve rentals during our third and fourth fiscal quarter as a result of increased wedding and holiday events and we expect this to continue in the future. For our subscription rentals, we typically acquire the highest number of subscribers in the third and fourth fiscal quarters, and we tend to see a greater number of paused subscriptions in the winter and summer months. Adverse events, such as higher unemployment or deteriorating economic conditions can deter consumers from shopping and renting. Any significant decrease in revenue during the third or fourth quarter could have a disproportionately large impact on our operating results and financial condition for that year. Any factors that harm our third or fourth quarter operating results, including disruptions in our brand partners’ supply chains or unfavorable economic conditions, including as a result of the COVID-19 pandemic, could have a disproportionate effect on our results of operations for our entire fiscal year.</w:t>
      </w:r>
    </w:p>
    <w:p>
      <w:pPr>
        <w:spacing w:after="0" w:line="194" w:lineRule="exact"/>
        <w:rPr>
          <w:sz w:val="20"/>
          <w:szCs w:val="20"/>
          <w:color w:val="auto"/>
        </w:rPr>
      </w:pPr>
    </w:p>
    <w:p>
      <w:pPr>
        <w:ind w:left="180" w:right="140" w:firstLine="545"/>
        <w:spacing w:after="0" w:line="235" w:lineRule="auto"/>
        <w:rPr>
          <w:sz w:val="20"/>
          <w:szCs w:val="20"/>
          <w:color w:val="auto"/>
        </w:rPr>
      </w:pPr>
      <w:r>
        <w:rPr>
          <w:rFonts w:ascii="Arial" w:cs="Arial" w:eastAsia="Arial" w:hAnsi="Arial"/>
          <w:sz w:val="18"/>
          <w:szCs w:val="18"/>
          <w:color w:val="auto"/>
        </w:rPr>
        <w:t>In anticipation of increased rental activity during the third or fourth quarter,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202" w:lineRule="exact"/>
        <w:rPr>
          <w:sz w:val="20"/>
          <w:szCs w:val="20"/>
          <w:color w:val="auto"/>
        </w:rPr>
      </w:pPr>
    </w:p>
    <w:p>
      <w:pPr>
        <w:ind w:left="180" w:right="180" w:firstLine="545"/>
        <w:spacing w:after="0" w:line="235"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180" w:lineRule="exact"/>
        <w:rPr>
          <w:sz w:val="20"/>
          <w:szCs w:val="20"/>
          <w:color w:val="auto"/>
        </w:rPr>
      </w:pPr>
    </w:p>
    <w:p>
      <w:pPr>
        <w:jc w:val="both"/>
        <w:ind w:left="180" w:right="160" w:firstLine="545"/>
        <w:spacing w:after="0" w:line="248"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color w:val="auto"/>
        </w:rPr>
        <w:t>.</w:t>
      </w:r>
    </w:p>
    <w:p>
      <w:pPr>
        <w:spacing w:after="0" w:line="88"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110" w:lineRule="exact"/>
        <w:rPr>
          <w:sz w:val="20"/>
          <w:szCs w:val="20"/>
          <w:color w:val="auto"/>
        </w:rPr>
      </w:pPr>
    </w:p>
    <w:p>
      <w:pPr>
        <w:ind w:left="920" w:right="720" w:hanging="212"/>
        <w:spacing w:after="0" w:line="239"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108" w:lineRule="exact"/>
        <w:rPr>
          <w:rFonts w:ascii="Arial" w:cs="Arial" w:eastAsia="Arial" w:hAnsi="Arial"/>
          <w:sz w:val="18"/>
          <w:szCs w:val="18"/>
          <w:color w:val="auto"/>
        </w:rPr>
      </w:pPr>
    </w:p>
    <w:p>
      <w:pPr>
        <w:ind w:left="920" w:right="180" w:hanging="212"/>
        <w:spacing w:after="0" w:line="236"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107" w:lineRule="exact"/>
        <w:rPr>
          <w:rFonts w:ascii="Arial" w:cs="Arial" w:eastAsia="Arial" w:hAnsi="Arial"/>
          <w:sz w:val="18"/>
          <w:szCs w:val="18"/>
          <w:color w:val="auto"/>
        </w:rPr>
      </w:pPr>
    </w:p>
    <w:p>
      <w:pPr>
        <w:ind w:left="920" w:right="520" w:hanging="212"/>
        <w:spacing w:after="0" w:line="239"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100" w:hanging="212"/>
        <w:spacing w:after="0" w:line="237"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202" w:lineRule="exact"/>
        <w:rPr>
          <w:sz w:val="20"/>
          <w:szCs w:val="20"/>
          <w:color w:val="auto"/>
        </w:rPr>
      </w:pPr>
    </w:p>
    <w:p>
      <w:pPr>
        <w:ind w:left="180" w:right="280" w:firstLine="545"/>
        <w:spacing w:after="0" w:line="239"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180" w:lineRule="exact"/>
        <w:rPr>
          <w:sz w:val="20"/>
          <w:szCs w:val="20"/>
          <w:color w:val="auto"/>
        </w:rPr>
      </w:pPr>
    </w:p>
    <w:p>
      <w:pPr>
        <w:ind w:left="180" w:right="660" w:firstLine="545"/>
        <w:spacing w:after="0" w:line="26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We cannot be certain when or if our operations will generate sufficient cash to fully fund our ongoing operations or the growth of our business. We intend to continue to make investments to develop and grow our business. For example, we may need additional funding to obtain products, for marketing, and headcount or other operating expenses,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204"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Material changes in the pricing practices of our brand partners could negatively impact our profitability.</w:t>
      </w:r>
    </w:p>
    <w:p>
      <w:pPr>
        <w:spacing w:after="0" w:line="122" w:lineRule="exact"/>
        <w:rPr>
          <w:sz w:val="20"/>
          <w:szCs w:val="20"/>
          <w:color w:val="auto"/>
        </w:rPr>
      </w:pPr>
    </w:p>
    <w:p>
      <w:pPr>
        <w:ind w:left="180" w:right="140" w:firstLine="545"/>
        <w:spacing w:after="0" w:line="233" w:lineRule="auto"/>
        <w:rPr>
          <w:sz w:val="20"/>
          <w:szCs w:val="20"/>
          <w:color w:val="auto"/>
        </w:rPr>
      </w:pPr>
      <w:r>
        <w:rPr>
          <w:rFonts w:ascii="Arial" w:cs="Arial" w:eastAsia="Arial" w:hAnsi="Arial"/>
          <w:sz w:val="18"/>
          <w:szCs w:val="18"/>
          <w:color w:val="auto"/>
        </w:rPr>
        <w:t>Our brand partners may increase their pricing if their raw materials become more expensive or become subject to other pricing pressures. The inputs used to manufacture the products from our brand partners are subject to availability constraints and price volatility. Our brand partners may pass the increase in sourcing costs to us through price increases, thereby impacting our margins. The fabrics used by our brand partners are made of raw materials including petroleum-based products and cotton. Significant price fluctuations or shortages in petroleum, cotton, or other raw materials could significantly increase our cost of revenue. Moreover, in the event of a significant disruption in the supply of the fabrics or raw materials used in the manufacture of the products we offer, our partners might not be able to locate alternative suppliers of materials of comparable quality at an acceptable price. For example, disruptions in the supply chain as a result of the COVID-19 pandemic has increased raw material costs, impacting pricing with certain of our partners, and caused shipping delays for certain of our products.</w:t>
      </w:r>
    </w:p>
    <w:p>
      <w:pPr>
        <w:spacing w:after="0" w:line="187" w:lineRule="exact"/>
        <w:rPr>
          <w:sz w:val="20"/>
          <w:szCs w:val="20"/>
          <w:color w:val="auto"/>
        </w:rPr>
      </w:pPr>
    </w:p>
    <w:p>
      <w:pPr>
        <w:ind w:left="180" w:right="280" w:firstLine="545"/>
        <w:spacing w:after="0" w:line="248" w:lineRule="auto"/>
        <w:rPr>
          <w:sz w:val="20"/>
          <w:szCs w:val="20"/>
          <w:color w:val="auto"/>
        </w:rPr>
      </w:pPr>
      <w:r>
        <w:rPr>
          <w:rFonts w:ascii="Arial" w:cs="Arial" w:eastAsia="Arial" w:hAnsi="Arial"/>
          <w:sz w:val="18"/>
          <w:szCs w:val="18"/>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88" w:lineRule="exact"/>
        <w:rPr>
          <w:sz w:val="20"/>
          <w:szCs w:val="20"/>
          <w:color w:val="auto"/>
        </w:rPr>
      </w:pPr>
    </w:p>
    <w:p>
      <w:pPr>
        <w:ind w:left="180" w:right="80" w:firstLine="545"/>
        <w:spacing w:after="0" w:line="236" w:lineRule="auto"/>
        <w:rPr>
          <w:sz w:val="20"/>
          <w:szCs w:val="20"/>
          <w:color w:val="auto"/>
        </w:rPr>
      </w:pPr>
      <w:r>
        <w:rPr>
          <w:rFonts w:ascii="Arial" w:cs="Arial" w:eastAsia="Arial" w:hAnsi="Arial"/>
          <w:sz w:val="18"/>
          <w:szCs w:val="18"/>
          <w:color w:val="auto"/>
        </w:rPr>
        <w:t>As of January 31, 2021, we had $75 million aggregate principal amount of borrowings outstanding under our first lien facility, which we entered into in October 2020, and was subsequently amended in April 2021, with Alter Domus (US) LLC as administrative agent for Ares Corporate Opportunities Fund V, L.P., or Ares, which we call the Ares Facility and $230 million aggregate principal amount of borrowings under a subordinated, junior lien loan agreement in July 2018, as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6"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60"/>
        <w:spacing w:after="0" w:line="233" w:lineRule="auto"/>
        <w:rPr>
          <w:sz w:val="20"/>
          <w:szCs w:val="20"/>
          <w:color w:val="auto"/>
        </w:rPr>
      </w:pPr>
      <w:r>
        <w:rPr>
          <w:rFonts w:ascii="Arial" w:cs="Arial" w:eastAsia="Arial" w:hAnsi="Arial"/>
          <w:sz w:val="18"/>
          <w:szCs w:val="18"/>
          <w:color w:val="auto"/>
        </w:rPr>
        <w:t>subsequently amended in December 2018, April 2019, November 2019, June 2020, August 2020 and October 2020, with Double Helix Pte Ltd. as administrative agent for Temasek Holdings, which we refer to as our Temasek Facility, together, the Credit Agreements.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assure you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Resources—Indebtedness.”</w:t>
      </w:r>
    </w:p>
    <w:p>
      <w:pPr>
        <w:spacing w:after="0" w:line="185" w:lineRule="exact"/>
        <w:rPr>
          <w:sz w:val="20"/>
          <w:szCs w:val="20"/>
          <w:color w:val="auto"/>
        </w:rPr>
      </w:pPr>
    </w:p>
    <w:p>
      <w:pPr>
        <w:ind w:left="180" w:right="300" w:firstLine="545"/>
        <w:spacing w:after="0" w:line="264" w:lineRule="auto"/>
        <w:rPr>
          <w:sz w:val="20"/>
          <w:szCs w:val="20"/>
          <w:color w:val="auto"/>
        </w:rPr>
      </w:pPr>
      <w:r>
        <w:rPr>
          <w:rFonts w:ascii="Arial" w:cs="Arial" w:eastAsia="Arial" w:hAnsi="Arial"/>
          <w:sz w:val="18"/>
          <w:szCs w:val="18"/>
          <w:b w:val="1"/>
          <w:bCs w:val="1"/>
          <w:i w:val="1"/>
          <w:iCs w:val="1"/>
          <w:color w:val="auto"/>
        </w:rPr>
        <w:t>Our Credit Agreements contain financial covenants and other restrictions on our actions that may limit our operational flexibility or otherwise adversely affect our business, financial condition and results of operations.</w:t>
      </w:r>
    </w:p>
    <w:p>
      <w:pPr>
        <w:spacing w:after="0" w:line="74" w:lineRule="exact"/>
        <w:rPr>
          <w:sz w:val="20"/>
          <w:szCs w:val="20"/>
          <w:color w:val="auto"/>
        </w:rPr>
      </w:pPr>
    </w:p>
    <w:p>
      <w:pPr>
        <w:ind w:left="180" w:right="20" w:firstLine="545"/>
        <w:spacing w:after="0" w:line="234" w:lineRule="auto"/>
        <w:rPr>
          <w:sz w:val="20"/>
          <w:szCs w:val="20"/>
          <w:color w:val="auto"/>
        </w:rPr>
      </w:pPr>
      <w:r>
        <w:rPr>
          <w:rFonts w:ascii="Arial" w:cs="Arial" w:eastAsia="Arial" w:hAnsi="Arial"/>
          <w:sz w:val="18"/>
          <w:szCs w:val="18"/>
          <w:color w:val="auto"/>
        </w:rPr>
        <w:t>The terms of our Credit Agreements include a number of covenants that limit our ability to (subject to negotiated exceptions), among other things, incur additional indebtedness, incur liens on assets, enter into agreements related to mergers and acquisitions, dispose of assets or pay dividends and make distributions. In particular, under the Ares Facility, we are required to meet specified financial covenants that are measured based on pre-defined consolidated EBITDA thresholds starting in the second quarter of the fiscal year 2021. The terms of our Credit Agreements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204"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A failure by us to comply with the covenants specified in the Credit Agreements could result in an event of default under the agreement, which would give the lenders the right to declare all borrowings outstanding, together with accrued and unpaid interest and fees, to be immediately due and payable. If the debt under the Credit Agreements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180" w:lineRule="exact"/>
        <w:rPr>
          <w:sz w:val="20"/>
          <w:szCs w:val="20"/>
          <w:color w:val="auto"/>
        </w:rPr>
      </w:pPr>
    </w:p>
    <w:p>
      <w:pPr>
        <w:ind w:left="180" w:right="180" w:firstLine="545"/>
        <w:spacing w:after="0"/>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8"/>
          <w:szCs w:val="18"/>
          <w:color w:val="auto"/>
        </w:rPr>
        <w:t>.</w:t>
      </w:r>
    </w:p>
    <w:p>
      <w:pPr>
        <w:spacing w:after="0" w:line="96" w:lineRule="exact"/>
        <w:rPr>
          <w:sz w:val="20"/>
          <w:szCs w:val="20"/>
          <w:color w:val="auto"/>
        </w:rPr>
      </w:pPr>
    </w:p>
    <w:p>
      <w:pPr>
        <w:jc w:val="both"/>
        <w:ind w:left="180" w:right="520" w:firstLine="545"/>
        <w:spacing w:after="0" w:line="236" w:lineRule="auto"/>
        <w:rPr>
          <w:sz w:val="20"/>
          <w:szCs w:val="20"/>
          <w:color w:val="auto"/>
        </w:rPr>
      </w:pPr>
      <w:r>
        <w:rPr>
          <w:rFonts w:ascii="Arial" w:cs="Arial" w:eastAsia="Arial" w:hAnsi="Arial"/>
          <w:sz w:val="18"/>
          <w:szCs w:val="18"/>
          <w:color w:val="auto"/>
        </w:rPr>
        <w:t>In connection with the preparation of our consolidated financial statements, we identified material weaknesses in our internal control over financial reporting as of January 31, 2021, as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1" w:lineRule="exact"/>
        <w:rPr>
          <w:sz w:val="20"/>
          <w:szCs w:val="20"/>
          <w:color w:val="auto"/>
        </w:rPr>
      </w:pPr>
    </w:p>
    <w:p>
      <w:pPr>
        <w:ind w:left="180" w:right="160" w:firstLine="545"/>
        <w:spacing w:after="0" w:line="237"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over financial reporting. This material weakness contributed to the following additional material weaknesses:</w:t>
      </w:r>
    </w:p>
    <w:p>
      <w:pPr>
        <w:spacing w:after="0" w:line="207" w:lineRule="exact"/>
        <w:rPr>
          <w:sz w:val="20"/>
          <w:szCs w:val="20"/>
          <w:color w:val="auto"/>
        </w:rPr>
      </w:pPr>
    </w:p>
    <w:p>
      <w:pPr>
        <w:ind w:left="180" w:right="420" w:firstLine="545"/>
        <w:spacing w:after="0" w:line="239"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202" w:lineRule="exact"/>
        <w:rPr>
          <w:sz w:val="20"/>
          <w:szCs w:val="20"/>
          <w:color w:val="auto"/>
        </w:rPr>
      </w:pPr>
    </w:p>
    <w:p>
      <w:pPr>
        <w:ind w:left="180" w:right="140" w:firstLine="545"/>
        <w:spacing w:after="0" w:line="234" w:lineRule="auto"/>
        <w:rPr>
          <w:sz w:val="20"/>
          <w:szCs w:val="20"/>
          <w:color w:val="auto"/>
        </w:rPr>
      </w:pPr>
      <w:r>
        <w:rPr>
          <w:rFonts w:ascii="Arial" w:cs="Arial" w:eastAsia="Arial" w:hAnsi="Arial"/>
          <w:sz w:val="18"/>
          <w:szCs w:val="18"/>
          <w:color w:val="auto"/>
        </w:rPr>
        <w:t>We did not design and maintain effective controls over information technology, or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2" w:lineRule="exact"/>
        <w:rPr>
          <w:sz w:val="20"/>
          <w:szCs w:val="20"/>
          <w:color w:val="auto"/>
        </w:rPr>
      </w:pPr>
    </w:p>
    <w:p>
      <w:pPr>
        <w:ind w:left="180" w:right="120" w:firstLine="545"/>
        <w:spacing w:after="0" w:line="253" w:lineRule="auto"/>
        <w:rPr>
          <w:sz w:val="20"/>
          <w:szCs w:val="20"/>
          <w:color w:val="auto"/>
        </w:rPr>
      </w:pPr>
      <w:r>
        <w:rPr>
          <w:rFonts w:ascii="Arial" w:cs="Arial" w:eastAsia="Arial" w:hAnsi="Arial"/>
          <w:sz w:val="17"/>
          <w:szCs w:val="17"/>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91" w:lineRule="exact"/>
        <w:rPr>
          <w:sz w:val="20"/>
          <w:szCs w:val="20"/>
          <w:color w:val="auto"/>
        </w:rPr>
      </w:pPr>
    </w:p>
    <w:p>
      <w:pPr>
        <w:ind w:left="180" w:right="580" w:firstLine="545"/>
        <w:spacing w:after="0" w:line="236"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201" w:lineRule="exact"/>
        <w:rPr>
          <w:sz w:val="20"/>
          <w:szCs w:val="20"/>
          <w:color w:val="auto"/>
        </w:rPr>
      </w:pPr>
    </w:p>
    <w:p>
      <w:pPr>
        <w:ind w:left="180" w:firstLine="545"/>
        <w:spacing w:after="0" w:line="247" w:lineRule="auto"/>
        <w:rPr>
          <w:sz w:val="20"/>
          <w:szCs w:val="20"/>
          <w:color w:val="auto"/>
        </w:rPr>
      </w:pPr>
      <w:r>
        <w:rPr>
          <w:rFonts w:ascii="Arial" w:cs="Arial" w:eastAsia="Arial" w:hAnsi="Arial"/>
          <w:sz w:val="17"/>
          <w:szCs w:val="17"/>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200" w:lineRule="exact"/>
        <w:rPr>
          <w:sz w:val="20"/>
          <w:szCs w:val="20"/>
          <w:color w:val="auto"/>
        </w:rPr>
      </w:pPr>
    </w:p>
    <w:p>
      <w:pPr>
        <w:spacing w:after="0" w:line="203" w:lineRule="exact"/>
        <w:rPr>
          <w:sz w:val="20"/>
          <w:szCs w:val="20"/>
          <w:color w:val="auto"/>
        </w:rPr>
      </w:pPr>
    </w:p>
    <w:p>
      <w:pPr>
        <w:ind w:left="180" w:right="100" w:firstLine="545"/>
        <w:spacing w:after="0" w:line="239"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80" w:right="40"/>
        <w:spacing w:after="0" w:line="237" w:lineRule="auto"/>
        <w:rPr>
          <w:sz w:val="20"/>
          <w:szCs w:val="20"/>
          <w:color w:val="auto"/>
        </w:rPr>
      </w:pPr>
      <w:r>
        <w:rPr>
          <w:rFonts w:ascii="Arial" w:cs="Arial" w:eastAsia="Arial" w:hAnsi="Arial"/>
          <w:sz w:val="18"/>
          <w:szCs w:val="18"/>
          <w:color w:val="auto"/>
        </w:rPr>
        <w:t>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180" w:lineRule="exact"/>
        <w:rPr>
          <w:sz w:val="20"/>
          <w:szCs w:val="20"/>
          <w:color w:val="auto"/>
        </w:rPr>
      </w:pPr>
    </w:p>
    <w:p>
      <w:pPr>
        <w:ind w:left="180" w:right="420" w:firstLine="545"/>
        <w:spacing w:after="0" w:line="26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w:t>
      </w:r>
    </w:p>
    <w:p>
      <w:pPr>
        <w:ind w:left="180" w:right="20"/>
        <w:spacing w:after="0" w:line="233" w:lineRule="auto"/>
        <w:rPr>
          <w:sz w:val="20"/>
          <w:szCs w:val="20"/>
          <w:color w:val="auto"/>
        </w:rPr>
      </w:pPr>
      <w:r>
        <w:rPr>
          <w:rFonts w:ascii="Arial" w:cs="Arial" w:eastAsia="Arial" w:hAnsi="Arial"/>
          <w:sz w:val="18"/>
          <w:szCs w:val="18"/>
          <w:color w:val="auto"/>
        </w:rPr>
        <w:t>Exchange Act, the listing standards of ,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08" w:lineRule="exact"/>
        <w:rPr>
          <w:sz w:val="20"/>
          <w:szCs w:val="20"/>
          <w:color w:val="auto"/>
        </w:rPr>
      </w:pPr>
    </w:p>
    <w:p>
      <w:pPr>
        <w:ind w:left="180" w:right="100" w:firstLine="545"/>
        <w:spacing w:after="0" w:line="236" w:lineRule="auto"/>
        <w:rPr>
          <w:sz w:val="20"/>
          <w:szCs w:val="20"/>
          <w:color w:val="auto"/>
        </w:rPr>
      </w:pPr>
      <w:r>
        <w:rPr>
          <w:rFonts w:ascii="Arial" w:cs="Arial" w:eastAsia="Arial" w:hAnsi="Arial"/>
          <w:sz w:val="18"/>
          <w:szCs w:val="18"/>
          <w:color w:val="auto"/>
        </w:rPr>
        <w:t>We also expect that being a public company that is subject to these rules and regulations will make it more expensive for us to obtain director and officer liability insurance, and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179" w:lineRule="exact"/>
        <w:rPr>
          <w:sz w:val="20"/>
          <w:szCs w:val="20"/>
          <w:color w:val="auto"/>
        </w:rPr>
      </w:pPr>
    </w:p>
    <w:p>
      <w:pPr>
        <w:jc w:val="both"/>
        <w:ind w:left="180" w:right="40" w:firstLine="545"/>
        <w:spacing w:after="0" w:line="248"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will be required, pursuant to Section 404 of the Sarbanes-Oxley Act, or Section 404, to furnish a report by management on,</w:t>
      </w:r>
    </w:p>
    <w:p>
      <w:pPr>
        <w:ind w:left="180"/>
        <w:spacing w:after="0" w:line="234" w:lineRule="auto"/>
        <w:rPr>
          <w:sz w:val="20"/>
          <w:szCs w:val="20"/>
          <w:color w:val="auto"/>
        </w:rPr>
      </w:pPr>
      <w:r>
        <w:rPr>
          <w:rFonts w:ascii="Arial" w:cs="Arial" w:eastAsia="Arial" w:hAnsi="Arial"/>
          <w:sz w:val="18"/>
          <w:szCs w:val="18"/>
          <w:color w:val="auto"/>
        </w:rPr>
        <w:t>among other things, the effectiveness of our internal control over financial reporting as of .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4" w:lineRule="exact"/>
        <w:rPr>
          <w:sz w:val="20"/>
          <w:szCs w:val="20"/>
          <w:color w:val="auto"/>
        </w:rPr>
      </w:pPr>
    </w:p>
    <w:p>
      <w:pPr>
        <w:ind w:left="180" w:right="180" w:firstLine="545"/>
        <w:spacing w:after="0" w:line="237"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ended January 31, 2021, subsequent testing by us or our independent registered public accounting firm, may reveal additional deficiencies in our internal control over financial reporting that are deemed to be material</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3" w:lineRule="auto"/>
        <w:rPr>
          <w:sz w:val="20"/>
          <w:szCs w:val="20"/>
          <w:color w:val="auto"/>
        </w:rPr>
      </w:pPr>
      <w:r>
        <w:rPr>
          <w:rFonts w:ascii="Arial" w:cs="Arial" w:eastAsia="Arial" w:hAnsi="Arial"/>
          <w:sz w:val="18"/>
          <w:szCs w:val="18"/>
          <w:color w:val="auto"/>
        </w:rPr>
        <w:t>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ind w:left="180" w:right="280" w:firstLine="545"/>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74" w:lineRule="exact"/>
        <w:rPr>
          <w:sz w:val="20"/>
          <w:szCs w:val="20"/>
          <w:color w:val="auto"/>
        </w:rPr>
      </w:pPr>
    </w:p>
    <w:p>
      <w:pPr>
        <w:ind w:left="180" w:right="600" w:firstLine="545"/>
        <w:spacing w:after="0" w:line="239"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reporting requirements that are applicable to other public companies that are not “emerging growth companies,” including:</w:t>
      </w:r>
    </w:p>
    <w:p>
      <w:pPr>
        <w:spacing w:after="0" w:line="109" w:lineRule="exact"/>
        <w:rPr>
          <w:sz w:val="20"/>
          <w:szCs w:val="20"/>
          <w:color w:val="auto"/>
        </w:rPr>
      </w:pPr>
    </w:p>
    <w:p>
      <w:pPr>
        <w:ind w:left="920" w:hanging="212"/>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3" w:lineRule="exact"/>
        <w:rPr>
          <w:rFonts w:ascii="Arial" w:cs="Arial" w:eastAsia="Arial" w:hAnsi="Arial"/>
          <w:sz w:val="18"/>
          <w:szCs w:val="18"/>
          <w:color w:val="auto"/>
        </w:rPr>
      </w:pPr>
    </w:p>
    <w:p>
      <w:pPr>
        <w:ind w:left="920" w:right="900" w:hanging="212"/>
        <w:spacing w:after="0" w:line="239"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202"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4" w:lineRule="exact"/>
        <w:rPr>
          <w:sz w:val="20"/>
          <w:szCs w:val="20"/>
          <w:color w:val="auto"/>
        </w:rPr>
      </w:pPr>
    </w:p>
    <w:p>
      <w:pPr>
        <w:ind w:left="920" w:hanging="2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w:t>
      </w:r>
    </w:p>
    <w:p>
      <w:pPr>
        <w:spacing w:after="0" w:line="113" w:lineRule="exact"/>
        <w:rPr>
          <w:rFonts w:ascii="Arial" w:cs="Arial" w:eastAsia="Arial" w:hAnsi="Arial"/>
          <w:sz w:val="18"/>
          <w:szCs w:val="18"/>
          <w:color w:val="auto"/>
        </w:rPr>
      </w:pPr>
    </w:p>
    <w:p>
      <w:pPr>
        <w:ind w:left="920" w:right="440" w:hanging="212"/>
        <w:spacing w:after="0" w:line="239"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07" w:lineRule="exact"/>
        <w:rPr>
          <w:sz w:val="20"/>
          <w:szCs w:val="20"/>
          <w:color w:val="auto"/>
        </w:rPr>
      </w:pPr>
    </w:p>
    <w:p>
      <w:pPr>
        <w:ind w:left="180" w:right="160" w:firstLine="545"/>
        <w:spacing w:after="0" w:line="237"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right="280" w:firstLine="545"/>
        <w:spacing w:after="0" w:line="264"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GAAP is subject to interpretation by the Financial Accounting Standards Board, or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80" w:lineRule="exact"/>
        <w:rPr>
          <w:sz w:val="20"/>
          <w:szCs w:val="20"/>
          <w:color w:val="auto"/>
        </w:rPr>
      </w:pPr>
    </w:p>
    <w:p>
      <w:pPr>
        <w:ind w:left="180" w:right="260" w:firstLine="545"/>
        <w:spacing w:after="0" w:line="26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as well as treatment of rental products, including estimates of salvage value and useful life for rental products, share-based compensation, warrants and right of use asset.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6" w:lineRule="exact"/>
        <w:rPr>
          <w:sz w:val="20"/>
          <w:szCs w:val="20"/>
          <w:color w:val="auto"/>
        </w:rPr>
      </w:pPr>
    </w:p>
    <w:p>
      <w:pPr>
        <w:ind w:left="180" w:right="540" w:firstLine="545"/>
        <w:spacing w:after="0" w:line="248" w:lineRule="auto"/>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i w:val="1"/>
          <w:iCs w:val="1"/>
          <w:color w:val="auto"/>
        </w:rPr>
        <w:t>he estimates of market opportunity and forecasts of market growth included in this prospectus may prove to be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inaccurate, and even if the markets in which we compete achieve the forecasted growth, our business could fail to grow at similar rates, or at all.</w:t>
      </w:r>
    </w:p>
    <w:p>
      <w:pPr>
        <w:spacing w:after="0" w:line="88" w:lineRule="exact"/>
        <w:rPr>
          <w:sz w:val="20"/>
          <w:szCs w:val="20"/>
          <w:color w:val="auto"/>
        </w:rPr>
      </w:pPr>
    </w:p>
    <w:p>
      <w:pPr>
        <w:ind w:left="180" w:right="20" w:firstLine="545"/>
        <w:spacing w:after="0" w:line="237" w:lineRule="auto"/>
        <w:rPr>
          <w:sz w:val="20"/>
          <w:szCs w:val="20"/>
          <w:color w:val="auto"/>
        </w:rPr>
      </w:pPr>
      <w:r>
        <w:rPr>
          <w:rFonts w:ascii="Arial" w:cs="Arial" w:eastAsia="Arial" w:hAnsi="Arial"/>
          <w:sz w:val="18"/>
          <w:szCs w:val="18"/>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202"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right="140" w:firstLine="545"/>
        <w:spacing w:after="0" w:line="264"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74" w:lineRule="exact"/>
        <w:rPr>
          <w:sz w:val="20"/>
          <w:szCs w:val="20"/>
          <w:color w:val="auto"/>
        </w:rPr>
      </w:pPr>
    </w:p>
    <w:p>
      <w:pPr>
        <w:ind w:left="180" w:right="160" w:firstLine="545"/>
        <w:spacing w:after="0" w:line="235"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202"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108" w:lineRule="exact"/>
        <w:rPr>
          <w:sz w:val="20"/>
          <w:szCs w:val="20"/>
          <w:color w:val="auto"/>
        </w:rPr>
      </w:pPr>
    </w:p>
    <w:p>
      <w:pPr>
        <w:ind w:left="920" w:right="480" w:hanging="212"/>
        <w:spacing w:after="0" w:line="239" w:lineRule="auto"/>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3" w:lineRule="exact"/>
        <w:rPr>
          <w:rFonts w:ascii="Arial" w:cs="Arial" w:eastAsia="Arial" w:hAnsi="Arial"/>
          <w:sz w:val="18"/>
          <w:szCs w:val="18"/>
          <w:color w:val="auto"/>
        </w:rPr>
      </w:pPr>
    </w:p>
    <w:p>
      <w:pPr>
        <w:ind w:left="920" w:right="280" w:hanging="212"/>
        <w:spacing w:after="0" w:line="239" w:lineRule="auto"/>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07" w:lineRule="exact"/>
        <w:rPr>
          <w:sz w:val="20"/>
          <w:szCs w:val="20"/>
          <w:color w:val="auto"/>
        </w:rPr>
      </w:pPr>
    </w:p>
    <w:p>
      <w:pPr>
        <w:ind w:left="180"/>
        <w:spacing w:after="0" w:line="239"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w:t>
      </w:r>
    </w:p>
    <w:p>
      <w:pPr>
        <w:spacing w:after="0" w:line="122" w:lineRule="exact"/>
        <w:rPr>
          <w:sz w:val="20"/>
          <w:szCs w:val="20"/>
          <w:color w:val="auto"/>
        </w:rPr>
      </w:pPr>
    </w:p>
    <w:p>
      <w:pPr>
        <w:ind w:left="180" w:right="20" w:firstLine="545"/>
        <w:spacing w:after="0" w:line="249" w:lineRule="auto"/>
        <w:rPr>
          <w:sz w:val="20"/>
          <w:szCs w:val="20"/>
          <w:color w:val="auto"/>
        </w:rPr>
      </w:pPr>
      <w:r>
        <w:rPr>
          <w:rFonts w:ascii="Arial" w:cs="Arial" w:eastAsia="Arial" w:hAnsi="Arial"/>
          <w:sz w:val="17"/>
          <w:szCs w:val="17"/>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or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97"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179" w:lineRule="exact"/>
        <w:rPr>
          <w:sz w:val="20"/>
          <w:szCs w:val="20"/>
          <w:color w:val="auto"/>
        </w:rPr>
      </w:pPr>
    </w:p>
    <w:p>
      <w:pPr>
        <w:ind w:left="180" w:right="400" w:firstLine="545"/>
        <w:spacing w:after="0" w:line="264"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right="20"/>
        <w:spacing w:after="0" w:line="264" w:lineRule="auto"/>
        <w:rPr>
          <w:sz w:val="20"/>
          <w:szCs w:val="20"/>
          <w:color w:val="auto"/>
        </w:rPr>
      </w:pPr>
      <w:r>
        <w:rPr>
          <w:rFonts w:ascii="Arial" w:cs="Arial" w:eastAsia="Arial" w:hAnsi="Arial"/>
          <w:sz w:val="18"/>
          <w:szCs w:val="18"/>
          <w:b w:val="1"/>
          <w:bCs w:val="1"/>
          <w:i w:val="1"/>
          <w:iCs w:val="1"/>
          <w:color w:val="auto"/>
        </w:rPr>
        <w:t>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47"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or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178" w:lineRule="exact"/>
        <w:rPr>
          <w:sz w:val="20"/>
          <w:szCs w:val="20"/>
          <w:color w:val="auto"/>
        </w:rPr>
      </w:pPr>
    </w:p>
    <w:p>
      <w:pPr>
        <w:ind w:left="180" w:right="40" w:firstLine="545"/>
        <w:spacing w:after="0" w:line="264"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74" w:lineRule="exact"/>
        <w:rPr>
          <w:sz w:val="20"/>
          <w:szCs w:val="20"/>
          <w:color w:val="auto"/>
        </w:rPr>
      </w:pPr>
    </w:p>
    <w:p>
      <w:pPr>
        <w:ind w:left="180" w:right="140" w:firstLine="545"/>
        <w:spacing w:after="0" w:line="234"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202"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6"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60"/>
        <w:spacing w:after="0" w:line="233" w:lineRule="auto"/>
        <w:rPr>
          <w:sz w:val="20"/>
          <w:szCs w:val="20"/>
          <w:color w:val="auto"/>
        </w:rPr>
      </w:pPr>
      <w:r>
        <w:rPr>
          <w:rFonts w:ascii="Arial" w:cs="Arial" w:eastAsia="Arial" w:hAnsi="Arial"/>
          <w:sz w:val="18"/>
          <w:szCs w:val="18"/>
          <w:color w:val="auto"/>
        </w:rPr>
        <w:t>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containing in-licensed content may not be prosecuted and enforced in a manner consistent with the best interests of our business.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05" w:lineRule="exact"/>
        <w:rPr>
          <w:sz w:val="20"/>
          <w:szCs w:val="20"/>
          <w:color w:val="auto"/>
        </w:rPr>
      </w:pPr>
    </w:p>
    <w:p>
      <w:pPr>
        <w:ind w:left="180" w:right="200" w:firstLine="545"/>
        <w:spacing w:after="0" w:line="233"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9"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40"/>
          </w:cols>
          <w:pgMar w:left="320" w:top="456"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3" w:lineRule="auto"/>
        <w:rPr>
          <w:sz w:val="20"/>
          <w:szCs w:val="20"/>
          <w:color w:val="auto"/>
        </w:rPr>
      </w:pPr>
      <w:r>
        <w:rPr>
          <w:rFonts w:ascii="Arial" w:cs="Arial" w:eastAsia="Arial" w:hAnsi="Arial"/>
          <w:sz w:val="18"/>
          <w:szCs w:val="18"/>
          <w:color w:val="auto"/>
        </w:rPr>
        <w:t>proceedings could result in revocation of our patents, ,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183" w:lineRule="exact"/>
        <w:rPr>
          <w:sz w:val="20"/>
          <w:szCs w:val="20"/>
          <w:color w:val="auto"/>
        </w:rPr>
      </w:pPr>
    </w:p>
    <w:p>
      <w:pPr>
        <w:ind w:left="180" w:right="20" w:firstLine="545"/>
        <w:spacing w:after="0" w:line="248"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88" w:lineRule="exact"/>
        <w:rPr>
          <w:sz w:val="20"/>
          <w:szCs w:val="20"/>
          <w:color w:val="auto"/>
        </w:rPr>
      </w:pPr>
    </w:p>
    <w:p>
      <w:pPr>
        <w:ind w:left="180" w:right="40" w:firstLine="545"/>
        <w:spacing w:after="0" w:line="233" w:lineRule="auto"/>
        <w:rPr>
          <w:sz w:val="20"/>
          <w:szCs w:val="20"/>
          <w:color w:val="auto"/>
        </w:rPr>
      </w:pPr>
      <w:r>
        <w:rPr>
          <w:rFonts w:ascii="Arial" w:cs="Arial" w:eastAsia="Arial" w:hAnsi="Arial"/>
          <w:sz w:val="18"/>
          <w:szCs w:val="18"/>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185" w:lineRule="exact"/>
        <w:rPr>
          <w:sz w:val="20"/>
          <w:szCs w:val="20"/>
          <w:color w:val="auto"/>
        </w:rPr>
      </w:pPr>
    </w:p>
    <w:p>
      <w:pPr>
        <w:ind w:left="180" w:right="440" w:firstLine="545"/>
        <w:spacing w:after="0" w:line="264"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color w:val="auto"/>
        </w:rPr>
        <w:t>.</w:t>
      </w:r>
    </w:p>
    <w:p>
      <w:pPr>
        <w:spacing w:after="0" w:line="74" w:lineRule="exact"/>
        <w:rPr>
          <w:sz w:val="20"/>
          <w:szCs w:val="20"/>
          <w:color w:val="auto"/>
        </w:rPr>
      </w:pPr>
    </w:p>
    <w:p>
      <w:pPr>
        <w:ind w:left="180" w:right="120" w:firstLine="545"/>
        <w:spacing w:after="0" w:line="250" w:lineRule="auto"/>
        <w:rPr>
          <w:sz w:val="20"/>
          <w:szCs w:val="20"/>
          <w:color w:val="auto"/>
        </w:rPr>
      </w:pPr>
      <w:r>
        <w:rPr>
          <w:rFonts w:ascii="Arial" w:cs="Arial" w:eastAsia="Arial" w:hAnsi="Arial"/>
          <w:sz w:val="17"/>
          <w:szCs w:val="17"/>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6"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3" w:lineRule="auto"/>
        <w:rPr>
          <w:sz w:val="20"/>
          <w:szCs w:val="20"/>
          <w:color w:val="auto"/>
        </w:rPr>
      </w:pPr>
      <w:r>
        <w:rPr>
          <w:rFonts w:ascii="Arial" w:cs="Arial" w:eastAsia="Arial" w:hAnsi="Arial"/>
          <w:sz w:val="18"/>
          <w:szCs w:val="18"/>
          <w:color w:val="auto"/>
        </w:rPr>
        <w:t>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207"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182" w:lineRule="exact"/>
        <w:rPr>
          <w:sz w:val="20"/>
          <w:szCs w:val="20"/>
          <w:color w:val="auto"/>
        </w:rPr>
      </w:pPr>
    </w:p>
    <w:p>
      <w:pPr>
        <w:ind w:left="180" w:firstLine="545"/>
        <w:spacing w:after="0" w:line="243"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92" w:lineRule="exact"/>
        <w:rPr>
          <w:sz w:val="20"/>
          <w:szCs w:val="20"/>
          <w:color w:val="auto"/>
        </w:rPr>
      </w:pPr>
    </w:p>
    <w:p>
      <w:pPr>
        <w:ind w:left="180" w:right="140" w:firstLine="545"/>
        <w:spacing w:after="0" w:line="236"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201" w:lineRule="exact"/>
        <w:rPr>
          <w:sz w:val="20"/>
          <w:szCs w:val="20"/>
          <w:color w:val="auto"/>
        </w:rPr>
      </w:pPr>
    </w:p>
    <w:p>
      <w:pPr>
        <w:ind w:left="180" w:right="220" w:firstLine="545"/>
        <w:spacing w:after="0" w:line="235"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2"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We do not “sell” personal information within the meaning of the CCPA; however, our practices may change in the future and we may face additional</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3" w:lineRule="auto"/>
        <w:rPr>
          <w:sz w:val="20"/>
          <w:szCs w:val="20"/>
          <w:color w:val="auto"/>
        </w:rPr>
      </w:pPr>
      <w:r>
        <w:rPr>
          <w:rFonts w:ascii="Arial" w:cs="Arial" w:eastAsia="Arial" w:hAnsi="Arial"/>
          <w:sz w:val="18"/>
          <w:szCs w:val="18"/>
          <w:color w:val="auto"/>
        </w:rPr>
        <w:t>CCPA compliance costs or could be adversely affected by the CCPA’s restrictions. The CCPA provides for civil penalties for violations, and creates a private right of action for data security incidents that is expected to increase data security-related litigation. Additionally, the California Privacy Rights Act, or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or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205"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In addition, the Telephone Consumer Protection Act, or TCPA, imposes significant restrictions on the ability to make telephone calls or send text messages to mobile telephone numbers without the 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or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209"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We are also subject to the European Union General Data Protection Regulation, or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consistently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216"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320" w:top="456"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80" w:right="300"/>
        <w:spacing w:after="0" w:line="237" w:lineRule="auto"/>
        <w:rPr>
          <w:sz w:val="20"/>
          <w:szCs w:val="20"/>
          <w:color w:val="auto"/>
        </w:rPr>
      </w:pPr>
      <w:r>
        <w:rPr>
          <w:rFonts w:ascii="Arial" w:cs="Arial" w:eastAsia="Arial" w:hAnsi="Arial"/>
          <w:sz w:val="18"/>
          <w:szCs w:val="18"/>
          <w:color w:val="auto"/>
        </w:rPr>
        <w:t>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202"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202"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all claims made against us and could have high deductibles, and defending a suit, regardless of its merit, could be costly and divert management attention.</w:t>
      </w:r>
    </w:p>
    <w:p>
      <w:pPr>
        <w:spacing w:after="0" w:line="185" w:lineRule="exact"/>
        <w:rPr>
          <w:sz w:val="20"/>
          <w:szCs w:val="20"/>
          <w:color w:val="auto"/>
        </w:rPr>
      </w:pPr>
    </w:p>
    <w:p>
      <w:pPr>
        <w:ind w:left="180" w:right="180" w:firstLine="545"/>
        <w:spacing w:after="0" w:line="264"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74"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Failure to comply with such laws and regulations which tend to become more stringent over time can result in significant fines, penalties, costs, liabilities or restrictions on operations ,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204"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can be joint and several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substances or waste located on or in or emanating from leased property, as well as any property damage. There can be no assurance that our future uses or conditions will not result in the imposition of liability upon us under environmental laws or expose us to third-party actions such as tort suits. Furthermore, we rely on third-party suppliers to provide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6"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80"/>
        <w:spacing w:after="0" w:line="239" w:lineRule="auto"/>
        <w:rPr>
          <w:sz w:val="20"/>
          <w:szCs w:val="20"/>
          <w:color w:val="auto"/>
        </w:rPr>
      </w:pPr>
      <w:r>
        <w:rPr>
          <w:rFonts w:ascii="Arial" w:cs="Arial" w:eastAsia="Arial" w:hAnsi="Arial"/>
          <w:sz w:val="18"/>
          <w:szCs w:val="18"/>
          <w:color w:val="auto"/>
        </w:rPr>
        <w:t>chemicals, cleaning supplies, and handling instructions that comply with applicable health, safety and environmental regulations. A failure of such suppliers to abide by applicable regulations may subject us to material liabilities.</w:t>
      </w:r>
    </w:p>
    <w:p>
      <w:pPr>
        <w:spacing w:after="0" w:line="180" w:lineRule="exact"/>
        <w:rPr>
          <w:sz w:val="20"/>
          <w:szCs w:val="20"/>
          <w:color w:val="auto"/>
        </w:rPr>
      </w:pPr>
    </w:p>
    <w:p>
      <w:pPr>
        <w:ind w:left="180" w:right="320" w:firstLine="545"/>
        <w:spacing w:after="0" w:line="248" w:lineRule="auto"/>
        <w:rPr>
          <w:sz w:val="20"/>
          <w:szCs w:val="20"/>
          <w:color w:val="auto"/>
        </w:rPr>
      </w:pPr>
      <w:r>
        <w:rPr>
          <w:rFonts w:ascii="Arial" w:cs="Arial" w:eastAsia="Arial" w:hAnsi="Arial"/>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88" w:lineRule="exact"/>
        <w:rPr>
          <w:sz w:val="20"/>
          <w:szCs w:val="20"/>
          <w:color w:val="auto"/>
        </w:rPr>
      </w:pPr>
    </w:p>
    <w:p>
      <w:pPr>
        <w:ind w:left="180" w:firstLine="545"/>
        <w:spacing w:after="0" w:line="247" w:lineRule="auto"/>
        <w:rPr>
          <w:sz w:val="20"/>
          <w:szCs w:val="20"/>
          <w:color w:val="auto"/>
        </w:rPr>
      </w:pPr>
      <w:r>
        <w:rPr>
          <w:rFonts w:ascii="Arial" w:cs="Arial" w:eastAsia="Arial" w:hAnsi="Arial"/>
          <w:sz w:val="17"/>
          <w:szCs w:val="17"/>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3" w:lineRule="exact"/>
        <w:rPr>
          <w:sz w:val="20"/>
          <w:szCs w:val="20"/>
          <w:color w:val="auto"/>
        </w:rPr>
      </w:pPr>
    </w:p>
    <w:p>
      <w:pPr>
        <w:ind w:left="180" w:right="60" w:firstLine="545"/>
        <w:spacing w:after="0" w:line="235" w:lineRule="auto"/>
        <w:rPr>
          <w:sz w:val="20"/>
          <w:szCs w:val="20"/>
          <w:color w:val="auto"/>
        </w:rPr>
      </w:pPr>
      <w:r>
        <w:rPr>
          <w:rFonts w:ascii="Arial" w:cs="Arial" w:eastAsia="Arial" w:hAnsi="Arial"/>
          <w:sz w:val="18"/>
          <w:szCs w:val="18"/>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180" w:lineRule="exact"/>
        <w:rPr>
          <w:sz w:val="20"/>
          <w:szCs w:val="20"/>
          <w:color w:val="auto"/>
        </w:rPr>
      </w:pPr>
    </w:p>
    <w:p>
      <w:pPr>
        <w:ind w:left="180" w:right="60" w:firstLine="545"/>
        <w:spacing w:after="0" w:line="264"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74" w:lineRule="exact"/>
        <w:rPr>
          <w:sz w:val="20"/>
          <w:szCs w:val="20"/>
          <w:color w:val="auto"/>
        </w:rPr>
      </w:pPr>
    </w:p>
    <w:p>
      <w:pPr>
        <w:ind w:left="180" w:right="40" w:firstLine="545"/>
        <w:spacing w:after="0" w:line="233" w:lineRule="auto"/>
        <w:rPr>
          <w:sz w:val="20"/>
          <w:szCs w:val="20"/>
          <w:color w:val="auto"/>
        </w:rPr>
      </w:pPr>
      <w:r>
        <w:rPr>
          <w:rFonts w:ascii="Arial" w:cs="Arial" w:eastAsia="Arial" w:hAnsi="Arial"/>
          <w:sz w:val="18"/>
          <w:szCs w:val="18"/>
          <w:color w:val="auto"/>
        </w:rPr>
        <w:t>As of January 31, 2021, we had federal net operating loss carryforwards of $459.3 million, $152.0 million of which will expire at various times through 2038. Furthermore, we had state net operating loss carryforwards of $26 million, which will expire at various times through 2041. Portions of these net operating loss carryforwards could expire unused and be unavailable to offset future income tax liabilities. Under the legislation enacted in 2017, commonly referred to as the Tax Cuts and Jobs Act, or Tax Act, as modified by the Coronavirus Aid, Relief, and Economic Security, or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on or after January 1, 2020 and before January 1, 2023.</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6"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NOLs were subject to the limitation. However, all of those NOLs were available by the year ended January 31, 2017. We may experience additional ownership changes as a result of subsequent shifts in our stock ownership, including upon completion of this offering, some of which may be outside of our control. If we undergo another ownership change, we may incur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22" w:lineRule="exact"/>
        <w:rPr>
          <w:sz w:val="20"/>
          <w:szCs w:val="20"/>
          <w:color w:val="auto"/>
        </w:rPr>
      </w:pPr>
    </w:p>
    <w:p>
      <w:pPr>
        <w:ind w:left="180" w:right="180" w:firstLine="545"/>
        <w:spacing w:after="0" w:line="239" w:lineRule="auto"/>
        <w:rPr>
          <w:sz w:val="20"/>
          <w:szCs w:val="20"/>
          <w:color w:val="auto"/>
        </w:rPr>
      </w:pPr>
      <w:r>
        <w:rPr>
          <w:rFonts w:ascii="Arial" w:cs="Arial" w:eastAsia="Arial" w:hAnsi="Arial"/>
          <w:sz w:val="18"/>
          <w:szCs w:val="18"/>
          <w:color w:val="auto"/>
        </w:rPr>
        <w:t>We are subject to income taxes in the United States and in various states within the United States. Our effective tax rate could be adversely affected due to several factors, including:</w:t>
      </w:r>
    </w:p>
    <w:p>
      <w:pPr>
        <w:spacing w:after="0" w:line="109" w:lineRule="exact"/>
        <w:rPr>
          <w:sz w:val="20"/>
          <w:szCs w:val="20"/>
          <w:color w:val="auto"/>
        </w:rPr>
      </w:pPr>
    </w:p>
    <w:p>
      <w:pPr>
        <w:ind w:left="920" w:right="600" w:hanging="212"/>
        <w:spacing w:after="0" w:line="239"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 interpretation of them;</w:t>
      </w:r>
    </w:p>
    <w:p>
      <w:pPr>
        <w:spacing w:after="0" w:line="113" w:lineRule="exact"/>
        <w:rPr>
          <w:rFonts w:ascii="Arial" w:cs="Arial" w:eastAsia="Arial" w:hAnsi="Arial"/>
          <w:sz w:val="18"/>
          <w:szCs w:val="18"/>
          <w:color w:val="auto"/>
        </w:rPr>
      </w:pPr>
    </w:p>
    <w:p>
      <w:pPr>
        <w:ind w:left="920" w:right="140" w:hanging="212"/>
        <w:spacing w:after="0" w:line="237"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07" w:lineRule="exact"/>
        <w:rPr>
          <w:sz w:val="20"/>
          <w:szCs w:val="20"/>
          <w:color w:val="auto"/>
        </w:rPr>
      </w:pPr>
    </w:p>
    <w:p>
      <w:pPr>
        <w:ind w:left="180" w:right="20" w:firstLine="545"/>
        <w:spacing w:after="0" w:line="239" w:lineRule="auto"/>
        <w:rPr>
          <w:sz w:val="20"/>
          <w:szCs w:val="20"/>
          <w:color w:val="auto"/>
        </w:rPr>
      </w:pPr>
      <w:r>
        <w:rPr>
          <w:rFonts w:ascii="Arial" w:cs="Arial" w:eastAsia="Arial" w:hAnsi="Arial"/>
          <w:sz w:val="18"/>
          <w:szCs w:val="18"/>
          <w:color w:val="auto"/>
        </w:rPr>
        <w:t>If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202" w:lineRule="exact"/>
        <w:rPr>
          <w:sz w:val="20"/>
          <w:szCs w:val="20"/>
          <w:color w:val="auto"/>
        </w:rPr>
      </w:pPr>
    </w:p>
    <w:p>
      <w:pPr>
        <w:ind w:left="180" w:right="40" w:firstLine="545"/>
        <w:spacing w:after="0" w:line="248" w:lineRule="auto"/>
        <w:rPr>
          <w:sz w:val="20"/>
          <w:szCs w:val="20"/>
          <w:color w:val="auto"/>
        </w:rPr>
      </w:pPr>
      <w:r>
        <w:rPr>
          <w:rFonts w:ascii="Arial" w:cs="Arial" w:eastAsia="Arial" w:hAnsi="Arial"/>
          <w:sz w:val="17"/>
          <w:szCs w:val="17"/>
          <w:color w:val="auto"/>
        </w:rPr>
        <w:t>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the recent presidential and congressional elections in the United States could result in significant changes in, and uncertainty with respect to, tax legislation, regulation and government policy directly affecting our business or indirectly affecting us because of impacts on our customers and suppliers.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6"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We face risks associated with brand partners from whom our products are sourced or co-manufactured.</w:t>
      </w:r>
    </w:p>
    <w:p>
      <w:pPr>
        <w:spacing w:after="0" w:line="122" w:lineRule="exact"/>
        <w:rPr>
          <w:sz w:val="20"/>
          <w:szCs w:val="20"/>
          <w:color w:val="auto"/>
        </w:rPr>
      </w:pPr>
    </w:p>
    <w:p>
      <w:pPr>
        <w:ind w:left="180" w:right="120" w:firstLine="545"/>
        <w:spacing w:after="0" w:line="237" w:lineRule="auto"/>
        <w:rPr>
          <w:sz w:val="20"/>
          <w:szCs w:val="20"/>
          <w:color w:val="auto"/>
        </w:rPr>
      </w:pPr>
      <w:r>
        <w:rPr>
          <w:rFonts w:ascii="Arial" w:cs="Arial" w:eastAsia="Arial" w:hAnsi="Arial"/>
          <w:sz w:val="18"/>
          <w:szCs w:val="18"/>
          <w:color w:val="auto"/>
        </w:rPr>
        <w:t>We obtain substantially all of our products directly from over 750 brand partners through Wholesale, Share by RTR, and Exclusive Designs arrangements with designer or manufacturing partners. The benefits we currently experience from these brand partner relationships could be adversely affected if they:</w:t>
      </w:r>
    </w:p>
    <w:p>
      <w:pPr>
        <w:spacing w:after="0" w:line="108" w:lineRule="exact"/>
        <w:rPr>
          <w:sz w:val="20"/>
          <w:szCs w:val="20"/>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discontinue selling products to us;</w:t>
      </w:r>
    </w:p>
    <w:p>
      <w:pPr>
        <w:spacing w:after="0" w:line="113" w:lineRule="exact"/>
        <w:rPr>
          <w:rFonts w:ascii="Arial" w:cs="Arial" w:eastAsia="Arial" w:hAnsi="Arial"/>
          <w:sz w:val="18"/>
          <w:szCs w:val="18"/>
          <w:color w:val="auto"/>
        </w:rPr>
      </w:pPr>
    </w:p>
    <w:p>
      <w:pPr>
        <w:ind w:left="920" w:hanging="212"/>
        <w:spacing w:after="0" w:line="239"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 not view our brand favorably;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07" w:lineRule="exact"/>
        <w:rPr>
          <w:sz w:val="20"/>
          <w:szCs w:val="20"/>
          <w:color w:val="auto"/>
        </w:rPr>
      </w:pPr>
    </w:p>
    <w:p>
      <w:pPr>
        <w:ind w:left="180" w:right="40" w:firstLine="545"/>
        <w:spacing w:after="0" w:line="233" w:lineRule="auto"/>
        <w:rPr>
          <w:sz w:val="20"/>
          <w:szCs w:val="20"/>
          <w:color w:val="auto"/>
        </w:rPr>
      </w:pPr>
      <w:r>
        <w:rPr>
          <w:rFonts w:ascii="Arial" w:cs="Arial" w:eastAsia="Arial" w:hAnsi="Arial"/>
          <w:sz w:val="18"/>
          <w:szCs w:val="18"/>
          <w:color w:val="auto"/>
        </w:rPr>
        <w:t>Events that adversely impact our brand partners could impair our ability to obtain adequate and timely products. We also source products directly from brand partners outside of the United States and many of our brand partners use manufacturers in the same geographic region, and as a result we may be subject to magnified impact from such events including, among others, difficulties or problems associated with our brand partners’ business, the financial instability and labor problems of brand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Our brand partners may be forced to reduce their production, shut down their operations or file for bankruptcy.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184" w:lineRule="exact"/>
        <w:rPr>
          <w:sz w:val="20"/>
          <w:szCs w:val="20"/>
          <w:color w:val="auto"/>
        </w:rPr>
      </w:pPr>
    </w:p>
    <w:p>
      <w:pPr>
        <w:ind w:left="180" w:right="400" w:firstLine="545"/>
        <w:spacing w:after="0" w:line="264"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8"/>
          <w:szCs w:val="18"/>
          <w:color w:val="auto"/>
        </w:rPr>
        <w:t>.</w:t>
      </w:r>
    </w:p>
    <w:p>
      <w:pPr>
        <w:spacing w:after="0" w:line="74" w:lineRule="exact"/>
        <w:rPr>
          <w:sz w:val="20"/>
          <w:szCs w:val="20"/>
          <w:color w:val="auto"/>
        </w:rPr>
      </w:pPr>
    </w:p>
    <w:p>
      <w:pPr>
        <w:ind w:left="180" w:right="280" w:firstLine="545"/>
        <w:spacing w:after="0" w:line="239" w:lineRule="auto"/>
        <w:rPr>
          <w:sz w:val="20"/>
          <w:szCs w:val="20"/>
          <w:color w:val="auto"/>
        </w:rPr>
      </w:pPr>
      <w:r>
        <w:rPr>
          <w:rFonts w:ascii="Arial" w:cs="Arial" w:eastAsia="Arial" w:hAnsi="Arial"/>
          <w:sz w:val="18"/>
          <w:szCs w:val="18"/>
          <w:color w:val="auto"/>
        </w:rPr>
        <w:t>The convenient customer payment mechanisms provided by our business are key factors contributing to the development of our business. We rely on third parties, including for our payment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6"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3" w:lineRule="auto"/>
        <w:rPr>
          <w:sz w:val="20"/>
          <w:szCs w:val="20"/>
          <w:color w:val="auto"/>
        </w:rPr>
      </w:pPr>
      <w:r>
        <w:rPr>
          <w:rFonts w:ascii="Arial" w:cs="Arial" w:eastAsia="Arial" w:hAnsi="Arial"/>
          <w:sz w:val="18"/>
          <w:szCs w:val="18"/>
          <w:color w:val="auto"/>
        </w:rPr>
        <w:t>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208" w:lineRule="exact"/>
        <w:rPr>
          <w:sz w:val="20"/>
          <w:szCs w:val="20"/>
          <w:color w:val="auto"/>
        </w:rPr>
      </w:pPr>
    </w:p>
    <w:p>
      <w:pPr>
        <w:ind w:left="180" w:right="220" w:firstLine="545"/>
        <w:spacing w:after="0" w:line="234" w:lineRule="auto"/>
        <w:rPr>
          <w:sz w:val="20"/>
          <w:szCs w:val="20"/>
          <w:color w:val="auto"/>
        </w:rPr>
      </w:pPr>
      <w:r>
        <w:rPr>
          <w:rFonts w:ascii="Arial" w:cs="Arial" w:eastAsia="Arial" w:hAnsi="Arial"/>
          <w:sz w:val="18"/>
          <w:szCs w:val="18"/>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183" w:lineRule="exact"/>
        <w:rPr>
          <w:sz w:val="20"/>
          <w:szCs w:val="20"/>
          <w:color w:val="auto"/>
        </w:rPr>
      </w:pPr>
    </w:p>
    <w:p>
      <w:pPr>
        <w:ind w:left="180" w:right="500" w:firstLine="545"/>
        <w:spacing w:after="0" w:line="264"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are in the process of migrating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will provide the cloud computing infrastructure we use to host our website and mobile application, serve our customers and support our operations and many of the internal tools we use to operate our business. Our website, mobile application and internal tools will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206" w:lineRule="exact"/>
        <w:rPr>
          <w:sz w:val="20"/>
          <w:szCs w:val="20"/>
          <w:color w:val="auto"/>
        </w:rPr>
      </w:pPr>
    </w:p>
    <w:p>
      <w:pPr>
        <w:ind w:left="180" w:right="220" w:firstLine="545"/>
        <w:spacing w:after="0" w:line="234" w:lineRule="auto"/>
        <w:rPr>
          <w:sz w:val="20"/>
          <w:szCs w:val="20"/>
          <w:color w:val="auto"/>
        </w:rPr>
      </w:pPr>
      <w:r>
        <w:rPr>
          <w:rFonts w:ascii="Arial" w:cs="Arial" w:eastAsia="Arial" w:hAnsi="Arial"/>
          <w:sz w:val="18"/>
          <w:szCs w:val="18"/>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6"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40"/>
        <w:spacing w:after="0" w:line="234" w:lineRule="auto"/>
        <w:rPr>
          <w:sz w:val="20"/>
          <w:szCs w:val="20"/>
          <w:color w:val="auto"/>
        </w:rPr>
      </w:pPr>
      <w:r>
        <w:rPr>
          <w:rFonts w:ascii="Arial" w:cs="Arial" w:eastAsia="Arial" w:hAnsi="Arial"/>
          <w:sz w:val="18"/>
          <w:szCs w:val="18"/>
          <w:color w:val="auto"/>
        </w:rPr>
        <w:t>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205" w:lineRule="exact"/>
        <w:rPr>
          <w:sz w:val="20"/>
          <w:szCs w:val="20"/>
          <w:color w:val="auto"/>
        </w:rPr>
      </w:pPr>
    </w:p>
    <w:p>
      <w:pPr>
        <w:ind w:left="180" w:firstLine="545"/>
        <w:spacing w:after="0" w:line="249" w:lineRule="auto"/>
        <w:rPr>
          <w:sz w:val="20"/>
          <w:szCs w:val="20"/>
          <w:color w:val="auto"/>
        </w:rPr>
      </w:pPr>
      <w:r>
        <w:rPr>
          <w:rFonts w:ascii="Arial" w:cs="Arial" w:eastAsia="Arial" w:hAnsi="Arial"/>
          <w:sz w:val="17"/>
          <w:szCs w:val="17"/>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175" w:lineRule="exact"/>
        <w:rPr>
          <w:sz w:val="20"/>
          <w:szCs w:val="20"/>
          <w:color w:val="auto"/>
        </w:rPr>
      </w:pPr>
    </w:p>
    <w:p>
      <w:pPr>
        <w:ind w:left="180" w:right="260" w:firstLine="545"/>
        <w:spacing w:after="0" w:line="248"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8"/>
          <w:szCs w:val="18"/>
          <w:color w:val="auto"/>
        </w:rPr>
        <w:t>.</w:t>
      </w:r>
    </w:p>
    <w:p>
      <w:pPr>
        <w:spacing w:after="0" w:line="88" w:lineRule="exact"/>
        <w:rPr>
          <w:sz w:val="20"/>
          <w:szCs w:val="20"/>
          <w:color w:val="auto"/>
        </w:rPr>
      </w:pPr>
    </w:p>
    <w:p>
      <w:pPr>
        <w:ind w:left="180" w:right="100" w:firstLine="545"/>
        <w:spacing w:after="0" w:line="237"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202" w:lineRule="exact"/>
        <w:rPr>
          <w:sz w:val="20"/>
          <w:szCs w:val="20"/>
          <w:color w:val="auto"/>
        </w:rPr>
      </w:pPr>
    </w:p>
    <w:p>
      <w:pPr>
        <w:ind w:left="180" w:right="60" w:firstLine="545"/>
        <w:spacing w:after="0" w:line="234"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204"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60" w:firstLine="545"/>
        <w:spacing w:after="0" w:line="234"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202" w:lineRule="exact"/>
        <w:rPr>
          <w:sz w:val="20"/>
          <w:szCs w:val="20"/>
          <w:color w:val="auto"/>
        </w:rPr>
      </w:pPr>
    </w:p>
    <w:p>
      <w:pPr>
        <w:ind w:left="180" w:right="60" w:firstLine="545"/>
        <w:spacing w:after="0" w:line="249" w:lineRule="auto"/>
        <w:rPr>
          <w:sz w:val="20"/>
          <w:szCs w:val="20"/>
          <w:color w:val="auto"/>
        </w:rPr>
      </w:pPr>
      <w:r>
        <w:rPr>
          <w:rFonts w:ascii="Arial" w:cs="Arial" w:eastAsia="Arial" w:hAnsi="Arial"/>
          <w:sz w:val="17"/>
          <w:szCs w:val="17"/>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assure you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97" w:lineRule="exact"/>
        <w:rPr>
          <w:sz w:val="20"/>
          <w:szCs w:val="20"/>
          <w:color w:val="auto"/>
        </w:rPr>
      </w:pPr>
    </w:p>
    <w:p>
      <w:pPr>
        <w:ind w:left="180" w:right="100" w:firstLine="545"/>
        <w:spacing w:after="0" w:line="249" w:lineRule="auto"/>
        <w:rPr>
          <w:sz w:val="20"/>
          <w:szCs w:val="20"/>
          <w:color w:val="auto"/>
        </w:rPr>
      </w:pPr>
      <w:r>
        <w:rPr>
          <w:rFonts w:ascii="Arial" w:cs="Arial" w:eastAsia="Arial" w:hAnsi="Arial"/>
          <w:sz w:val="17"/>
          <w:szCs w:val="17"/>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172" w:lineRule="exact"/>
        <w:rPr>
          <w:sz w:val="20"/>
          <w:szCs w:val="20"/>
          <w:color w:val="auto"/>
        </w:rPr>
      </w:pPr>
    </w:p>
    <w:p>
      <w:pPr>
        <w:ind w:left="180" w:right="520" w:firstLine="545"/>
        <w:spacing w:after="0" w:line="248" w:lineRule="auto"/>
        <w:rPr>
          <w:sz w:val="20"/>
          <w:szCs w:val="20"/>
          <w:color w:val="auto"/>
        </w:rPr>
      </w:pPr>
      <w:r>
        <w:rPr>
          <w:rFonts w:ascii="Arial" w:cs="Arial" w:eastAsia="Arial" w:hAnsi="Arial"/>
          <w:sz w:val="18"/>
          <w:szCs w:val="18"/>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88" w:lineRule="exact"/>
        <w:rPr>
          <w:sz w:val="20"/>
          <w:szCs w:val="20"/>
          <w:color w:val="auto"/>
        </w:rPr>
      </w:pPr>
    </w:p>
    <w:p>
      <w:pPr>
        <w:ind w:left="180" w:firstLine="545"/>
        <w:spacing w:after="0" w:line="256" w:lineRule="auto"/>
        <w:rPr>
          <w:sz w:val="20"/>
          <w:szCs w:val="20"/>
          <w:color w:val="auto"/>
        </w:rPr>
      </w:pPr>
      <w:r>
        <w:rPr>
          <w:rFonts w:ascii="Arial" w:cs="Arial" w:eastAsia="Arial" w:hAnsi="Arial"/>
          <w:sz w:val="17"/>
          <w:szCs w:val="17"/>
          <w:color w:val="auto"/>
        </w:rPr>
        <w:t>Our standard vendor terms and conditions, vendor code of conduct, and other policies require our brand partners to comply with applicable laws and certain business standards. The failure of these partners to comply with our vendor code of conduct or applicable laws and regulations could damage our reputation, lead to negative press and/or customer sentiment, or result in costly litigation against us.</w:t>
      </w:r>
    </w:p>
    <w:p>
      <w:pPr>
        <w:spacing w:after="0" w:line="189" w:lineRule="exact"/>
        <w:rPr>
          <w:sz w:val="20"/>
          <w:szCs w:val="20"/>
          <w:color w:val="auto"/>
        </w:rPr>
      </w:pPr>
    </w:p>
    <w:p>
      <w:pPr>
        <w:ind w:left="180" w:right="180" w:firstLine="545"/>
        <w:spacing w:after="0" w:line="234" w:lineRule="auto"/>
        <w:rPr>
          <w:sz w:val="20"/>
          <w:szCs w:val="20"/>
          <w:color w:val="auto"/>
        </w:rPr>
      </w:pPr>
      <w:r>
        <w:rPr>
          <w:rFonts w:ascii="Arial" w:cs="Arial" w:eastAsia="Arial" w:hAnsi="Arial"/>
          <w:sz w:val="18"/>
          <w:szCs w:val="18"/>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80" w:right="200" w:firstLine="545"/>
        <w:spacing w:after="0" w:line="235" w:lineRule="auto"/>
        <w:rPr>
          <w:sz w:val="20"/>
          <w:szCs w:val="20"/>
          <w:color w:val="auto"/>
        </w:rPr>
      </w:pPr>
      <w:r>
        <w:rPr>
          <w:rFonts w:ascii="Arial" w:cs="Arial" w:eastAsia="Arial" w:hAnsi="Arial"/>
          <w:sz w:val="18"/>
          <w:szCs w:val="18"/>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122"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187" w:lineRule="exact"/>
        <w:rPr>
          <w:sz w:val="20"/>
          <w:szCs w:val="20"/>
          <w:color w:val="auto"/>
        </w:rPr>
      </w:pPr>
    </w:p>
    <w:p>
      <w:pPr>
        <w:ind w:left="180" w:right="60" w:firstLine="545"/>
        <w:spacing w:after="0" w:line="264"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09" w:lineRule="exact"/>
        <w:rPr>
          <w:sz w:val="20"/>
          <w:szCs w:val="20"/>
          <w:color w:val="auto"/>
        </w:rPr>
      </w:pPr>
    </w:p>
    <w:p>
      <w:pPr>
        <w:ind w:left="180" w:firstLine="545"/>
        <w:spacing w:after="0" w:line="250" w:lineRule="auto"/>
        <w:rPr>
          <w:sz w:val="20"/>
          <w:szCs w:val="20"/>
          <w:color w:val="auto"/>
        </w:rPr>
      </w:pPr>
      <w:r>
        <w:rPr>
          <w:rFonts w:ascii="Arial" w:cs="Arial" w:eastAsia="Arial" w:hAnsi="Arial"/>
          <w:sz w:val="17"/>
          <w:szCs w:val="17"/>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Related to this Offering and Ownership of Our Class A Common Stock</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control with those stockholders who</w:t>
      </w:r>
    </w:p>
    <w:p>
      <w:pPr>
        <w:spacing w:after="0" w:line="27" w:lineRule="exact"/>
        <w:rPr>
          <w:sz w:val="20"/>
          <w:szCs w:val="20"/>
          <w:color w:val="auto"/>
        </w:rPr>
      </w:pPr>
    </w:p>
    <w:p>
      <w:pPr>
        <w:ind w:left="180" w:right="40"/>
        <w:spacing w:after="0" w:line="239" w:lineRule="auto"/>
        <w:rPr>
          <w:sz w:val="20"/>
          <w:szCs w:val="20"/>
          <w:color w:val="auto"/>
        </w:rPr>
      </w:pPr>
      <w:r>
        <w:rPr>
          <w:rFonts w:ascii="Arial" w:cs="Arial" w:eastAsia="Arial" w:hAnsi="Arial"/>
          <w:sz w:val="18"/>
          <w:szCs w:val="18"/>
          <w:b w:val="1"/>
          <w:bCs w:val="1"/>
          <w:i w:val="1"/>
          <w:iCs w:val="1"/>
          <w:color w:val="auto"/>
        </w:rPr>
        <w:t>held our capital stock prior to the listing of our Class A common stock on , including our CEO and Co-Founder, and her affiliates, which will limit your ability to influence the outcome of important transactions, including a change of control</w:t>
      </w:r>
      <w:r>
        <w:rPr>
          <w:rFonts w:ascii="Arial" w:cs="Arial" w:eastAsia="Arial" w:hAnsi="Arial"/>
          <w:sz w:val="18"/>
          <w:szCs w:val="18"/>
          <w:color w:val="auto"/>
        </w:rPr>
        <w:t>.</w:t>
      </w:r>
    </w:p>
    <w:p>
      <w:pPr>
        <w:spacing w:after="0" w:line="89" w:lineRule="exact"/>
        <w:rPr>
          <w:sz w:val="20"/>
          <w:szCs w:val="20"/>
          <w:color w:val="auto"/>
        </w:rPr>
      </w:pPr>
    </w:p>
    <w:p>
      <w:pPr>
        <w:ind w:left="720"/>
        <w:spacing w:after="0"/>
        <w:tabs>
          <w:tab w:leader="none" w:pos="3980" w:val="left"/>
        </w:tabs>
        <w:rPr>
          <w:sz w:val="20"/>
          <w:szCs w:val="20"/>
          <w:color w:val="auto"/>
        </w:rPr>
      </w:pPr>
      <w:r>
        <w:rPr>
          <w:rFonts w:ascii="Arial" w:cs="Arial" w:eastAsia="Arial" w:hAnsi="Arial"/>
          <w:sz w:val="18"/>
          <w:szCs w:val="18"/>
          <w:color w:val="auto"/>
        </w:rPr>
        <w:t>Our Class B common stock has</w:t>
      </w:r>
      <w:r>
        <w:rPr>
          <w:sz w:val="20"/>
          <w:szCs w:val="20"/>
          <w:color w:val="auto"/>
        </w:rPr>
        <w:tab/>
      </w:r>
      <w:r>
        <w:rPr>
          <w:rFonts w:ascii="Arial" w:cs="Arial" w:eastAsia="Arial" w:hAnsi="Arial"/>
          <w:sz w:val="17"/>
          <w:szCs w:val="17"/>
          <w:color w:val="auto"/>
        </w:rPr>
        <w:t>votes per share, and our Class A common stock, which is the stock we are listing</w:t>
      </w:r>
    </w:p>
    <w:p>
      <w:pPr>
        <w:ind w:left="180"/>
        <w:spacing w:after="0" w:line="232" w:lineRule="auto"/>
        <w:tabs>
          <w:tab w:leader="none" w:pos="11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and is being registered pursuant to the registration statement of which this prospectus forms a part, has one vote per share.</w:t>
      </w:r>
    </w:p>
    <w:p>
      <w:pPr>
        <w:ind w:left="180"/>
        <w:spacing w:after="0"/>
        <w:tabs>
          <w:tab w:leader="none" w:pos="1360" w:val="left"/>
          <w:tab w:leader="none" w:pos="74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our CEO and Co-Founder, and her affiliates held in the aggregate</w:t>
      </w:r>
      <w:r>
        <w:rPr>
          <w:sz w:val="20"/>
          <w:szCs w:val="20"/>
          <w:color w:val="auto"/>
        </w:rPr>
        <w:tab/>
      </w:r>
      <w:r>
        <w:rPr>
          <w:rFonts w:ascii="Arial" w:cs="Arial" w:eastAsia="Arial" w:hAnsi="Arial"/>
          <w:sz w:val="17"/>
          <w:szCs w:val="17"/>
          <w:color w:val="auto"/>
        </w:rPr>
        <w:t>% of the voting power of our capital stock.</w:t>
      </w:r>
    </w:p>
    <w:p>
      <w:pPr>
        <w:ind w:left="180"/>
        <w:spacing w:after="0"/>
        <w:tabs>
          <w:tab w:leader="none" w:pos="2180" w:val="left"/>
          <w:tab w:leader="none" w:pos="3240" w:val="left"/>
        </w:tabs>
        <w:rPr>
          <w:sz w:val="20"/>
          <w:szCs w:val="20"/>
          <w:color w:val="auto"/>
        </w:rPr>
      </w:pPr>
      <w:r>
        <w:rPr>
          <w:rFonts w:ascii="Arial" w:cs="Arial" w:eastAsia="Arial" w:hAnsi="Arial"/>
          <w:sz w:val="18"/>
          <w:szCs w:val="18"/>
          <w:color w:val="auto"/>
        </w:rPr>
        <w:t>Because of the</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voting ratio between our Class B and Class A common stock, the holders of our Class B common</w:t>
      </w:r>
    </w:p>
    <w:p>
      <w:pPr>
        <w:ind w:left="180"/>
        <w:spacing w:after="0" w:line="249" w:lineRule="auto"/>
        <w:rPr>
          <w:sz w:val="20"/>
          <w:szCs w:val="20"/>
          <w:color w:val="auto"/>
        </w:rPr>
      </w:pPr>
      <w:r>
        <w:rPr>
          <w:rFonts w:ascii="Arial" w:cs="Arial" w:eastAsia="Arial" w:hAnsi="Arial"/>
          <w:sz w:val="17"/>
          <w:szCs w:val="17"/>
          <w:color w:val="auto"/>
        </w:rPr>
        <w:t>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97" w:lineRule="exact"/>
        <w:rPr>
          <w:sz w:val="20"/>
          <w:szCs w:val="20"/>
          <w:color w:val="auto"/>
        </w:rPr>
      </w:pPr>
    </w:p>
    <w:p>
      <w:pPr>
        <w:ind w:left="180" w:right="140" w:firstLine="545"/>
        <w:spacing w:after="0" w:line="246"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w:t>
      </w:r>
    </w:p>
    <w:p>
      <w:pPr>
        <w:ind w:left="180"/>
        <w:spacing w:after="0"/>
        <w:tabs>
          <w:tab w:leader="none" w:pos="9300" w:val="left"/>
        </w:tabs>
        <w:rPr>
          <w:sz w:val="20"/>
          <w:szCs w:val="20"/>
          <w:color w:val="auto"/>
        </w:rPr>
      </w:pPr>
      <w:r>
        <w:rPr>
          <w:rFonts w:ascii="Arial" w:cs="Arial" w:eastAsia="Arial" w:hAnsi="Arial"/>
          <w:sz w:val="18"/>
          <w:szCs w:val="18"/>
          <w:color w:val="auto"/>
        </w:rPr>
        <w:t>stock will convert automatically into one share of Class A common stock upon the date that is the earlier of</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180" w:right="100" w:firstLine="545"/>
        <w:spacing w:after="0" w:line="264" w:lineRule="auto"/>
        <w:rPr>
          <w:sz w:val="20"/>
          <w:szCs w:val="20"/>
          <w:color w:val="auto"/>
        </w:rPr>
      </w:pPr>
      <w:r>
        <w:rPr>
          <w:rFonts w:ascii="Arial" w:cs="Arial" w:eastAsia="Arial" w:hAnsi="Arial"/>
          <w:sz w:val="18"/>
          <w:szCs w:val="18"/>
          <w:b w:val="1"/>
          <w:bCs w:val="1"/>
          <w:i w:val="1"/>
          <w:iCs w:val="1"/>
          <w:color w:val="auto"/>
        </w:rPr>
        <w:t>An active, liquid, and orderly market for our Class A common stock may not develop or be sustained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You may be unable to sell your shares of Class A common stock at or above the price at which you purchased them.</w:t>
      </w:r>
    </w:p>
    <w:p>
      <w:pPr>
        <w:spacing w:after="0" w:line="74"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We currently expect our Class A common stock to be listed and traded on . Prior to listing on , there has been no public market for our Class A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share price may be volatile, and you may be unable to sell your shares at or above the offering price</w:t>
      </w:r>
      <w:r>
        <w:rPr>
          <w:rFonts w:ascii="Arial" w:cs="Arial" w:eastAsia="Arial" w:hAnsi="Arial"/>
          <w:sz w:val="18"/>
          <w:szCs w:val="18"/>
          <w:color w:val="auto"/>
        </w:rPr>
        <w:t>.</w:t>
      </w:r>
    </w:p>
    <w:p>
      <w:pPr>
        <w:spacing w:after="0" w:line="122" w:lineRule="exact"/>
        <w:rPr>
          <w:sz w:val="20"/>
          <w:szCs w:val="20"/>
          <w:color w:val="auto"/>
        </w:rPr>
      </w:pPr>
    </w:p>
    <w:p>
      <w:pPr>
        <w:ind w:left="180" w:right="240" w:firstLine="545"/>
        <w:spacing w:after="0" w:line="239"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prospectus, and others beyond our control, including:</w:t>
      </w:r>
    </w:p>
    <w:p>
      <w:pPr>
        <w:spacing w:after="0" w:line="109" w:lineRule="exact"/>
        <w:rPr>
          <w:sz w:val="20"/>
          <w:szCs w:val="20"/>
          <w:color w:val="auto"/>
        </w:rPr>
      </w:pPr>
    </w:p>
    <w:p>
      <w:pPr>
        <w:ind w:left="920" w:hanging="212"/>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3" w:lineRule="exact"/>
        <w:rPr>
          <w:rFonts w:ascii="Arial" w:cs="Arial" w:eastAsia="Arial" w:hAnsi="Arial"/>
          <w:sz w:val="18"/>
          <w:szCs w:val="18"/>
          <w:color w:val="auto"/>
        </w:rPr>
      </w:pPr>
    </w:p>
    <w:p>
      <w:pPr>
        <w:ind w:left="5520" w:right="2280" w:hanging="4812"/>
        <w:spacing w:after="0" w:line="409" w:lineRule="auto"/>
        <w:tabs>
          <w:tab w:leader="none" w:pos="9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 58</w:t>
      </w:r>
    </w:p>
    <w:p>
      <w:pPr>
        <w:sectPr>
          <w:pgSz w:w="11900" w:h="16838" w:orient="portrait"/>
          <w:cols w:equalWidth="0" w:num="1">
            <w:col w:w="11040"/>
          </w:cols>
          <w:pgMar w:left="320" w:top="456" w:right="5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perceived adequacy of our ESG efforts;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3" w:lineRule="exact"/>
        <w:rPr>
          <w:rFonts w:ascii="Arial" w:cs="Arial" w:eastAsia="Arial" w:hAnsi="Arial"/>
          <w:sz w:val="18"/>
          <w:szCs w:val="18"/>
          <w:color w:val="auto"/>
        </w:rPr>
      </w:pPr>
    </w:p>
    <w:p>
      <w:pPr>
        <w:ind w:left="920" w:right="100" w:hanging="212"/>
        <w:spacing w:after="0" w:line="239"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3" w:lineRule="exact"/>
        <w:rPr>
          <w:rFonts w:ascii="Arial" w:cs="Arial" w:eastAsia="Arial" w:hAnsi="Arial"/>
          <w:sz w:val="18"/>
          <w:szCs w:val="18"/>
          <w:color w:val="auto"/>
        </w:rPr>
      </w:pPr>
    </w:p>
    <w:p>
      <w:pPr>
        <w:ind w:left="920" w:hanging="212"/>
        <w:spacing w:after="0" w:line="239"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108" w:lineRule="exact"/>
        <w:rPr>
          <w:rFonts w:ascii="Arial" w:cs="Arial" w:eastAsia="Arial" w:hAnsi="Arial"/>
          <w:sz w:val="18"/>
          <w:szCs w:val="18"/>
          <w:color w:val="auto"/>
        </w:rPr>
      </w:pPr>
    </w:p>
    <w:p>
      <w:pPr>
        <w:ind w:left="920" w:right="540" w:hanging="212"/>
        <w:spacing w:after="0" w:line="239"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3" w:lineRule="exact"/>
        <w:rPr>
          <w:rFonts w:ascii="Arial" w:cs="Arial" w:eastAsia="Arial" w:hAnsi="Arial"/>
          <w:sz w:val="18"/>
          <w:szCs w:val="18"/>
          <w:color w:val="auto"/>
        </w:rPr>
      </w:pPr>
    </w:p>
    <w:p>
      <w:pPr>
        <w:ind w:left="920" w:right="500" w:hanging="212"/>
        <w:spacing w:after="0" w:line="239"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pace of the COVID-19 pandemic recovery and its impact on our business or the fashion industry and sharing economy generally;</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07" w:lineRule="exact"/>
        <w:rPr>
          <w:sz w:val="20"/>
          <w:szCs w:val="20"/>
          <w:color w:val="auto"/>
        </w:rPr>
      </w:pPr>
    </w:p>
    <w:p>
      <w:pPr>
        <w:ind w:left="180" w:right="160" w:firstLine="545"/>
        <w:spacing w:after="0" w:line="232" w:lineRule="auto"/>
        <w:rPr>
          <w:sz w:val="20"/>
          <w:szCs w:val="20"/>
          <w:color w:val="auto"/>
        </w:rPr>
      </w:pPr>
      <w:r>
        <w:rPr>
          <w:rFonts w:ascii="Arial" w:cs="Arial" w:eastAsia="Arial" w:hAnsi="Arial"/>
          <w:sz w:val="18"/>
          <w:szCs w:val="18"/>
          <w:color w:val="auto"/>
        </w:rPr>
        <w:t>If the market price of our Class A common stock after this offering does not exceed the initial public offering price, you will not realize any return on your investment in us and will lose some or all of your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w:t>
      </w:r>
    </w:p>
    <w:p>
      <w:pPr>
        <w:spacing w:after="0" w:line="2"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the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179" w:lineRule="exact"/>
        <w:rPr>
          <w:sz w:val="20"/>
          <w:szCs w:val="20"/>
          <w:color w:val="auto"/>
        </w:rPr>
      </w:pPr>
    </w:p>
    <w:p>
      <w:pPr>
        <w:ind w:left="180" w:right="580" w:firstLine="545"/>
        <w:spacing w:after="0" w:line="264" w:lineRule="auto"/>
        <w:rPr>
          <w:sz w:val="20"/>
          <w:szCs w:val="20"/>
          <w:color w:val="auto"/>
        </w:rPr>
      </w:pPr>
      <w:r>
        <w:rPr>
          <w:rFonts w:ascii="Arial" w:cs="Arial" w:eastAsia="Arial" w:hAnsi="Arial"/>
          <w:sz w:val="18"/>
          <w:szCs w:val="18"/>
          <w:b w:val="1"/>
          <w:bCs w:val="1"/>
          <w:i w:val="1"/>
          <w:iCs w:val="1"/>
          <w:color w:val="auto"/>
        </w:rPr>
        <w:t>After this offering, company insiders will continue to have the ability to control or significantly influence all matters submitted to stockholders for approval.</w:t>
      </w:r>
    </w:p>
    <w:p>
      <w:pPr>
        <w:spacing w:after="0" w:line="74" w:lineRule="exact"/>
        <w:rPr>
          <w:sz w:val="20"/>
          <w:szCs w:val="20"/>
          <w:color w:val="auto"/>
        </w:rPr>
      </w:pPr>
    </w:p>
    <w:p>
      <w:pPr>
        <w:ind w:left="180" w:right="20" w:firstLine="545"/>
        <w:spacing w:after="0" w:line="249" w:lineRule="auto"/>
        <w:rPr>
          <w:sz w:val="20"/>
          <w:szCs w:val="20"/>
          <w:color w:val="auto"/>
        </w:rPr>
      </w:pPr>
      <w:r>
        <w:rPr>
          <w:rFonts w:ascii="Arial" w:cs="Arial" w:eastAsia="Arial" w:hAnsi="Arial"/>
          <w:sz w:val="17"/>
          <w:szCs w:val="17"/>
          <w:color w:val="auto"/>
        </w:rPr>
        <w:t>Following the completion of this offering, our executive officers, directors, and greater than 5% stockholders, in the aggregate, will beneficially own approximately % of our outstanding common stock. In addition, if any of our executive officers, directors, and greater than 5% stockholders purchase shares in this offering, or if any of our other current investors purchase shares in this offering and 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40"/>
          </w:cols>
          <w:pgMar w:left="320" w:top="456"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right="80" w:firstLine="545"/>
        <w:spacing w:after="0" w:line="264"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from this offering and may not use the net proceeds effectively</w:t>
      </w:r>
      <w:r>
        <w:rPr>
          <w:rFonts w:ascii="Arial" w:cs="Arial" w:eastAsia="Arial" w:hAnsi="Arial"/>
          <w:sz w:val="18"/>
          <w:szCs w:val="18"/>
          <w:color w:val="auto"/>
        </w:rPr>
        <w:t>.</w:t>
      </w:r>
    </w:p>
    <w:p>
      <w:pPr>
        <w:spacing w:after="0" w:line="74" w:lineRule="exact"/>
        <w:rPr>
          <w:sz w:val="20"/>
          <w:szCs w:val="20"/>
          <w:color w:val="auto"/>
        </w:rPr>
      </w:pPr>
    </w:p>
    <w:p>
      <w:pPr>
        <w:ind w:left="180" w:right="60" w:firstLine="545"/>
        <w:spacing w:after="0" w:line="234" w:lineRule="auto"/>
        <w:rPr>
          <w:sz w:val="20"/>
          <w:szCs w:val="20"/>
          <w:color w:val="auto"/>
        </w:rPr>
      </w:pPr>
      <w:r>
        <w:rPr>
          <w:rFonts w:ascii="Arial" w:cs="Arial" w:eastAsia="Arial" w:hAnsi="Arial"/>
          <w:sz w:val="18"/>
          <w:szCs w:val="18"/>
          <w:color w:val="auto"/>
        </w:rPr>
        <w:t>Our management will have broad discretion in the application of the net proceeds of this offering, which may include working capital, to fund growth and for other general corporate purposes.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r>
        <w:rPr>
          <w:rFonts w:ascii="Arial" w:cs="Arial" w:eastAsia="Arial" w:hAnsi="Arial"/>
          <w:sz w:val="18"/>
          <w:szCs w:val="18"/>
          <w:color w:val="auto"/>
        </w:rPr>
        <w:t>.</w:t>
      </w:r>
    </w:p>
    <w:p>
      <w:pPr>
        <w:spacing w:after="0" w:line="122"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81" w:lineRule="exact"/>
        <w:rPr>
          <w:sz w:val="20"/>
          <w:szCs w:val="20"/>
          <w:color w:val="auto"/>
        </w:rPr>
      </w:pPr>
    </w:p>
    <w:p>
      <w:pPr>
        <w:ind w:left="180" w:right="180" w:firstLine="545"/>
        <w:spacing w:after="0" w:line="264"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right="300" w:firstLine="545"/>
        <w:spacing w:after="0" w:line="264"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8"/>
          <w:szCs w:val="18"/>
          <w:color w:val="auto"/>
        </w:rPr>
        <w:t>.</w:t>
      </w:r>
    </w:p>
    <w:p>
      <w:pPr>
        <w:spacing w:after="0" w:line="74" w:lineRule="exact"/>
        <w:rPr>
          <w:sz w:val="20"/>
          <w:szCs w:val="20"/>
          <w:color w:val="auto"/>
        </w:rPr>
      </w:pPr>
    </w:p>
    <w:p>
      <w:pPr>
        <w:ind w:left="180" w:right="200" w:firstLine="545"/>
        <w:spacing w:after="0" w:line="246" w:lineRule="auto"/>
        <w:rPr>
          <w:sz w:val="20"/>
          <w:szCs w:val="20"/>
          <w:color w:val="auto"/>
        </w:rPr>
      </w:pPr>
      <w:r>
        <w:rPr>
          <w:rFonts w:ascii="Arial" w:cs="Arial" w:eastAsia="Arial" w:hAnsi="Arial"/>
          <w:sz w:val="17"/>
          <w:szCs w:val="17"/>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w:t>
      </w:r>
    </w:p>
    <w:p>
      <w:pPr>
        <w:ind w:left="180" w:right="20"/>
        <w:spacing w:after="0" w:line="234" w:lineRule="auto"/>
        <w:rPr>
          <w:sz w:val="20"/>
          <w:szCs w:val="20"/>
          <w:color w:val="auto"/>
        </w:rPr>
      </w:pPr>
      <w:r>
        <w:rPr>
          <w:rFonts w:ascii="Arial" w:cs="Arial" w:eastAsia="Arial" w:hAnsi="Arial"/>
          <w:sz w:val="18"/>
          <w:szCs w:val="18"/>
          <w:color w:val="auto"/>
        </w:rPr>
        <w:t>on .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22" w:lineRule="exact"/>
        <w:rPr>
          <w:sz w:val="20"/>
          <w:szCs w:val="20"/>
          <w:color w:val="auto"/>
        </w:rPr>
      </w:pPr>
    </w:p>
    <w:p>
      <w:pPr>
        <w:jc w:val="both"/>
        <w:ind w:left="180" w:right="80" w:firstLine="545"/>
        <w:spacing w:after="0" w:line="256"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9" w:lineRule="exact"/>
        <w:rPr>
          <w:sz w:val="20"/>
          <w:szCs w:val="20"/>
          <w:color w:val="auto"/>
        </w:rPr>
      </w:pPr>
    </w:p>
    <w:p>
      <w:pPr>
        <w:ind w:left="180" w:right="120" w:firstLine="545"/>
        <w:spacing w:after="0" w:line="234" w:lineRule="auto"/>
        <w:rPr>
          <w:sz w:val="20"/>
          <w:szCs w:val="20"/>
          <w:color w:val="auto"/>
        </w:rPr>
      </w:pPr>
      <w:r>
        <w:rPr>
          <w:rFonts w:ascii="Arial" w:cs="Arial" w:eastAsia="Arial" w:hAnsi="Arial"/>
          <w:sz w:val="18"/>
          <w:szCs w:val="18"/>
          <w:color w:val="auto"/>
        </w:rPr>
        <w:t>We may issue additional securities following the closing of this offering. In the future, we may sell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204"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202" w:lineRule="exact"/>
        <w:rPr>
          <w:sz w:val="20"/>
          <w:szCs w:val="20"/>
          <w:color w:val="auto"/>
        </w:rPr>
      </w:pPr>
    </w:p>
    <w:p>
      <w:pPr>
        <w:ind w:left="180" w:right="460" w:firstLine="545"/>
        <w:spacing w:after="0" w:line="232" w:lineRule="auto"/>
        <w:rPr>
          <w:sz w:val="20"/>
          <w:szCs w:val="20"/>
          <w:color w:val="auto"/>
        </w:rPr>
      </w:pPr>
      <w:r>
        <w:rPr>
          <w:rFonts w:ascii="Arial" w:cs="Arial" w:eastAsia="Arial" w:hAnsi="Arial"/>
          <w:sz w:val="18"/>
          <w:szCs w:val="18"/>
          <w:color w:val="auto"/>
        </w:rPr>
        <w:t>Upon closing of this offering, based on the shares outstanding as of , 2021, we will have shares of Class A common stock outstanding, assuming no exercise of the underwriters’ option to purchase additional shares and shares of Class B common stock outstanding. Of the outstanding shares, the shares of Class A common stock sold or issued in this offering (or shares if the underwriters exercise their over-allotment option in full) will be freely tradable without restriction or</w:t>
      </w:r>
    </w:p>
    <w:p>
      <w:pPr>
        <w:spacing w:after="0" w:line="1" w:lineRule="exact"/>
        <w:rPr>
          <w:sz w:val="20"/>
          <w:szCs w:val="20"/>
          <w:color w:val="auto"/>
        </w:rPr>
      </w:pPr>
    </w:p>
    <w:p>
      <w:pPr>
        <w:ind w:left="180" w:right="80"/>
        <w:spacing w:after="0" w:line="237" w:lineRule="auto"/>
        <w:rPr>
          <w:sz w:val="20"/>
          <w:szCs w:val="20"/>
          <w:color w:val="auto"/>
        </w:rPr>
      </w:pPr>
      <w:r>
        <w:rPr>
          <w:rFonts w:ascii="Arial" w:cs="Arial" w:eastAsia="Arial" w:hAnsi="Arial"/>
          <w:sz w:val="18"/>
          <w:szCs w:val="18"/>
          <w:color w:val="auto"/>
        </w:rPr>
        <w:t>further registration under the Securities Act of 1933, as amended, or the Securities Act, except that any shares held by our affiliates, as that term is defined under Rule 144 of the Securities Act, may be sold only in compliance with the limitations described in “Shares Eligible for Future Sale.”</w:t>
      </w:r>
    </w:p>
    <w:p>
      <w:pPr>
        <w:spacing w:after="0" w:line="202" w:lineRule="exact"/>
        <w:rPr>
          <w:sz w:val="20"/>
          <w:szCs w:val="20"/>
          <w:color w:val="auto"/>
        </w:rPr>
      </w:pPr>
    </w:p>
    <w:p>
      <w:pPr>
        <w:ind w:left="180" w:right="360" w:firstLine="545"/>
        <w:spacing w:after="0" w:line="237" w:lineRule="auto"/>
        <w:rPr>
          <w:sz w:val="20"/>
          <w:szCs w:val="20"/>
          <w:color w:val="auto"/>
        </w:rPr>
      </w:pPr>
      <w:r>
        <w:rPr>
          <w:rFonts w:ascii="Arial" w:cs="Arial" w:eastAsia="Arial" w:hAnsi="Arial"/>
          <w:sz w:val="18"/>
          <w:szCs w:val="18"/>
          <w:color w:val="auto"/>
        </w:rPr>
        <w:t>The remaining outstanding shares of common stock held by our existing owners after this offering will be subject to certain restrictions on resale. We, our executive officers, directors and the holders of substantially all of our outstanding stock will sign lock-up agreements with the underwriters that will,</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6"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subject to certain customary exceptions, restrict the sale of the shares of our common stock and certain other securities held by them</w:t>
      </w:r>
    </w:p>
    <w:p>
      <w:pPr>
        <w:jc w:val="both"/>
        <w:ind w:left="180"/>
        <w:spacing w:after="0"/>
        <w:rPr>
          <w:sz w:val="20"/>
          <w:szCs w:val="20"/>
          <w:color w:val="auto"/>
        </w:rPr>
      </w:pPr>
      <w:r>
        <w:rPr>
          <w:rFonts w:ascii="Arial" w:cs="Arial" w:eastAsia="Arial" w:hAnsi="Arial"/>
          <w:sz w:val="18"/>
          <w:szCs w:val="18"/>
          <w:color w:val="auto"/>
        </w:rPr>
        <w:t>for days following the date of this prospectus. and may, in their sole discretion and at any time without notice, release all or any portion of the shares or securities subject to any such lock-up agreements. See “Underwriting” for a description of these lock-up agreements.</w:t>
      </w:r>
    </w:p>
    <w:p>
      <w:pPr>
        <w:spacing w:after="0" w:line="200" w:lineRule="exact"/>
        <w:rPr>
          <w:sz w:val="20"/>
          <w:szCs w:val="20"/>
          <w:color w:val="auto"/>
        </w:rPr>
      </w:pPr>
    </w:p>
    <w:p>
      <w:pPr>
        <w:spacing w:after="0" w:line="201" w:lineRule="exact"/>
        <w:rPr>
          <w:sz w:val="20"/>
          <w:szCs w:val="20"/>
          <w:color w:val="auto"/>
        </w:rPr>
      </w:pPr>
    </w:p>
    <w:p>
      <w:pPr>
        <w:jc w:val="both"/>
        <w:ind w:left="180" w:right="360" w:firstLine="545"/>
        <w:spacing w:after="0" w:line="267"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a public market, subject, in the case of shares held by our affiliates, to volume, manner of sale and other described in “Shares Eligible for Future Sale.”</w:t>
      </w:r>
    </w:p>
    <w:p>
      <w:pPr>
        <w:spacing w:after="0" w:line="180" w:lineRule="exact"/>
        <w:rPr>
          <w:sz w:val="20"/>
          <w:szCs w:val="20"/>
          <w:color w:val="auto"/>
        </w:rPr>
      </w:pPr>
    </w:p>
    <w:p>
      <w:pPr>
        <w:ind w:left="180" w:right="180" w:firstLine="545"/>
        <w:spacing w:after="0" w:line="237" w:lineRule="auto"/>
        <w:rPr>
          <w:sz w:val="20"/>
          <w:szCs w:val="20"/>
          <w:color w:val="auto"/>
        </w:rPr>
      </w:pPr>
      <w:r>
        <w:rPr>
          <w:rFonts w:ascii="Arial" w:cs="Arial" w:eastAsia="Arial" w:hAnsi="Arial"/>
          <w:sz w:val="18"/>
          <w:szCs w:val="18"/>
          <w:color w:val="auto"/>
        </w:rPr>
        <w:t>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180" w:lineRule="exact"/>
        <w:rPr>
          <w:sz w:val="20"/>
          <w:szCs w:val="20"/>
          <w:color w:val="auto"/>
        </w:rPr>
      </w:pPr>
    </w:p>
    <w:p>
      <w:pPr>
        <w:ind w:left="180" w:right="120" w:firstLine="545"/>
        <w:spacing w:after="0" w:line="26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8"/>
          <w:szCs w:val="18"/>
          <w:color w:val="auto"/>
        </w:rPr>
        <w:t>.</w:t>
      </w:r>
    </w:p>
    <w:p>
      <w:pPr>
        <w:spacing w:after="0" w:line="74"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Credit Agreements or any future debt or preferred equity securities of us or our subsidiaries. Accordingly, you may need to sell your shares of our Class A common stock to realize a return on your investment, and you may not be able to sell your shares at or above the price you paid for them. For more information, see the sections titled “Management’s Discussion and Analysis of Financial Condition and Results of Operations — Liquidity and Capital Resources” and “Dividend Policy.”</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If you purchase shares of our Class A common stock in this offering, you will incur immediate and substantial dilution</w:t>
      </w:r>
      <w:r>
        <w:rPr>
          <w:rFonts w:ascii="Arial" w:cs="Arial" w:eastAsia="Arial" w:hAnsi="Arial"/>
          <w:sz w:val="18"/>
          <w:szCs w:val="18"/>
          <w:color w:val="auto"/>
        </w:rPr>
        <w:t>.</w:t>
      </w:r>
    </w:p>
    <w:p>
      <w:pPr>
        <w:spacing w:after="0" w:line="122" w:lineRule="exact"/>
        <w:rPr>
          <w:sz w:val="20"/>
          <w:szCs w:val="20"/>
          <w:color w:val="auto"/>
        </w:rPr>
      </w:pPr>
    </w:p>
    <w:p>
      <w:pPr>
        <w:ind w:left="180" w:right="280" w:firstLine="545"/>
        <w:spacing w:after="0" w:line="232" w:lineRule="auto"/>
        <w:rPr>
          <w:sz w:val="20"/>
          <w:szCs w:val="20"/>
          <w:color w:val="auto"/>
        </w:rPr>
      </w:pPr>
      <w:r>
        <w:rPr>
          <w:rFonts w:ascii="Arial" w:cs="Arial" w:eastAsia="Arial" w:hAnsi="Arial"/>
          <w:sz w:val="18"/>
          <w:szCs w:val="18"/>
          <w:color w:val="auto"/>
        </w:rPr>
        <w:t>The initial public offering price of $ per share of our Class A common stock is substantially higher than the net tangible book value per share of our Class A common stock, which on a pro forma as adjusted basis was $ per share of our common stock as of , 2021. As a result, you will incur immediate and substantial dilution in net tangible book value when you buy our</w:t>
      </w:r>
    </w:p>
    <w:p>
      <w:pPr>
        <w:spacing w:after="0" w:line="1" w:lineRule="exact"/>
        <w:rPr>
          <w:sz w:val="20"/>
          <w:szCs w:val="20"/>
          <w:color w:val="auto"/>
        </w:rPr>
      </w:pPr>
    </w:p>
    <w:p>
      <w:pPr>
        <w:ind w:left="180" w:right="80"/>
        <w:spacing w:after="0" w:line="235" w:lineRule="auto"/>
        <w:rPr>
          <w:sz w:val="20"/>
          <w:szCs w:val="20"/>
          <w:color w:val="auto"/>
        </w:rPr>
      </w:pPr>
      <w:r>
        <w:rPr>
          <w:rFonts w:ascii="Arial" w:cs="Arial" w:eastAsia="Arial" w:hAnsi="Arial"/>
          <w:sz w:val="18"/>
          <w:szCs w:val="18"/>
          <w:color w:val="auto"/>
        </w:rPr>
        <w:t>Class A common stock in this offering. This means that you will pay a higher price per share than the amount of our total tangible assets, less our total liabilities, divided by the number of shares of all of our Class A common stock outstanding. In addition, you may also experience additional dilution if options, RSUs, or other rights to purchase our Class A common stock that are outstanding or that we may issue in the future are exercised, vest, or are converted or we issue additional shares of our Class A common stock at prices lower than our net tangible book value at such time. See “Dilution.”</w:t>
      </w:r>
    </w:p>
    <w:p>
      <w:pPr>
        <w:spacing w:after="0" w:line="180" w:lineRule="exact"/>
        <w:rPr>
          <w:sz w:val="20"/>
          <w:szCs w:val="20"/>
          <w:color w:val="auto"/>
        </w:rPr>
      </w:pPr>
    </w:p>
    <w:p>
      <w:pPr>
        <w:ind w:left="180" w:right="100" w:firstLine="545"/>
        <w:spacing w:after="0" w:line="248"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88" w:lineRule="exact"/>
        <w:rPr>
          <w:sz w:val="20"/>
          <w:szCs w:val="20"/>
          <w:color w:val="auto"/>
        </w:rPr>
      </w:pPr>
    </w:p>
    <w:p>
      <w:pPr>
        <w:ind w:left="180" w:right="500" w:firstLine="545"/>
        <w:spacing w:after="0" w:line="239" w:lineRule="auto"/>
        <w:rPr>
          <w:sz w:val="20"/>
          <w:szCs w:val="20"/>
          <w:color w:val="auto"/>
        </w:rPr>
      </w:pPr>
      <w:r>
        <w:rPr>
          <w:rFonts w:ascii="Arial" w:cs="Arial" w:eastAsia="Arial" w:hAnsi="Arial"/>
          <w:sz w:val="18"/>
          <w:szCs w:val="18"/>
          <w:color w:val="auto"/>
        </w:rPr>
        <w:t>There are provisions in our Amended Charter and Amended Bylaws, as they will be in effect following the effectiveness of the registration statement of which this prospectus forms a part, that may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56"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460"/>
        <w:spacing w:after="0" w:line="239" w:lineRule="auto"/>
        <w:rPr>
          <w:sz w:val="20"/>
          <w:szCs w:val="20"/>
          <w:color w:val="auto"/>
        </w:rPr>
      </w:pPr>
      <w:r>
        <w:rPr>
          <w:rFonts w:ascii="Arial" w:cs="Arial" w:eastAsia="Arial" w:hAnsi="Arial"/>
          <w:sz w:val="18"/>
          <w:szCs w:val="18"/>
          <w:color w:val="auto"/>
        </w:rPr>
        <w:t>make it difficult for a third party to acquire, or attempt to acquire, control of our company, even if a change in control were considered favorable by our stockholders. These anti-takeover provisions include:</w:t>
      </w:r>
    </w:p>
    <w:p>
      <w:pPr>
        <w:spacing w:after="0" w:line="109" w:lineRule="exact"/>
        <w:rPr>
          <w:sz w:val="20"/>
          <w:szCs w:val="20"/>
          <w:color w:val="auto"/>
        </w:rPr>
      </w:pPr>
    </w:p>
    <w:p>
      <w:pPr>
        <w:ind w:left="920" w:right="240" w:hanging="212"/>
        <w:spacing w:after="0" w:line="239"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109" w:lineRule="exact"/>
        <w:rPr>
          <w:sz w:val="20"/>
          <w:szCs w:val="20"/>
          <w:color w:val="auto"/>
        </w:rPr>
      </w:pPr>
    </w:p>
    <w:p>
      <w:pPr>
        <w:ind w:left="920" w:right="40" w:hanging="219"/>
        <w:spacing w:after="0" w:line="236" w:lineRule="auto"/>
        <w:tabs>
          <w:tab w:leader="none" w:pos="900" w:val="left"/>
        </w:tabs>
        <w:rPr>
          <w:sz w:val="20"/>
          <w:szCs w:val="20"/>
          <w:color w:val="auto"/>
        </w:rPr>
      </w:pPr>
      <w:r>
        <w:rPr>
          <w:rFonts w:ascii="Arial" w:cs="Arial" w:eastAsia="Arial" w:hAnsi="Arial"/>
          <w:sz w:val="18"/>
          <w:szCs w:val="18"/>
          <w:color w:val="auto"/>
        </w:rPr>
        <w:t>•</w:t>
        <w:tab/>
        <w:t>provide for a dual class common stock structure in which holders of our Class B common stock, which has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108" w:lineRule="exact"/>
        <w:rPr>
          <w:sz w:val="20"/>
          <w:szCs w:val="20"/>
          <w:color w:val="auto"/>
        </w:rPr>
      </w:pPr>
    </w:p>
    <w:p>
      <w:pPr>
        <w:ind w:left="920" w:hanging="21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3" w:lineRule="exact"/>
        <w:rPr>
          <w:rFonts w:ascii="Arial" w:cs="Arial" w:eastAsia="Arial" w:hAnsi="Arial"/>
          <w:sz w:val="18"/>
          <w:szCs w:val="18"/>
          <w:color w:val="auto"/>
        </w:rPr>
      </w:pPr>
    </w:p>
    <w:p>
      <w:pPr>
        <w:ind w:left="920" w:hanging="212"/>
        <w:spacing w:after="0" w:line="239" w:lineRule="auto"/>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07" w:lineRule="exact"/>
        <w:rPr>
          <w:sz w:val="20"/>
          <w:szCs w:val="20"/>
          <w:color w:val="auto"/>
        </w:rPr>
      </w:pPr>
    </w:p>
    <w:p>
      <w:pPr>
        <w:ind w:left="180" w:right="120" w:firstLine="545"/>
        <w:spacing w:after="0" w:line="234" w:lineRule="auto"/>
        <w:rPr>
          <w:sz w:val="20"/>
          <w:szCs w:val="20"/>
          <w:color w:val="auto"/>
        </w:rPr>
      </w:pPr>
      <w:r>
        <w:rPr>
          <w:rFonts w:ascii="Arial" w:cs="Arial" w:eastAsia="Arial" w:hAnsi="Arial"/>
          <w:sz w:val="18"/>
          <w:szCs w:val="18"/>
          <w:color w:val="auto"/>
        </w:rPr>
        <w:t>Although we will opt out of Section 203 of the General Corporation Law of the State of Delaware, or the DGCL, our Amended Charter will contain provisions 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204" w:lineRule="exact"/>
        <w:rPr>
          <w:sz w:val="20"/>
          <w:szCs w:val="20"/>
          <w:color w:val="auto"/>
        </w:rPr>
      </w:pPr>
    </w:p>
    <w:p>
      <w:pPr>
        <w:jc w:val="both"/>
        <w:ind w:left="180" w:right="100" w:firstLine="545"/>
        <w:spacing w:after="0" w:line="237"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80" w:lineRule="exact"/>
        <w:rPr>
          <w:sz w:val="20"/>
          <w:szCs w:val="20"/>
          <w:color w:val="auto"/>
        </w:rPr>
      </w:pPr>
    </w:p>
    <w:p>
      <w:pPr>
        <w:jc w:val="both"/>
        <w:ind w:left="180" w:right="180" w:firstLine="545"/>
        <w:spacing w:after="0" w:line="270" w:lineRule="auto"/>
        <w:rPr>
          <w:sz w:val="20"/>
          <w:szCs w:val="20"/>
          <w:color w:val="auto"/>
        </w:rPr>
      </w:pPr>
      <w:r>
        <w:rPr>
          <w:rFonts w:ascii="Arial" w:cs="Arial" w:eastAsia="Arial" w:hAnsi="Arial"/>
          <w:sz w:val="17"/>
          <w:szCs w:val="17"/>
          <w:b w:val="1"/>
          <w:bCs w:val="1"/>
          <w:i w:val="1"/>
          <w:iCs w:val="1"/>
          <w:color w:val="auto"/>
        </w:rPr>
        <w:t>Our Amended Charter will designate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7"/>
          <w:szCs w:val="17"/>
          <w:color w:val="auto"/>
        </w:rPr>
        <w:t>.</w:t>
      </w:r>
    </w:p>
    <w:p>
      <w:pPr>
        <w:spacing w:after="0" w:line="70" w:lineRule="exact"/>
        <w:rPr>
          <w:sz w:val="20"/>
          <w:szCs w:val="20"/>
          <w:color w:val="auto"/>
        </w:rPr>
      </w:pPr>
    </w:p>
    <w:p>
      <w:pPr>
        <w:ind w:left="180" w:right="60" w:firstLine="545"/>
        <w:spacing w:after="0" w:line="234" w:lineRule="auto"/>
        <w:rPr>
          <w:sz w:val="20"/>
          <w:szCs w:val="20"/>
          <w:color w:val="auto"/>
        </w:rPr>
      </w:pPr>
      <w:r>
        <w:rPr>
          <w:rFonts w:ascii="Arial" w:cs="Arial" w:eastAsia="Arial" w:hAnsi="Arial"/>
          <w:sz w:val="18"/>
          <w:szCs w:val="18"/>
          <w:color w:val="auto"/>
        </w:rPr>
        <w:t>Our Amended Charter,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40"/>
          </w:cols>
          <w:pgMar w:left="320" w:top="456"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4" w:lineRule="auto"/>
        <w:rPr>
          <w:sz w:val="20"/>
          <w:szCs w:val="20"/>
          <w:color w:val="auto"/>
        </w:rPr>
      </w:pPr>
      <w:r>
        <w:rPr>
          <w:rFonts w:ascii="Arial" w:cs="Arial" w:eastAsia="Arial" w:hAnsi="Arial"/>
          <w:sz w:val="18"/>
          <w:szCs w:val="18"/>
          <w:color w:val="auto"/>
        </w:rPr>
        <w:t>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will further provide that the federal district courts of the United States of America will be the exclusive forum for resolving any complaint asserting a cause of action arising under the Securities Act.</w:t>
      </w:r>
    </w:p>
    <w:p>
      <w:pPr>
        <w:spacing w:after="0" w:line="205" w:lineRule="exact"/>
        <w:rPr>
          <w:sz w:val="20"/>
          <w:szCs w:val="20"/>
          <w:color w:val="auto"/>
        </w:rPr>
      </w:pPr>
    </w:p>
    <w:p>
      <w:pPr>
        <w:ind w:left="180" w:right="80" w:firstLine="545"/>
        <w:spacing w:after="0" w:line="235"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202"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180" w:lineRule="exact"/>
        <w:rPr>
          <w:sz w:val="20"/>
          <w:szCs w:val="20"/>
          <w:color w:val="auto"/>
        </w:rPr>
      </w:pPr>
    </w:p>
    <w:p>
      <w:pPr>
        <w:ind w:left="180" w:right="740" w:firstLine="545"/>
        <w:spacing w:after="0" w:line="264" w:lineRule="auto"/>
        <w:rPr>
          <w:sz w:val="20"/>
          <w:szCs w:val="20"/>
          <w:color w:val="auto"/>
        </w:rPr>
      </w:pPr>
      <w:r>
        <w:rPr>
          <w:rFonts w:ascii="Arial" w:cs="Arial" w:eastAsia="Arial" w:hAnsi="Arial"/>
          <w:sz w:val="18"/>
          <w:szCs w:val="18"/>
          <w:b w:val="1"/>
          <w:bCs w:val="1"/>
          <w:i w:val="1"/>
          <w:iCs w:val="1"/>
          <w:color w:val="auto"/>
        </w:rPr>
        <w:t>Our Amended Charter will provide that the doctrine of “corporate opportunity” does not apply with respect to any directors (or their affiliates) who are not our employees.</w:t>
      </w:r>
    </w:p>
    <w:p>
      <w:pPr>
        <w:spacing w:after="0" w:line="74"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Our Amended Charter will provide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we will, to the extent permitted by Delaware law,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will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will not renounce our present or expectancy interest in any business opportunity that is expressly offered to a director, solely in his/her capacity as a director.</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110" w:lineRule="exact"/>
        <w:rPr>
          <w:sz w:val="20"/>
          <w:szCs w:val="20"/>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manage our future growth effectively;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effects of the COVID-19 pandemic, including new variants of the virus, such as the Delta variant;</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acquire and drive return on investment of our products;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manage operating and capital efficiencies in our business;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accurately estimate our market opportunity and forecast market growth;</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anticipate and respond successfully to changing fashion trends and consumer preferences;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receive inbound products from brand partners and ship products to and from customers efficiently;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ability of our brand partners to adequately and timely deliver products to us;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remain in compliance with extensive laws and regulations that apply to our business and operations;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adequately maintain and protect our intellectual property and proprietary rights;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 and</w:t>
      </w:r>
    </w:p>
    <w:p>
      <w:pPr>
        <w:spacing w:after="0" w:line="113" w:lineRule="exact"/>
        <w:rPr>
          <w:rFonts w:ascii="Arial" w:cs="Arial" w:eastAsia="Arial" w:hAnsi="Arial"/>
          <w:sz w:val="18"/>
          <w:szCs w:val="18"/>
          <w:color w:val="auto"/>
        </w:rPr>
      </w:pPr>
    </w:p>
    <w:p>
      <w:pPr>
        <w:ind w:left="920" w:hanging="212"/>
        <w:spacing w:after="0" w:line="239" w:lineRule="auto"/>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in the sections titled “Risk Factors” and “Management’s Discussion and Analysis of Financial Condition and Results of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07"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sections titled “Risk Factors,” and Management’s Discussion and Analysis of Financial Condition and Results of Operations” and elsewhere in this prospectus. We operate in a very competitive and rapidly changing environment. New risks and uncertainties emerge from time to time, and it is not possible for us to predict all risks and uncertainties that could have an impact on the forward-looking statements</w:t>
      </w:r>
    </w:p>
    <w:p>
      <w:pPr>
        <w:spacing w:after="0" w:line="1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00"/>
          </w:cols>
          <w:pgMar w:left="320" w:top="456" w:right="6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0"/>
        <w:spacing w:after="0" w:line="239" w:lineRule="auto"/>
        <w:rPr>
          <w:sz w:val="20"/>
          <w:szCs w:val="20"/>
          <w:color w:val="auto"/>
        </w:rPr>
      </w:pPr>
      <w:r>
        <w:rPr>
          <w:rFonts w:ascii="Arial" w:cs="Arial" w:eastAsia="Arial" w:hAnsi="Arial"/>
          <w:sz w:val="18"/>
          <w:szCs w:val="18"/>
          <w:color w:val="auto"/>
        </w:rPr>
        <w:t>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202" w:lineRule="exact"/>
        <w:rPr>
          <w:sz w:val="20"/>
          <w:szCs w:val="20"/>
          <w:color w:val="auto"/>
        </w:rPr>
      </w:pPr>
    </w:p>
    <w:p>
      <w:pPr>
        <w:ind w:left="180" w:right="120" w:firstLine="545"/>
        <w:spacing w:after="0" w:line="23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202"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5" w:lineRule="exact"/>
        <w:rPr>
          <w:sz w:val="20"/>
          <w:szCs w:val="20"/>
          <w:color w:val="auto"/>
        </w:rPr>
      </w:pPr>
    </w:p>
    <w:p>
      <w:pPr>
        <w:jc w:val="both"/>
        <w:ind w:left="180" w:right="80" w:firstLine="545"/>
        <w:spacing w:after="0" w:line="237"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 See “Where You Can Find Additional Information.”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80" w:right="200" w:firstLine="545"/>
        <w:spacing w:after="0" w:line="236" w:lineRule="auto"/>
        <w:rPr>
          <w:sz w:val="20"/>
          <w:szCs w:val="20"/>
          <w:color w:val="auto"/>
        </w:rPr>
      </w:pPr>
      <w:r>
        <w:rPr>
          <w:rFonts w:ascii="Arial" w:cs="Arial" w:eastAsia="Arial" w:hAnsi="Arial"/>
          <w:sz w:val="18"/>
          <w:szCs w:val="18"/>
          <w:color w:val="auto"/>
        </w:rPr>
        <w:t>This prospectus contains statistical data, estimates, forecasts and information concerning our industry, including market size and growth of the market in which we participate, that are based on independent industry publications and reports, including those published by Euromonitor International Limited, or Euromonitor, as well as our internal sources and general knowledge of, and expectations concerning, the industry.</w:t>
      </w:r>
    </w:p>
    <w:p>
      <w:pPr>
        <w:spacing w:after="0" w:line="201" w:lineRule="exact"/>
        <w:rPr>
          <w:sz w:val="20"/>
          <w:szCs w:val="20"/>
          <w:color w:val="auto"/>
        </w:rPr>
      </w:pPr>
    </w:p>
    <w:p>
      <w:pPr>
        <w:ind w:left="180" w:right="120" w:firstLine="545"/>
        <w:spacing w:after="0" w:line="233" w:lineRule="auto"/>
        <w:rPr>
          <w:sz w:val="20"/>
          <w:szCs w:val="20"/>
          <w:color w:val="auto"/>
        </w:rPr>
      </w:pPr>
      <w:r>
        <w:rPr>
          <w:rFonts w:ascii="Arial" w:cs="Arial" w:eastAsia="Arial" w:hAnsi="Arial"/>
          <w:sz w:val="18"/>
          <w:szCs w:val="18"/>
          <w:color w:val="auto"/>
        </w:rPr>
        <w:t>The industry market and sales positions, shares, market sizes and growth estimates included in this prospectus are based on estimates using the foregoing independent industry publications and our internal data and estimates based on data from various industry analyses, our internal research and adjustments and assumptions that we believe to be reasonable. Although we have no reason to believe this industry information is not reliable, we have not independently verified data from industry publications and analyses and cannot guarantee their accuracy or completeness. In addition, we believe that the data regarding the industry and industry market and sales positions, shares, market sizes and growth provide general guidance but are inherently imprecise. Further, these estimates and assumptions involve risks and uncertainties and are subject to change based on various factors, including those discussed in the “Risk Factors” section of this prospectus. These and other factors could cause results to differ materially from those expressed in the estimates and assumptions. Accordingly, investors should not place undue reliance on this information.</w:t>
      </w:r>
    </w:p>
    <w:p>
      <w:pPr>
        <w:spacing w:after="0" w:line="209"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This prospectus also includes references to our April 2021 Rent the Runway Subscriber Survey, or the April 2021 Subscriber Survey, which we use to measure our subscriber preferences. Our methodology of conducting the subscriber survey measures responses from active subscribers who chose to respond to the survey questions from April 29, 2021 through May 6, 20201. Paused subscribers and subscribers who joined for the first time between February 22, 2021 and April 30, 2021 were not included. We give no weight to subscribers who decline to answer the survey question.</w:t>
      </w:r>
    </w:p>
    <w:p>
      <w:pPr>
        <w:spacing w:after="0" w:line="202" w:lineRule="exact"/>
        <w:rPr>
          <w:sz w:val="20"/>
          <w:szCs w:val="20"/>
          <w:color w:val="auto"/>
        </w:rPr>
      </w:pPr>
    </w:p>
    <w:p>
      <w:pPr>
        <w:ind w:left="180" w:firstLine="545"/>
        <w:spacing w:after="0" w:line="249" w:lineRule="auto"/>
        <w:rPr>
          <w:sz w:val="20"/>
          <w:szCs w:val="20"/>
          <w:color w:val="auto"/>
        </w:rPr>
      </w:pPr>
      <w:r>
        <w:rPr>
          <w:rFonts w:ascii="Arial" w:cs="Arial" w:eastAsia="Arial" w:hAnsi="Arial"/>
          <w:sz w:val="17"/>
          <w:szCs w:val="17"/>
          <w:color w:val="auto"/>
        </w:rPr>
        <w:t>This prospectus also includes references to our June 2021 Rent the Runway Customer Survey, or the June 2021 Customer Survey, which we use to measure our customer preferences. Our methodology of conducting the Customer Survey measures responses from two pools of respondents, (A) all subscribers, from which we excluded our employees and subscribers who joined for the first time between May 7, 2021 and June 30, 2021, and (B) a random sample of 30% of our Reserve customers who placed a Reserve order in fiscal year 2019 or later, excluding employees, Reserve customers who placed their first order in June 2021, and Reserve customers with a reported order issue in the last 30 days before the conclusion of the survey. Both (A) and (B) respondents responded to the survey questions from June 28, 2021 through July 1, 2021. We give no weight to customers who decline to answer the survey question, and certain references to the June 2021 Customer Survey may isolate responses from group (A) (subscribers) or group (B) (Reserve customers) as specified.</w:t>
      </w:r>
    </w:p>
    <w:p>
      <w:pPr>
        <w:spacing w:after="0" w:line="194" w:lineRule="exact"/>
        <w:rPr>
          <w:sz w:val="20"/>
          <w:szCs w:val="20"/>
          <w:color w:val="auto"/>
        </w:rPr>
      </w:pPr>
    </w:p>
    <w:p>
      <w:pPr>
        <w:ind w:left="180" w:right="120" w:firstLine="545"/>
        <w:spacing w:after="0" w:line="256" w:lineRule="auto"/>
        <w:rPr>
          <w:sz w:val="20"/>
          <w:szCs w:val="20"/>
          <w:color w:val="auto"/>
        </w:rPr>
      </w:pPr>
      <w:r>
        <w:rPr>
          <w:rFonts w:ascii="Arial" w:cs="Arial" w:eastAsia="Arial" w:hAnsi="Arial"/>
          <w:sz w:val="17"/>
          <w:szCs w:val="17"/>
          <w:color w:val="auto"/>
        </w:rPr>
        <w:t>This prospectus also includes references to our June 2021 Rent the Runway Brand Survey, which we use to measure brand partner engagement. Our methodology of conducting the Brand Survey measures responses from a pool of respondents we actively partnered with for the Spring 2021 season. Brand partners responded to the survey questions from June 24, 2021 through July 12, 2021.</w:t>
      </w:r>
    </w:p>
    <w:p>
      <w:pPr>
        <w:spacing w:after="0" w:line="189"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Certain of the statistics and estimates related to our ESG efforts are derived from a life cycle assessment and addendum thereto, or LCA Study, of linear and rental systems (owning versus rental of apparel) conducted by third-party partners, SgT Group and Green Story Inc., which was commissioned by us. Certain management estimates are based on the LCA Study, as well as data from our internal research, and are based on assumptions made by us upon reviewing such data, and our experience in, and knowledge of, the industry and linear and rental systems, which we believe to be reasonable.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60"/>
          </w:cols>
          <w:pgMar w:left="320" w:top="456" w:right="5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526"/>
        </w:trPr>
        <w:tc>
          <w:tcPr>
            <w:tcW w:w="134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00" w:type="dxa"/>
            <w:vAlign w:val="bottom"/>
          </w:tcPr>
          <w:p>
            <w:pPr>
              <w:ind w:left="100"/>
              <w:spacing w:after="0"/>
              <w:rPr>
                <w:sz w:val="20"/>
                <w:szCs w:val="20"/>
                <w:color w:val="auto"/>
              </w:rPr>
            </w:pPr>
            <w:r>
              <w:rPr>
                <w:rFonts w:ascii="Arial" w:cs="Arial" w:eastAsia="Arial" w:hAnsi="Arial"/>
                <w:sz w:val="18"/>
                <w:szCs w:val="18"/>
                <w:b w:val="1"/>
                <w:bCs w:val="1"/>
                <w:color w:val="auto"/>
              </w:rPr>
              <w:t>USE OF PROCEEDS</w:t>
            </w:r>
          </w:p>
        </w:tc>
        <w:tc>
          <w:tcPr>
            <w:tcW w:w="2420" w:type="dxa"/>
            <w:vAlign w:val="bottom"/>
          </w:tcPr>
          <w:p>
            <w:pPr>
              <w:spacing w:after="0"/>
              <w:rPr>
                <w:sz w:val="24"/>
                <w:szCs w:val="24"/>
                <w:color w:val="auto"/>
              </w:rPr>
            </w:pPr>
          </w:p>
        </w:tc>
      </w:tr>
      <w:tr>
        <w:trPr>
          <w:trHeight w:val="401"/>
        </w:trPr>
        <w:tc>
          <w:tcPr>
            <w:tcW w:w="4660" w:type="dxa"/>
            <w:vAlign w:val="bottom"/>
            <w:gridSpan w:val="3"/>
          </w:tcPr>
          <w:p>
            <w:pPr>
              <w:ind w:left="720"/>
              <w:spacing w:after="0"/>
              <w:rPr>
                <w:sz w:val="20"/>
                <w:szCs w:val="20"/>
                <w:color w:val="auto"/>
              </w:rPr>
            </w:pPr>
            <w:r>
              <w:rPr>
                <w:rFonts w:ascii="Arial" w:cs="Arial" w:eastAsia="Arial" w:hAnsi="Arial"/>
                <w:sz w:val="18"/>
                <w:szCs w:val="18"/>
                <w:color w:val="auto"/>
              </w:rPr>
              <w:t>We estimate that we will receive approximately $</w:t>
            </w:r>
          </w:p>
        </w:tc>
        <w:tc>
          <w:tcPr>
            <w:tcW w:w="6320" w:type="dxa"/>
            <w:vAlign w:val="bottom"/>
            <w:gridSpan w:val="2"/>
          </w:tcPr>
          <w:p>
            <w:pPr>
              <w:ind w:left="680"/>
              <w:spacing w:after="0"/>
              <w:rPr>
                <w:sz w:val="20"/>
                <w:szCs w:val="20"/>
                <w:color w:val="auto"/>
              </w:rPr>
            </w:pPr>
            <w:r>
              <w:rPr>
                <w:rFonts w:ascii="Arial" w:cs="Arial" w:eastAsia="Arial" w:hAnsi="Arial"/>
                <w:sz w:val="18"/>
                <w:szCs w:val="18"/>
                <w:color w:val="auto"/>
              </w:rPr>
              <w:t>million from the sale of   shares of Class A common stock in this</w:t>
            </w:r>
          </w:p>
        </w:tc>
      </w:tr>
      <w:tr>
        <w:trPr>
          <w:trHeight w:val="200"/>
        </w:trPr>
        <w:tc>
          <w:tcPr>
            <w:tcW w:w="28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offering, or approximately $</w:t>
            </w:r>
          </w:p>
        </w:tc>
        <w:tc>
          <w:tcPr>
            <w:tcW w:w="816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million if the underwriters exercise in full their option to purchase additional shares, assuming an</w:t>
            </w:r>
          </w:p>
        </w:tc>
      </w:tr>
      <w:tr>
        <w:trPr>
          <w:trHeight w:val="200"/>
        </w:trPr>
        <w:tc>
          <w:tcPr>
            <w:tcW w:w="28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initial public offering price of $</w:t>
            </w:r>
          </w:p>
        </w:tc>
        <w:tc>
          <w:tcPr>
            <w:tcW w:w="8160" w:type="dxa"/>
            <w:vAlign w:val="bottom"/>
            <w:gridSpan w:val="3"/>
          </w:tcPr>
          <w:p>
            <w:pPr>
              <w:ind w:left="480"/>
              <w:spacing w:after="0" w:line="201" w:lineRule="exact"/>
              <w:rPr>
                <w:sz w:val="20"/>
                <w:szCs w:val="20"/>
                <w:color w:val="auto"/>
              </w:rPr>
            </w:pPr>
            <w:r>
              <w:rPr>
                <w:rFonts w:ascii="Arial" w:cs="Arial" w:eastAsia="Arial" w:hAnsi="Arial"/>
                <w:sz w:val="18"/>
                <w:szCs w:val="18"/>
                <w:color w:val="auto"/>
                <w:w w:val="98"/>
              </w:rPr>
              <w:t>per share (which is the midpoint of the price range set forth on the cover page of this prospectus),</w:t>
            </w:r>
          </w:p>
        </w:tc>
      </w:tr>
      <w:tr>
        <w:trPr>
          <w:trHeight w:val="213"/>
        </w:trPr>
        <w:tc>
          <w:tcPr>
            <w:tcW w:w="10980" w:type="dxa"/>
            <w:vAlign w:val="bottom"/>
            <w:gridSpan w:val="5"/>
          </w:tcPr>
          <w:p>
            <w:pPr>
              <w:ind w:left="180"/>
              <w:spacing w:after="0"/>
              <w:rPr>
                <w:sz w:val="20"/>
                <w:szCs w:val="20"/>
                <w:color w:val="auto"/>
              </w:rPr>
            </w:pPr>
            <w:r>
              <w:rPr>
                <w:rFonts w:ascii="Arial" w:cs="Arial" w:eastAsia="Arial" w:hAnsi="Arial"/>
                <w:sz w:val="18"/>
                <w:szCs w:val="18"/>
                <w:color w:val="auto"/>
              </w:rPr>
              <w:t>after deducting estimated underwriting discounts and commissions and estimated offering expenses payable by us.</w:t>
            </w:r>
          </w:p>
        </w:tc>
      </w:tr>
      <w:tr>
        <w:trPr>
          <w:trHeight w:val="401"/>
        </w:trPr>
        <w:tc>
          <w:tcPr>
            <w:tcW w:w="8560" w:type="dxa"/>
            <w:vAlign w:val="bottom"/>
            <w:gridSpan w:val="4"/>
          </w:tcPr>
          <w:p>
            <w:pPr>
              <w:ind w:left="720"/>
              <w:spacing w:after="0"/>
              <w:rPr>
                <w:sz w:val="20"/>
                <w:szCs w:val="20"/>
                <w:color w:val="auto"/>
              </w:rPr>
            </w:pPr>
            <w:r>
              <w:rPr>
                <w:rFonts w:ascii="Arial" w:cs="Arial" w:eastAsia="Arial" w:hAnsi="Arial"/>
                <w:sz w:val="18"/>
                <w:szCs w:val="18"/>
                <w:color w:val="auto"/>
              </w:rPr>
              <w:t>Each $1.00 increase or decrease, as applicable, in the assumed initial public offering price of $</w:t>
            </w:r>
          </w:p>
        </w:tc>
        <w:tc>
          <w:tcPr>
            <w:tcW w:w="2420" w:type="dxa"/>
            <w:vAlign w:val="bottom"/>
          </w:tcPr>
          <w:p>
            <w:pPr>
              <w:ind w:left="400"/>
              <w:spacing w:after="0"/>
              <w:rPr>
                <w:sz w:val="20"/>
                <w:szCs w:val="20"/>
                <w:color w:val="auto"/>
              </w:rPr>
            </w:pPr>
            <w:r>
              <w:rPr>
                <w:rFonts w:ascii="Arial" w:cs="Arial" w:eastAsia="Arial" w:hAnsi="Arial"/>
                <w:sz w:val="18"/>
                <w:szCs w:val="18"/>
                <w:color w:val="auto"/>
              </w:rPr>
              <w:t>per share (which is the</w:t>
            </w:r>
          </w:p>
        </w:tc>
      </w:tr>
    </w:tbl>
    <w:p>
      <w:pPr>
        <w:ind w:left="1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midpoint of the price range set forth on the cover page of this prospectus) would increase or decrease, as applicable, the net proceeds to</w:t>
      </w:r>
    </w:p>
    <w:p>
      <w:pPr>
        <w:spacing w:after="0" w:line="5" w:lineRule="exact"/>
        <w:rPr>
          <w:sz w:val="20"/>
          <w:szCs w:val="20"/>
          <w:color w:val="auto"/>
        </w:rPr>
      </w:pPr>
    </w:p>
    <w:p>
      <w:pPr>
        <w:ind w:left="180" w:right="200"/>
        <w:spacing w:after="0" w:line="237" w:lineRule="auto"/>
        <w:rPr>
          <w:sz w:val="20"/>
          <w:szCs w:val="20"/>
          <w:color w:val="auto"/>
        </w:rPr>
      </w:pPr>
      <w:r>
        <w:rPr>
          <w:rFonts w:ascii="Arial" w:cs="Arial" w:eastAsia="Arial" w:hAnsi="Arial"/>
          <w:sz w:val="18"/>
          <w:szCs w:val="18"/>
          <w:color w:val="auto"/>
        </w:rPr>
        <w:t>us from this offering by approximately $ million, assuming the number of shares offered, as set forth on the cover page of this prospectus, remains the same, and after deducting estimated underwriting discounts and commissions and estimated offering expenses payable by us.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Similarly, each 1,000,000 share increase or decrease, as applicable, in the number of shares offered in this offering would increase</w:t>
      </w:r>
    </w:p>
    <w:p>
      <w:pPr>
        <w:spacing w:after="0" w:line="5" w:lineRule="exact"/>
        <w:rPr>
          <w:sz w:val="20"/>
          <w:szCs w:val="20"/>
          <w:color w:val="auto"/>
        </w:rPr>
      </w:pPr>
    </w:p>
    <w:p>
      <w:pPr>
        <w:ind w:left="180"/>
        <w:spacing w:after="0" w:line="232" w:lineRule="auto"/>
        <w:rPr>
          <w:sz w:val="20"/>
          <w:szCs w:val="20"/>
          <w:color w:val="auto"/>
        </w:rPr>
      </w:pPr>
      <w:r>
        <w:rPr>
          <w:rFonts w:ascii="Arial" w:cs="Arial" w:eastAsia="Arial" w:hAnsi="Arial"/>
          <w:sz w:val="18"/>
          <w:szCs w:val="18"/>
          <w:color w:val="auto"/>
        </w:rPr>
        <w:t>or decrease, as applicable, the net proceeds to us from this offering by approximately $ million, assuming that the price per share for the offering remains at $ (which is the midpoint of the price range set forth on the cover page of this prospectus), and after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deducting the estimated underwriting discounts and commissions and estimated offering expenses payable by us.</w:t>
      </w:r>
    </w:p>
    <w:p>
      <w:pPr>
        <w:spacing w:after="0" w:line="207" w:lineRule="exact"/>
        <w:rPr>
          <w:sz w:val="20"/>
          <w:szCs w:val="20"/>
          <w:color w:val="auto"/>
        </w:rPr>
      </w:pPr>
    </w:p>
    <w:p>
      <w:pPr>
        <w:ind w:left="180" w:right="220" w:firstLine="545"/>
        <w:spacing w:after="0" w:line="234" w:lineRule="auto"/>
        <w:rPr>
          <w:sz w:val="20"/>
          <w:szCs w:val="20"/>
          <w:color w:val="auto"/>
        </w:rPr>
      </w:pPr>
      <w:r>
        <w:rPr>
          <w:rFonts w:ascii="Arial" w:cs="Arial" w:eastAsia="Arial" w:hAnsi="Arial"/>
          <w:sz w:val="18"/>
          <w:szCs w:val="18"/>
          <w:color w:val="auto"/>
        </w:rPr>
        <w:t>We intend to use the net proceeds from this offering for working capital, to fund growth and for other general corporate purposes. As of the date of this prospectus, we cannot specify with certainty all of the particular uses of the net proceeds that we will receive from this offering. Accordingly, we will have broad discretion in the application of these proceeds. We intend to invest the net proceeds to us from this offering that are not used as described above in investment-grade, interest-bearing instruments. See “Risk Factors—Risks Related to this Offering and Ownership of Our Class A Common Stock—Our management has broad discretion in the use of the net proceeds from this offering and may not use the net proceeds effectively” for additional information.</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40"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80" w:firstLine="545"/>
        <w:spacing w:after="0" w:line="251"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93" w:lineRule="exact"/>
        <w:rPr>
          <w:sz w:val="20"/>
          <w:szCs w:val="20"/>
          <w:color w:val="auto"/>
        </w:rPr>
      </w:pPr>
    </w:p>
    <w:p>
      <w:pPr>
        <w:ind w:left="180" w:right="520" w:firstLine="545"/>
        <w:spacing w:after="0" w:line="237" w:lineRule="auto"/>
        <w:rPr>
          <w:sz w:val="20"/>
          <w:szCs w:val="20"/>
          <w:color w:val="auto"/>
        </w:rPr>
      </w:pPr>
      <w:r>
        <w:rPr>
          <w:rFonts w:ascii="Arial" w:cs="Arial" w:eastAsia="Arial" w:hAnsi="Arial"/>
          <w:sz w:val="18"/>
          <w:szCs w:val="18"/>
          <w:color w:val="auto"/>
        </w:rPr>
        <w:t>See “Risk Factors—Risks Related to this Offering and Ownership of Our Class A Common Stock— We do not intend to pay dividends for the foreseeable future. Consequently, any gains from an investment in our Class A common stock will likely depend on whether the price of our Class A common stock increases.”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6"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CAPITALIZATION</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cash and cash equivalents, and our capitalization as of January 31, 2021 as follows:</w:t>
      </w:r>
    </w:p>
    <w:p>
      <w:pPr>
        <w:spacing w:after="0" w:line="114" w:lineRule="exact"/>
        <w:rPr>
          <w:sz w:val="20"/>
          <w:szCs w:val="20"/>
          <w:color w:val="auto"/>
        </w:rPr>
      </w:pPr>
    </w:p>
    <w:p>
      <w:pPr>
        <w:ind w:left="920" w:hanging="212"/>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07" w:lineRule="exact"/>
        <w:rPr>
          <w:rFonts w:ascii="Arial" w:cs="Arial" w:eastAsia="Arial" w:hAnsi="Arial"/>
          <w:sz w:val="18"/>
          <w:szCs w:val="18"/>
          <w:color w:val="auto"/>
        </w:rPr>
      </w:pPr>
    </w:p>
    <w:p>
      <w:pPr>
        <w:ind w:left="920" w:hanging="212"/>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outstanding shares of our redeemable preferred stock</w:t>
      </w:r>
    </w:p>
    <w:p>
      <w:pPr>
        <w:ind w:left="920" w:right="260"/>
        <w:spacing w:after="0"/>
        <w:rPr>
          <w:sz w:val="20"/>
          <w:szCs w:val="20"/>
          <w:color w:val="auto"/>
        </w:rPr>
      </w:pPr>
      <w:r>
        <w:rPr>
          <w:rFonts w:ascii="Arial" w:cs="Arial" w:eastAsia="Arial" w:hAnsi="Arial"/>
          <w:sz w:val="18"/>
          <w:szCs w:val="18"/>
          <w:color w:val="auto"/>
        </w:rPr>
        <w:t>into shares of our Class A common stock, upon closing of this offering and (ii) the filing and effectiveness of our Amended Charter and the adoption of our Amended Bylaws, in each case as if such event had occurred on January 31, 2021; and</w:t>
      </w:r>
    </w:p>
    <w:p>
      <w:pPr>
        <w:spacing w:after="0" w:line="301"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a pro forma as adjusted basis to give effect to (1) the pro forma adjustments described in the preceding clause and (2) the</w:t>
      </w:r>
    </w:p>
    <w:p>
      <w:pPr>
        <w:ind w:left="920" w:right="240"/>
        <w:spacing w:after="0" w:line="236" w:lineRule="auto"/>
        <w:rPr>
          <w:sz w:val="20"/>
          <w:szCs w:val="20"/>
          <w:color w:val="auto"/>
        </w:rPr>
      </w:pPr>
      <w:r>
        <w:rPr>
          <w:rFonts w:ascii="Arial" w:cs="Arial" w:eastAsia="Arial" w:hAnsi="Arial"/>
          <w:sz w:val="18"/>
          <w:szCs w:val="18"/>
          <w:color w:val="auto"/>
        </w:rPr>
        <w:t>issuance and sale of Class A common stock in this offering at an assumed initial public offering price of $ per share (which is the midpoint of the range set forth on the cover page of this prospectus), after deducting the estimated underwriting discounts and commissions and estimated offering expenses payable by us, and the application of the net proceeds therefrom as described under “Use of Proceeds.”</w:t>
      </w:r>
    </w:p>
    <w:p>
      <w:pPr>
        <w:spacing w:after="0" w:line="201" w:lineRule="exact"/>
        <w:rPr>
          <w:sz w:val="20"/>
          <w:szCs w:val="20"/>
          <w:color w:val="auto"/>
        </w:rPr>
      </w:pPr>
    </w:p>
    <w:p>
      <w:pPr>
        <w:ind w:left="180" w:right="100" w:firstLine="545"/>
        <w:spacing w:after="0" w:line="237" w:lineRule="auto"/>
        <w:rPr>
          <w:sz w:val="20"/>
          <w:szCs w:val="20"/>
          <w:color w:val="auto"/>
        </w:rPr>
      </w:pPr>
      <w:r>
        <w:rPr>
          <w:rFonts w:ascii="Arial" w:cs="Arial" w:eastAsia="Arial" w:hAnsi="Arial"/>
          <w:sz w:val="18"/>
          <w:szCs w:val="18"/>
          <w:color w:val="auto"/>
        </w:rPr>
        <w:t>You should read this information together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6"/>
          </w:tcPr>
          <w:p>
            <w:pPr>
              <w:ind w:left="100"/>
              <w:spacing w:after="0"/>
              <w:rPr>
                <w:sz w:val="20"/>
                <w:szCs w:val="20"/>
                <w:color w:val="auto"/>
              </w:rPr>
            </w:pPr>
            <w:r>
              <w:rPr>
                <w:rFonts w:ascii="Arial" w:cs="Arial" w:eastAsia="Arial" w:hAnsi="Arial"/>
                <w:sz w:val="14"/>
                <w:szCs w:val="14"/>
                <w:b w:val="1"/>
                <w:bCs w:val="1"/>
                <w:color w:val="auto"/>
              </w:rPr>
              <w:t>As of January 31 , 2021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Pro</w:t>
            </w:r>
          </w:p>
        </w:tc>
        <w:tc>
          <w:tcPr>
            <w:tcW w:w="1040" w:type="dxa"/>
            <w:vAlign w:val="bottom"/>
            <w:tcBorders>
              <w:top w:val="single" w:sz="8" w:color="auto"/>
            </w:tcBorders>
            <w:gridSpan w:val="2"/>
          </w:tcPr>
          <w:p>
            <w:pPr>
              <w:ind w:left="100"/>
              <w:spacing w:after="0" w:line="141"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3"/>
          </w:tcPr>
          <w:p>
            <w:pPr>
              <w:jc w:val="right"/>
              <w:ind w:right="169"/>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Forma</w:t>
            </w:r>
          </w:p>
        </w:tc>
        <w:tc>
          <w:tcPr>
            <w:tcW w:w="12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6"/>
          </w:tcPr>
          <w:p>
            <w:pPr>
              <w:ind w:left="40"/>
              <w:spacing w:after="0" w:line="141" w:lineRule="exact"/>
              <w:rPr>
                <w:sz w:val="20"/>
                <w:szCs w:val="20"/>
                <w:color w:val="auto"/>
              </w:rPr>
            </w:pPr>
            <w:r>
              <w:rPr>
                <w:rFonts w:ascii="Arial" w:cs="Arial" w:eastAsia="Arial" w:hAnsi="Arial"/>
                <w:sz w:val="14"/>
                <w:szCs w:val="14"/>
                <w:b w:val="1"/>
                <w:bCs w:val="1"/>
                <w:color w:val="auto"/>
              </w:rPr>
              <w:t>(in millions, except share and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ind w:left="380"/>
              <w:spacing w:after="0"/>
              <w:rPr>
                <w:sz w:val="20"/>
                <w:szCs w:val="20"/>
                <w:color w:val="auto"/>
              </w:rPr>
            </w:pPr>
            <w:r>
              <w:rPr>
                <w:rFonts w:ascii="Arial" w:cs="Arial" w:eastAsia="Arial" w:hAnsi="Arial"/>
                <w:sz w:val="14"/>
                <w:szCs w:val="14"/>
                <w:b w:val="1"/>
                <w:bCs w:val="1"/>
                <w:color w:val="auto"/>
              </w:rPr>
              <w:t>per share data)</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45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Indebtedness:</w:t>
            </w:r>
          </w:p>
        </w:tc>
        <w:tc>
          <w:tcPr>
            <w:tcW w:w="4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720" w:type="dxa"/>
            <w:vAlign w:val="bottom"/>
            <w:gridSpan w:val="2"/>
            <w:vMerge w:val="continue"/>
          </w:tcPr>
          <w:p>
            <w:pPr>
              <w:spacing w:after="0"/>
              <w:rPr>
                <w:sz w:val="16"/>
                <w:szCs w:val="16"/>
                <w:color w:val="auto"/>
              </w:rPr>
            </w:pPr>
          </w:p>
        </w:tc>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debt, net</w:t>
            </w:r>
            <w:r>
              <w:rPr>
                <w:rFonts w:ascii="Arial" w:cs="Arial" w:eastAsia="Arial" w:hAnsi="Arial"/>
                <w:sz w:val="15"/>
                <w:szCs w:val="15"/>
                <w:color w:val="auto"/>
              </w:rPr>
              <w:t>(2)</w:t>
            </w:r>
          </w:p>
        </w:tc>
        <w:tc>
          <w:tcPr>
            <w:tcW w:w="45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355.1</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40" w:type="dxa"/>
            <w:vAlign w:val="bottom"/>
            <w:gridSpan w:val="2"/>
          </w:tcPr>
          <w:p>
            <w:pPr>
              <w:spacing w:after="0" w:line="200" w:lineRule="exact"/>
              <w:rPr>
                <w:sz w:val="20"/>
                <w:szCs w:val="20"/>
                <w:color w:val="auto"/>
              </w:rPr>
            </w:pPr>
            <w:r>
              <w:rPr>
                <w:rFonts w:ascii="Arial" w:cs="Arial" w:eastAsia="Arial" w:hAnsi="Arial"/>
                <w:sz w:val="18"/>
                <w:szCs w:val="18"/>
                <w:color w:val="auto"/>
              </w:rPr>
              <w:t>Redeemable preferred stock, $0.001 par value per share; 35,236,646 shares authorized,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31,137,921 shares issued and outstanding, actual; no shares authorized, issued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ind w:left="160"/>
              <w:spacing w:after="0" w:line="201" w:lineRule="exact"/>
              <w:rPr>
                <w:sz w:val="20"/>
                <w:szCs w:val="20"/>
                <w:color w:val="auto"/>
              </w:rPr>
            </w:pPr>
            <w:r>
              <w:rPr>
                <w:rFonts w:ascii="Arial" w:cs="Arial" w:eastAsia="Arial" w:hAnsi="Arial"/>
                <w:sz w:val="18"/>
                <w:szCs w:val="18"/>
                <w:color w:val="auto"/>
              </w:rPr>
              <w:t>outstanding, pro forma</w:t>
            </w:r>
          </w:p>
        </w:tc>
        <w:tc>
          <w:tcPr>
            <w:tcW w:w="4540" w:type="dxa"/>
            <w:vAlign w:val="bottom"/>
          </w:tcPr>
          <w:p>
            <w:pPr>
              <w:spacing w:after="0"/>
              <w:rPr>
                <w:sz w:val="18"/>
                <w:szCs w:val="18"/>
                <w:color w:val="auto"/>
              </w:rPr>
            </w:pP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388.1</w:t>
            </w:r>
          </w:p>
        </w:tc>
        <w:tc>
          <w:tcPr>
            <w:tcW w:w="140" w:type="dxa"/>
            <w:vAlign w:val="bottom"/>
          </w:tcPr>
          <w:p>
            <w:pPr>
              <w:spacing w:after="0"/>
              <w:rPr>
                <w:sz w:val="18"/>
                <w:szCs w:val="18"/>
                <w:color w:val="auto"/>
              </w:rPr>
            </w:pPr>
          </w:p>
        </w:tc>
        <w:tc>
          <w:tcPr>
            <w:tcW w:w="11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deficit:</w:t>
            </w:r>
          </w:p>
        </w:tc>
        <w:tc>
          <w:tcPr>
            <w:tcW w:w="4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Stockholders’ deficit:</w:t>
            </w:r>
          </w:p>
        </w:tc>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40" w:type="dxa"/>
            <w:vAlign w:val="bottom"/>
            <w:gridSpan w:val="2"/>
            <w:shd w:val="clear" w:color="auto" w:fill="CCEEFF"/>
          </w:tcPr>
          <w:p>
            <w:pPr>
              <w:ind w:left="340"/>
              <w:spacing w:after="0" w:line="200" w:lineRule="exact"/>
              <w:rPr>
                <w:sz w:val="20"/>
                <w:szCs w:val="20"/>
                <w:color w:val="auto"/>
              </w:rPr>
            </w:pPr>
            <w:r>
              <w:rPr>
                <w:rFonts w:ascii="Arial" w:cs="Arial" w:eastAsia="Arial" w:hAnsi="Arial"/>
                <w:sz w:val="18"/>
                <w:szCs w:val="18"/>
                <w:color w:val="auto"/>
              </w:rPr>
              <w:t>Common stock, $0.001 par value per share; 60,000,000 shares authorized,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4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10,456,521 shares issued and outstanding, actual; no shares authorized, issued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and outstanding, pro forma</w:t>
            </w:r>
          </w:p>
        </w:tc>
        <w:tc>
          <w:tcPr>
            <w:tcW w:w="4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9"/>
              <w:spacing w:after="0" w:line="201"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ind w:left="340"/>
              <w:spacing w:after="0" w:line="200" w:lineRule="exact"/>
              <w:rPr>
                <w:sz w:val="20"/>
                <w:szCs w:val="20"/>
                <w:color w:val="auto"/>
              </w:rPr>
            </w:pPr>
            <w:r>
              <w:rPr>
                <w:rFonts w:ascii="Arial" w:cs="Arial" w:eastAsia="Arial" w:hAnsi="Arial"/>
                <w:sz w:val="18"/>
                <w:szCs w:val="18"/>
                <w:color w:val="auto"/>
              </w:rPr>
              <w:t>Class A common stock, $</w:t>
            </w:r>
          </w:p>
        </w:tc>
        <w:tc>
          <w:tcPr>
            <w:tcW w:w="4540" w:type="dxa"/>
            <w:vAlign w:val="bottom"/>
          </w:tcPr>
          <w:p>
            <w:pPr>
              <w:ind w:left="80"/>
              <w:spacing w:after="0" w:line="200" w:lineRule="exact"/>
              <w:rPr>
                <w:sz w:val="20"/>
                <w:szCs w:val="20"/>
                <w:color w:val="auto"/>
              </w:rPr>
            </w:pPr>
            <w:r>
              <w:rPr>
                <w:rFonts w:ascii="Arial" w:cs="Arial" w:eastAsia="Arial" w:hAnsi="Arial"/>
                <w:sz w:val="18"/>
                <w:szCs w:val="18"/>
                <w:color w:val="auto"/>
              </w:rPr>
              <w:t>par value per share; no shares authorized, issued or</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outstanding, actual; shares authorized, shares issued and outstanding, pro forma</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9"/>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Class B common stock, $</w:t>
            </w:r>
          </w:p>
        </w:tc>
        <w:tc>
          <w:tcPr>
            <w:tcW w:w="454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par value per share; no shares authorized, issued or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4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outstanding, actual; shares authorized, shares issued and outstanding, pro forma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9"/>
              <w:spacing w:after="0" w:line="201"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tcPr>
          <w:p>
            <w:pPr>
              <w:ind w:left="340"/>
              <w:spacing w:after="0" w:line="201" w:lineRule="exact"/>
              <w:rPr>
                <w:sz w:val="20"/>
                <w:szCs w:val="20"/>
                <w:color w:val="auto"/>
              </w:rPr>
            </w:pPr>
            <w:r>
              <w:rPr>
                <w:rFonts w:ascii="Arial" w:cs="Arial" w:eastAsia="Arial" w:hAnsi="Arial"/>
                <w:sz w:val="18"/>
                <w:szCs w:val="18"/>
                <w:color w:val="auto"/>
              </w:rPr>
              <w:t>Additional paid-in capital</w:t>
            </w:r>
          </w:p>
        </w:tc>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62.7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Accumulated deficit</w:t>
            </w:r>
          </w:p>
        </w:tc>
        <w:tc>
          <w:tcPr>
            <w:tcW w:w="4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9"/>
              <w:spacing w:after="0" w:line="201" w:lineRule="exact"/>
              <w:rPr>
                <w:sz w:val="20"/>
                <w:szCs w:val="20"/>
                <w:color w:val="auto"/>
              </w:rPr>
            </w:pPr>
            <w:r>
              <w:rPr>
                <w:rFonts w:ascii="Arial" w:cs="Arial" w:eastAsia="Arial" w:hAnsi="Arial"/>
                <w:sz w:val="18"/>
                <w:szCs w:val="18"/>
                <w:color w:val="auto"/>
                <w:w w:val="98"/>
              </w:rPr>
              <w:t>(589.4)</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72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
              <w:spacing w:after="0"/>
              <w:rPr>
                <w:sz w:val="20"/>
                <w:szCs w:val="20"/>
                <w:color w:val="auto"/>
              </w:rPr>
            </w:pPr>
            <w:r>
              <w:rPr>
                <w:rFonts w:ascii="Arial" w:cs="Arial" w:eastAsia="Arial" w:hAnsi="Arial"/>
                <w:sz w:val="18"/>
                <w:szCs w:val="18"/>
                <w:color w:val="auto"/>
                <w:w w:val="98"/>
              </w:rPr>
              <w:t>(526.7)</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capitalization</w:t>
            </w:r>
          </w:p>
        </w:tc>
        <w:tc>
          <w:tcPr>
            <w:tcW w:w="4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216.5</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85" w:lineRule="exact"/>
        <w:rPr>
          <w:sz w:val="20"/>
          <w:szCs w:val="20"/>
          <w:color w:val="auto"/>
        </w:rPr>
      </w:pPr>
    </w:p>
    <w:p>
      <w:pPr>
        <w:ind w:left="600" w:hanging="426"/>
        <w:spacing w:after="0"/>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Excluding restricted cash, current, which was $3.4 million at January 31, 2021.</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00" w:right="80" w:hanging="426"/>
        <w:spacing w:after="0" w:line="246"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Consists of our Ares Facility, which had an outstanding balance as of January 31, 2021 of $74.1 million of outstanding long-term principal, $1.6 million of payment-in-kind interest, netted with $10.9 million of unamortized debt discount, and our Temasek Facility, which had an outstanding balance as of January 31, 2021 of $230.0 million of outstanding principal, $62.2 million of payment-in-kind interest, netted with $1.9 million of unamortized debt discount.</w:t>
      </w:r>
    </w:p>
    <w:p>
      <w:pPr>
        <w:spacing w:after="0" w:line="194" w:lineRule="exact"/>
        <w:rPr>
          <w:sz w:val="20"/>
          <w:szCs w:val="20"/>
          <w:color w:val="auto"/>
        </w:rPr>
      </w:pPr>
    </w:p>
    <w:p>
      <w:pPr>
        <w:jc w:val="both"/>
        <w:ind w:left="180" w:right="260" w:firstLine="545"/>
        <w:spacing w:after="0" w:line="232" w:lineRule="auto"/>
        <w:rPr>
          <w:sz w:val="20"/>
          <w:szCs w:val="20"/>
          <w:color w:val="auto"/>
        </w:rPr>
      </w:pPr>
      <w:r>
        <w:rPr>
          <w:rFonts w:ascii="Arial" w:cs="Arial" w:eastAsia="Arial" w:hAnsi="Arial"/>
          <w:sz w:val="18"/>
          <w:szCs w:val="18"/>
          <w:color w:val="auto"/>
        </w:rPr>
        <w:t>Each $1.00 increase or decrease, as applicable, in the assumed initial public offering price of $ per share (which is the midpoint of the price range set forth on the cover page of this prospectus) would increase or decrease, as applicable, each of cash and cash equivalents, additional paid in capital, total stockholders’ deficit and total capitalization on a pro forma as adjusted basis by</w:t>
      </w:r>
    </w:p>
    <w:p>
      <w:pPr>
        <w:spacing w:after="0" w:line="1" w:lineRule="exact"/>
        <w:rPr>
          <w:sz w:val="20"/>
          <w:szCs w:val="20"/>
          <w:color w:val="auto"/>
        </w:rPr>
      </w:pPr>
    </w:p>
    <w:p>
      <w:pPr>
        <w:ind w:left="180" w:right="200"/>
        <w:spacing w:after="0" w:line="239" w:lineRule="auto"/>
        <w:rPr>
          <w:sz w:val="20"/>
          <w:szCs w:val="20"/>
          <w:color w:val="auto"/>
        </w:rPr>
      </w:pPr>
      <w:r>
        <w:rPr>
          <w:rFonts w:ascii="Arial" w:cs="Arial" w:eastAsia="Arial" w:hAnsi="Arial"/>
          <w:sz w:val="18"/>
          <w:szCs w:val="18"/>
          <w:color w:val="auto"/>
        </w:rPr>
        <w:t>approximately $ million, assuming the number of shares offered, as set forth on the cover page of this prospectus, remains the same, and after deducting the estimated underwriting discounts and commissions and estimated offering expenses payable by us.</w:t>
      </w:r>
    </w:p>
    <w:p>
      <w:pPr>
        <w:spacing w:after="0" w:line="202" w:lineRule="exact"/>
        <w:rPr>
          <w:sz w:val="20"/>
          <w:szCs w:val="20"/>
          <w:color w:val="auto"/>
        </w:rPr>
      </w:pPr>
    </w:p>
    <w:p>
      <w:pPr>
        <w:ind w:left="180" w:right="20" w:firstLine="545"/>
        <w:spacing w:after="0" w:line="246" w:lineRule="auto"/>
        <w:rPr>
          <w:sz w:val="20"/>
          <w:szCs w:val="20"/>
          <w:color w:val="auto"/>
        </w:rPr>
      </w:pPr>
      <w:r>
        <w:rPr>
          <w:rFonts w:ascii="Arial" w:cs="Arial" w:eastAsia="Arial" w:hAnsi="Arial"/>
          <w:sz w:val="17"/>
          <w:szCs w:val="17"/>
          <w:color w:val="auto"/>
        </w:rPr>
        <w:t>Similarly, each 1,000,000 share increase or decrease, as applicable, in the number of shares offered in this offering would increase or decrease, as applicable, each of cash and cash equivalents, additional paid in capital, total stockholders’ deficit and total capitalization</w:t>
      </w:r>
    </w:p>
    <w:p>
      <w:pPr>
        <w:ind w:left="180"/>
        <w:spacing w:after="0"/>
        <w:tabs>
          <w:tab w:leader="none" w:pos="5080" w:val="left"/>
        </w:tabs>
        <w:rPr>
          <w:sz w:val="20"/>
          <w:szCs w:val="20"/>
          <w:color w:val="auto"/>
        </w:rPr>
      </w:pPr>
      <w:r>
        <w:rPr>
          <w:rFonts w:ascii="Arial" w:cs="Arial" w:eastAsia="Arial" w:hAnsi="Arial"/>
          <w:sz w:val="18"/>
          <w:szCs w:val="18"/>
          <w:color w:val="auto"/>
        </w:rPr>
        <w:t>on a pro forma as adjusted basis by approximately $</w:t>
      </w:r>
      <w:r>
        <w:rPr>
          <w:sz w:val="20"/>
          <w:szCs w:val="20"/>
          <w:color w:val="auto"/>
        </w:rPr>
        <w:tab/>
      </w:r>
      <w:r>
        <w:rPr>
          <w:rFonts w:ascii="Arial" w:cs="Arial" w:eastAsia="Arial" w:hAnsi="Arial"/>
          <w:sz w:val="17"/>
          <w:szCs w:val="17"/>
          <w:color w:val="auto"/>
        </w:rPr>
        <w:t>million, assuming that the price per share for the offering remains at</w:t>
      </w:r>
    </w:p>
    <w:p>
      <w:pPr>
        <w:ind w:left="180" w:right="420" w:hanging="6"/>
        <w:spacing w:after="0" w:line="239" w:lineRule="auto"/>
        <w:tabs>
          <w:tab w:leader="none" w:pos="10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(which is the midpoint of the price range set forth on the cover page of this prospectus), and after deducting the estimated underwriting discounts and commissions and estimated offering expenses payable by us.</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shares of Class A common stock and Class B common stock to be outstanding after this offering is based</w:t>
      </w:r>
    </w:p>
    <w:p>
      <w:pPr>
        <w:ind w:left="180"/>
        <w:spacing w:after="0"/>
        <w:tabs>
          <w:tab w:leader="none" w:pos="1340" w:val="left"/>
          <w:tab w:leader="none" w:pos="5360" w:val="left"/>
          <w:tab w:leader="none" w:pos="104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8"/>
          <w:szCs w:val="18"/>
          <w:color w:val="auto"/>
        </w:rPr>
        <w:t>shares of our Class B common stock outstanding as of</w:t>
      </w:r>
      <w:r>
        <w:rPr>
          <w:sz w:val="20"/>
          <w:szCs w:val="20"/>
          <w:color w:val="auto"/>
        </w:rPr>
        <w:tab/>
      </w:r>
      <w:r>
        <w:rPr>
          <w:rFonts w:ascii="Arial" w:cs="Arial" w:eastAsia="Arial" w:hAnsi="Arial"/>
          <w:sz w:val="17"/>
          <w:szCs w:val="17"/>
          <w:color w:val="auto"/>
        </w:rPr>
        <w:t>, 2021,</w:t>
      </w:r>
    </w:p>
    <w:p>
      <w:pPr>
        <w:ind w:left="180"/>
        <w:spacing w:after="0"/>
        <w:tabs>
          <w:tab w:leader="none" w:pos="9580" w:val="left"/>
        </w:tabs>
        <w:rPr>
          <w:sz w:val="20"/>
          <w:szCs w:val="20"/>
          <w:color w:val="auto"/>
        </w:rPr>
      </w:pPr>
      <w:r>
        <w:rPr>
          <w:rFonts w:ascii="Arial" w:cs="Arial" w:eastAsia="Arial" w:hAnsi="Arial"/>
          <w:sz w:val="18"/>
          <w:szCs w:val="18"/>
          <w:color w:val="auto"/>
        </w:rPr>
        <w:t>after giving effect to the automatic conversion of all outstanding shares of our redeemable preferred stock into</w:t>
      </w:r>
      <w:r>
        <w:rPr>
          <w:sz w:val="20"/>
          <w:szCs w:val="20"/>
          <w:color w:val="auto"/>
        </w:rPr>
        <w:tab/>
      </w:r>
      <w:r>
        <w:rPr>
          <w:rFonts w:ascii="Arial" w:cs="Arial" w:eastAsia="Arial" w:hAnsi="Arial"/>
          <w:sz w:val="17"/>
          <w:szCs w:val="17"/>
          <w:color w:val="auto"/>
        </w:rPr>
        <w:t>shares of our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Class A common stock upon closing of this offering, and excludes:</w:t>
      </w:r>
    </w:p>
    <w:p>
      <w:pPr>
        <w:sectPr>
          <w:pgSz w:w="11900" w:h="16838" w:orient="portrait"/>
          <w:cols w:equalWidth="0" w:num="1">
            <w:col w:w="11040"/>
          </w:cols>
          <w:pgMar w:left="320" w:top="456" w:right="539" w:bottom="1440" w:gutter="0" w:footer="0" w:header="0"/>
        </w:sectPr>
      </w:pPr>
    </w:p>
    <w:p>
      <w:pPr>
        <w:spacing w:after="0" w:line="114"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5" w:lineRule="exact"/>
        <w:rPr>
          <w:sz w:val="20"/>
          <w:szCs w:val="20"/>
          <w:color w:val="auto"/>
        </w:rPr>
      </w:pPr>
    </w:p>
    <w:p>
      <w:pPr>
        <w:ind w:left="920"/>
        <w:spacing w:after="0"/>
        <w:tabs>
          <w:tab w:leader="none" w:pos="5840" w:val="left"/>
        </w:tabs>
        <w:rPr>
          <w:sz w:val="20"/>
          <w:szCs w:val="20"/>
          <w:color w:val="auto"/>
        </w:rPr>
      </w:pPr>
      <w:r>
        <w:rPr>
          <w:rFonts w:ascii="Arial" w:cs="Arial" w:eastAsia="Arial" w:hAnsi="Arial"/>
          <w:sz w:val="18"/>
          <w:szCs w:val="18"/>
          <w:color w:val="auto"/>
        </w:rPr>
        <w:t>2009 Plan, at a weighted 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2021 under our</w:t>
      </w:r>
    </w:p>
    <w:p>
      <w:pPr>
        <w:spacing w:after="0" w:line="325" w:lineRule="exact"/>
        <w:rPr>
          <w:sz w:val="20"/>
          <w:szCs w:val="20"/>
          <w:color w:val="auto"/>
        </w:rPr>
      </w:pPr>
    </w:p>
    <w:p>
      <w:pPr>
        <w:sectPr>
          <w:pgSz w:w="11900" w:h="16838" w:orient="portrait"/>
          <w:cols w:equalWidth="0" w:num="2">
            <w:col w:w="8720" w:space="720"/>
            <w:col w:w="1600"/>
          </w:cols>
          <w:pgMar w:left="320" w:top="456" w:right="539" w:bottom="1440" w:gutter="0" w:footer="0" w:header="0"/>
          <w:type w:val="continuous"/>
        </w:sectPr>
      </w:pPr>
    </w:p>
    <w:p>
      <w:pPr>
        <w:ind w:left="700"/>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5" w:lineRule="exact"/>
        <w:rPr>
          <w:sz w:val="20"/>
          <w:szCs w:val="20"/>
          <w:color w:val="auto"/>
        </w:rPr>
      </w:pPr>
    </w:p>
    <w:p>
      <w:pPr>
        <w:ind w:left="920"/>
        <w:spacing w:after="0"/>
        <w:tabs>
          <w:tab w:leader="none" w:pos="5840" w:val="left"/>
        </w:tabs>
        <w:rPr>
          <w:sz w:val="20"/>
          <w:szCs w:val="20"/>
          <w:color w:val="auto"/>
        </w:rPr>
      </w:pPr>
      <w:r>
        <w:rPr>
          <w:rFonts w:ascii="Arial" w:cs="Arial" w:eastAsia="Arial" w:hAnsi="Arial"/>
          <w:sz w:val="18"/>
          <w:szCs w:val="18"/>
          <w:color w:val="auto"/>
        </w:rPr>
        <w:t>2019 Plan, at a weighted 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under our</w:t>
      </w:r>
    </w:p>
    <w:p>
      <w:pPr>
        <w:spacing w:after="0" w:line="325" w:lineRule="exact"/>
        <w:rPr>
          <w:sz w:val="20"/>
          <w:szCs w:val="20"/>
          <w:color w:val="auto"/>
        </w:rPr>
      </w:pPr>
    </w:p>
    <w:p>
      <w:pPr>
        <w:sectPr>
          <w:pgSz w:w="11900" w:h="16838" w:orient="portrait"/>
          <w:cols w:equalWidth="0" w:num="2">
            <w:col w:w="8720" w:space="720"/>
            <w:col w:w="1600"/>
          </w:cols>
          <w:pgMar w:left="320" w:top="456" w:right="539" w:bottom="1440" w:gutter="0" w:footer="0" w:header="0"/>
          <w:type w:val="continuous"/>
        </w:sectPr>
      </w:pPr>
    </w:p>
    <w:p>
      <w:pPr>
        <w:ind w:left="920" w:right="120" w:hanging="213"/>
        <w:spacing w:after="0" w:line="239" w:lineRule="auto"/>
        <w:tabs>
          <w:tab w:leader="none" w:pos="900" w:val="left"/>
        </w:tabs>
        <w:rPr>
          <w:sz w:val="20"/>
          <w:szCs w:val="20"/>
          <w:color w:val="auto"/>
        </w:rPr>
      </w:pPr>
      <w:r>
        <w:rPr>
          <w:rFonts w:ascii="Arial" w:cs="Arial" w:eastAsia="Arial" w:hAnsi="Arial"/>
          <w:sz w:val="18"/>
          <w:szCs w:val="18"/>
          <w:color w:val="auto"/>
        </w:rPr>
        <w:t>•</w:t>
        <w:tab/>
        <w:t>RSUs, covering shares of Class A common stock as of service-based and liquidity-based vesting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which are issuable upon satisfaction of</w:t>
      </w:r>
    </w:p>
    <w:p>
      <w:pPr>
        <w:spacing w:after="0" w:line="325" w:lineRule="exact"/>
        <w:rPr>
          <w:sz w:val="20"/>
          <w:szCs w:val="20"/>
          <w:color w:val="auto"/>
        </w:rPr>
      </w:pPr>
    </w:p>
    <w:p>
      <w:pPr>
        <w:sectPr>
          <w:pgSz w:w="11900" w:h="16838" w:orient="portrait"/>
          <w:cols w:equalWidth="0" w:num="2">
            <w:col w:w="6680" w:space="720"/>
            <w:col w:w="3640"/>
          </w:cols>
          <w:pgMar w:left="320" w:top="456" w:right="539" w:bottom="1440" w:gutter="0" w:footer="0" w:header="0"/>
          <w:type w:val="continuous"/>
        </w:sectPr>
      </w:pPr>
    </w:p>
    <w:p>
      <w:pPr>
        <w:ind w:left="700"/>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5" w:lineRule="exact"/>
        <w:rPr>
          <w:sz w:val="20"/>
          <w:szCs w:val="20"/>
          <w:color w:val="auto"/>
        </w:rPr>
      </w:pPr>
    </w:p>
    <w:p>
      <w:pPr>
        <w:ind w:left="920"/>
        <w:spacing w:after="0"/>
        <w:tabs>
          <w:tab w:leader="none" w:pos="7160" w:val="left"/>
        </w:tabs>
        <w:rPr>
          <w:sz w:val="20"/>
          <w:szCs w:val="20"/>
          <w:color w:val="auto"/>
        </w:rPr>
      </w:pPr>
      <w:r>
        <w:rPr>
          <w:rFonts w:ascii="Arial" w:cs="Arial" w:eastAsia="Arial" w:hAnsi="Arial"/>
          <w:sz w:val="18"/>
          <w:szCs w:val="18"/>
          <w:color w:val="auto"/>
        </w:rPr>
        <w:t>Designer Collective Grants, at a weighted 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granted as</w:t>
      </w:r>
    </w:p>
    <w:p>
      <w:pPr>
        <w:spacing w:after="0" w:line="325" w:lineRule="exact"/>
        <w:rPr>
          <w:sz w:val="20"/>
          <w:szCs w:val="20"/>
          <w:color w:val="auto"/>
        </w:rPr>
      </w:pPr>
    </w:p>
    <w:p>
      <w:pPr>
        <w:sectPr>
          <w:pgSz w:w="11900" w:h="16838" w:orient="portrait"/>
          <w:cols w:equalWidth="0" w:num="2">
            <w:col w:w="8720" w:space="720"/>
            <w:col w:w="1600"/>
          </w:cols>
          <w:pgMar w:left="320" w:top="456" w:right="539" w:bottom="1440" w:gutter="0" w:footer="0" w:header="0"/>
          <w:type w:val="continuous"/>
        </w:sectPr>
      </w:pPr>
    </w:p>
    <w:p>
      <w:pPr>
        <w:ind w:left="920" w:right="180" w:hanging="212"/>
        <w:spacing w:after="0" w:line="237" w:lineRule="auto"/>
        <w:tabs>
          <w:tab w:leader="none" w:pos="15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will become effective on the date immediately prior to the date our registration of which this prospectus forms a part becomes effective, as described in “Executive Compensation—Equity Compensation;”</w:t>
      </w:r>
    </w:p>
    <w:p>
      <w:pPr>
        <w:spacing w:after="0" w:line="108" w:lineRule="exact"/>
        <w:rPr>
          <w:sz w:val="20"/>
          <w:szCs w:val="20"/>
          <w:color w:val="auto"/>
        </w:rPr>
      </w:pPr>
    </w:p>
    <w:p>
      <w:pPr>
        <w:ind w:left="920" w:right="740" w:hanging="219"/>
        <w:spacing w:after="0" w:line="239" w:lineRule="auto"/>
        <w:tabs>
          <w:tab w:leader="none" w:pos="900" w:val="left"/>
        </w:tabs>
        <w:rPr>
          <w:sz w:val="20"/>
          <w:szCs w:val="20"/>
          <w:color w:val="auto"/>
        </w:rPr>
      </w:pPr>
      <w:r>
        <w:rPr>
          <w:rFonts w:ascii="Arial" w:cs="Arial" w:eastAsia="Arial" w:hAnsi="Arial"/>
          <w:sz w:val="18"/>
          <w:szCs w:val="18"/>
          <w:color w:val="auto"/>
        </w:rPr>
        <w:t>•</w:t>
        <w:tab/>
        <w:t>the exercise of warrants to purchase shares of Class A common stock, which will result in the net issuance of shares of Class A common stock in connection with this offering; and</w:t>
      </w:r>
    </w:p>
    <w:p>
      <w:pPr>
        <w:sectPr>
          <w:pgSz w:w="11900" w:h="16838" w:orient="portrait"/>
          <w:cols w:equalWidth="0" w:num="1">
            <w:col w:w="11040"/>
          </w:cols>
          <w:pgMar w:left="320" w:top="456" w:right="539" w:bottom="1440" w:gutter="0" w:footer="0" w:header="0"/>
          <w:type w:val="continuous"/>
        </w:sectPr>
      </w:pPr>
    </w:p>
    <w:p>
      <w:pPr>
        <w:spacing w:after="0" w:line="109" w:lineRule="exact"/>
        <w:rPr>
          <w:sz w:val="20"/>
          <w:szCs w:val="20"/>
          <w:color w:val="auto"/>
        </w:rPr>
      </w:pPr>
    </w:p>
    <w:p>
      <w:pPr>
        <w:ind w:left="920" w:right="120" w:hanging="213"/>
        <w:spacing w:after="0" w:line="239" w:lineRule="auto"/>
        <w:tabs>
          <w:tab w:leader="none" w:pos="900" w:val="left"/>
        </w:tabs>
        <w:rPr>
          <w:sz w:val="20"/>
          <w:szCs w:val="20"/>
          <w:color w:val="auto"/>
        </w:rPr>
      </w:pPr>
      <w:r>
        <w:rPr>
          <w:rFonts w:ascii="Arial" w:cs="Arial" w:eastAsia="Arial" w:hAnsi="Arial"/>
          <w:sz w:val="18"/>
          <w:szCs w:val="18"/>
          <w:color w:val="auto"/>
        </w:rPr>
        <w:t>•</w:t>
        <w:tab/>
        <w:t>shares of Class A common stock issuable upon the exercise of warrants outstanding as of exercise price of $ per share.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 2021 with an</w:t>
      </w:r>
    </w:p>
    <w:p>
      <w:pPr>
        <w:spacing w:after="0" w:line="351" w:lineRule="exact"/>
        <w:rPr>
          <w:sz w:val="20"/>
          <w:szCs w:val="20"/>
          <w:color w:val="auto"/>
        </w:rPr>
      </w:pPr>
    </w:p>
    <w:p>
      <w:pPr>
        <w:sectPr>
          <w:pgSz w:w="11900" w:h="16838" w:orient="portrait"/>
          <w:cols w:equalWidth="0" w:num="2">
            <w:col w:w="8720" w:space="720"/>
            <w:col w:w="1600"/>
          </w:cols>
          <w:pgMar w:left="320" w:top="456" w:right="5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040"/>
          </w:cols>
          <w:pgMar w:left="320" w:top="456" w:right="5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80" w:right="240" w:firstLine="545"/>
        <w:spacing w:after="0" w:line="237"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202" w:lineRule="exact"/>
        <w:rPr>
          <w:sz w:val="20"/>
          <w:szCs w:val="20"/>
          <w:color w:val="auto"/>
        </w:rPr>
      </w:pPr>
    </w:p>
    <w:p>
      <w:pPr>
        <w:ind w:left="180" w:right="40" w:firstLine="545"/>
        <w:spacing w:after="0" w:line="236" w:lineRule="auto"/>
        <w:rPr>
          <w:sz w:val="20"/>
          <w:szCs w:val="20"/>
          <w:color w:val="auto"/>
        </w:rPr>
      </w:pPr>
      <w:r>
        <w:rPr>
          <w:rFonts w:ascii="Arial" w:cs="Arial" w:eastAsia="Arial" w:hAnsi="Arial"/>
          <w:sz w:val="18"/>
          <w:szCs w:val="18"/>
          <w:color w:val="auto"/>
        </w:rPr>
        <w:t>Our pro forma net tangible book value as of , 2021 was $ million, or $ per share. Pro forma net tangible book value per share is determined by subtracting our total liabilities from the total book value of our tangible assets and dividing the difference by the number of shares of Class A common stock and Class B common stock deemed to be outstanding, after giving effect to the automatic conversion of all outstanding shares of our redeemable preferred stock, in each case upon closing of this offering.</w:t>
      </w:r>
    </w:p>
    <w:p>
      <w:pPr>
        <w:spacing w:after="0" w:line="201" w:lineRule="exact"/>
        <w:rPr>
          <w:sz w:val="20"/>
          <w:szCs w:val="20"/>
          <w:color w:val="auto"/>
        </w:rPr>
      </w:pPr>
    </w:p>
    <w:p>
      <w:pPr>
        <w:jc w:val="both"/>
        <w:ind w:left="180" w:right="60" w:firstLine="545"/>
        <w:spacing w:after="0" w:line="232" w:lineRule="auto"/>
        <w:rPr>
          <w:sz w:val="20"/>
          <w:szCs w:val="20"/>
          <w:color w:val="auto"/>
        </w:rPr>
      </w:pPr>
      <w:r>
        <w:rPr>
          <w:rFonts w:ascii="Arial" w:cs="Arial" w:eastAsia="Arial" w:hAnsi="Arial"/>
          <w:sz w:val="18"/>
          <w:szCs w:val="18"/>
          <w:color w:val="auto"/>
        </w:rPr>
        <w:t>Our pro forma as adjusted net tangible book value as of , 2021, after giving effect to this offering would have been approximately $ million, or $ per share of Class A common stock. This amount represents an immediate increase in pro forma as adjusted net tangible book value of $ per share to our existing stockholders and an immediate dilution in pro forma as adjusted net tangible book value of approximately $ per share to new investors purchasing shares of Class A common stock in</w:t>
      </w:r>
    </w:p>
    <w:p>
      <w:pPr>
        <w:spacing w:after="0" w:line="1" w:lineRule="exact"/>
        <w:rPr>
          <w:sz w:val="20"/>
          <w:szCs w:val="20"/>
          <w:color w:val="auto"/>
        </w:rPr>
      </w:pPr>
    </w:p>
    <w:p>
      <w:pPr>
        <w:ind w:left="180" w:right="180"/>
        <w:spacing w:after="0" w:line="239" w:lineRule="auto"/>
        <w:rPr>
          <w:sz w:val="20"/>
          <w:szCs w:val="20"/>
          <w:color w:val="auto"/>
        </w:rPr>
      </w:pPr>
      <w:r>
        <w:rPr>
          <w:rFonts w:ascii="Arial" w:cs="Arial" w:eastAsia="Arial" w:hAnsi="Arial"/>
          <w:sz w:val="18"/>
          <w:szCs w:val="18"/>
          <w:color w:val="auto"/>
        </w:rPr>
        <w:t>this offering. We determine dilution by subtracting the pro forma as adjusted net tangible book value per share after this offering from the amount of cash that a new investor paid for a share of Class A common stock. The following table illustrates this dilution:</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4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40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per share as of , 2021 before this offering</w:t>
            </w:r>
          </w:p>
        </w:tc>
        <w:tc>
          <w:tcPr>
            <w:tcW w:w="130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Increase in pro forma as adjusted net tangible book value per share attributable to investors in this offering</w:t>
            </w:r>
          </w:p>
        </w:tc>
        <w:tc>
          <w:tcPr>
            <w:tcW w:w="5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400" w:type="dxa"/>
            <w:vAlign w:val="bottom"/>
          </w:tcPr>
          <w:p>
            <w:pPr>
              <w:spacing w:after="0" w:line="201"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2420" w:type="dxa"/>
            <w:vAlign w:val="bottom"/>
            <w:gridSpan w:val="4"/>
          </w:tcPr>
          <w:p>
            <w:pPr>
              <w:jc w:val="right"/>
              <w:ind w:right="66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10060" w:type="dxa"/>
            <w:vAlign w:val="bottom"/>
            <w:gridSpan w:val="4"/>
            <w:shd w:val="clear" w:color="auto" w:fill="CCEEFF"/>
          </w:tcPr>
          <w:p>
            <w:pPr>
              <w:spacing w:after="0" w:line="200" w:lineRule="exact"/>
              <w:rPr>
                <w:sz w:val="20"/>
                <w:szCs w:val="20"/>
                <w:color w:val="auto"/>
              </w:rPr>
            </w:pPr>
            <w:r>
              <w:rPr>
                <w:rFonts w:ascii="Arial" w:cs="Arial" w:eastAsia="Arial" w:hAnsi="Arial"/>
                <w:sz w:val="18"/>
                <w:szCs w:val="18"/>
                <w:color w:val="auto"/>
              </w:rPr>
              <w:t>Dilution in pro forma as adjusted net tangible book value per share to new Class A common stock investors in</w:t>
            </w: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this offering</w:t>
            </w:r>
          </w:p>
        </w:tc>
        <w:tc>
          <w:tcPr>
            <w:tcW w:w="2420" w:type="dxa"/>
            <w:vAlign w:val="bottom"/>
            <w:gridSpan w:val="4"/>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8400" w:type="dxa"/>
            <w:vAlign w:val="bottom"/>
          </w:tcPr>
          <w:p>
            <w:pPr>
              <w:ind w:left="520"/>
              <w:spacing w:after="0"/>
              <w:rPr>
                <w:sz w:val="20"/>
                <w:szCs w:val="20"/>
                <w:color w:val="auto"/>
              </w:rPr>
            </w:pPr>
            <w:r>
              <w:rPr>
                <w:rFonts w:ascii="Arial" w:cs="Arial" w:eastAsia="Arial" w:hAnsi="Arial"/>
                <w:sz w:val="18"/>
                <w:szCs w:val="18"/>
                <w:color w:val="auto"/>
              </w:rPr>
              <w:t>A $1.00 increase or decrease, as applicable, in the assumed initial public offering price of $</w:t>
            </w:r>
          </w:p>
        </w:tc>
        <w:tc>
          <w:tcPr>
            <w:tcW w:w="2480" w:type="dxa"/>
            <w:vAlign w:val="bottom"/>
            <w:gridSpan w:val="5"/>
          </w:tcPr>
          <w:p>
            <w:pPr>
              <w:ind w:left="80"/>
              <w:spacing w:after="0"/>
              <w:rPr>
                <w:sz w:val="20"/>
                <w:szCs w:val="20"/>
                <w:color w:val="auto"/>
              </w:rPr>
            </w:pPr>
            <w:r>
              <w:rPr>
                <w:rFonts w:ascii="Arial" w:cs="Arial" w:eastAsia="Arial" w:hAnsi="Arial"/>
                <w:sz w:val="18"/>
                <w:szCs w:val="18"/>
                <w:color w:val="auto"/>
              </w:rPr>
              <w:t>per share, which is the</w:t>
            </w:r>
          </w:p>
        </w:tc>
      </w:tr>
    </w:tbl>
    <w:p>
      <w:pPr>
        <w:ind w:left="180"/>
        <w:spacing w:after="0" w:line="232" w:lineRule="auto"/>
        <w:rPr>
          <w:sz w:val="20"/>
          <w:szCs w:val="20"/>
          <w:color w:val="auto"/>
        </w:rPr>
      </w:pPr>
      <w:r>
        <w:rPr>
          <w:rFonts w:ascii="Arial" w:cs="Arial" w:eastAsia="Arial" w:hAnsi="Arial"/>
          <w:sz w:val="18"/>
          <w:szCs w:val="18"/>
          <w:color w:val="auto"/>
        </w:rPr>
        <w:t>midpoint of the price range listed on the cover page of this prospectus, would increase or decrease, as applicable, the pro forma as</w:t>
      </w:r>
    </w:p>
    <w:p>
      <w:pPr>
        <w:spacing w:after="0" w:line="400" w:lineRule="exact"/>
        <w:rPr>
          <w:sz w:val="20"/>
          <w:szCs w:val="20"/>
          <w:color w:val="auto"/>
        </w:rPr>
      </w:pPr>
    </w:p>
    <w:p>
      <w:pPr>
        <w:ind w:left="180" w:right="320"/>
        <w:spacing w:after="0" w:line="232" w:lineRule="auto"/>
        <w:rPr>
          <w:sz w:val="20"/>
          <w:szCs w:val="20"/>
          <w:color w:val="auto"/>
        </w:rPr>
      </w:pPr>
      <w:r>
        <w:rPr>
          <w:rFonts w:ascii="Arial" w:cs="Arial" w:eastAsia="Arial" w:hAnsi="Arial"/>
          <w:sz w:val="18"/>
          <w:szCs w:val="18"/>
          <w:color w:val="auto"/>
        </w:rPr>
        <w:t>adjusted net tangible book value per share after this offering by approximately $ , and dilution in pro forma as adjusted net tangible book value per share to new investors by approximately $ , assuming that the number of shares offered by us, as set</w:t>
      </w:r>
    </w:p>
    <w:p>
      <w:pPr>
        <w:spacing w:after="0" w:line="1" w:lineRule="exact"/>
        <w:rPr>
          <w:sz w:val="20"/>
          <w:szCs w:val="20"/>
          <w:color w:val="auto"/>
        </w:rPr>
      </w:pPr>
    </w:p>
    <w:p>
      <w:pPr>
        <w:ind w:left="180" w:right="120"/>
        <w:spacing w:after="0" w:line="492" w:lineRule="auto"/>
        <w:rPr>
          <w:sz w:val="20"/>
          <w:szCs w:val="20"/>
          <w:color w:val="auto"/>
        </w:rPr>
      </w:pPr>
      <w:r>
        <w:rPr>
          <w:rFonts w:ascii="Arial" w:cs="Arial" w:eastAsia="Arial" w:hAnsi="Arial"/>
          <w:sz w:val="17"/>
          <w:szCs w:val="17"/>
          <w:color w:val="auto"/>
        </w:rPr>
        <w:t>forth on the cover page of this prospectus, remains the same and after deducting estimated underwriting discounts and commissions and estimated offering expenses payable by us. Similarly, each increase or decrease, as applicable, of 1,000,000 shares in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right="140"/>
        <w:spacing w:after="0" w:line="236" w:lineRule="auto"/>
        <w:rPr>
          <w:sz w:val="20"/>
          <w:szCs w:val="20"/>
          <w:color w:val="auto"/>
        </w:rPr>
      </w:pPr>
      <w:r>
        <w:rPr>
          <w:rFonts w:ascii="Arial" w:cs="Arial" w:eastAsia="Arial" w:hAnsi="Arial"/>
          <w:sz w:val="18"/>
          <w:szCs w:val="18"/>
          <w:color w:val="auto"/>
        </w:rPr>
        <w:t>shares of Class A common stock offered by us would increase our pro forma as adjusted net tangible book value by $ per share and decrease the immediate dilution to new investors by $ per share, in each case assuming the assumed initial public offering price of $ per share of Class A common stock remains the same, and after deducting estimated underwriting discounts and commissions and estimated offering expenses payable by us.</w:t>
      </w:r>
    </w:p>
    <w:p>
      <w:pPr>
        <w:spacing w:after="0" w:line="201"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from us , the pro forma as adjusted net tangible book value after the offering would be $ per share, the increase in pro forma as adjusted net tangible book value per share to existing stockholders would be $ per share and the dilution in pro forma as adjusted net tangible book value to new investors would be $ per share, in each case assuming an initial public offering price of $ per share, which is the midpoint of the price range listed on the cover page of this prospectus.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720"/>
        <w:spacing w:after="0"/>
        <w:tabs>
          <w:tab w:leader="none" w:pos="4460" w:val="left"/>
        </w:tabs>
        <w:rPr>
          <w:sz w:val="20"/>
          <w:szCs w:val="20"/>
          <w:color w:val="auto"/>
        </w:rPr>
      </w:pPr>
      <w:r>
        <w:rPr>
          <w:rFonts w:ascii="Arial" w:cs="Arial" w:eastAsia="Arial" w:hAnsi="Arial"/>
          <w:sz w:val="18"/>
          <w:szCs w:val="18"/>
          <w:color w:val="auto"/>
        </w:rPr>
        <w:t>The following table summarizes, as of</w:t>
      </w:r>
      <w:r>
        <w:rPr>
          <w:sz w:val="20"/>
          <w:szCs w:val="20"/>
          <w:color w:val="auto"/>
        </w:rPr>
        <w:tab/>
      </w:r>
      <w:r>
        <w:rPr>
          <w:rFonts w:ascii="Arial" w:cs="Arial" w:eastAsia="Arial" w:hAnsi="Arial"/>
          <w:sz w:val="17"/>
          <w:szCs w:val="17"/>
          <w:color w:val="auto"/>
        </w:rPr>
        <w:t>, 2021, after giving effect to this offering, the number of shares of Class A common</w:t>
      </w:r>
    </w:p>
    <w:p>
      <w:pPr>
        <w:ind w:left="180"/>
        <w:spacing w:after="0" w:line="232" w:lineRule="auto"/>
        <w:rPr>
          <w:sz w:val="20"/>
          <w:szCs w:val="20"/>
          <w:color w:val="auto"/>
        </w:rPr>
      </w:pPr>
      <w:r>
        <w:rPr>
          <w:rFonts w:ascii="Arial" w:cs="Arial" w:eastAsia="Arial" w:hAnsi="Arial"/>
          <w:sz w:val="18"/>
          <w:szCs w:val="18"/>
          <w:color w:val="auto"/>
        </w:rPr>
        <w:t>stock purchased from us, the total consideration paid, or to be paid, to us and the average price per share paid, or to be paid, by existing</w:t>
      </w:r>
    </w:p>
    <w:p>
      <w:pPr>
        <w:jc w:val="both"/>
        <w:ind w:left="180" w:right="60"/>
        <w:spacing w:after="0" w:line="237" w:lineRule="auto"/>
        <w:rPr>
          <w:sz w:val="20"/>
          <w:szCs w:val="20"/>
          <w:color w:val="auto"/>
        </w:rPr>
      </w:pPr>
      <w:r>
        <w:rPr>
          <w:rFonts w:ascii="Arial" w:cs="Arial" w:eastAsia="Arial" w:hAnsi="Arial"/>
          <w:sz w:val="18"/>
          <w:szCs w:val="18"/>
          <w:color w:val="auto"/>
        </w:rPr>
        <w:t>stockholders and by the new investors. The calculation below is based on an assumed initial public offering price of $ per share, which is the midpoint of the price range listed on the cover page of this prospectus, before deducting the estimated underwriting discounts and commissions and estimated offering expenses payable by us.</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0" w:type="dxa"/>
            <w:vAlign w:val="bottom"/>
            <w:gridSpan w:val="2"/>
          </w:tcPr>
          <w:p>
            <w:pPr>
              <w:ind w:left="52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940" w:type="dxa"/>
            <w:vAlign w:val="bottom"/>
            <w:gridSpan w:val="5"/>
          </w:tcPr>
          <w:p>
            <w:pPr>
              <w:jc w:val="right"/>
              <w:ind w:right="731"/>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5"/>
                <w:szCs w:val="15"/>
                <w:color w:val="auto"/>
              </w:rPr>
            </w:pPr>
          </w:p>
        </w:tc>
        <w:tc>
          <w:tcPr>
            <w:tcW w:w="2020" w:type="dxa"/>
            <w:vAlign w:val="bottom"/>
            <w:gridSpan w:val="5"/>
          </w:tcPr>
          <w:p>
            <w:pPr>
              <w:jc w:val="right"/>
              <w:ind w:right="571"/>
              <w:spacing w:after="0"/>
              <w:rPr>
                <w:sz w:val="20"/>
                <w:szCs w:val="20"/>
                <w:color w:val="auto"/>
              </w:rPr>
            </w:pPr>
            <w:r>
              <w:rPr>
                <w:rFonts w:ascii="Arial" w:cs="Arial" w:eastAsia="Arial" w:hAnsi="Arial"/>
                <w:sz w:val="14"/>
                <w:szCs w:val="14"/>
                <w:b w:val="1"/>
                <w:bCs w:val="1"/>
                <w:color w:val="auto"/>
              </w:rPr>
              <w:t>Consideration</w:t>
            </w:r>
          </w:p>
        </w:tc>
        <w:tc>
          <w:tcPr>
            <w:tcW w:w="138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rPr>
              <w:t>Average price</w:t>
            </w:r>
          </w:p>
        </w:tc>
      </w:tr>
      <w:tr>
        <w:trPr>
          <w:trHeight w:val="154"/>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auto"/>
              </w:rPr>
              <w:t>per Share</w:t>
            </w:r>
          </w:p>
        </w:tc>
      </w:tr>
      <w:tr>
        <w:trPr>
          <w:trHeight w:val="194"/>
        </w:trPr>
        <w:tc>
          <w:tcPr>
            <w:tcW w:w="20" w:type="dxa"/>
            <w:vAlign w:val="bottom"/>
          </w:tcPr>
          <w:p>
            <w:pPr>
              <w:spacing w:after="0"/>
              <w:rPr>
                <w:sz w:val="16"/>
                <w:szCs w:val="16"/>
                <w:color w:val="auto"/>
              </w:rPr>
            </w:pPr>
          </w:p>
        </w:tc>
        <w:tc>
          <w:tcPr>
            <w:tcW w:w="53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Existing stockholders</w:t>
            </w:r>
          </w:p>
        </w:tc>
        <w:tc>
          <w:tcPr>
            <w:tcW w:w="5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jc w:val="right"/>
              <w:ind w:right="151"/>
              <w:spacing w:after="0" w:line="194" w:lineRule="exact"/>
              <w:rPr>
                <w:sz w:val="20"/>
                <w:szCs w:val="20"/>
                <w:color w:val="auto"/>
              </w:rPr>
            </w:pPr>
            <w:r>
              <w:rPr>
                <w:rFonts w:ascii="Arial" w:cs="Arial" w:eastAsia="Arial" w:hAnsi="Arial"/>
                <w:sz w:val="18"/>
                <w:szCs w:val="18"/>
                <w:color w:val="auto"/>
                <w:w w:val="87"/>
              </w:rPr>
              <w:t>%</w:t>
            </w: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w w:val="74"/>
              </w:rPr>
              <w:t>%</w:t>
            </w:r>
          </w:p>
        </w:tc>
        <w:tc>
          <w:tcPr>
            <w:tcW w:w="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760"/>
              <w:spacing w:after="0" w:line="194"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rPr>
              <w:t>New investors</w:t>
            </w:r>
          </w:p>
        </w:tc>
        <w:tc>
          <w:tcPr>
            <w:tcW w:w="5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51"/>
              <w:spacing w:after="0" w:line="201" w:lineRule="exact"/>
              <w:rPr>
                <w:sz w:val="20"/>
                <w:szCs w:val="20"/>
                <w:color w:val="auto"/>
              </w:rPr>
            </w:pPr>
            <w:r>
              <w:rPr>
                <w:rFonts w:ascii="Arial" w:cs="Arial" w:eastAsia="Arial" w:hAnsi="Arial"/>
                <w:sz w:val="18"/>
                <w:szCs w:val="18"/>
                <w:b w:val="1"/>
                <w:bCs w:val="1"/>
                <w:color w:val="auto"/>
              </w:rPr>
              <w:t>100%</w:t>
            </w:r>
          </w:p>
        </w:tc>
        <w:tc>
          <w:tcPr>
            <w:tcW w:w="920" w:type="dxa"/>
            <w:vAlign w:val="bottom"/>
            <w:gridSpan w:val="2"/>
            <w:shd w:val="clear" w:color="auto" w:fill="CCEEFF"/>
          </w:tcPr>
          <w:p>
            <w:pPr>
              <w:jc w:val="right"/>
              <w:ind w:right="528"/>
              <w:spacing w:after="0" w:line="201" w:lineRule="exact"/>
              <w:rPr>
                <w:sz w:val="20"/>
                <w:szCs w:val="20"/>
                <w:color w:val="auto"/>
              </w:rPr>
            </w:pPr>
            <w:r>
              <w:rPr>
                <w:rFonts w:ascii="Arial" w:cs="Arial" w:eastAsia="Arial" w:hAnsi="Arial"/>
                <w:sz w:val="18"/>
                <w:szCs w:val="18"/>
                <w:b w:val="1"/>
                <w:bCs w:val="1"/>
                <w:color w:val="auto"/>
              </w:rPr>
              <w:t>$</w:t>
            </w:r>
          </w:p>
        </w:tc>
        <w:tc>
          <w:tcPr>
            <w:tcW w:w="1340" w:type="dxa"/>
            <w:vAlign w:val="bottom"/>
            <w:gridSpan w:val="4"/>
            <w:shd w:val="clear" w:color="auto" w:fill="CCEEFF"/>
          </w:tcPr>
          <w:p>
            <w:pPr>
              <w:jc w:val="right"/>
              <w:ind w:right="11"/>
              <w:spacing w:after="0" w:line="201" w:lineRule="exact"/>
              <w:rPr>
                <w:sz w:val="20"/>
                <w:szCs w:val="20"/>
                <w:color w:val="auto"/>
              </w:rPr>
            </w:pPr>
            <w:r>
              <w:rPr>
                <w:rFonts w:ascii="Arial" w:cs="Arial" w:eastAsia="Arial" w:hAnsi="Arial"/>
                <w:sz w:val="18"/>
                <w:szCs w:val="18"/>
                <w:b w:val="1"/>
                <w:bCs w:val="1"/>
                <w:color w:val="auto"/>
              </w:rPr>
              <w:t>100%</w:t>
            </w:r>
          </w:p>
        </w:tc>
        <w:tc>
          <w:tcPr>
            <w:tcW w:w="132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8160" w:type="dxa"/>
            <w:vAlign w:val="bottom"/>
            <w:gridSpan w:val="8"/>
          </w:tcPr>
          <w:p>
            <w:pPr>
              <w:jc w:val="right"/>
              <w:ind w:right="128"/>
              <w:spacing w:after="0"/>
              <w:rPr>
                <w:sz w:val="20"/>
                <w:szCs w:val="20"/>
                <w:color w:val="auto"/>
              </w:rPr>
            </w:pPr>
            <w:r>
              <w:rPr>
                <w:rFonts w:ascii="Arial" w:cs="Arial" w:eastAsia="Arial" w:hAnsi="Arial"/>
                <w:sz w:val="18"/>
                <w:szCs w:val="18"/>
                <w:color w:val="auto"/>
              </w:rPr>
              <w:t>Each $1.00 increase or decrease, as applicable, in the assumed initial public offering price of $</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gridSpan w:val="5"/>
          </w:tcPr>
          <w:p>
            <w:pPr>
              <w:ind w:left="40"/>
              <w:spacing w:after="0"/>
              <w:rPr>
                <w:sz w:val="20"/>
                <w:szCs w:val="20"/>
                <w:color w:val="auto"/>
              </w:rPr>
            </w:pPr>
            <w:r>
              <w:rPr>
                <w:rFonts w:ascii="Arial" w:cs="Arial" w:eastAsia="Arial" w:hAnsi="Arial"/>
                <w:sz w:val="18"/>
                <w:szCs w:val="18"/>
                <w:color w:val="auto"/>
              </w:rPr>
              <w:t>per share would increase</w:t>
            </w:r>
          </w:p>
        </w:tc>
      </w:tr>
      <w:tr>
        <w:trPr>
          <w:trHeight w:val="200"/>
        </w:trPr>
        <w:tc>
          <w:tcPr>
            <w:tcW w:w="9520" w:type="dxa"/>
            <w:vAlign w:val="bottom"/>
            <w:gridSpan w:val="13"/>
          </w:tcPr>
          <w:p>
            <w:pPr>
              <w:spacing w:after="0" w:line="201" w:lineRule="exact"/>
              <w:rPr>
                <w:sz w:val="20"/>
                <w:szCs w:val="20"/>
                <w:color w:val="auto"/>
              </w:rPr>
            </w:pPr>
            <w:r>
              <w:rPr>
                <w:rFonts w:ascii="Arial" w:cs="Arial" w:eastAsia="Arial" w:hAnsi="Arial"/>
                <w:sz w:val="18"/>
                <w:szCs w:val="18"/>
                <w:color w:val="auto"/>
              </w:rPr>
              <w:t>(decrease) the total consideration paid by new investors and the total consideration paid by all stockholders by $</w:t>
            </w:r>
          </w:p>
        </w:tc>
        <w:tc>
          <w:tcPr>
            <w:tcW w:w="13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million,</w:t>
            </w:r>
          </w:p>
        </w:tc>
      </w:tr>
    </w:tbl>
    <w:p>
      <w:pPr>
        <w:ind w:left="180" w:right="140"/>
        <w:spacing w:after="0" w:line="199" w:lineRule="auto"/>
        <w:rPr>
          <w:sz w:val="20"/>
          <w:szCs w:val="20"/>
          <w:color w:val="auto"/>
        </w:rPr>
      </w:pPr>
      <w:r>
        <w:rPr>
          <w:rFonts w:ascii="Arial" w:cs="Arial" w:eastAsia="Arial" w:hAnsi="Arial"/>
          <w:sz w:val="14"/>
          <w:szCs w:val="14"/>
          <w:color w:val="auto"/>
        </w:rPr>
        <w:t>assuming the number of shares offered by us remains the same and after deducting estimated underwriting discounts and commissions but before estimated offering expenses. Similarly, each increase or decrease, as applicable, of 1,000,000 shares in the number of shares of Class A common stock offered by us would increase or decrease, as applicable, the total consideration paid by new investors and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right="340"/>
        <w:spacing w:after="0" w:line="239" w:lineRule="auto"/>
        <w:rPr>
          <w:sz w:val="20"/>
          <w:szCs w:val="20"/>
          <w:color w:val="auto"/>
        </w:rPr>
      </w:pPr>
      <w:r>
        <w:rPr>
          <w:rFonts w:ascii="Arial" w:cs="Arial" w:eastAsia="Arial" w:hAnsi="Arial"/>
          <w:sz w:val="18"/>
          <w:szCs w:val="18"/>
          <w:color w:val="auto"/>
        </w:rPr>
        <w:t>consideration paid by all stockholders by $ million, assuming the assumed initial public offering price of $ per share of Class A common stock remains the same, and after deducting estimated underwriting discounts and commissions.</w:t>
      </w:r>
    </w:p>
    <w:p>
      <w:pPr>
        <w:spacing w:after="0" w:line="202" w:lineRule="exact"/>
        <w:rPr>
          <w:sz w:val="20"/>
          <w:szCs w:val="20"/>
          <w:color w:val="auto"/>
        </w:rPr>
      </w:pPr>
    </w:p>
    <w:p>
      <w:pPr>
        <w:ind w:left="180" w:right="180" w:firstLine="545"/>
        <w:spacing w:after="0" w:line="246" w:lineRule="auto"/>
        <w:rPr>
          <w:sz w:val="20"/>
          <w:szCs w:val="20"/>
          <w:color w:val="auto"/>
        </w:rPr>
      </w:pPr>
      <w:r>
        <w:rPr>
          <w:rFonts w:ascii="Arial" w:cs="Arial" w:eastAsia="Arial" w:hAnsi="Arial"/>
          <w:sz w:val="17"/>
          <w:szCs w:val="17"/>
          <w:color w:val="auto"/>
        </w:rPr>
        <w:t>Except as otherwise indicated, the discussion and the tables above assume no exercise by the underwriters’ of their option to purchase additional shares of Class A common stock from us. The number of shares of our Class A common stock outstanding after this</w:t>
      </w:r>
    </w:p>
    <w:p>
      <w:pPr>
        <w:ind w:left="180" w:right="440"/>
        <w:spacing w:after="0" w:line="237" w:lineRule="auto"/>
        <w:rPr>
          <w:sz w:val="20"/>
          <w:szCs w:val="20"/>
          <w:color w:val="auto"/>
        </w:rPr>
      </w:pPr>
      <w:r>
        <w:rPr>
          <w:rFonts w:ascii="Arial" w:cs="Arial" w:eastAsia="Arial" w:hAnsi="Arial"/>
          <w:sz w:val="18"/>
          <w:szCs w:val="18"/>
          <w:color w:val="auto"/>
        </w:rPr>
        <w:t>offering as shown in the tables above is based on the number of shares outstanding as of , 2021, after giving effect to the automatic conversion of all outstanding shares of our redeemable preferred stock, in each case upon closing of this offering, and excludes:</w:t>
      </w:r>
    </w:p>
    <w:p>
      <w:pPr>
        <w:sectPr>
          <w:pgSz w:w="11900" w:h="16838" w:orient="portrait"/>
          <w:cols w:equalWidth="0" w:num="1">
            <w:col w:w="11080"/>
          </w:cols>
          <w:pgMar w:left="320" w:top="456" w:right="499" w:bottom="1440" w:gutter="0" w:footer="0" w:header="0"/>
        </w:sectPr>
      </w:pPr>
    </w:p>
    <w:p>
      <w:pPr>
        <w:spacing w:after="0" w:line="108" w:lineRule="exact"/>
        <w:rPr>
          <w:sz w:val="20"/>
          <w:szCs w:val="20"/>
          <w:color w:val="auto"/>
        </w:rPr>
      </w:pPr>
    </w:p>
    <w:p>
      <w:pPr>
        <w:ind w:left="700"/>
        <w:spacing w:after="0"/>
        <w:tabs>
          <w:tab w:leader="none" w:pos="15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5" w:lineRule="exact"/>
        <w:rPr>
          <w:sz w:val="20"/>
          <w:szCs w:val="20"/>
          <w:color w:val="auto"/>
        </w:rPr>
      </w:pPr>
    </w:p>
    <w:p>
      <w:pPr>
        <w:ind w:left="920"/>
        <w:spacing w:after="0"/>
        <w:tabs>
          <w:tab w:leader="none" w:pos="5840" w:val="left"/>
        </w:tabs>
        <w:rPr>
          <w:sz w:val="20"/>
          <w:szCs w:val="20"/>
          <w:color w:val="auto"/>
        </w:rPr>
      </w:pPr>
      <w:r>
        <w:rPr>
          <w:rFonts w:ascii="Arial" w:cs="Arial" w:eastAsia="Arial" w:hAnsi="Arial"/>
          <w:sz w:val="18"/>
          <w:szCs w:val="18"/>
          <w:color w:val="auto"/>
        </w:rPr>
        <w:t>2009 Plan, at a weighted 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 2021 under our</w:t>
      </w:r>
    </w:p>
    <w:p>
      <w:pPr>
        <w:spacing w:after="0" w:line="325" w:lineRule="exact"/>
        <w:rPr>
          <w:sz w:val="20"/>
          <w:szCs w:val="20"/>
          <w:color w:val="auto"/>
        </w:rPr>
      </w:pPr>
    </w:p>
    <w:p>
      <w:pPr>
        <w:sectPr>
          <w:pgSz w:w="11900" w:h="16838" w:orient="portrait"/>
          <w:cols w:equalWidth="0" w:num="2">
            <w:col w:w="8960" w:space="720"/>
            <w:col w:w="1400"/>
          </w:cols>
          <w:pgMar w:left="320" w:top="456" w:right="499" w:bottom="1440" w:gutter="0" w:footer="0" w:header="0"/>
          <w:type w:val="continuous"/>
        </w:sectPr>
      </w:pPr>
    </w:p>
    <w:p>
      <w:pPr>
        <w:ind w:left="700"/>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5" w:lineRule="exact"/>
        <w:rPr>
          <w:sz w:val="20"/>
          <w:szCs w:val="20"/>
          <w:color w:val="auto"/>
        </w:rPr>
      </w:pPr>
    </w:p>
    <w:p>
      <w:pPr>
        <w:ind w:left="920"/>
        <w:spacing w:after="0"/>
        <w:tabs>
          <w:tab w:leader="none" w:pos="5840" w:val="left"/>
        </w:tabs>
        <w:rPr>
          <w:sz w:val="20"/>
          <w:szCs w:val="20"/>
          <w:color w:val="auto"/>
        </w:rPr>
      </w:pPr>
      <w:r>
        <w:rPr>
          <w:rFonts w:ascii="Arial" w:cs="Arial" w:eastAsia="Arial" w:hAnsi="Arial"/>
          <w:sz w:val="18"/>
          <w:szCs w:val="18"/>
          <w:color w:val="auto"/>
        </w:rPr>
        <w:t>2019 Plan, at a weighted 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under our</w:t>
      </w:r>
    </w:p>
    <w:p>
      <w:pPr>
        <w:spacing w:after="0" w:line="325" w:lineRule="exact"/>
        <w:rPr>
          <w:sz w:val="20"/>
          <w:szCs w:val="20"/>
          <w:color w:val="auto"/>
        </w:rPr>
      </w:pPr>
    </w:p>
    <w:p>
      <w:pPr>
        <w:sectPr>
          <w:pgSz w:w="11900" w:h="16838" w:orient="portrait"/>
          <w:cols w:equalWidth="0" w:num="2">
            <w:col w:w="8920" w:space="720"/>
            <w:col w:w="1440"/>
          </w:cols>
          <w:pgMar w:left="320" w:top="456" w:right="499" w:bottom="1440" w:gutter="0" w:footer="0" w:header="0"/>
          <w:type w:val="continuous"/>
        </w:sectPr>
      </w:pPr>
    </w:p>
    <w:p>
      <w:pPr>
        <w:ind w:left="920" w:right="120" w:hanging="213"/>
        <w:spacing w:after="0" w:line="239" w:lineRule="auto"/>
        <w:tabs>
          <w:tab w:leader="none" w:pos="900" w:val="left"/>
        </w:tabs>
        <w:rPr>
          <w:sz w:val="20"/>
          <w:szCs w:val="20"/>
          <w:color w:val="auto"/>
        </w:rPr>
      </w:pPr>
      <w:r>
        <w:rPr>
          <w:rFonts w:ascii="Arial" w:cs="Arial" w:eastAsia="Arial" w:hAnsi="Arial"/>
          <w:sz w:val="18"/>
          <w:szCs w:val="18"/>
          <w:color w:val="auto"/>
        </w:rPr>
        <w:t>•</w:t>
        <w:tab/>
        <w:t>RSUs, covering shares of Class A common stock as of service-based and liquidity-based vesting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which are issuable upon satisfaction of</w:t>
      </w:r>
    </w:p>
    <w:p>
      <w:pPr>
        <w:spacing w:after="0" w:line="325" w:lineRule="exact"/>
        <w:rPr>
          <w:sz w:val="20"/>
          <w:szCs w:val="20"/>
          <w:color w:val="auto"/>
        </w:rPr>
      </w:pPr>
    </w:p>
    <w:p>
      <w:pPr>
        <w:sectPr>
          <w:pgSz w:w="11900" w:h="16838" w:orient="portrait"/>
          <w:cols w:equalWidth="0" w:num="2">
            <w:col w:w="6680" w:space="720"/>
            <w:col w:w="3680"/>
          </w:cols>
          <w:pgMar w:left="320" w:top="456" w:right="499" w:bottom="1440" w:gutter="0" w:footer="0" w:header="0"/>
          <w:type w:val="continuous"/>
        </w:sectPr>
      </w:pPr>
    </w:p>
    <w:p>
      <w:pPr>
        <w:ind w:left="920" w:right="260" w:hanging="213"/>
        <w:spacing w:after="0" w:line="239" w:lineRule="auto"/>
        <w:tabs>
          <w:tab w:leader="none" w:pos="900" w:val="left"/>
        </w:tabs>
        <w:rPr>
          <w:sz w:val="20"/>
          <w:szCs w:val="20"/>
          <w:color w:val="auto"/>
        </w:rPr>
      </w:pPr>
      <w:r>
        <w:rPr>
          <w:rFonts w:ascii="Arial" w:cs="Arial" w:eastAsia="Arial" w:hAnsi="Arial"/>
          <w:sz w:val="18"/>
          <w:szCs w:val="18"/>
          <w:color w:val="auto"/>
        </w:rPr>
        <w:t>•</w:t>
        <w:tab/>
        <w:t>shares of Class A common stock issuable upon exercise of stock options outstanding as of as Designer Collective Grants, at a weighted average exercise price of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granted</w:t>
      </w:r>
    </w:p>
    <w:p>
      <w:pPr>
        <w:spacing w:after="0" w:line="325" w:lineRule="exact"/>
        <w:rPr>
          <w:sz w:val="20"/>
          <w:szCs w:val="20"/>
          <w:color w:val="auto"/>
        </w:rPr>
      </w:pPr>
    </w:p>
    <w:p>
      <w:pPr>
        <w:sectPr>
          <w:pgSz w:w="11900" w:h="16838" w:orient="portrait"/>
          <w:cols w:equalWidth="0" w:num="2">
            <w:col w:w="8920" w:space="720"/>
            <w:col w:w="1440"/>
          </w:cols>
          <w:pgMar w:left="320" w:top="456" w:right="499" w:bottom="1440" w:gutter="0" w:footer="0" w:header="0"/>
          <w:type w:val="continuous"/>
        </w:sectPr>
      </w:pPr>
    </w:p>
    <w:p>
      <w:pPr>
        <w:ind w:left="920" w:right="280" w:hanging="212"/>
        <w:spacing w:after="0" w:line="237" w:lineRule="auto"/>
        <w:tabs>
          <w:tab w:leader="none" w:pos="15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will become effective on the date immediately prior to the date our registration of which this prospectus forms a part becomes effective, as described in “Executive Compensation—Equity Compensation;”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6" w:right="49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
              <w:r>
                <w:rPr>
                  <w:rFonts w:ascii="Arial" w:cs="Arial" w:eastAsia="Arial" w:hAnsi="Arial"/>
                  <w:sz w:val="18"/>
                  <w:szCs w:val="18"/>
                  <w:b w:val="1"/>
                  <w:bCs w:val="1"/>
                  <w:color w:val="0000EE"/>
                  <w:w w:val="86"/>
                </w:rPr>
                <w:t>Table of Contents</w:t>
              </w:r>
            </w:hyperlink>
          </w:p>
        </w:tc>
        <w:tc>
          <w:tcPr>
            <w:tcW w:w="1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513"/>
        </w:trPr>
        <w:tc>
          <w:tcPr>
            <w:tcW w:w="4240" w:type="dxa"/>
            <w:vAlign w:val="bottom"/>
            <w:gridSpan w:val="4"/>
          </w:tcPr>
          <w:p>
            <w:pPr>
              <w:ind w:left="700"/>
              <w:spacing w:after="0"/>
              <w:rPr>
                <w:sz w:val="20"/>
                <w:szCs w:val="20"/>
                <w:color w:val="auto"/>
              </w:rPr>
            </w:pPr>
            <w:r>
              <w:rPr>
                <w:rFonts w:ascii="Arial" w:cs="Arial" w:eastAsia="Arial" w:hAnsi="Arial"/>
                <w:sz w:val="18"/>
                <w:szCs w:val="18"/>
                <w:color w:val="auto"/>
              </w:rPr>
              <w:t>•  the exercise of warrants to purchase</w:t>
            </w:r>
          </w:p>
        </w:tc>
        <w:tc>
          <w:tcPr>
            <w:tcW w:w="6760" w:type="dxa"/>
            <w:vAlign w:val="bottom"/>
            <w:gridSpan w:val="3"/>
          </w:tcPr>
          <w:p>
            <w:pPr>
              <w:ind w:left="240"/>
              <w:spacing w:after="0"/>
              <w:rPr>
                <w:sz w:val="20"/>
                <w:szCs w:val="20"/>
                <w:color w:val="auto"/>
              </w:rPr>
            </w:pPr>
            <w:r>
              <w:rPr>
                <w:rFonts w:ascii="Arial" w:cs="Arial" w:eastAsia="Arial" w:hAnsi="Arial"/>
                <w:sz w:val="18"/>
                <w:szCs w:val="18"/>
                <w:color w:val="auto"/>
              </w:rPr>
              <w:t>shares of Class A common stock, which will result in the net issuance of</w:t>
            </w:r>
          </w:p>
        </w:tc>
      </w:tr>
      <w:tr>
        <w:trPr>
          <w:trHeight w:val="213"/>
        </w:trPr>
        <w:tc>
          <w:tcPr>
            <w:tcW w:w="840" w:type="dxa"/>
            <w:vAlign w:val="bottom"/>
          </w:tcPr>
          <w:p>
            <w:pPr>
              <w:spacing w:after="0"/>
              <w:rPr>
                <w:sz w:val="18"/>
                <w:szCs w:val="18"/>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color w:val="auto"/>
              </w:rPr>
              <w:t>shares of Class A common stock in connection with this offering; and</w:t>
            </w:r>
          </w:p>
        </w:tc>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08"/>
        </w:trPr>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680" w:type="dxa"/>
            <w:vAlign w:val="bottom"/>
            <w:gridSpan w:val="4"/>
          </w:tcPr>
          <w:p>
            <w:pPr>
              <w:jc w:val="right"/>
              <w:ind w:right="331"/>
              <w:spacing w:after="0"/>
              <w:rPr>
                <w:sz w:val="20"/>
                <w:szCs w:val="20"/>
                <w:color w:val="auto"/>
              </w:rPr>
            </w:pPr>
            <w:r>
              <w:rPr>
                <w:rFonts w:ascii="Arial" w:cs="Arial" w:eastAsia="Arial" w:hAnsi="Arial"/>
                <w:sz w:val="18"/>
                <w:szCs w:val="18"/>
                <w:color w:val="auto"/>
              </w:rPr>
              <w:t>shares of Class A common stock issuable upon the exercise of warrants outstanding as of</w:t>
            </w:r>
          </w:p>
        </w:tc>
        <w:tc>
          <w:tcPr>
            <w:tcW w:w="1980" w:type="dxa"/>
            <w:vAlign w:val="bottom"/>
          </w:tcPr>
          <w:p>
            <w:pPr>
              <w:ind w:left="420"/>
              <w:spacing w:after="0"/>
              <w:rPr>
                <w:sz w:val="20"/>
                <w:szCs w:val="20"/>
                <w:color w:val="auto"/>
              </w:rPr>
            </w:pPr>
            <w:r>
              <w:rPr>
                <w:rFonts w:ascii="Arial" w:cs="Arial" w:eastAsia="Arial" w:hAnsi="Arial"/>
                <w:sz w:val="18"/>
                <w:szCs w:val="18"/>
                <w:color w:val="auto"/>
              </w:rPr>
              <w:t>, 2021 with an</w:t>
            </w:r>
          </w:p>
        </w:tc>
      </w:tr>
      <w:tr>
        <w:trPr>
          <w:trHeight w:val="213"/>
        </w:trPr>
        <w:tc>
          <w:tcPr>
            <w:tcW w:w="84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exercise price of $</w:t>
            </w:r>
          </w:p>
        </w:tc>
        <w:tc>
          <w:tcPr>
            <w:tcW w:w="1820" w:type="dxa"/>
            <w:vAlign w:val="bottom"/>
          </w:tcPr>
          <w:p>
            <w:pPr>
              <w:ind w:left="780"/>
              <w:spacing w:after="0"/>
              <w:rPr>
                <w:sz w:val="20"/>
                <w:szCs w:val="20"/>
                <w:color w:val="auto"/>
              </w:rPr>
            </w:pPr>
            <w:r>
              <w:rPr>
                <w:rFonts w:ascii="Arial" w:cs="Arial" w:eastAsia="Arial" w:hAnsi="Arial"/>
                <w:sz w:val="18"/>
                <w:szCs w:val="18"/>
                <w:color w:val="auto"/>
              </w:rPr>
              <w:t>per share.</w:t>
            </w:r>
          </w:p>
        </w:tc>
        <w:tc>
          <w:tcPr>
            <w:tcW w:w="3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01"/>
        </w:trPr>
        <w:tc>
          <w:tcPr>
            <w:tcW w:w="11000" w:type="dxa"/>
            <w:vAlign w:val="bottom"/>
            <w:gridSpan w:val="7"/>
          </w:tcPr>
          <w:p>
            <w:pPr>
              <w:ind w:left="720"/>
              <w:spacing w:after="0"/>
              <w:rPr>
                <w:sz w:val="20"/>
                <w:szCs w:val="20"/>
                <w:color w:val="auto"/>
              </w:rPr>
            </w:pPr>
            <w:r>
              <w:rPr>
                <w:rFonts w:ascii="Arial" w:cs="Arial" w:eastAsia="Arial" w:hAnsi="Arial"/>
                <w:sz w:val="18"/>
                <w:szCs w:val="18"/>
                <w:color w:val="auto"/>
                <w:w w:val="98"/>
              </w:rPr>
              <w:t>To the extent any of these outstanding options are exercised, there will be further dilution to new investors. To the extent all of such</w:t>
            </w:r>
          </w:p>
        </w:tc>
      </w:tr>
      <w:tr>
        <w:trPr>
          <w:trHeight w:val="200"/>
        </w:trPr>
        <w:tc>
          <w:tcPr>
            <w:tcW w:w="424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outstanding options had been exercised as of</w:t>
            </w:r>
          </w:p>
        </w:tc>
        <w:tc>
          <w:tcPr>
            <w:tcW w:w="6760" w:type="dxa"/>
            <w:vAlign w:val="bottom"/>
            <w:gridSpan w:val="3"/>
          </w:tcPr>
          <w:p>
            <w:pPr>
              <w:ind w:left="500"/>
              <w:spacing w:after="0" w:line="201" w:lineRule="exact"/>
              <w:rPr>
                <w:sz w:val="20"/>
                <w:szCs w:val="20"/>
                <w:color w:val="auto"/>
              </w:rPr>
            </w:pPr>
            <w:r>
              <w:rPr>
                <w:rFonts w:ascii="Arial" w:cs="Arial" w:eastAsia="Arial" w:hAnsi="Arial"/>
                <w:sz w:val="18"/>
                <w:szCs w:val="18"/>
                <w:color w:val="auto"/>
              </w:rPr>
              <w:t>, 2021, the pro forma as adjusted net tangible book value per share after this</w:t>
            </w:r>
          </w:p>
        </w:tc>
      </w:tr>
      <w:tr>
        <w:trPr>
          <w:trHeight w:val="213"/>
        </w:trPr>
        <w:tc>
          <w:tcPr>
            <w:tcW w:w="2420" w:type="dxa"/>
            <w:vAlign w:val="bottom"/>
            <w:gridSpan w:val="3"/>
          </w:tcPr>
          <w:p>
            <w:pPr>
              <w:ind w:left="180"/>
              <w:spacing w:after="0"/>
              <w:rPr>
                <w:sz w:val="20"/>
                <w:szCs w:val="20"/>
                <w:color w:val="auto"/>
              </w:rPr>
            </w:pPr>
            <w:r>
              <w:rPr>
                <w:rFonts w:ascii="Arial" w:cs="Arial" w:eastAsia="Arial" w:hAnsi="Arial"/>
                <w:sz w:val="18"/>
                <w:szCs w:val="18"/>
                <w:color w:val="auto"/>
              </w:rPr>
              <w:t>offering would be $</w:t>
            </w:r>
          </w:p>
        </w:tc>
        <w:tc>
          <w:tcPr>
            <w:tcW w:w="4880" w:type="dxa"/>
            <w:vAlign w:val="bottom"/>
            <w:gridSpan w:val="2"/>
          </w:tcPr>
          <w:p>
            <w:pPr>
              <w:jc w:val="right"/>
              <w:ind w:right="291"/>
              <w:spacing w:after="0"/>
              <w:rPr>
                <w:sz w:val="20"/>
                <w:szCs w:val="20"/>
                <w:color w:val="auto"/>
              </w:rPr>
            </w:pPr>
            <w:r>
              <w:rPr>
                <w:rFonts w:ascii="Arial" w:cs="Arial" w:eastAsia="Arial" w:hAnsi="Arial"/>
                <w:sz w:val="18"/>
                <w:szCs w:val="18"/>
                <w:color w:val="auto"/>
                <w:w w:val="99"/>
              </w:rPr>
              <w:t>, and total dilution per share to new investors would be $</w:t>
            </w:r>
          </w:p>
        </w:tc>
        <w:tc>
          <w:tcPr>
            <w:tcW w:w="1720" w:type="dxa"/>
            <w:vAlign w:val="bottom"/>
          </w:tcPr>
          <w:p>
            <w:pPr>
              <w:jc w:val="right"/>
              <w:ind w:right="1171"/>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r>
      <w:tr>
        <w:trPr>
          <w:trHeight w:val="347"/>
        </w:trPr>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60" w:type="dxa"/>
            <w:vAlign w:val="bottom"/>
          </w:tcPr>
          <w:p>
            <w:pPr>
              <w:jc w:val="right"/>
              <w:ind w:right="1491"/>
              <w:spacing w:after="0"/>
              <w:rPr>
                <w:sz w:val="20"/>
                <w:szCs w:val="20"/>
                <w:color w:val="auto"/>
              </w:rPr>
            </w:pPr>
            <w:r>
              <w:rPr>
                <w:rFonts w:ascii="Arial" w:cs="Arial" w:eastAsia="Arial" w:hAnsi="Arial"/>
                <w:sz w:val="18"/>
                <w:szCs w:val="18"/>
                <w:color w:val="auto"/>
              </w:rPr>
              <w:t>74</w:t>
            </w:r>
          </w:p>
        </w:tc>
        <w:tc>
          <w:tcPr>
            <w:tcW w:w="17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320" w:top="440" w:right="57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“Summary Consolidated Financial and Other Data” and our consolidated financial statements and related notes included elsewhere in this prospectus. This discussion and other parts of this prospectus contain forward-looking statements, such as those relating to our plans, objectives, expectations, intentions, and beliefs, which involve risks and uncertainties. Our actual results could differ materially from those discussed in these forward-looking statements. Factors that could cause or contribute to such differences include, but are not limited to, those identified below and those discussed in the sections titled “Special Note Regarding Forward-Looking Statements” and “Risk Factors” included elsewhere in this prospectus. The last day of our fiscal year is January 31. Our fiscal quarters end on April 30, July 31, October 31, and January 31. References to fiscal years 2019 and 2020 in this prospectus refer to our fiscal years ended January 31, 2020 and 2021, respectively.</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right="40" w:firstLine="545"/>
        <w:spacing w:after="0" w:line="246" w:lineRule="auto"/>
        <w:rPr>
          <w:sz w:val="20"/>
          <w:szCs w:val="20"/>
          <w:color w:val="auto"/>
        </w:rPr>
      </w:pPr>
      <w:r>
        <w:rPr>
          <w:rFonts w:ascii="Arial" w:cs="Arial" w:eastAsia="Arial" w:hAnsi="Arial"/>
          <w:sz w:val="17"/>
          <w:szCs w:val="17"/>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total subscribers (active</w:t>
      </w:r>
    </w:p>
    <w:p>
      <w:pPr>
        <w:ind w:left="180" w:right="60"/>
        <w:spacing w:after="0" w:line="239" w:lineRule="auto"/>
        <w:rPr>
          <w:sz w:val="20"/>
          <w:szCs w:val="20"/>
          <w:color w:val="auto"/>
        </w:rPr>
      </w:pPr>
      <w:r>
        <w:rPr>
          <w:rFonts w:ascii="Arial" w:cs="Arial" w:eastAsia="Arial" w:hAnsi="Arial"/>
          <w:sz w:val="18"/>
          <w:szCs w:val="18"/>
          <w:color w:val="auto"/>
        </w:rPr>
        <w:t>and paused) as of , 2021. For fiscal year 2019 and 2020, 78% and 89% of our total revenue (including Reserve and Resale revenue) was generated by subscribers while they were active or paused, respectively.</w:t>
      </w:r>
    </w:p>
    <w:p>
      <w:pPr>
        <w:spacing w:after="0" w:line="202" w:lineRule="exact"/>
        <w:rPr>
          <w:sz w:val="20"/>
          <w:szCs w:val="20"/>
          <w:color w:val="auto"/>
        </w:rPr>
      </w:pPr>
    </w:p>
    <w:p>
      <w:pPr>
        <w:ind w:left="180" w:right="100" w:firstLine="545"/>
        <w:spacing w:after="0" w:line="235"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cost-effective acquisition of a high volume of items every year. We have successfully disproved the misconception that fashion apparel items and accessories only last one season as we are able to rent or “turn” our products multiple times over many years, and over 40% of our styles turn for three or more years. We price our items at a fraction of their retail value, creating an attractive price and value proposition for our subscribers and customers.</w:t>
      </w:r>
    </w:p>
    <w:p>
      <w:pPr>
        <w:spacing w:after="0" w:line="202"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launched our Reserve offering in 2009 and focused on normalizing shared closet behavior with consumers and designer brands by giving customers the ability to rent a-la-carte for special occasions. In 2016, we launched our Subscription offering. Today, we source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achieved the following operating and financial results:</w:t>
      </w:r>
    </w:p>
    <w:p>
      <w:pPr>
        <w:spacing w:after="0" w:line="114" w:lineRule="exact"/>
        <w:rPr>
          <w:sz w:val="20"/>
          <w:szCs w:val="20"/>
          <w:color w:val="auto"/>
        </w:rPr>
      </w:pPr>
    </w:p>
    <w:p>
      <w:pPr>
        <w:ind w:left="920" w:right="120" w:hanging="212"/>
        <w:spacing w:after="0" w:line="239" w:lineRule="auto"/>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had 147,866 and 95,245 total subscribers at the end of fiscal year 2019 and fiscal year 2020, respectively, and 133,572 and 54,797 active subscribers (excluding paused subscribers), respectively;</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Revenue was $256.9 million and $157.5 million in fiscal year 2019 and fiscal year 2020, respectively;</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2"/>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Gross Profit was $53.6 million and $15.5 million in fiscal year 2019 and fiscal year 2020, respectively;</w:t>
      </w:r>
    </w:p>
    <w:p>
      <w:pPr>
        <w:spacing w:after="0" w:line="113" w:lineRule="exact"/>
        <w:rPr>
          <w:rFonts w:ascii="Arial" w:cs="Arial" w:eastAsia="Arial" w:hAnsi="Arial"/>
          <w:sz w:val="18"/>
          <w:szCs w:val="18"/>
          <w:color w:val="auto"/>
        </w:rPr>
      </w:pPr>
    </w:p>
    <w:p>
      <w:pPr>
        <w:ind w:left="920" w:right="480" w:hanging="212"/>
        <w:spacing w:after="0" w:line="239"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Gross Profit Excluding Product Depreciation was $129.3 million and $85.4 million in fiscal year 2019 and fiscal year 2020, respectively;</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Loss was $(153.9) million and $(171.1) million in fiscal year 2019 and fiscal year 2020, respectively;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Adjusted EBITDA was $(18.0) million and $(20.3) million in fiscal year 2019 and fiscal year 2020, respectively.</w:t>
      </w:r>
    </w:p>
    <w:p>
      <w:pPr>
        <w:spacing w:after="0" w:line="29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Business Model</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Power of Subscription</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operate an innovative subscription model with the following attributes:</w:t>
      </w:r>
    </w:p>
    <w:p>
      <w:pPr>
        <w:spacing w:after="0" w:line="114" w:lineRule="exact"/>
        <w:rPr>
          <w:sz w:val="20"/>
          <w:szCs w:val="20"/>
          <w:color w:val="auto"/>
        </w:rPr>
      </w:pPr>
    </w:p>
    <w:p>
      <w:pPr>
        <w:ind w:left="920" w:hanging="212"/>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monetize our products over multiple years;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acquire a large and broad assortment of products to provide variety to subscribers and customers;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incur fulfillment expense to ship items to/from subscribers and customers and restore products to excellent condition.</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business model aligns the success and engagement of our subscribers, our customers, our brand partners and our business.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success is a function of:</w:t>
      </w:r>
    </w:p>
    <w:p>
      <w:pPr>
        <w:spacing w:after="0" w:line="114" w:lineRule="exact"/>
        <w:rPr>
          <w:sz w:val="20"/>
          <w:szCs w:val="20"/>
          <w:color w:val="auto"/>
        </w:rPr>
      </w:pPr>
    </w:p>
    <w:p>
      <w:pPr>
        <w:ind w:left="920" w:hanging="212"/>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grow revenue through growth and loyalty of subscribers and customers;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acquire and drive return on investment of products;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manage operating and capital efficiencies in our business,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How We Make Money</w:t>
      </w:r>
    </w:p>
    <w:p>
      <w:pPr>
        <w:spacing w:after="0" w:line="122"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generate revenue when subscribers and customers access our Closet in the Cloud across subscription, a-la-carte rentals and resale. The majority of revenue is highly recurring and is generated by our subscribers, representing % of total revenue in the first six months of fiscal year 2021. Our platform approach allows us to monetize subscribers across multiple offerings, including Reserve and Resale. Our Subscription offerings are structured so that subscribers pay for their usage - the more shipments and items a subscriber receives, the higher the monthly subscription price. We have priced each base subscription program to generate similar Gross Margins to our company.</w:t>
      </w:r>
    </w:p>
    <w:p>
      <w:pPr>
        <w:spacing w:after="0" w:line="183" w:lineRule="exact"/>
        <w:rPr>
          <w:sz w:val="20"/>
          <w:szCs w:val="20"/>
          <w:color w:val="auto"/>
        </w:rPr>
      </w:pPr>
    </w:p>
    <w:p>
      <w:pPr>
        <w:ind w:left="180" w:right="280" w:firstLine="545"/>
        <w:spacing w:after="0" w:line="264" w:lineRule="auto"/>
        <w:rPr>
          <w:sz w:val="20"/>
          <w:szCs w:val="20"/>
          <w:color w:val="auto"/>
        </w:rPr>
      </w:pPr>
      <w:r>
        <w:rPr>
          <w:rFonts w:ascii="Arial" w:cs="Arial" w:eastAsia="Arial" w:hAnsi="Arial"/>
          <w:sz w:val="18"/>
          <w:szCs w:val="18"/>
          <w:b w:val="1"/>
          <w:bCs w:val="1"/>
          <w:color w:val="auto"/>
        </w:rPr>
        <w:t xml:space="preserve">Subscription and Reserve Rental Revenue: </w:t>
      </w:r>
      <w:r>
        <w:rPr>
          <w:rFonts w:ascii="Arial" w:cs="Arial" w:eastAsia="Arial" w:hAnsi="Arial"/>
          <w:sz w:val="18"/>
          <w:szCs w:val="18"/>
          <w:color w:val="auto"/>
        </w:rPr>
        <w:t>Subscription and Reserve rental revenue was $135.9 million in fiscal year 2020,</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86.3% of total revenue.</w:t>
      </w:r>
    </w:p>
    <w:p>
      <w:pPr>
        <w:spacing w:after="0" w:line="66" w:lineRule="exact"/>
        <w:rPr>
          <w:sz w:val="20"/>
          <w:szCs w:val="20"/>
          <w:color w:val="auto"/>
        </w:rPr>
      </w:pPr>
    </w:p>
    <w:p>
      <w:pPr>
        <w:ind w:left="920" w:hanging="212"/>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Subscription</w:t>
      </w:r>
    </w:p>
    <w:p>
      <w:pPr>
        <w:spacing w:after="0" w:line="122" w:lineRule="exact"/>
        <w:rPr>
          <w:sz w:val="20"/>
          <w:szCs w:val="20"/>
          <w:color w:val="auto"/>
        </w:rPr>
      </w:pPr>
    </w:p>
    <w:p>
      <w:pPr>
        <w:ind w:left="600" w:right="60"/>
        <w:spacing w:after="0" w:line="237" w:lineRule="auto"/>
        <w:rPr>
          <w:sz w:val="20"/>
          <w:szCs w:val="20"/>
          <w:color w:val="auto"/>
        </w:rPr>
      </w:pPr>
      <w:r>
        <w:rPr>
          <w:rFonts w:ascii="Arial" w:cs="Arial" w:eastAsia="Arial" w:hAnsi="Arial"/>
          <w:sz w:val="18"/>
          <w:szCs w:val="18"/>
          <w:color w:val="auto"/>
        </w:rPr>
        <w:t>Subscription rental revenue consists of recurring subscription membership fees and related add-on revenue. Our Subscription offering allows members to receive a certain number of items (each item fills a “spot”) and shipments (which we call a “swap”) each month. We offer plans including 4, 8, 12 or 16 items. Membership prices include:</w:t>
      </w:r>
    </w:p>
    <w:p>
      <w:pPr>
        <w:spacing w:after="0" w:line="108" w:lineRule="exact"/>
        <w:rPr>
          <w:sz w:val="20"/>
          <w:szCs w:val="20"/>
          <w:color w:val="auto"/>
        </w:rPr>
      </w:pPr>
    </w:p>
    <w:p>
      <w:pPr>
        <w:ind w:left="920" w:hanging="212"/>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$89 for 4 items per month (max 1 swap, up to 4 spots; more limited assortment)</w:t>
      </w:r>
    </w:p>
    <w:p>
      <w:pPr>
        <w:spacing w:after="0" w:line="95" w:lineRule="exact"/>
        <w:rPr>
          <w:rFonts w:ascii="Arial" w:cs="Arial" w:eastAsia="Arial" w:hAnsi="Arial"/>
          <w:sz w:val="18"/>
          <w:szCs w:val="18"/>
          <w:color w:val="auto"/>
        </w:rPr>
      </w:pPr>
    </w:p>
    <w:p>
      <w:pPr>
        <w:ind w:left="5520" w:right="3260" w:hanging="4812"/>
        <w:spacing w:after="0" w:line="430" w:lineRule="auto"/>
        <w:tabs>
          <w:tab w:leader="none" w:pos="9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$135 for 8 items per month (max 2 swaps, up to 4 spots each) </w:t>
      </w:r>
      <w:r>
        <w:rPr>
          <w:rFonts w:ascii="Arial" w:cs="Arial" w:eastAsia="Arial" w:hAnsi="Arial"/>
          <w:sz w:val="18"/>
          <w:szCs w:val="18"/>
          <w:i w:val="1"/>
          <w:iCs w:val="1"/>
          <w:color w:val="auto"/>
        </w:rPr>
        <w:t>(our most popular plan)</w:t>
      </w:r>
      <w:r>
        <w:rPr>
          <w:rFonts w:ascii="Arial" w:cs="Arial" w:eastAsia="Arial" w:hAnsi="Arial"/>
          <w:sz w:val="18"/>
          <w:szCs w:val="18"/>
          <w:color w:val="auto"/>
        </w:rPr>
        <w:t xml:space="preserve"> 76</w:t>
      </w:r>
    </w:p>
    <w:p>
      <w:pPr>
        <w:sectPr>
          <w:pgSz w:w="11900" w:h="16838" w:orient="portrait"/>
          <w:cols w:equalWidth="0" w:num="1">
            <w:col w:w="10960"/>
          </w:cols>
          <w:pgMar w:left="320" w:top="456" w:right="6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2"/>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$174 for 12 items per month (max 3 swaps, up to 4 spots each)</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$199 for 16 items per month (max 4 swaps, up to 4 spots each)</w:t>
      </w:r>
    </w:p>
    <w:p>
      <w:pPr>
        <w:spacing w:after="0" w:line="100" w:lineRule="exact"/>
        <w:rPr>
          <w:sz w:val="20"/>
          <w:szCs w:val="20"/>
          <w:color w:val="auto"/>
        </w:rPr>
      </w:pPr>
    </w:p>
    <w:p>
      <w:pPr>
        <w:ind w:left="720" w:right="100"/>
        <w:spacing w:after="0" w:line="236" w:lineRule="auto"/>
        <w:rPr>
          <w:sz w:val="20"/>
          <w:szCs w:val="20"/>
          <w:color w:val="auto"/>
        </w:rPr>
      </w:pPr>
      <w:r>
        <w:rPr>
          <w:rFonts w:ascii="Arial" w:cs="Arial" w:eastAsia="Arial" w:hAnsi="Arial"/>
          <w:sz w:val="18"/>
          <w:szCs w:val="18"/>
          <w:color w:val="auto"/>
        </w:rPr>
        <w:t>Our subscribers also generate add-on revenue as they are able to customize their subscription program by adding spots or swaps in any given month at a price of $25 per additional spot per month on the one-shipment plan, $29 per additional spot per month on all other plans, and $25 to $39 per swap per month depending on the plan. We also allow our subscribers to pause their memberships as their lifestyle evolves or changes.</w:t>
      </w:r>
    </w:p>
    <w:p>
      <w:pPr>
        <w:spacing w:after="0" w:line="86" w:lineRule="exact"/>
        <w:rPr>
          <w:sz w:val="20"/>
          <w:szCs w:val="20"/>
          <w:color w:val="auto"/>
        </w:rPr>
      </w:pPr>
    </w:p>
    <w:p>
      <w:pPr>
        <w:ind w:left="920" w:hanging="212"/>
        <w:spacing w:after="0"/>
        <w:tabs>
          <w:tab w:leader="none" w:pos="92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Reserve</w:t>
      </w:r>
    </w:p>
    <w:p>
      <w:pPr>
        <w:spacing w:after="0" w:line="122" w:lineRule="exact"/>
        <w:rPr>
          <w:sz w:val="20"/>
          <w:szCs w:val="20"/>
          <w:color w:val="auto"/>
        </w:rPr>
      </w:pPr>
    </w:p>
    <w:p>
      <w:pPr>
        <w:ind w:left="720" w:right="80"/>
        <w:spacing w:after="0" w:line="236" w:lineRule="auto"/>
        <w:rPr>
          <w:sz w:val="20"/>
          <w:szCs w:val="20"/>
          <w:color w:val="auto"/>
        </w:rPr>
      </w:pPr>
      <w:r>
        <w:rPr>
          <w:rFonts w:ascii="Arial" w:cs="Arial" w:eastAsia="Arial" w:hAnsi="Arial"/>
          <w:sz w:val="18"/>
          <w:szCs w:val="18"/>
          <w:color w:val="auto"/>
        </w:rPr>
        <w:t>Reserve rental revenue consists of a-la-carte rentals, typically used for special occasions, which can be booked up to 4 months in advance. Customers, which include subscribers, have the option to rent items for four or eight days at rental rates per item which typically range from $5 to $525. Reserve customers receive one primary item and can select a complimentary backup size, as well as a backup style at a discounted price.</w:t>
      </w:r>
    </w:p>
    <w:p>
      <w:pPr>
        <w:spacing w:after="0" w:line="179" w:lineRule="exact"/>
        <w:rPr>
          <w:sz w:val="20"/>
          <w:szCs w:val="20"/>
          <w:color w:val="auto"/>
        </w:rPr>
      </w:pPr>
    </w:p>
    <w:p>
      <w:pPr>
        <w:ind w:left="180" w:right="20" w:firstLine="545"/>
        <w:spacing w:after="0" w:line="264" w:lineRule="auto"/>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18"/>
          <w:szCs w:val="18"/>
          <w:color w:val="auto"/>
        </w:rPr>
        <w:t>Through our Resale offering, subscribers and customers can purchase pre-worn items they love from our closet—</w:t>
      </w:r>
      <w:r>
        <w:rPr>
          <w:rFonts w:ascii="Arial" w:cs="Arial" w:eastAsia="Arial" w:hAnsi="Arial"/>
          <w:sz w:val="18"/>
          <w:szCs w:val="18"/>
          <w:b w:val="1"/>
          <w:bCs w:val="1"/>
          <w:color w:val="auto"/>
        </w:rPr>
        <w:t xml:space="preserve"> </w:t>
      </w:r>
      <w:r>
        <w:rPr>
          <w:rFonts w:ascii="Arial" w:cs="Arial" w:eastAsia="Arial" w:hAnsi="Arial"/>
          <w:sz w:val="18"/>
          <w:szCs w:val="18"/>
          <w:color w:val="auto"/>
        </w:rPr>
        <w:t>no subscription is required. Our Other revenue was $21.6 million in fiscal year 2020, representing 13.7% of total revenue.</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Acquisition Strategy</w:t>
      </w:r>
    </w:p>
    <w:p>
      <w:pPr>
        <w:spacing w:after="0" w:line="122"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Our ability to serve our subscribers and customers depends on the quantity and quality of our products. We acquire and monetize products in three ways: Wholesale, Share by RTR and Exclusive Designs, as described in the table below. Increases or decreases in (1) the proportion of total items acquired via Share by RTR and Exclusive Designs, and (2) the usage of Share by RTR and Exclusive Designs items, will increase or decrease our Rental Product Depreciation and Revenue Share line item on our consolidated statement of operations.</w:t>
      </w:r>
    </w:p>
    <w:p>
      <w:pPr>
        <w:spacing w:after="0" w:line="202" w:lineRule="exact"/>
        <w:rPr>
          <w:sz w:val="20"/>
          <w:szCs w:val="20"/>
          <w:color w:val="auto"/>
        </w:rPr>
      </w:pPr>
    </w:p>
    <w:p>
      <w:pPr>
        <w:ind w:left="180" w:right="80" w:firstLine="545"/>
        <w:spacing w:after="0" w:line="236" w:lineRule="auto"/>
        <w:rPr>
          <w:sz w:val="20"/>
          <w:szCs w:val="20"/>
          <w:color w:val="auto"/>
        </w:rPr>
      </w:pPr>
      <w:r>
        <w:rPr>
          <w:rFonts w:ascii="Arial" w:cs="Arial" w:eastAsia="Arial" w:hAnsi="Arial"/>
          <w:sz w:val="18"/>
          <w:szCs w:val="18"/>
          <w:color w:val="auto"/>
        </w:rPr>
        <w:t>Our brand partnerships and customer data enable us to acquire and manage our products effectively. We have expanded the portion of our products acquired through Share by RTR and Exclusive Designs, which has reduced initial cash outlay and total spend. We have maintained nearly 100% retention of our brand partners over the life of our business. In fiscal year 2020, approximately 54% of new items were acquired through these more cost-effective channels, compared to approximately 26% in fiscal year 2019.</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Wholesale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Share by RTR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1247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24"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Items are acquired directly from brand partners, typically at a discount to wholesale price</w:t>
      </w:r>
    </w:p>
    <w:p>
      <w:pPr>
        <w:spacing w:after="0" w:line="200" w:lineRule="exact"/>
        <w:rPr>
          <w:sz w:val="20"/>
          <w:szCs w:val="20"/>
          <w:color w:val="auto"/>
        </w:rPr>
      </w:pPr>
    </w:p>
    <w:p>
      <w:pPr>
        <w:spacing w:after="0" w:line="323"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Items are acquired directly from brand partners on consignment, at zero to low upfront cost, with performance-based revenue share payments to our brand partners over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Consolidated</w:t>
      </w:r>
    </w:p>
    <w:p>
      <w:pPr>
        <w:spacing w:after="0" w:line="17"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Statements of</w:t>
      </w:r>
    </w:p>
    <w:p>
      <w:pPr>
        <w:jc w:val="center"/>
        <w:ind w:left="-139"/>
        <w:spacing w:after="0"/>
        <w:rPr>
          <w:sz w:val="20"/>
          <w:szCs w:val="20"/>
          <w:color w:val="auto"/>
        </w:rPr>
      </w:pPr>
      <w:r>
        <w:rPr>
          <w:rFonts w:ascii="Arial" w:cs="Arial" w:eastAsia="Arial" w:hAnsi="Arial"/>
          <w:sz w:val="14"/>
          <w:szCs w:val="14"/>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1791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6"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Cost is recognized through straight-line depreciation, with a three-year useful life and 20% salvage value, in the “Rental Product Depreciation and Revenue Share” line</w:t>
      </w:r>
      <w:r>
        <w:rPr>
          <w:rFonts w:ascii="Arial" w:cs="Arial" w:eastAsia="Arial" w:hAnsi="Arial"/>
          <w:sz w:val="24"/>
          <w:szCs w:val="24"/>
          <w:color w:val="auto"/>
          <w:vertAlign w:val="superscript"/>
        </w:rPr>
        <w:t>(1)</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Upfront and performance-based revenue share payments are expensed as incurred in the “Rental Product Depreciation and Revenue Share” 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Consolidated</w:t>
      </w:r>
    </w:p>
    <w:p>
      <w:pPr>
        <w:spacing w:after="0" w:line="17"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1170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6" w:lineRule="exact"/>
        <w:rPr>
          <w:sz w:val="20"/>
          <w:szCs w:val="20"/>
          <w:color w:val="auto"/>
        </w:rPr>
      </w:pPr>
    </w:p>
    <w:p>
      <w:pPr>
        <w:jc w:val="both"/>
        <w:ind w:right="100"/>
        <w:spacing w:after="0" w:line="246" w:lineRule="auto"/>
        <w:rPr>
          <w:sz w:val="20"/>
          <w:szCs w:val="20"/>
          <w:color w:val="auto"/>
        </w:rPr>
      </w:pPr>
      <w:r>
        <w:rPr>
          <w:rFonts w:ascii="Arial" w:cs="Arial" w:eastAsia="Arial" w:hAnsi="Arial"/>
          <w:sz w:val="14"/>
          <w:szCs w:val="14"/>
          <w:color w:val="auto"/>
        </w:rPr>
        <w:t>Total cost is capitalized as “Rental Products” in long-term assets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Items are not capitalized on the balance sheet as we do not own them</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9"/>
              </w:rPr>
              <w:t>Percent of</w:t>
            </w:r>
          </w:p>
        </w:tc>
      </w:tr>
      <w:tr>
        <w:trPr>
          <w:trHeight w:val="160"/>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Items</w:t>
            </w:r>
          </w:p>
        </w:tc>
      </w:tr>
      <w:tr>
        <w:trPr>
          <w:trHeight w:val="160"/>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Acquired</w:t>
            </w:r>
          </w:p>
        </w:tc>
      </w:tr>
      <w:tr>
        <w:trPr>
          <w:trHeight w:val="160"/>
        </w:trPr>
        <w:tc>
          <w:tcPr>
            <w:tcW w:w="2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Consolidated</w:t>
            </w: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 Fiscal Year</w:t>
            </w:r>
          </w:p>
        </w:tc>
      </w:tr>
      <w:tr>
        <w:trPr>
          <w:trHeight w:val="160"/>
        </w:trPr>
        <w:tc>
          <w:tcPr>
            <w:tcW w:w="2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Statements of</w:t>
            </w: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2019 / Fiscal</w:t>
            </w:r>
          </w:p>
        </w:tc>
      </w:tr>
      <w:tr>
        <w:trPr>
          <w:trHeight w:val="187"/>
        </w:trPr>
        <w:tc>
          <w:tcPr>
            <w:tcW w:w="2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Cash Flows</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Year 2020</w:t>
            </w:r>
          </w:p>
        </w:tc>
      </w:tr>
      <w:tr>
        <w:trPr>
          <w:trHeight w:val="158"/>
        </w:trPr>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Total cost is recognized as a</w:t>
            </w:r>
          </w:p>
        </w:tc>
        <w:tc>
          <w:tcPr>
            <w:tcW w:w="1520" w:type="dxa"/>
            <w:vAlign w:val="bottom"/>
            <w:gridSpan w:val="2"/>
          </w:tcPr>
          <w:p>
            <w:pPr>
              <w:jc w:val="right"/>
              <w:ind w:right="589"/>
              <w:spacing w:after="0" w:line="159" w:lineRule="exact"/>
              <w:rPr>
                <w:sz w:val="20"/>
                <w:szCs w:val="20"/>
                <w:color w:val="auto"/>
              </w:rPr>
            </w:pPr>
            <w:r>
              <w:rPr>
                <w:rFonts w:ascii="Arial" w:cs="Arial" w:eastAsia="Arial" w:hAnsi="Arial"/>
                <w:sz w:val="14"/>
                <w:szCs w:val="14"/>
                <w:color w:val="auto"/>
              </w:rPr>
              <w:t>74% /46%</w:t>
            </w:r>
          </w:p>
        </w:tc>
      </w:tr>
      <w:tr>
        <w:trPr>
          <w:trHeight w:val="160"/>
        </w:trPr>
        <w:tc>
          <w:tcPr>
            <w:tcW w:w="1860" w:type="dxa"/>
            <w:vAlign w:val="bottom"/>
            <w:gridSpan w:val="2"/>
          </w:tcPr>
          <w:p>
            <w:pPr>
              <w:spacing w:after="0"/>
              <w:rPr>
                <w:sz w:val="20"/>
                <w:szCs w:val="20"/>
                <w:color w:val="auto"/>
              </w:rPr>
            </w:pPr>
            <w:r>
              <w:rPr>
                <w:rFonts w:ascii="Arial" w:cs="Arial" w:eastAsia="Arial" w:hAnsi="Arial"/>
                <w:sz w:val="14"/>
                <w:szCs w:val="14"/>
                <w:color w:val="auto"/>
              </w:rPr>
              <w:t>capital expenditure</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1860" w:type="dxa"/>
            <w:vAlign w:val="bottom"/>
            <w:gridSpan w:val="2"/>
          </w:tcPr>
          <w:p>
            <w:pPr>
              <w:spacing w:after="0"/>
              <w:rPr>
                <w:sz w:val="20"/>
                <w:szCs w:val="20"/>
                <w:color w:val="auto"/>
              </w:rPr>
            </w:pPr>
            <w:r>
              <w:rPr>
                <w:rFonts w:ascii="Arial" w:cs="Arial" w:eastAsia="Arial" w:hAnsi="Arial"/>
                <w:sz w:val="14"/>
                <w:szCs w:val="14"/>
                <w:color w:val="auto"/>
              </w:rPr>
              <w:t>(“Purchases of Rental</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1860" w:type="dxa"/>
            <w:vAlign w:val="bottom"/>
            <w:gridSpan w:val="2"/>
          </w:tcPr>
          <w:p>
            <w:pPr>
              <w:spacing w:after="0"/>
              <w:rPr>
                <w:sz w:val="20"/>
                <w:szCs w:val="20"/>
                <w:color w:val="auto"/>
              </w:rPr>
            </w:pPr>
            <w:r>
              <w:rPr>
                <w:rFonts w:ascii="Arial" w:cs="Arial" w:eastAsia="Arial" w:hAnsi="Arial"/>
                <w:sz w:val="14"/>
                <w:szCs w:val="14"/>
                <w:color w:val="auto"/>
              </w:rPr>
              <w:t>Product”) at time of</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1"/>
        </w:trPr>
        <w:tc>
          <w:tcPr>
            <w:tcW w:w="1860" w:type="dxa"/>
            <w:vAlign w:val="bottom"/>
            <w:gridSpan w:val="2"/>
          </w:tcPr>
          <w:p>
            <w:pPr>
              <w:spacing w:after="0"/>
              <w:rPr>
                <w:sz w:val="20"/>
                <w:szCs w:val="20"/>
                <w:color w:val="auto"/>
              </w:rPr>
            </w:pPr>
            <w:r>
              <w:rPr>
                <w:rFonts w:ascii="Arial" w:cs="Arial" w:eastAsia="Arial" w:hAnsi="Arial"/>
                <w:sz w:val="14"/>
                <w:szCs w:val="14"/>
                <w:color w:val="auto"/>
              </w:rPr>
              <w:t>acquisition</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24"/>
        </w:trPr>
        <w:tc>
          <w:tcPr>
            <w:tcW w:w="1860" w:type="dxa"/>
            <w:vAlign w:val="bottom"/>
            <w:gridSpan w:val="2"/>
          </w:tcPr>
          <w:p>
            <w:pPr>
              <w:spacing w:after="0"/>
              <w:rPr>
                <w:sz w:val="20"/>
                <w:szCs w:val="20"/>
                <w:color w:val="auto"/>
              </w:rPr>
            </w:pPr>
            <w:r>
              <w:rPr>
                <w:rFonts w:ascii="Arial" w:cs="Arial" w:eastAsia="Arial" w:hAnsi="Arial"/>
                <w:sz w:val="14"/>
                <w:szCs w:val="14"/>
                <w:color w:val="auto"/>
              </w:rPr>
              <w:t>Upfront and revenue share</w:t>
            </w:r>
          </w:p>
        </w:tc>
        <w:tc>
          <w:tcPr>
            <w:tcW w:w="1520" w:type="dxa"/>
            <w:vAlign w:val="bottom"/>
            <w:gridSpan w:val="2"/>
          </w:tcPr>
          <w:p>
            <w:pPr>
              <w:jc w:val="right"/>
              <w:ind w:right="589"/>
              <w:spacing w:after="0"/>
              <w:rPr>
                <w:sz w:val="20"/>
                <w:szCs w:val="20"/>
                <w:color w:val="auto"/>
              </w:rPr>
            </w:pPr>
            <w:r>
              <w:rPr>
                <w:rFonts w:ascii="Arial" w:cs="Arial" w:eastAsia="Arial" w:hAnsi="Arial"/>
                <w:sz w:val="14"/>
                <w:szCs w:val="14"/>
                <w:color w:val="auto"/>
              </w:rPr>
              <w:t>15% /36%</w:t>
            </w:r>
          </w:p>
        </w:tc>
      </w:tr>
      <w:tr>
        <w:trPr>
          <w:trHeight w:val="160"/>
        </w:trPr>
        <w:tc>
          <w:tcPr>
            <w:tcW w:w="1860" w:type="dxa"/>
            <w:vAlign w:val="bottom"/>
            <w:gridSpan w:val="2"/>
          </w:tcPr>
          <w:p>
            <w:pPr>
              <w:spacing w:after="0"/>
              <w:rPr>
                <w:sz w:val="20"/>
                <w:szCs w:val="20"/>
                <w:color w:val="auto"/>
              </w:rPr>
            </w:pPr>
            <w:r>
              <w:rPr>
                <w:rFonts w:ascii="Arial" w:cs="Arial" w:eastAsia="Arial" w:hAnsi="Arial"/>
                <w:sz w:val="14"/>
                <w:szCs w:val="14"/>
                <w:color w:val="auto"/>
              </w:rPr>
              <w:t>payments flow through Net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1"/>
        </w:trPr>
        <w:tc>
          <w:tcPr>
            <w:tcW w:w="1860" w:type="dxa"/>
            <w:vAlign w:val="bottom"/>
            <w:gridSpan w:val="2"/>
          </w:tcPr>
          <w:p>
            <w:pPr>
              <w:spacing w:after="0"/>
              <w:rPr>
                <w:sz w:val="20"/>
                <w:szCs w:val="20"/>
                <w:color w:val="auto"/>
              </w:rPr>
            </w:pPr>
            <w:r>
              <w:rPr>
                <w:rFonts w:ascii="Arial" w:cs="Arial" w:eastAsia="Arial" w:hAnsi="Arial"/>
                <w:sz w:val="14"/>
                <w:szCs w:val="14"/>
                <w:color w:val="auto"/>
              </w:rPr>
              <w:t>Income as incurred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653" w:lineRule="exact"/>
        <w:rPr>
          <w:sz w:val="20"/>
          <w:szCs w:val="20"/>
          <w:color w:val="auto"/>
        </w:rPr>
      </w:pPr>
    </w:p>
    <w:p>
      <w:pPr>
        <w:sectPr>
          <w:pgSz w:w="11900" w:h="16838" w:orient="portrait"/>
          <w:cols w:equalWidth="0" w:num="5">
            <w:col w:w="1100" w:space="280"/>
            <w:col w:w="1980" w:space="220"/>
            <w:col w:w="1700" w:space="380"/>
            <w:col w:w="1740" w:space="300"/>
            <w:col w:w="3380"/>
          </w:cols>
          <w:pgMar w:left="320" w:top="456" w:right="499" w:bottom="1440" w:gutter="0" w:footer="0" w:header="0"/>
          <w:type w:val="continuous"/>
        </w:sectPr>
      </w:pPr>
    </w:p>
    <w:p>
      <w:pPr>
        <w:ind w:left="180"/>
        <w:spacing w:after="0"/>
        <w:tabs>
          <w:tab w:leader="none" w:pos="1360" w:val="left"/>
        </w:tabs>
        <w:rPr>
          <w:sz w:val="20"/>
          <w:szCs w:val="20"/>
          <w:color w:val="auto"/>
        </w:rPr>
      </w:pPr>
      <w:r>
        <w:rPr>
          <w:rFonts w:ascii="Arial" w:cs="Arial" w:eastAsia="Arial" w:hAnsi="Arial"/>
          <w:sz w:val="14"/>
          <w:szCs w:val="14"/>
          <w:b w:val="1"/>
          <w:bCs w:val="1"/>
          <w:color w:val="auto"/>
        </w:rPr>
        <w:t>Exclusive</w:t>
      </w:r>
      <w:r>
        <w:rPr>
          <w:sz w:val="20"/>
          <w:szCs w:val="20"/>
          <w:color w:val="auto"/>
        </w:rPr>
        <w:tab/>
      </w:r>
      <w:r>
        <w:rPr>
          <w:rFonts w:ascii="Arial" w:cs="Arial" w:eastAsia="Arial" w:hAnsi="Arial"/>
          <w:sz w:val="15"/>
          <w:szCs w:val="15"/>
          <w:color w:val="auto"/>
        </w:rPr>
        <w:t>Items are designed using our</w:t>
      </w:r>
    </w:p>
    <w:p>
      <w:pPr>
        <w:ind w:left="180"/>
        <w:spacing w:after="0" w:line="236" w:lineRule="auto"/>
        <w:tabs>
          <w:tab w:leader="none" w:pos="1360" w:val="left"/>
        </w:tabs>
        <w:rPr>
          <w:sz w:val="20"/>
          <w:szCs w:val="20"/>
          <w:color w:val="auto"/>
        </w:rPr>
      </w:pPr>
      <w:r>
        <w:rPr>
          <w:rFonts w:ascii="Arial" w:cs="Arial" w:eastAsia="Arial" w:hAnsi="Arial"/>
          <w:sz w:val="12"/>
          <w:szCs w:val="12"/>
          <w:b w:val="1"/>
          <w:bCs w:val="1"/>
          <w:color w:val="auto"/>
        </w:rPr>
        <w:t>Designs</w:t>
      </w:r>
      <w:r>
        <w:rPr>
          <w:rFonts w:ascii="Arial" w:cs="Arial" w:eastAsia="Arial" w:hAnsi="Arial"/>
          <w:sz w:val="19"/>
          <w:szCs w:val="19"/>
          <w:b w:val="1"/>
          <w:bCs w:val="1"/>
          <w:color w:val="auto"/>
          <w:vertAlign w:val="superscript"/>
        </w:rPr>
        <w:t>(2)</w:t>
      </w:r>
      <w:r>
        <w:rPr>
          <w:sz w:val="20"/>
          <w:szCs w:val="20"/>
          <w:color w:val="auto"/>
        </w:rPr>
        <w:tab/>
      </w:r>
      <w:r>
        <w:rPr>
          <w:rFonts w:ascii="Arial" w:cs="Arial" w:eastAsia="Arial" w:hAnsi="Arial"/>
          <w:sz w:val="15"/>
          <w:szCs w:val="15"/>
          <w:color w:val="auto"/>
        </w:rPr>
        <w:t>data in collaboration with our</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brand partners</w:t>
      </w:r>
    </w:p>
    <w:p>
      <w:pPr>
        <w:spacing w:after="0" w:line="108" w:lineRule="exact"/>
        <w:rPr>
          <w:sz w:val="20"/>
          <w:szCs w:val="20"/>
          <w:color w:val="auto"/>
        </w:rPr>
      </w:pPr>
    </w:p>
    <w:p>
      <w:pPr>
        <w:ind w:left="1380"/>
        <w:spacing w:after="0" w:line="228" w:lineRule="auto"/>
        <w:rPr>
          <w:sz w:val="20"/>
          <w:szCs w:val="20"/>
          <w:color w:val="auto"/>
        </w:rPr>
      </w:pPr>
      <w:r>
        <w:rPr>
          <w:rFonts w:ascii="Arial" w:cs="Arial" w:eastAsia="Arial" w:hAnsi="Arial"/>
          <w:sz w:val="15"/>
          <w:szCs w:val="15"/>
          <w:color w:val="auto"/>
        </w:rPr>
        <w:t>We manufacture items through third-party partners and pay the brand partner an upfront fee and minimal revenue share payments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20"/>
        <w:spacing w:after="0" w:line="241" w:lineRule="auto"/>
        <w:rPr>
          <w:sz w:val="20"/>
          <w:szCs w:val="20"/>
          <w:color w:val="auto"/>
        </w:rPr>
      </w:pPr>
      <w:r>
        <w:rPr>
          <w:rFonts w:ascii="Arial" w:cs="Arial" w:eastAsia="Arial" w:hAnsi="Arial"/>
          <w:sz w:val="14"/>
          <w:szCs w:val="14"/>
          <w:color w:val="auto"/>
        </w:rPr>
        <w:t>Upfront and performance-based revenue share payments are expensed as incurred in the “Rental Product Depreciation and Revenue Share” line</w:t>
      </w:r>
    </w:p>
    <w:p>
      <w:pPr>
        <w:spacing w:after="0" w:line="59"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Manufacturing cost is recognized through straight-line depreciation, with a three-year useful life and 20% salvage value, in the “Rental Product Depreciation and Revenue Share” line</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Manufacturing cost is capitalized as “Rental Products” in long-term assets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60"/>
        <w:spacing w:after="0" w:line="232" w:lineRule="auto"/>
        <w:rPr>
          <w:sz w:val="20"/>
          <w:szCs w:val="20"/>
          <w:color w:val="auto"/>
        </w:rPr>
      </w:pPr>
      <w:r>
        <w:rPr>
          <w:rFonts w:ascii="Arial" w:cs="Arial" w:eastAsia="Arial" w:hAnsi="Arial"/>
          <w:sz w:val="15"/>
          <w:szCs w:val="15"/>
          <w:color w:val="auto"/>
        </w:rPr>
        <w:t xml:space="preserve">Upfront and revenue share </w:t>
      </w:r>
      <w:r>
        <w:rPr>
          <w:rFonts w:ascii="Arial" w:cs="Arial" w:eastAsia="Arial" w:hAnsi="Arial"/>
          <w:sz w:val="14"/>
          <w:szCs w:val="14"/>
          <w:color w:val="auto"/>
        </w:rPr>
        <w:t>11% /18%</w:t>
      </w:r>
      <w:r>
        <w:rPr>
          <w:rFonts w:ascii="Arial" w:cs="Arial" w:eastAsia="Arial" w:hAnsi="Arial"/>
          <w:sz w:val="15"/>
          <w:szCs w:val="15"/>
          <w:color w:val="auto"/>
        </w:rPr>
        <w:t xml:space="preserve"> payments flow through Net Income as incurred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Manufacturing cost is</w:t>
      </w:r>
    </w:p>
    <w:p>
      <w:pPr>
        <w:spacing w:after="0" w:line="223" w:lineRule="auto"/>
        <w:rPr>
          <w:sz w:val="20"/>
          <w:szCs w:val="20"/>
          <w:color w:val="auto"/>
        </w:rPr>
      </w:pPr>
      <w:r>
        <w:rPr>
          <w:rFonts w:ascii="Arial" w:cs="Arial" w:eastAsia="Arial" w:hAnsi="Arial"/>
          <w:sz w:val="15"/>
          <w:szCs w:val="15"/>
          <w:color w:val="auto"/>
        </w:rPr>
        <w:t>recognized as a capital</w:t>
      </w:r>
    </w:p>
    <w:p>
      <w:pPr>
        <w:spacing w:after="0" w:line="223" w:lineRule="auto"/>
        <w:rPr>
          <w:sz w:val="20"/>
          <w:szCs w:val="20"/>
          <w:color w:val="auto"/>
        </w:rPr>
      </w:pPr>
      <w:r>
        <w:rPr>
          <w:rFonts w:ascii="Arial" w:cs="Arial" w:eastAsia="Arial" w:hAnsi="Arial"/>
          <w:sz w:val="15"/>
          <w:szCs w:val="15"/>
          <w:color w:val="auto"/>
        </w:rPr>
        <w:t>expenditure (“Purchases of</w:t>
      </w:r>
    </w:p>
    <w:p>
      <w:pPr>
        <w:spacing w:after="0" w:line="223" w:lineRule="auto"/>
        <w:rPr>
          <w:sz w:val="20"/>
          <w:szCs w:val="20"/>
          <w:color w:val="auto"/>
        </w:rPr>
      </w:pPr>
      <w:r>
        <w:rPr>
          <w:rFonts w:ascii="Arial" w:cs="Arial" w:eastAsia="Arial" w:hAnsi="Arial"/>
          <w:sz w:val="15"/>
          <w:szCs w:val="15"/>
          <w:color w:val="auto"/>
        </w:rPr>
        <w:t>Rental Product”) at time of</w:t>
      </w:r>
    </w:p>
    <w:p>
      <w:pPr>
        <w:spacing w:after="0"/>
        <w:rPr>
          <w:sz w:val="20"/>
          <w:szCs w:val="20"/>
          <w:color w:val="auto"/>
        </w:rPr>
      </w:pPr>
      <w:r>
        <w:rPr>
          <w:rFonts w:ascii="Arial" w:cs="Arial" w:eastAsia="Arial" w:hAnsi="Arial"/>
          <w:sz w:val="15"/>
          <w:szCs w:val="15"/>
          <w:color w:val="auto"/>
        </w:rPr>
        <w:t>acquisition</w:t>
      </w:r>
    </w:p>
    <w:p>
      <w:pPr>
        <w:spacing w:after="0" w:line="859" w:lineRule="exact"/>
        <w:rPr>
          <w:sz w:val="20"/>
          <w:szCs w:val="20"/>
          <w:color w:val="auto"/>
        </w:rPr>
      </w:pPr>
    </w:p>
    <w:p>
      <w:pPr>
        <w:sectPr>
          <w:pgSz w:w="11900" w:h="16838" w:orient="portrait"/>
          <w:cols w:equalWidth="0" w:num="4">
            <w:col w:w="3340" w:space="240"/>
            <w:col w:w="1820" w:space="260"/>
            <w:col w:w="1400" w:space="640"/>
            <w:col w:w="3380"/>
          </w:cols>
          <w:pgMar w:left="320" w:top="456" w:right="499" w:bottom="1440" w:gutter="0" w:footer="0" w:header="0"/>
          <w:type w:val="continuous"/>
        </w:sectPr>
      </w:pPr>
    </w:p>
    <w:p>
      <w:pPr>
        <w:ind w:left="720"/>
        <w:spacing w:after="0"/>
        <w:rPr>
          <w:sz w:val="20"/>
          <w:szCs w:val="20"/>
          <w:color w:val="auto"/>
        </w:rPr>
      </w:pPr>
      <w:r>
        <w:rPr>
          <w:rFonts w:ascii="Arial" w:cs="Arial" w:eastAsia="Arial" w:hAnsi="Arial"/>
          <w:sz w:val="13"/>
          <w:szCs w:val="13"/>
          <w:color w:val="auto"/>
        </w:rPr>
        <w:t>For additional details, refer to the section titled “Business—Our Unique Brand Partner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83820</wp:posOffset>
            </wp:positionV>
            <wp:extent cx="755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64" w:lineRule="exact"/>
        <w:rPr>
          <w:sz w:val="20"/>
          <w:szCs w:val="20"/>
          <w:color w:val="auto"/>
        </w:rPr>
      </w:pPr>
    </w:p>
    <w:p>
      <w:pPr>
        <w:ind w:left="500" w:right="100" w:hanging="326"/>
        <w:spacing w:after="0" w:line="235" w:lineRule="auto"/>
        <w:tabs>
          <w:tab w:leader="none" w:pos="5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cost of accessory items, which made up less than 5% of the gross book value of rental product as of January 31, 2021, is recognized through straight-line depreciation with a two-year useful life and 30% salvage value.</w:t>
      </w:r>
    </w:p>
    <w:p>
      <w:pPr>
        <w:spacing w:after="0" w:line="1" w:lineRule="exact"/>
        <w:rPr>
          <w:rFonts w:ascii="Arial" w:cs="Arial" w:eastAsia="Arial" w:hAnsi="Arial"/>
          <w:sz w:val="13"/>
          <w:szCs w:val="13"/>
          <w:color w:val="auto"/>
        </w:rPr>
      </w:pPr>
    </w:p>
    <w:p>
      <w:pPr>
        <w:ind w:left="500" w:right="560" w:hanging="326"/>
        <w:spacing w:after="0" w:line="254" w:lineRule="auto"/>
        <w:tabs>
          <w:tab w:leader="none" w:pos="5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a small number of products bearing our trademarks, which are non-exclusive designs produced by third-party partners, or our owned brands. These products are purchased at a significantly lower average cost than Wholesale.</w:t>
      </w:r>
    </w:p>
    <w:p>
      <w:pPr>
        <w:spacing w:after="0" w:line="191" w:lineRule="exact"/>
        <w:rPr>
          <w:sz w:val="20"/>
          <w:szCs w:val="20"/>
          <w:color w:val="auto"/>
        </w:rPr>
      </w:pPr>
    </w:p>
    <w:p>
      <w:pPr>
        <w:ind w:left="180" w:right="200" w:firstLine="545"/>
        <w:spacing w:after="0" w:line="234" w:lineRule="auto"/>
        <w:rPr>
          <w:sz w:val="20"/>
          <w:szCs w:val="20"/>
          <w:color w:val="auto"/>
        </w:rPr>
      </w:pPr>
      <w:r>
        <w:rPr>
          <w:rFonts w:ascii="Arial" w:cs="Arial" w:eastAsia="Arial" w:hAnsi="Arial"/>
          <w:sz w:val="18"/>
          <w:szCs w:val="18"/>
          <w:color w:val="auto"/>
        </w:rPr>
        <w:t>Our product acquisition methods, Wholesale, Share by RTR and Exclusive Designs,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6" w:right="4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40" w:firstLine="545"/>
        <w:spacing w:after="0" w:line="246" w:lineRule="auto"/>
        <w:rPr>
          <w:sz w:val="20"/>
          <w:szCs w:val="20"/>
          <w:color w:val="auto"/>
        </w:rPr>
      </w:pPr>
      <w:r>
        <w:rPr>
          <w:rFonts w:ascii="Arial" w:cs="Arial" w:eastAsia="Arial" w:hAnsi="Arial"/>
          <w:sz w:val="17"/>
          <w:szCs w:val="17"/>
          <w:color w:val="auto"/>
        </w:rPr>
        <w:t>We may strategically adjust our mix of product acquisition channels in the future. Both our purchasing power and the diversification into Share by RTR and Exclusive Designs have led to a decrease in average upfront cost per item, defined as total upfront spend in a period divided by all items acquired in that period. Our average upfront cost per item has decreased by % per item in the first half of</w:t>
      </w:r>
    </w:p>
    <w:p>
      <w:pPr>
        <w:ind w:left="180" w:right="140"/>
        <w:spacing w:after="0" w:line="232" w:lineRule="auto"/>
        <w:rPr>
          <w:sz w:val="20"/>
          <w:szCs w:val="20"/>
          <w:color w:val="auto"/>
        </w:rPr>
      </w:pPr>
      <w:r>
        <w:rPr>
          <w:rFonts w:ascii="Arial" w:cs="Arial" w:eastAsia="Arial" w:hAnsi="Arial"/>
          <w:sz w:val="18"/>
          <w:szCs w:val="18"/>
          <w:color w:val="auto"/>
        </w:rPr>
        <w:t>fiscal year 2021 compared to fiscal year 2019, and decreased % in fiscal year 2019 compared to fiscal year 2014. We define total upfront spend as all cash costs incurred at the time of acquisition of product, including total cost for Wholesale items, upfront payments to brand partners for Share by RTR and Exclusive Designs, third party manufacturing costs for Exclusive Designs, and freight.</w:t>
      </w:r>
    </w:p>
    <w:p>
      <w:pPr>
        <w:spacing w:after="0" w:line="1" w:lineRule="exact"/>
        <w:rPr>
          <w:sz w:val="20"/>
          <w:szCs w:val="20"/>
          <w:color w:val="auto"/>
        </w:rPr>
      </w:pPr>
    </w:p>
    <w:p>
      <w:pPr>
        <w:ind w:left="180"/>
        <w:spacing w:after="0"/>
        <w:tabs>
          <w:tab w:leader="none" w:pos="6300" w:val="left"/>
          <w:tab w:leader="none" w:pos="8180" w:val="left"/>
        </w:tabs>
        <w:rPr>
          <w:sz w:val="20"/>
          <w:szCs w:val="20"/>
          <w:color w:val="auto"/>
        </w:rPr>
      </w:pPr>
      <w:r>
        <w:rPr>
          <w:rFonts w:ascii="Arial" w:cs="Arial" w:eastAsia="Arial" w:hAnsi="Arial"/>
          <w:sz w:val="18"/>
          <w:szCs w:val="18"/>
          <w:color w:val="auto"/>
        </w:rPr>
        <w:t>Our total upfront spend was $119.1 million in fiscal year 2019 and $</w:t>
      </w:r>
      <w:r>
        <w:rPr>
          <w:sz w:val="20"/>
          <w:szCs w:val="20"/>
          <w:color w:val="auto"/>
        </w:rPr>
        <w:tab/>
      </w:r>
      <w:r>
        <w:rPr>
          <w:rFonts w:ascii="Arial" w:cs="Arial" w:eastAsia="Arial" w:hAnsi="Arial"/>
          <w:sz w:val="18"/>
          <w:szCs w:val="18"/>
          <w:color w:val="auto"/>
        </w:rPr>
        <w:t>million in the</w:t>
      </w:r>
      <w:r>
        <w:rPr>
          <w:sz w:val="20"/>
          <w:szCs w:val="20"/>
          <w:color w:val="auto"/>
        </w:rPr>
        <w:tab/>
      </w:r>
      <w:r>
        <w:rPr>
          <w:rFonts w:ascii="Arial" w:cs="Arial" w:eastAsia="Arial" w:hAnsi="Arial"/>
          <w:sz w:val="17"/>
          <w:szCs w:val="17"/>
          <w:color w:val="auto"/>
        </w:rPr>
        <w:t>of fiscal year 2021.</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Financial Model</w:t>
      </w:r>
    </w:p>
    <w:p>
      <w:pPr>
        <w:spacing w:after="0" w:line="122" w:lineRule="exact"/>
        <w:rPr>
          <w:sz w:val="20"/>
          <w:szCs w:val="20"/>
          <w:color w:val="auto"/>
        </w:rPr>
      </w:pPr>
    </w:p>
    <w:p>
      <w:pPr>
        <w:ind w:left="180" w:right="100" w:firstLine="545"/>
        <w:spacing w:after="0" w:line="239" w:lineRule="auto"/>
        <w:rPr>
          <w:sz w:val="20"/>
          <w:szCs w:val="20"/>
          <w:color w:val="auto"/>
        </w:rPr>
      </w:pPr>
      <w:r>
        <w:rPr>
          <w:rFonts w:ascii="Arial" w:cs="Arial" w:eastAsia="Arial" w:hAnsi="Arial"/>
          <w:sz w:val="18"/>
          <w:szCs w:val="18"/>
          <w:color w:val="auto"/>
        </w:rPr>
        <w:t>The below chart illustrates the economics of our business from total revenue and ending at Contribution Profit for fiscal year 2020,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-6350</wp:posOffset>
            </wp:positionV>
            <wp:extent cx="5132070" cy="27990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32070" cy="279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0" w:hanging="212"/>
        <w:spacing w:after="0" w:line="256" w:lineRule="auto"/>
        <w:tabs>
          <w:tab w:leader="none" w:pos="92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Fulfillment Profit</w:t>
      </w:r>
      <w:r>
        <w:rPr>
          <w:rFonts w:ascii="Arial" w:cs="Arial" w:eastAsia="Arial" w:hAnsi="Arial"/>
          <w:sz w:val="17"/>
          <w:szCs w:val="17"/>
          <w:color w:val="auto"/>
        </w:rPr>
        <w:t>. We define Fulfillment Profit as total revenue less fulfillment expense. Fulfillment expense has typically been our</w:t>
      </w:r>
      <w:r>
        <w:rPr>
          <w:rFonts w:ascii="Arial" w:cs="Arial" w:eastAsia="Arial" w:hAnsi="Arial"/>
          <w:sz w:val="17"/>
          <w:szCs w:val="17"/>
          <w:i w:val="1"/>
          <w:iCs w:val="1"/>
          <w:color w:val="auto"/>
        </w:rPr>
        <w:t xml:space="preserve"> </w:t>
      </w:r>
      <w:r>
        <w:rPr>
          <w:rFonts w:ascii="Arial" w:cs="Arial" w:eastAsia="Arial" w:hAnsi="Arial"/>
          <w:sz w:val="17"/>
          <w:szCs w:val="17"/>
          <w:color w:val="auto"/>
        </w:rPr>
        <w:t>largest variable expense and includes our outbound shipping and labor costs to send items to customers, as well as inbound shipping, labor and product restoration costs when customers return their items. We use Fulfillment Profit and Fulfillment Profit as a percentage of revenue, or Fulfillment Margin, to measure the efficiency of inbound, outbound and processing costs. See the section titled “—Non-GAAP Financial Metrics” below for a reconciliation of Fulfillment Profit to the most relevant GAAP measure.</w:t>
      </w:r>
    </w:p>
    <w:p>
      <w:pPr>
        <w:spacing w:after="0" w:line="79" w:lineRule="exact"/>
        <w:rPr>
          <w:rFonts w:ascii="Arial" w:cs="Arial" w:eastAsia="Arial" w:hAnsi="Arial"/>
          <w:sz w:val="17"/>
          <w:szCs w:val="17"/>
          <w:color w:val="auto"/>
        </w:rPr>
      </w:pPr>
    </w:p>
    <w:p>
      <w:pPr>
        <w:ind w:left="920" w:right="20" w:hanging="212"/>
        <w:spacing w:after="0" w:line="239" w:lineRule="auto"/>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Gross Profit Excluding Product Depreciation</w:t>
      </w:r>
      <w:r>
        <w:rPr>
          <w:rFonts w:ascii="Arial" w:cs="Arial" w:eastAsia="Arial" w:hAnsi="Arial"/>
          <w:sz w:val="18"/>
          <w:szCs w:val="18"/>
          <w:color w:val="auto"/>
        </w:rPr>
        <w:t>. We define Gross Profit Excluding Product Depreciation as total revenue less</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expense and revenue share. Revenue share includes upfront payments and performance-based revenue share for items we acquire through Share by RTR and Exclusive Designs. We use Gross Profit Excluding Product Depreciation and Gross Profit Excluding Product Depreciation as a percentage of revenue, or Gross Margin Excluding Product Depreciation, to measure our total variable profit excluding non-cash</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40"/>
          </w:cols>
          <w:pgMar w:left="320" w:top="456"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940" w:right="240"/>
        <w:spacing w:after="0" w:line="237" w:lineRule="auto"/>
        <w:rPr>
          <w:sz w:val="20"/>
          <w:szCs w:val="20"/>
          <w:color w:val="auto"/>
        </w:rPr>
      </w:pPr>
      <w:r>
        <w:rPr>
          <w:rFonts w:ascii="Arial" w:cs="Arial" w:eastAsia="Arial" w:hAnsi="Arial"/>
          <w:sz w:val="18"/>
          <w:szCs w:val="18"/>
          <w:color w:val="auto"/>
        </w:rPr>
        <w:t>expenses as an indicator of the cash gross profit available to cover our costs and expenses and capital expenditures. See the section titled “—Non-GAAP Financial Metrics” below for a reconciliation of Gross Profit Excluding Product Depreciation to the most relevant GAAP measure.</w:t>
      </w:r>
    </w:p>
    <w:p>
      <w:pPr>
        <w:spacing w:after="0" w:line="90" w:lineRule="exact"/>
        <w:rPr>
          <w:sz w:val="20"/>
          <w:szCs w:val="20"/>
          <w:color w:val="auto"/>
        </w:rPr>
      </w:pPr>
    </w:p>
    <w:p>
      <w:pPr>
        <w:ind w:left="920" w:hanging="212"/>
        <w:spacing w:after="0" w:line="238" w:lineRule="auto"/>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We define Gross Profit as total revenue less fulfillment expense, revenue share and rental product depreciation. We</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w:t>
      </w:r>
    </w:p>
    <w:p>
      <w:pPr>
        <w:spacing w:after="0" w:line="90" w:lineRule="exact"/>
        <w:rPr>
          <w:rFonts w:ascii="Arial" w:cs="Arial" w:eastAsia="Arial" w:hAnsi="Arial"/>
          <w:sz w:val="18"/>
          <w:szCs w:val="18"/>
          <w:color w:val="auto"/>
        </w:rPr>
      </w:pPr>
    </w:p>
    <w:p>
      <w:pPr>
        <w:ind w:left="920" w:right="60" w:hanging="212"/>
        <w:spacing w:after="0" w:line="239" w:lineRule="auto"/>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Contribution Profit</w:t>
      </w:r>
      <w:r>
        <w:rPr>
          <w:rFonts w:ascii="Arial" w:cs="Arial" w:eastAsia="Arial" w:hAnsi="Arial"/>
          <w:sz w:val="18"/>
          <w:szCs w:val="18"/>
          <w:color w:val="auto"/>
        </w:rPr>
        <w:t>: We define Contribution Profit as total revenue, less fulfillment expense, revenue share, rental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credit card processing fees. We measure Contribution Profit and Contribution Profit as a percentage of revenue, or Contribution Margin, as a key measure of our overall efficiency, including fulfillment expense, total product costs and credit card fees. See the section titled “—Non-GAAP Financial Metrics” below for a reconciliation of Contribution Profit to the most relevant GAAP measure.</w:t>
      </w:r>
    </w:p>
    <w:p>
      <w:pPr>
        <w:spacing w:after="0" w:line="203" w:lineRule="exact"/>
        <w:rPr>
          <w:sz w:val="20"/>
          <w:szCs w:val="20"/>
          <w:color w:val="auto"/>
        </w:rPr>
      </w:pPr>
    </w:p>
    <w:p>
      <w:pPr>
        <w:jc w:val="both"/>
        <w:ind w:left="180" w:right="60" w:firstLine="545"/>
        <w:spacing w:after="0" w:line="237" w:lineRule="auto"/>
        <w:rPr>
          <w:sz w:val="20"/>
          <w:szCs w:val="20"/>
          <w:color w:val="auto"/>
        </w:rPr>
      </w:pPr>
      <w:r>
        <w:rPr>
          <w:rFonts w:ascii="Arial" w:cs="Arial" w:eastAsia="Arial" w:hAnsi="Arial"/>
          <w:sz w:val="18"/>
          <w:szCs w:val="18"/>
          <w:color w:val="auto"/>
        </w:rPr>
        <w:t>The below graph depicts Fulfillment Margin, Gross Margin Excluding Product Depreciation, Gross Margin and Contribution Margin in fiscal years 2019 and 2020. As we scale and continue to invest in our infrastructure, technology and platform, we expect our margins to improve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222250</wp:posOffset>
            </wp:positionV>
            <wp:extent cx="6786245" cy="2943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86245" cy="294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0" w:right="20" w:hanging="212"/>
        <w:spacing w:after="0" w:line="236" w:lineRule="auto"/>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Fulfillment Margin</w:t>
      </w:r>
      <w:r>
        <w:rPr>
          <w:rFonts w:ascii="Arial" w:cs="Arial" w:eastAsia="Arial" w:hAnsi="Arial"/>
          <w:sz w:val="18"/>
          <w:szCs w:val="18"/>
          <w:color w:val="auto"/>
        </w:rPr>
        <w:t>. Fulfillment Margin improved from 54% in fiscal year 2019 to 66% in fiscal year 2020 due to a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monthly shipments per subscriber in fiscal year 2020, partly due to the phase out of our unlimited swaps program and partly due to lower engagement during the COVID-19 pandemic. Historically, our unlimited swaps program allowed subscribers to receive as many shipments per month as desired, driving higher fulfillment expense as a percentage of revenue. Today, all of our memberships are structured around subscriber usage and priced to achieve similar target Gross Margins, such that subscribers pay for their desired number of items and shipments per month. In fiscal year 2020, we implemented additional labor automation, process efficiencies and transportation network diversification, and expect to continue to improve our Fulfillment Margin.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56"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920" w:right="180" w:hanging="212"/>
        <w:spacing w:after="0" w:line="238"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Gross Margin Excluding Product Depreciation</w:t>
      </w:r>
      <w:r>
        <w:rPr>
          <w:rFonts w:ascii="Arial" w:cs="Arial" w:eastAsia="Arial" w:hAnsi="Arial"/>
          <w:sz w:val="18"/>
          <w:szCs w:val="18"/>
          <w:color w:val="auto"/>
        </w:rPr>
        <w:t>. Gross Margin Excluding Product Depreciation improved from 50%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54% in fiscal year 2020 due to an improvement in our Fulfillment Margin, partially offset by higher revenue share expense as a percentage of total revenue. We have focused on reducing our upfront cash outlay for product acquisition by acquiring a greater portion of our product through Share by RTR, which has increased revenue share expense. Our revenue share expense increased from 4% of total revenue in fiscal year 2019 to 12% of total revenue in fiscal year 2020. The mix of channels we use to acquire products will impact our Gross Margin Excluding Product Depreciation.</w:t>
      </w:r>
    </w:p>
    <w:p>
      <w:pPr>
        <w:spacing w:after="0" w:line="90" w:lineRule="exact"/>
        <w:rPr>
          <w:rFonts w:ascii="Arial" w:cs="Arial" w:eastAsia="Arial" w:hAnsi="Arial"/>
          <w:sz w:val="18"/>
          <w:szCs w:val="18"/>
          <w:color w:val="auto"/>
        </w:rPr>
      </w:pPr>
    </w:p>
    <w:p>
      <w:pPr>
        <w:ind w:left="920" w:right="80" w:hanging="212"/>
        <w:spacing w:after="0" w:line="236"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decreased from 21% in fiscal year 2019 to 10% in fiscal year 2020. Due to a decrease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caused by COVID-19, the level of product on hand during fiscal year 2020 was over-sized relative to our average active subscriber base in the period. Since depreciation is recognized on a time-basis for all of our owned assets, rental product depreciation in fiscal year 2020 reflected costs associated with a level of product that had been acquired to support the higher number of active subscribers experienced in fiscal years 2018 and 2019 and planned growth in fiscal year 2020 prior to the COVID-19 pandemic. As a result, rental product depreciation increased from 29% of total revenue in fiscal year 2019 to 44% of total revenue in fiscal year 2020, as our total revenue and active subscribers decreased relative to fiscal year 2019 due to the COVID-19 pandemic. The mix of channels we use to acquire products will impact our Gross Margin.</w:t>
      </w:r>
    </w:p>
    <w:p>
      <w:pPr>
        <w:spacing w:after="0" w:line="94" w:lineRule="exact"/>
        <w:rPr>
          <w:rFonts w:ascii="Arial" w:cs="Arial" w:eastAsia="Arial" w:hAnsi="Arial"/>
          <w:sz w:val="18"/>
          <w:szCs w:val="18"/>
          <w:color w:val="auto"/>
        </w:rPr>
      </w:pPr>
    </w:p>
    <w:p>
      <w:pPr>
        <w:ind w:left="920" w:right="140" w:hanging="212"/>
        <w:spacing w:after="0" w:line="260"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decreased from 18% in fiscal year 2019 to 7% in fiscal year 2020, driven by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that led to a decrease in Gross Margin.</w:t>
      </w:r>
    </w:p>
    <w:p>
      <w:pPr>
        <w:spacing w:after="0" w:line="184" w:lineRule="exact"/>
        <w:rPr>
          <w:sz w:val="20"/>
          <w:szCs w:val="20"/>
          <w:color w:val="auto"/>
        </w:rPr>
      </w:pPr>
    </w:p>
    <w:p>
      <w:pPr>
        <w:ind w:left="180" w:firstLine="545"/>
        <w:spacing w:after="0" w:line="256" w:lineRule="auto"/>
        <w:rPr>
          <w:sz w:val="20"/>
          <w:szCs w:val="20"/>
          <w:color w:val="auto"/>
        </w:rPr>
      </w:pPr>
      <w:r>
        <w:rPr>
          <w:rFonts w:ascii="Arial" w:cs="Arial" w:eastAsia="Arial" w:hAnsi="Arial"/>
          <w:sz w:val="17"/>
          <w:szCs w:val="17"/>
          <w:color w:val="auto"/>
        </w:rPr>
        <w:t>The below graphic depicts our unit economics, or the economics of a weighted average subscription month and Reserve order (based on the proportion of Subscription and Reserve transactions in each period), in fiscal year 2019 and 2020. Revenue, Fulfillment Profit, Gross Profit Excluding Product Depreciation, Gross Profit and Contribution Profit include revenue and profit from all of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137795</wp:posOffset>
            </wp:positionV>
            <wp:extent cx="6786245" cy="36220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86245" cy="362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40"/>
          </w:cols>
          <w:pgMar w:left="320" w:top="456"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In addition to the profitability trends mentioned above, the increase in unit economics revenue from $127 in fiscal year 2019 to $150 in fiscal year 2020 was driven by a greater portion of our business coming from our Subscription offering.</w:t>
      </w:r>
    </w:p>
    <w:p>
      <w:pPr>
        <w:spacing w:after="0" w:line="202" w:lineRule="exact"/>
        <w:rPr>
          <w:sz w:val="20"/>
          <w:szCs w:val="20"/>
          <w:color w:val="auto"/>
        </w:rPr>
      </w:pPr>
    </w:p>
    <w:p>
      <w:pPr>
        <w:ind w:left="180" w:right="20" w:firstLine="545"/>
        <w:spacing w:after="0" w:line="239" w:lineRule="auto"/>
        <w:rPr>
          <w:sz w:val="20"/>
          <w:szCs w:val="20"/>
          <w:color w:val="auto"/>
        </w:rPr>
      </w:pPr>
      <w:r>
        <w:rPr>
          <w:rFonts w:ascii="Arial" w:cs="Arial" w:eastAsia="Arial" w:hAnsi="Arial"/>
          <w:sz w:val="18"/>
          <w:szCs w:val="18"/>
          <w:color w:val="auto"/>
        </w:rPr>
        <w:t>Our business model and margins were impacted by COVID-19, refer to the section titled “Impact of COVID-19 on Our Business” for more information.</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180" w:right="180" w:firstLine="545"/>
        <w:spacing w:after="0" w:line="237"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 including those discussed below and in the section titled “Risk Factors.”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Subscribers and Customers</w:t>
      </w:r>
    </w:p>
    <w:p>
      <w:pPr>
        <w:spacing w:after="0" w:line="100" w:lineRule="exact"/>
        <w:rPr>
          <w:sz w:val="20"/>
          <w:szCs w:val="20"/>
          <w:color w:val="auto"/>
        </w:rPr>
      </w:pPr>
    </w:p>
    <w:p>
      <w:pPr>
        <w:ind w:left="180" w:right="60" w:firstLine="545"/>
        <w:spacing w:after="0"/>
        <w:rPr>
          <w:sz w:val="20"/>
          <w:szCs w:val="20"/>
          <w:color w:val="auto"/>
        </w:rPr>
      </w:pPr>
      <w:r>
        <w:rPr>
          <w:rFonts w:ascii="Arial" w:cs="Arial" w:eastAsia="Arial" w:hAnsi="Arial"/>
          <w:sz w:val="18"/>
          <w:szCs w:val="18"/>
          <w:b w:val="1"/>
          <w:bCs w:val="1"/>
          <w:i w:val="1"/>
          <w:iCs w:val="1"/>
          <w:color w:val="auto"/>
        </w:rPr>
        <w:t xml:space="preserve">Our Attractive Cohort Trends. </w:t>
      </w:r>
      <w:r>
        <w:rPr>
          <w:rFonts w:ascii="Arial" w:cs="Arial" w:eastAsia="Arial" w:hAnsi="Arial"/>
          <w:sz w:val="18"/>
          <w:szCs w:val="18"/>
          <w:color w:val="auto"/>
        </w:rPr>
        <w:t>We believe that we have a significant market opportunity ahead of us to increase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and our long-term growth depends in large part on our continued ability to acquire new subscribers and retain existing subscribers. We attract new subscribers directly into our Subscription offering, and through conversions of customers into subscribers from our Reserve and Resale offerings. Reserve has historically been a productive funnel into our Subscription offering, and we believe our Resale offering could provide a similar opportunity to drive acquisition into our Subscription offering.</w:t>
      </w:r>
    </w:p>
    <w:p>
      <w:pPr>
        <w:spacing w:after="0" w:line="203"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color w:val="auto"/>
        </w:rPr>
        <w:t>We assess the strong retention of our subscribers and customers by analyzing the individual performance of our historical customer cohorts over time. We believe that the performance of our historical customer cohorts supports our strategy of investing in subscriber and customer acquisition and enhancing the scale of our platform.</w:t>
      </w:r>
    </w:p>
    <w:p>
      <w:pPr>
        <w:spacing w:after="0" w:line="180" w:lineRule="exact"/>
        <w:rPr>
          <w:sz w:val="20"/>
          <w:szCs w:val="20"/>
          <w:color w:val="auto"/>
        </w:rPr>
      </w:pPr>
    </w:p>
    <w:p>
      <w:pPr>
        <w:ind w:left="180" w:right="60" w:firstLine="545"/>
        <w:spacing w:after="0" w:line="236" w:lineRule="auto"/>
        <w:rPr>
          <w:sz w:val="20"/>
          <w:szCs w:val="20"/>
          <w:color w:val="auto"/>
        </w:rPr>
      </w:pPr>
      <w:r>
        <w:rPr>
          <w:rFonts w:ascii="Arial" w:cs="Arial" w:eastAsia="Arial" w:hAnsi="Arial"/>
          <w:sz w:val="18"/>
          <w:szCs w:val="18"/>
          <w:b w:val="1"/>
          <w:bCs w:val="1"/>
          <w:i w:val="1"/>
          <w:iCs w:val="1"/>
          <w:color w:val="auto"/>
        </w:rPr>
        <w:t xml:space="preserve">Customer Cohorts. </w:t>
      </w:r>
      <w:r>
        <w:rPr>
          <w:rFonts w:ascii="Arial" w:cs="Arial" w:eastAsia="Arial" w:hAnsi="Arial"/>
          <w:sz w:val="18"/>
          <w:szCs w:val="18"/>
          <w:color w:val="auto"/>
        </w:rPr>
        <w:t>The chart below indicates cumulative revenue per customer by customer cohort, which is defined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cumulative total revenue generated by a cohort across all of our product offerings, divided by the original number of customers in the cohort. Customers are placed in cohorts based on the fiscal year in which they first transacted with RTR. Due to varying customer behavior throughout fiscal year 2020, we have divided the 2020 cohort into two sub-cohorts, each of which includes smaller monthly cohorts than those of fiscal year 2018 and 2019. We define the FY 2020 Early COVID cohort as new customers who joined from February 2020 to May 2020, and this cohort is characterized by broad shelter-in-place restrictions during their initial customer months. We define the FY 2020 Late COVID cohort as new customers who joined from June 2020 to January 2021, and this cohort is characterized by a partial return-to-work, special events and social events through social distancing requirements. Our customer cohorts demonstrate the continued spend and expansion of our customers:</w:t>
      </w:r>
    </w:p>
    <w:p>
      <w:pPr>
        <w:spacing w:after="0" w:line="114" w:lineRule="exact"/>
        <w:rPr>
          <w:sz w:val="20"/>
          <w:szCs w:val="20"/>
          <w:color w:val="auto"/>
        </w:rPr>
      </w:pPr>
    </w:p>
    <w:p>
      <w:pPr>
        <w:ind w:left="920" w:right="40" w:hanging="212"/>
        <w:spacing w:after="0" w:line="237" w:lineRule="auto"/>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successive cohort has higher spending patterns, except for the FY 2020 Early COVID cohort, which was most impacted by COVID-19. Higher spending is driven by increased customer loyalty and customers renting for more days per year, particularly through our Subscription offering.</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significant portion of our total revenue in each year is generated from customers acquired in previous years.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FY 2020 Late COVID cohort, which is less impacted by COVID-19, is exhibiting better trends than our 2019 cohort.</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6"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2"/>
        <w:spacing w:after="0" w:line="236" w:lineRule="auto"/>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 the last two years, we have become better at directing customers to higher revenue offerings, particularly our subscriptions, which has driven a year-over-year improvement in cumulative revenue per customer by cohort as a greater percentage of our customers are subscribers. After the first six months as a customer, we see an inflection in spending as our most loyal customers remain on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1106805</wp:posOffset>
            </wp:positionH>
            <wp:positionV relativeFrom="paragraph">
              <wp:posOffset>221615</wp:posOffset>
            </wp:positionV>
            <wp:extent cx="4936490" cy="23666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3649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i w:val="1"/>
          <w:iCs w:val="1"/>
          <w:color w:val="auto"/>
        </w:rPr>
        <w:t>Subscriber Cohorts.</w:t>
      </w:r>
      <w:r>
        <w:rPr>
          <w:sz w:val="20"/>
          <w:szCs w:val="20"/>
          <w:color w:val="auto"/>
        </w:rPr>
        <w:tab/>
      </w:r>
      <w:r>
        <w:rPr>
          <w:rFonts w:ascii="Arial" w:cs="Arial" w:eastAsia="Arial" w:hAnsi="Arial"/>
          <w:sz w:val="17"/>
          <w:szCs w:val="17"/>
          <w:color w:val="auto"/>
        </w:rPr>
        <w:t>In addition to evaluating the behavior of our entire customer base, we also focus specifically on the</w:t>
      </w:r>
    </w:p>
    <w:p>
      <w:pPr>
        <w:spacing w:after="0" w:line="15" w:lineRule="exact"/>
        <w:rPr>
          <w:sz w:val="20"/>
          <w:szCs w:val="20"/>
          <w:color w:val="auto"/>
        </w:rPr>
      </w:pPr>
    </w:p>
    <w:p>
      <w:pPr>
        <w:jc w:val="both"/>
        <w:ind w:left="180"/>
        <w:spacing w:after="0" w:line="237" w:lineRule="auto"/>
        <w:rPr>
          <w:sz w:val="20"/>
          <w:szCs w:val="20"/>
          <w:color w:val="auto"/>
        </w:rPr>
      </w:pPr>
      <w:r>
        <w:rPr>
          <w:rFonts w:ascii="Arial" w:cs="Arial" w:eastAsia="Arial" w:hAnsi="Arial"/>
          <w:sz w:val="18"/>
          <w:szCs w:val="18"/>
          <w:color w:val="auto"/>
        </w:rPr>
        <w:t>behavior of subscribers given they contribute to the majority of our revenue. For the first six months of fiscal year 2021, % of our total revenue was generated by subscribers. This makes understanding their continued spend, expansion and potential lifetime value relative to customer acquisition cost particularly important.</w:t>
      </w:r>
    </w:p>
    <w:p>
      <w:pPr>
        <w:spacing w:after="0" w:line="202" w:lineRule="exact"/>
        <w:rPr>
          <w:sz w:val="20"/>
          <w:szCs w:val="20"/>
          <w:color w:val="auto"/>
        </w:rPr>
      </w:pPr>
    </w:p>
    <w:p>
      <w:pPr>
        <w:ind w:left="180" w:right="100" w:firstLine="545"/>
        <w:spacing w:after="0" w:line="236" w:lineRule="auto"/>
        <w:rPr>
          <w:sz w:val="20"/>
          <w:szCs w:val="20"/>
          <w:color w:val="auto"/>
        </w:rPr>
      </w:pPr>
      <w:r>
        <w:rPr>
          <w:rFonts w:ascii="Arial" w:cs="Arial" w:eastAsia="Arial" w:hAnsi="Arial"/>
          <w:sz w:val="18"/>
          <w:szCs w:val="18"/>
          <w:color w:val="auto"/>
        </w:rPr>
        <w:t>The table below presents cumulative revenue per subscriber by cohort. Cumulative revenue per subscriber by cohort is defined as cumulative total revenue generated across all of our product offerings (including Subscription, Reserve or Resale) by customers who are current or previous subscribers, divided by the original number of subscribers in the cohort. Subscribers are placed in cohorts based on the fiscal year in which they first joined a subscription program.</w:t>
      </w:r>
    </w:p>
    <w:p>
      <w:pPr>
        <w:spacing w:after="0" w:line="108" w:lineRule="exact"/>
        <w:rPr>
          <w:sz w:val="20"/>
          <w:szCs w:val="20"/>
          <w:color w:val="auto"/>
        </w:rPr>
      </w:pPr>
    </w:p>
    <w:p>
      <w:pPr>
        <w:ind w:left="920" w:right="340" w:hanging="212"/>
        <w:spacing w:after="0" w:line="239" w:lineRule="auto"/>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Within 3, 6 and 12 months, subscribers from our fiscal year 2018 and 2019 cohorts generated an average of $286, $460 and $691 in cumulative revenue, respectively.</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FY 2020 Late COVID cohort is exhibiting similar trends to our FY 2018 and FY 2019 cohorts.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6"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201930</wp:posOffset>
            </wp:positionV>
            <wp:extent cx="5038725" cy="15011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38725" cy="150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We provide a flexible offering that allows our subscribers to pause their membership. We have seen historically that many</w:t>
      </w:r>
    </w:p>
    <w:p>
      <w:pPr>
        <w:jc w:val="center"/>
        <w:ind w:right="100"/>
        <w:spacing w:after="0"/>
        <w:rPr>
          <w:sz w:val="20"/>
          <w:szCs w:val="20"/>
          <w:color w:val="auto"/>
        </w:rPr>
      </w:pPr>
      <w:r>
        <w:rPr>
          <w:rFonts w:ascii="Arial" w:cs="Arial" w:eastAsia="Arial" w:hAnsi="Arial"/>
          <w:sz w:val="18"/>
          <w:szCs w:val="18"/>
          <w:color w:val="auto"/>
        </w:rPr>
        <w:t>subscribers customize their subscription as their everyday life changes, choosing to pause and reactivate their membership as needed.</w:t>
      </w:r>
    </w:p>
    <w:p>
      <w:pPr>
        <w:spacing w:after="0" w:line="207" w:lineRule="exact"/>
        <w:rPr>
          <w:sz w:val="20"/>
          <w:szCs w:val="20"/>
          <w:color w:val="auto"/>
        </w:rPr>
      </w:pPr>
    </w:p>
    <w:p>
      <w:pPr>
        <w:ind w:left="180" w:firstLine="545"/>
        <w:spacing w:after="0" w:line="246" w:lineRule="auto"/>
        <w:rPr>
          <w:sz w:val="20"/>
          <w:szCs w:val="20"/>
          <w:color w:val="auto"/>
        </w:rPr>
      </w:pPr>
      <w:r>
        <w:rPr>
          <w:rFonts w:ascii="Arial" w:cs="Arial" w:eastAsia="Arial" w:hAnsi="Arial"/>
          <w:sz w:val="17"/>
          <w:szCs w:val="17"/>
          <w:color w:val="auto"/>
        </w:rPr>
        <w:t>We acquire subscribers efficiently as evidenced by 88% of our lifetime customers having joined organically. Historically, our cost to acquire a customer, or CAC, has remained below $55 and we define our CAC as total marketing expense, other than employee expenses,</w:t>
      </w:r>
    </w:p>
    <w:p>
      <w:pPr>
        <w:ind w:left="180" w:right="360"/>
        <w:spacing w:after="0" w:line="239" w:lineRule="auto"/>
        <w:rPr>
          <w:sz w:val="20"/>
          <w:szCs w:val="20"/>
          <w:color w:val="auto"/>
        </w:rPr>
      </w:pPr>
      <w:r>
        <w:rPr>
          <w:rFonts w:ascii="Arial" w:cs="Arial" w:eastAsia="Arial" w:hAnsi="Arial"/>
          <w:sz w:val="18"/>
          <w:szCs w:val="18"/>
          <w:color w:val="auto"/>
        </w:rPr>
        <w:t>during a period divided by the number of new customers acquired in that period. Contribution Margins of 18% and % in fiscal year 2019 and the first half of fiscal year 2021, respectively, drive our efficient payback.</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00" w:lineRule="exact"/>
        <w:rPr>
          <w:sz w:val="20"/>
          <w:szCs w:val="20"/>
          <w:color w:val="auto"/>
        </w:rPr>
      </w:pPr>
    </w:p>
    <w:p>
      <w:pPr>
        <w:jc w:val="both"/>
        <w:ind w:left="180" w:right="120" w:firstLine="545"/>
        <w:spacing w:after="0" w:line="243" w:lineRule="auto"/>
        <w:rPr>
          <w:sz w:val="20"/>
          <w:szCs w:val="20"/>
          <w:color w:val="auto"/>
        </w:rPr>
      </w:pPr>
      <w:r>
        <w:rPr>
          <w:rFonts w:ascii="Arial" w:cs="Arial" w:eastAsia="Arial" w:hAnsi="Arial"/>
          <w:sz w:val="18"/>
          <w:szCs w:val="18"/>
          <w:b w:val="1"/>
          <w:bCs w:val="1"/>
          <w:i w:val="1"/>
          <w:iCs w:val="1"/>
          <w:color w:val="auto"/>
        </w:rPr>
        <w:t xml:space="preserve">Ability to Acquire and Monetize Products Efficiently. </w:t>
      </w:r>
      <w:r>
        <w:rPr>
          <w:rFonts w:ascii="Arial" w:cs="Arial" w:eastAsia="Arial" w:hAnsi="Arial"/>
          <w:sz w:val="18"/>
          <w:szCs w:val="18"/>
          <w:color w:val="auto"/>
        </w:rPr>
        <w:t>Our ability to deliver an elevated experience for our customers relies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deep partnerships with brand partners. We have demonstrated the ability to deepen our assortment with brands and have diversified our access to products across Wholesale, Share by RTR and Exclusive Designs, driving high overall product return on investment, while reducing the working capital needs of the business.</w:t>
      </w:r>
    </w:p>
    <w:p>
      <w:pPr>
        <w:spacing w:after="0" w:line="199" w:lineRule="exact"/>
        <w:rPr>
          <w:sz w:val="20"/>
          <w:szCs w:val="20"/>
          <w:color w:val="auto"/>
        </w:rPr>
      </w:pPr>
    </w:p>
    <w:p>
      <w:pPr>
        <w:ind w:left="180" w:right="20" w:firstLine="545"/>
        <w:spacing w:after="0" w:line="234" w:lineRule="auto"/>
        <w:rPr>
          <w:sz w:val="20"/>
          <w:szCs w:val="20"/>
          <w:color w:val="auto"/>
        </w:rPr>
      </w:pPr>
      <w:r>
        <w:rPr>
          <w:rFonts w:ascii="Arial" w:cs="Arial" w:eastAsia="Arial" w:hAnsi="Arial"/>
          <w:sz w:val="18"/>
          <w:szCs w:val="18"/>
          <w:color w:val="auto"/>
        </w:rPr>
        <w:t>We monitor our ability to acquire, monetize and make a return on a product over its lifetime. Based on the average lifetime turns as of June 2021 of all items we acquired in fiscal years 2015, 2016 and 2017, we have determined that an item can turn a minimum of 20 times on average over its lifetime. Our historical average for lifetime turns is inclusive of items that have been taken out of circulation due to damage, deactivation or resale, and we expect turns for these historical cohorts to increase as a portion of these items are still in circulation. The number of times we turn an item, combined with our highly innovative product acquisition strategy and increasing margins, drives an attractive return on investment on our products.</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w:t>
      </w:r>
    </w:p>
    <w:p>
      <w:pPr>
        <w:spacing w:after="0" w:line="100" w:lineRule="exact"/>
        <w:rPr>
          <w:sz w:val="20"/>
          <w:szCs w:val="20"/>
          <w:color w:val="auto"/>
        </w:rPr>
      </w:pPr>
    </w:p>
    <w:p>
      <w:pPr>
        <w:ind w:left="180" w:right="40" w:firstLine="545"/>
        <w:spacing w:after="0" w:line="248"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maintaining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increasing profitability. As we continue to grow, we expect our operating costs to increase but do not expect these costs to grow at the same pace as our total revenue.</w:t>
      </w:r>
    </w:p>
    <w:p>
      <w:pPr>
        <w:spacing w:after="0" w:line="195" w:lineRule="exact"/>
        <w:rPr>
          <w:sz w:val="20"/>
          <w:szCs w:val="20"/>
          <w:color w:val="auto"/>
        </w:rPr>
      </w:pPr>
    </w:p>
    <w:p>
      <w:pPr>
        <w:ind w:left="180" w:right="180" w:firstLine="545"/>
        <w:spacing w:after="0" w:line="236"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201" w:lineRule="exact"/>
        <w:rPr>
          <w:sz w:val="20"/>
          <w:szCs w:val="20"/>
          <w:color w:val="auto"/>
        </w:rPr>
      </w:pPr>
    </w:p>
    <w:p>
      <w:pPr>
        <w:ind w:left="180" w:right="80" w:firstLine="545"/>
        <w:spacing w:after="0" w:line="239" w:lineRule="auto"/>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and are focused on driving additional efficiencies in our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6"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
        <w:spacing w:after="0" w:line="239" w:lineRule="auto"/>
        <w:rPr>
          <w:sz w:val="20"/>
          <w:szCs w:val="20"/>
          <w:color w:val="auto"/>
        </w:rPr>
      </w:pPr>
      <w:r>
        <w:rPr>
          <w:rFonts w:ascii="Arial" w:cs="Arial" w:eastAsia="Arial" w:hAnsi="Arial"/>
          <w:sz w:val="18"/>
          <w:szCs w:val="18"/>
          <w:color w:val="auto"/>
        </w:rPr>
        <w:t>operating expenses. We monitor profitability by assessing Fulfillment Margin, Gross Margin Excluding Product Depreciation, Gross Margin and Contribution Margin.</w:t>
      </w:r>
    </w:p>
    <w:p>
      <w:pPr>
        <w:spacing w:after="0" w:line="180" w:lineRule="exact"/>
        <w:rPr>
          <w:sz w:val="20"/>
          <w:szCs w:val="20"/>
          <w:color w:val="auto"/>
        </w:rPr>
      </w:pPr>
    </w:p>
    <w:p>
      <w:pPr>
        <w:ind w:left="180" w:right="200" w:firstLine="545"/>
        <w:spacing w:after="0" w:line="243"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We experience seasonality in our business, which may change due to the effects of the COVID-19 pandemic.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Subscription offering, we typically acquire the highest number of subscribers in the third and fourth fiscal quarters, and we generally see a greater number of paused subscriptions in the winter and summer months. We typically realize a higher portion of revenue from Reserve rentals during our third and fourth fiscal quarters as a result of increased wedding and holiday events.</w:t>
      </w: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ind w:left="180" w:right="80" w:firstLine="545"/>
        <w:spacing w:after="0" w:line="233" w:lineRule="auto"/>
        <w:rPr>
          <w:sz w:val="20"/>
          <w:szCs w:val="20"/>
          <w:color w:val="auto"/>
        </w:rPr>
      </w:pPr>
      <w:r>
        <w:rPr>
          <w:rFonts w:ascii="Arial" w:cs="Arial" w:eastAsia="Arial" w:hAnsi="Arial"/>
          <w:sz w:val="18"/>
          <w:szCs w:val="18"/>
          <w:color w:val="auto"/>
        </w:rPr>
        <w:t>The COVID-19 pandemic materially adversely affected our fiscal year 2020 operating and financial results. Beginning in March 2020, positivity rates and shelter-in-place restrictions significantly reduced consumer demand for our Subscription and Reserve offerings due to a sharp decrease in interactions outside the home, social gatherings, special events and in-office work. Unlike the retail model where a customer can invest in an article of clothing to wear in the future, we primarily operate a “rent now, wear now” subscription model where subscribers are picking items for immediate use. Throughout 2020, we observed that consumer demand decreases were closely tied to COVID-19 positivity rates and social distancing/shelter-at-home restrictions. As COVID-19 restrictions have been relaxed and virus positivity rates have declined, we have seen increased demand for our offerings.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As of the date of this prospectus, our operations and customer demand have not been significantly impacted, but we continue to monitor the situation.</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Immediate Response to COVID-19</w:t>
      </w:r>
    </w:p>
    <w:p>
      <w:pPr>
        <w:spacing w:after="0" w:line="122"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Our first priority was to protect the health and safety of our employees. In February 2020, we created a cross-functional taskforce to lead our COVID-19-related employee initiatives and we have instituted numerous health and safety measures throughout the pandemic based on public health guidelines and recommended best practices. For example, in our fulfillment centers, we instituted numerous health and safety measures including social distancing, on-site medical services, and enhanced cleaning, and we relaxed attendance policies. We shifted nearly all of our corporate and customer service employees to a remote work model in March 2020 and implemented additional measures to better enable them to work remotely.</w:t>
      </w:r>
    </w:p>
    <w:p>
      <w:pPr>
        <w:spacing w:after="0" w:line="205"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We took immediate financial actions to withstand COVID-19. We paused paid advertising and marketing activities and implemented other cost-saving measures to reduce operating and capital expenditures in the short term. In April 2020, we reduced salaries for the large majority of corporate employees for three months, and temporarily paused all recruiting efforts. After being temporarily closed since March 2020, we announced the permanent closure of our brick and mortar retail stores in July and August 2020. Both of our fulfillment centers remained open throughout the pandemic, however we resized our workforce to better align labor to demand and managed our fulfillment expense through releases, furloughs, and shift schedule adjustments. Overall, during fiscal year 2020, we laid off 31% and furloughed 34% of all employees. In addition, the financial actions we took resulted in a 53% reduction in operating expenses, capital expenditures and product costs, as compared to our pre-COVID-19 budget for April 2020 through January 2021, the remainder of fiscal year 2020 that we had the opportunity to impact.</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Agility and Resilience During COVID-19</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 addition to cost cutting, we took a number of steps to emerge from COVID-19 as a stronger business financially and strategically.</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believed that the pandemic would shift consumer values and behaviors. With that goal in mind, we took the following actions:</w:t>
      </w:r>
    </w:p>
    <w:p>
      <w:pPr>
        <w:spacing w:after="0" w:line="114" w:lineRule="exact"/>
        <w:rPr>
          <w:sz w:val="20"/>
          <w:szCs w:val="20"/>
          <w:color w:val="auto"/>
        </w:rPr>
      </w:pPr>
    </w:p>
    <w:p>
      <w:pPr>
        <w:jc w:val="both"/>
        <w:ind w:left="1340" w:right="40" w:hanging="632"/>
        <w:spacing w:after="0" w:line="235" w:lineRule="auto"/>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Transformed product acquisition from a majority Wholesale model to more Share by RTR. We increased the penetration of Share by RTR from 32% of units acquired in our original pre-COVID-19 plan to 54% for the second half of fiscal year 2020. Through Share by RTR, we allowed our brand partners to participate in revenue generated during COVID-19 and potential financial upside post-pandemic. By April 2020, we reduced upfront product spend for the second half of fiscal 2020 by over 80% as compared to our original budget.</w:t>
      </w:r>
    </w:p>
    <w:p>
      <w:pPr>
        <w:spacing w:after="0" w:line="108" w:lineRule="exact"/>
        <w:rPr>
          <w:rFonts w:ascii="Arial" w:cs="Arial" w:eastAsia="Arial" w:hAnsi="Arial"/>
          <w:sz w:val="18"/>
          <w:szCs w:val="18"/>
          <w:color w:val="auto"/>
        </w:rPr>
      </w:pPr>
    </w:p>
    <w:p>
      <w:pPr>
        <w:ind w:left="1340" w:right="100" w:hanging="632"/>
        <w:spacing w:after="0" w:line="236" w:lineRule="auto"/>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Phased out our “unlimited swaps” program and transitioned towards customizable subscription plans that are intended to better meet customer needs, and drive higher margins than our previous subscription offering. Our belief was that multiple subscription programs and more diverse price points would offer a lower entry price point into subscription during COVID-19 and help attract and retain a more diversified subscriber base as a go-forward strategy.</w:t>
      </w:r>
    </w:p>
    <w:p>
      <w:pPr>
        <w:spacing w:after="0" w:line="107" w:lineRule="exact"/>
        <w:rPr>
          <w:rFonts w:ascii="Arial" w:cs="Arial" w:eastAsia="Arial" w:hAnsi="Arial"/>
          <w:sz w:val="18"/>
          <w:szCs w:val="18"/>
          <w:color w:val="auto"/>
        </w:rPr>
      </w:pPr>
    </w:p>
    <w:p>
      <w:pPr>
        <w:ind w:left="1340" w:right="60" w:hanging="632"/>
        <w:spacing w:after="0" w:line="237" w:lineRule="auto"/>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Launched Resale for subscribers and then expanded it to all customers to better monetize our active subscribers during COVID-19 and to broaden our funnel for the future. Our belief was that resale could be a new growth engine and customer acquisition funnel for RTR.</w:t>
      </w:r>
    </w:p>
    <w:p>
      <w:pPr>
        <w:spacing w:after="0" w:line="108" w:lineRule="exact"/>
        <w:rPr>
          <w:rFonts w:ascii="Arial" w:cs="Arial" w:eastAsia="Arial" w:hAnsi="Arial"/>
          <w:sz w:val="18"/>
          <w:szCs w:val="18"/>
          <w:color w:val="auto"/>
        </w:rPr>
      </w:pPr>
    </w:p>
    <w:p>
      <w:pPr>
        <w:ind w:left="1340" w:right="540" w:hanging="632"/>
        <w:spacing w:after="0" w:line="237" w:lineRule="auto"/>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While volume in our fulfillment centers was lower, we implemented significant process changes and technological innovation, such as increased automation, radio-frequency identification tags, or RFID tags, machine vision and new garment science processes to continue to improve our operational efficiencies and processing capacity.</w:t>
      </w:r>
    </w:p>
    <w:p>
      <w:pPr>
        <w:spacing w:after="0" w:line="108" w:lineRule="exact"/>
        <w:rPr>
          <w:rFonts w:ascii="Arial" w:cs="Arial" w:eastAsia="Arial" w:hAnsi="Arial"/>
          <w:sz w:val="18"/>
          <w:szCs w:val="18"/>
          <w:color w:val="auto"/>
        </w:rPr>
      </w:pPr>
    </w:p>
    <w:p>
      <w:pPr>
        <w:ind w:left="1340" w:right="20" w:hanging="632"/>
        <w:spacing w:after="0" w:line="236" w:lineRule="auto"/>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Encouraged new use cases, including at-home casual wear, loungewear, knits and activewear, which went from being 25% of items at home in May 2019 to 46% in May 2020, expanding how subscribers think about our business. As subscribers are resuming more normal lives in 2021, we are seeing an expansion in the diversity of use cases for which they think of using Rent the Runway.</w:t>
      </w:r>
    </w:p>
    <w:p>
      <w:pPr>
        <w:spacing w:after="0" w:line="107" w:lineRule="exact"/>
        <w:rPr>
          <w:rFonts w:ascii="Arial" w:cs="Arial" w:eastAsia="Arial" w:hAnsi="Arial"/>
          <w:sz w:val="18"/>
          <w:szCs w:val="18"/>
          <w:color w:val="auto"/>
        </w:rPr>
      </w:pPr>
    </w:p>
    <w:p>
      <w:pPr>
        <w:ind w:left="1340" w:right="160" w:hanging="632"/>
        <w:spacing w:after="0" w:line="237" w:lineRule="auto"/>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Launched new features such as cross-ship and expanded our drop-off box network and inbound customer return options, providing subscribers with more flexibility and immediacy in their swapping experience and removing friction from the experience in order to increase retention of subscribers.</w:t>
      </w:r>
    </w:p>
    <w:p>
      <w:pPr>
        <w:spacing w:after="0" w:line="108" w:lineRule="exact"/>
        <w:rPr>
          <w:rFonts w:ascii="Arial" w:cs="Arial" w:eastAsia="Arial" w:hAnsi="Arial"/>
          <w:sz w:val="18"/>
          <w:szCs w:val="18"/>
          <w:color w:val="auto"/>
        </w:rPr>
      </w:pPr>
    </w:p>
    <w:p>
      <w:pPr>
        <w:ind w:left="1340" w:hanging="632"/>
        <w:spacing w:after="0" w:line="233" w:lineRule="auto"/>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From approximately April 2020 to August 2020, made it easy for customers to pause, rather than cancel, their subscriptions to encourage retention during the COVID-19 pandemic by announcing proactive extensions of “pause” states so that subscribers did not have to return to the website, or reach out to customer service, to extend their paused states themselves; proactively re-pausing subscribers who automatically resumed their subscription out of paused states, but did not use their subscription, within four days of their resume date; and launching a feature where subscribers could pause their membership and keep some or all of the items at home for a fixed fee per item per month. The new feature gave subscribers flexibility to keep enjoying a limited number of items and/or gave subscribers the option to continue to shelter-in-place rather than visiting a return location or scheduling a pick-up. Additionally, during the COVID-19 pandemic through April 2021, subscribers were able to pause one month at a time using our online “pause” button, or were able to pause for one, two, or three months at a time by reaching out to our customer service team. Currently, subscribers are able to pause their subscriptions for one month at a time. As of the end of fiscal year 2020, our total subscriber base (active and paused) represented 64% of our pre-COVID-19 total subscriber base (as measured on March 8, 2020).</w:t>
      </w:r>
    </w:p>
    <w:p>
      <w:pPr>
        <w:spacing w:after="0" w:line="113" w:lineRule="exact"/>
        <w:rPr>
          <w:rFonts w:ascii="Arial" w:cs="Arial" w:eastAsia="Arial" w:hAnsi="Arial"/>
          <w:sz w:val="18"/>
          <w:szCs w:val="18"/>
          <w:color w:val="auto"/>
        </w:rPr>
      </w:pPr>
    </w:p>
    <w:p>
      <w:pPr>
        <w:jc w:val="both"/>
        <w:ind w:left="1340" w:right="20" w:hanging="632"/>
        <w:spacing w:after="0" w:line="237" w:lineRule="auto"/>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Focused on sustainability, including conducting a Life Cycle Assessment, or LCA Study, to further understand the impact of Rent the Runway’s rental platform compared to existing linear models in the fashion industry. We also launched an internal taskforce dedicated to driving our sustainability efforts internally</w:t>
      </w:r>
      <w:r>
        <w:rPr>
          <w:rFonts w:ascii="Arial" w:cs="Arial" w:eastAsia="Arial" w:hAnsi="Arial"/>
          <w:sz w:val="18"/>
          <w:szCs w:val="18"/>
          <w:b w:val="1"/>
          <w:bCs w:val="1"/>
          <w:color w:val="auto"/>
        </w:rPr>
        <w: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40"/>
          </w:cols>
          <w:pgMar w:left="320" w:top="455"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40" w:right="160" w:hanging="632"/>
        <w:spacing w:after="0" w:line="236" w:lineRule="auto"/>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Focused on employee experience and providing high-touch, transparent, real-time communication. Throughout 2020, our employees at every level of the organization exemplified our Core Values of passion, innovation and resiliency by acting like founders, helping the business to withstand the COVID-19 pandemic and creating opportunities to make the business better.</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Impact</w:t>
      </w:r>
    </w:p>
    <w:p>
      <w:pPr>
        <w:spacing w:after="0" w:line="122" w:lineRule="exact"/>
        <w:rPr>
          <w:sz w:val="20"/>
          <w:szCs w:val="20"/>
          <w:color w:val="auto"/>
        </w:rPr>
      </w:pPr>
    </w:p>
    <w:p>
      <w:pPr>
        <w:ind w:left="180" w:right="80" w:firstLine="545"/>
        <w:spacing w:after="0" w:line="253" w:lineRule="auto"/>
        <w:rPr>
          <w:sz w:val="20"/>
          <w:szCs w:val="20"/>
          <w:color w:val="auto"/>
        </w:rPr>
      </w:pPr>
      <w:r>
        <w:rPr>
          <w:rFonts w:ascii="Arial" w:cs="Arial" w:eastAsia="Arial" w:hAnsi="Arial"/>
          <w:sz w:val="17"/>
          <w:szCs w:val="17"/>
          <w:color w:val="auto"/>
        </w:rPr>
        <w:t>As a result of decreased demand related to COVID-19, our total revenue was $ 157.5 million in fiscal year 2020 and decreased 38.7% compared to fiscal year 2019. Shipment volume decreased as a result of lower subscriber levels, less frequent swapping behavior, and lower demand for a-la-carte rentals. These dynamics, combined with our operational response and cost-saving actions, resulted in a decrease of fulfillment expenses as a percentage of total revenue to 33.6% in fiscal year 2020, compared to 46.0% in fiscal year 2019.</w:t>
      </w:r>
    </w:p>
    <w:p>
      <w:pPr>
        <w:spacing w:after="0" w:line="191" w:lineRule="exact"/>
        <w:rPr>
          <w:sz w:val="20"/>
          <w:szCs w:val="20"/>
          <w:color w:val="auto"/>
        </w:rPr>
      </w:pPr>
    </w:p>
    <w:p>
      <w:pPr>
        <w:ind w:left="180" w:right="180" w:firstLine="545"/>
        <w:spacing w:after="0" w:line="236" w:lineRule="auto"/>
        <w:rPr>
          <w:sz w:val="20"/>
          <w:szCs w:val="20"/>
          <w:color w:val="auto"/>
        </w:rPr>
      </w:pPr>
      <w:r>
        <w:rPr>
          <w:rFonts w:ascii="Arial" w:cs="Arial" w:eastAsia="Arial" w:hAnsi="Arial"/>
          <w:sz w:val="18"/>
          <w:szCs w:val="18"/>
          <w:color w:val="auto"/>
        </w:rPr>
        <w:t>Product depreciation and revenue share increased as a percentage of total revenue to 56.5% in fiscal year 2020, as compared to 33.2% in fiscal year 2019, due to a significant oversupply of rental items on hand relative to reduced subscriber levels. We anticipate product depreciation and revenue share to decrease meaningfully as a percentage of total revenue as we see COVID-19 recovery and increases in active subscriber levels and Reserve orders.</w:t>
      </w:r>
    </w:p>
    <w:p>
      <w:pPr>
        <w:spacing w:after="0" w:line="201" w:lineRule="exact"/>
        <w:rPr>
          <w:sz w:val="20"/>
          <w:szCs w:val="20"/>
          <w:color w:val="auto"/>
        </w:rPr>
      </w:pPr>
    </w:p>
    <w:p>
      <w:pPr>
        <w:ind w:left="180" w:firstLine="545"/>
        <w:spacing w:after="0" w:line="232" w:lineRule="auto"/>
        <w:rPr>
          <w:sz w:val="20"/>
          <w:szCs w:val="20"/>
          <w:color w:val="auto"/>
        </w:rPr>
      </w:pPr>
      <w:r>
        <w:rPr>
          <w:rFonts w:ascii="Arial" w:cs="Arial" w:eastAsia="Arial" w:hAnsi="Arial"/>
          <w:sz w:val="18"/>
          <w:szCs w:val="18"/>
          <w:color w:val="auto"/>
        </w:rPr>
        <w:t>Marketing expense as a percentage of total revenue decreased from 8.9% in fiscal year 2019 to 5.2% in fiscal year 2020 as a result of intentional reductions in paid marketing due to COVID-19. The cost-saving initiatives decreased technology and general and administrative expenses from $40.2 million for technology and $98.9 million for general and administrative in fiscal year 2019 to</w:t>
      </w:r>
    </w:p>
    <w:p>
      <w:pPr>
        <w:spacing w:after="0" w:line="1" w:lineRule="exact"/>
        <w:rPr>
          <w:sz w:val="20"/>
          <w:szCs w:val="20"/>
          <w:color w:val="auto"/>
        </w:rPr>
      </w:pPr>
    </w:p>
    <w:p>
      <w:pPr>
        <w:ind w:left="180" w:right="180"/>
        <w:spacing w:after="0" w:line="239" w:lineRule="auto"/>
        <w:rPr>
          <w:sz w:val="20"/>
          <w:szCs w:val="20"/>
          <w:color w:val="auto"/>
        </w:rPr>
      </w:pPr>
      <w:r>
        <w:rPr>
          <w:rFonts w:ascii="Arial" w:cs="Arial" w:eastAsia="Arial" w:hAnsi="Arial"/>
          <w:sz w:val="18"/>
          <w:szCs w:val="18"/>
          <w:color w:val="auto"/>
        </w:rPr>
        <w:t>$37.7 million and $77.2 million in fiscal year 2020, respectively, but increased as a percentage of total revenue due to the decline in total revenue.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Ongoing Impact</w:t>
      </w:r>
    </w:p>
    <w:p>
      <w:pPr>
        <w:spacing w:after="0" w:line="122" w:lineRule="exact"/>
        <w:rPr>
          <w:sz w:val="20"/>
          <w:szCs w:val="20"/>
          <w:color w:val="auto"/>
        </w:rPr>
      </w:pPr>
    </w:p>
    <w:p>
      <w:pPr>
        <w:ind w:left="180" w:right="80" w:firstLine="545"/>
        <w:spacing w:after="0" w:line="250" w:lineRule="auto"/>
        <w:rPr>
          <w:sz w:val="20"/>
          <w:szCs w:val="20"/>
          <w:color w:val="auto"/>
        </w:rPr>
      </w:pPr>
      <w:r>
        <w:rPr>
          <w:rFonts w:ascii="Arial" w:cs="Arial" w:eastAsia="Arial" w:hAnsi="Arial"/>
          <w:sz w:val="17"/>
          <w:szCs w:val="17"/>
          <w:color w:val="auto"/>
        </w:rPr>
        <w:t>Since March 2021, we have seen early indications of COVID-19 recovery, with a significant number of paused subscribers resuming their subscriptions, new subscribers joining our platform, and an increased level of Reserve orders. In response to the growth in demand, we are increasing hiring for customer service and fulfillment labor, adjusting shift structures at our fulfillment centers to increase throughput capacity, investing in additional products to support future subscriber growth, and investing in capital expenditures to support operational efficiencies. We have also accelerated corporate hiring to support increased levels of growth and operations and to support our plans to become a public company, and we have begun to resume marketing activities and increase other operating expenses.</w:t>
      </w:r>
    </w:p>
    <w:p>
      <w:pPr>
        <w:spacing w:after="0" w:line="194" w:lineRule="exact"/>
        <w:rPr>
          <w:sz w:val="20"/>
          <w:szCs w:val="20"/>
          <w:color w:val="auto"/>
        </w:rPr>
      </w:pPr>
    </w:p>
    <w:p>
      <w:pPr>
        <w:ind w:left="180" w:firstLine="545"/>
        <w:spacing w:after="0" w:line="249" w:lineRule="auto"/>
        <w:rPr>
          <w:sz w:val="20"/>
          <w:szCs w:val="20"/>
          <w:color w:val="auto"/>
        </w:rPr>
      </w:pPr>
      <w:r>
        <w:rPr>
          <w:rFonts w:ascii="Arial" w:cs="Arial" w:eastAsia="Arial" w:hAnsi="Arial"/>
          <w:sz w:val="17"/>
          <w:szCs w:val="17"/>
          <w:color w:val="auto"/>
        </w:rPr>
        <w:t>We expect the effects of the COVID-19 pandemic, including the spread of any new strains, such as the Delta variant, to have a continued impact on our business, results of operations, and financial condition through at least the end of fiscal year 2021, and we continue to take actions to adjust to the changing COVID-19 business environment. For example, we are increasing wage rates to attract and retain talent at our fulfillment centers, diversifying our transportation network to mitigate the negative impact of nationwide shipping carrier delays, resuming corporate recruiting efforts, and managing longer lead times for products from brand partners. Although we continue to face a challenging hiring environment due to the COVID-19 pandemic, rising wages and a decreased level of workforce participation, we have been able to and expect to continue hiring in order to support increasing and/or fluctuating demand for our offerings.</w:t>
      </w:r>
    </w:p>
    <w:p>
      <w:pPr>
        <w:spacing w:after="0" w:line="197"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The full extent to which the COVID-19 pandemic, including the spread of any new strains, such as the Delta variant, will directly or indirectly impact our business, results of operations,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refer to the section titled “Risk Factors.”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6"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Key Business and Financial Metrics</w:t>
      </w:r>
    </w:p>
    <w:p>
      <w:pPr>
        <w:spacing w:after="0" w:line="229"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61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61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39"/>
              <w:spacing w:after="0" w:line="154"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4"/>
        </w:trPr>
        <w:tc>
          <w:tcPr>
            <w:tcW w:w="61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right"/>
              <w:ind w:right="435"/>
              <w:spacing w:after="0" w:line="154" w:lineRule="exact"/>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3"/>
                <w:szCs w:val="13"/>
                <w:color w:val="auto"/>
              </w:rPr>
            </w:pPr>
          </w:p>
        </w:tc>
      </w:tr>
      <w:tr>
        <w:trPr>
          <w:trHeight w:val="200"/>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Active subscribers (at the end of period)</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9"/>
              <w:spacing w:after="0" w:line="201" w:lineRule="exact"/>
              <w:rPr>
                <w:sz w:val="20"/>
                <w:szCs w:val="20"/>
                <w:color w:val="auto"/>
              </w:rPr>
            </w:pPr>
            <w:r>
              <w:rPr>
                <w:rFonts w:ascii="Arial" w:cs="Arial" w:eastAsia="Arial" w:hAnsi="Arial"/>
                <w:sz w:val="18"/>
                <w:szCs w:val="18"/>
                <w:color w:val="auto"/>
                <w:w w:val="98"/>
              </w:rPr>
              <w:t>133,572</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54,797</w:t>
            </w:r>
          </w:p>
        </w:tc>
        <w:tc>
          <w:tcPr>
            <w:tcW w:w="120" w:type="dxa"/>
            <w:vAlign w:val="bottom"/>
            <w:shd w:val="clear" w:color="auto" w:fill="CCEEFF"/>
          </w:tcPr>
          <w:p>
            <w:pPr>
              <w:spacing w:after="0"/>
              <w:rPr>
                <w:sz w:val="17"/>
                <w:szCs w:val="17"/>
                <w:color w:val="auto"/>
              </w:rPr>
            </w:pPr>
          </w:p>
        </w:tc>
      </w:tr>
      <w:tr>
        <w:trPr>
          <w:trHeight w:val="200"/>
        </w:trPr>
        <w:tc>
          <w:tcPr>
            <w:tcW w:w="6180" w:type="dxa"/>
            <w:vAlign w:val="bottom"/>
          </w:tcPr>
          <w:p>
            <w:pPr>
              <w:spacing w:after="0" w:line="201" w:lineRule="exact"/>
              <w:rPr>
                <w:sz w:val="20"/>
                <w:szCs w:val="20"/>
                <w:color w:val="auto"/>
              </w:rPr>
            </w:pPr>
            <w:r>
              <w:rPr>
                <w:rFonts w:ascii="Arial" w:cs="Arial" w:eastAsia="Arial" w:hAnsi="Arial"/>
                <w:sz w:val="18"/>
                <w:szCs w:val="18"/>
                <w:color w:val="auto"/>
              </w:rPr>
              <w:t>Gross profit</w:t>
            </w:r>
          </w:p>
        </w:tc>
        <w:tc>
          <w:tcPr>
            <w:tcW w:w="27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9"/>
              <w:spacing w:after="0" w:line="201" w:lineRule="exact"/>
              <w:rPr>
                <w:sz w:val="20"/>
                <w:szCs w:val="20"/>
                <w:color w:val="auto"/>
              </w:rPr>
            </w:pPr>
            <w:r>
              <w:rPr>
                <w:rFonts w:ascii="Arial" w:cs="Arial" w:eastAsia="Arial" w:hAnsi="Arial"/>
                <w:sz w:val="18"/>
                <w:szCs w:val="18"/>
                <w:color w:val="auto"/>
              </w:rPr>
              <w:t>53.6</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15.5</w:t>
            </w:r>
          </w:p>
        </w:tc>
        <w:tc>
          <w:tcPr>
            <w:tcW w:w="120" w:type="dxa"/>
            <w:vAlign w:val="bottom"/>
          </w:tcPr>
          <w:p>
            <w:pPr>
              <w:spacing w:after="0"/>
              <w:rPr>
                <w:sz w:val="17"/>
                <w:szCs w:val="17"/>
                <w:color w:val="auto"/>
              </w:rPr>
            </w:pPr>
          </w:p>
        </w:tc>
      </w:tr>
      <w:tr>
        <w:trPr>
          <w:trHeight w:val="200"/>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 excluding product depreciation</w:t>
            </w:r>
            <w:r>
              <w:rPr>
                <w:rFonts w:ascii="Arial" w:cs="Arial" w:eastAsia="Arial" w:hAnsi="Arial"/>
                <w:sz w:val="15"/>
                <w:szCs w:val="15"/>
                <w:color w:val="auto"/>
              </w:rPr>
              <w:t>(1)</w:t>
            </w:r>
          </w:p>
        </w:tc>
        <w:tc>
          <w:tcPr>
            <w:tcW w:w="27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9"/>
              <w:spacing w:after="0" w:line="201" w:lineRule="exact"/>
              <w:rPr>
                <w:sz w:val="20"/>
                <w:szCs w:val="20"/>
                <w:color w:val="auto"/>
              </w:rPr>
            </w:pPr>
            <w:r>
              <w:rPr>
                <w:rFonts w:ascii="Arial" w:cs="Arial" w:eastAsia="Arial" w:hAnsi="Arial"/>
                <w:sz w:val="18"/>
                <w:szCs w:val="18"/>
                <w:color w:val="auto"/>
              </w:rPr>
              <w:t>129.3</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7"/>
                <w:szCs w:val="17"/>
                <w:color w:val="auto"/>
              </w:rPr>
            </w:pPr>
          </w:p>
        </w:tc>
      </w:tr>
      <w:tr>
        <w:trPr>
          <w:trHeight w:val="213"/>
        </w:trPr>
        <w:tc>
          <w:tcPr>
            <w:tcW w:w="61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9"/>
              <w:spacing w:after="0"/>
              <w:rPr>
                <w:sz w:val="20"/>
                <w:szCs w:val="20"/>
                <w:color w:val="auto"/>
              </w:rPr>
            </w:pPr>
            <w:r>
              <w:rPr>
                <w:rFonts w:ascii="Arial" w:cs="Arial" w:eastAsia="Arial" w:hAnsi="Arial"/>
                <w:sz w:val="18"/>
                <w:szCs w:val="18"/>
                <w:color w:val="auto"/>
              </w:rPr>
              <w:t>(18.0)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76835</wp:posOffset>
            </wp:positionV>
            <wp:extent cx="755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9" w:lineRule="exact"/>
        <w:rPr>
          <w:sz w:val="20"/>
          <w:szCs w:val="20"/>
          <w:color w:val="auto"/>
        </w:rPr>
      </w:pPr>
    </w:p>
    <w:p>
      <w:pPr>
        <w:ind w:left="600" w:right="20" w:hanging="426"/>
        <w:spacing w:after="0" w:line="246" w:lineRule="auto"/>
        <w:tabs>
          <w:tab w:leader="none" w:pos="6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Each of Gross Profit Excluding Product Depreciation and Adjusted EBITDA is a non-GAAP financial measure; for a reconciliation to each of their most directly comparable GAAP financial measures, gross profit and net loss, respectively, and why we consider Gross Profit Excluding Product Depreciation and Adjusted EBITDA to be useful metrics, see “—Non-GAAP Financial Metrics” below.</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Key Business Metrics</w:t>
      </w:r>
    </w:p>
    <w:p>
      <w:pPr>
        <w:spacing w:after="0" w:line="100" w:lineRule="exact"/>
        <w:rPr>
          <w:sz w:val="20"/>
          <w:szCs w:val="20"/>
          <w:color w:val="auto"/>
        </w:rPr>
      </w:pPr>
    </w:p>
    <w:p>
      <w:pPr>
        <w:ind w:left="180" w:right="20" w:firstLine="545"/>
        <w:spacing w:after="0" w:line="255" w:lineRule="auto"/>
        <w:rPr>
          <w:sz w:val="20"/>
          <w:szCs w:val="20"/>
          <w:color w:val="auto"/>
        </w:rPr>
      </w:pPr>
      <w:r>
        <w:rPr>
          <w:rFonts w:ascii="Arial" w:cs="Arial" w:eastAsia="Arial" w:hAnsi="Arial"/>
          <w:sz w:val="17"/>
          <w:szCs w:val="17"/>
          <w:b w:val="1"/>
          <w:bCs w:val="1"/>
          <w:color w:val="auto"/>
        </w:rPr>
        <w:t>Active Subscribers</w:t>
      </w:r>
      <w:r>
        <w:rPr>
          <w:rFonts w:ascii="Arial" w:cs="Arial" w:eastAsia="Arial" w:hAnsi="Arial"/>
          <w:sz w:val="17"/>
          <w:szCs w:val="17"/>
          <w:color w:val="auto"/>
        </w:rPr>
        <w:t>: Active Subscribers represent the number of subscribers with an active membership as of the last day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given period and excludes paused subscribers. In fiscal year 2020, we saw our active subscriber count decrease due to the COVID-19 pandemic. However, a significant number of our subscribers put their membership on pause rather than canceling. As of July 31, 2021, we</w:t>
      </w:r>
    </w:p>
    <w:p>
      <w:pPr>
        <w:ind w:left="180"/>
        <w:spacing w:after="0"/>
        <w:tabs>
          <w:tab w:leader="none" w:pos="1240" w:val="left"/>
          <w:tab w:leader="none" w:pos="3760" w:val="left"/>
        </w:tabs>
        <w:rPr>
          <w:sz w:val="20"/>
          <w:szCs w:val="20"/>
          <w:color w:val="auto"/>
        </w:rPr>
      </w:pPr>
      <w:r>
        <w:rPr>
          <w:rFonts w:ascii="Arial" w:cs="Arial" w:eastAsia="Arial" w:hAnsi="Arial"/>
          <w:sz w:val="18"/>
          <w:szCs w:val="18"/>
          <w:color w:val="auto"/>
        </w:rPr>
        <w:t>had</w:t>
      </w:r>
      <w:r>
        <w:rPr>
          <w:sz w:val="20"/>
          <w:szCs w:val="20"/>
          <w:color w:val="auto"/>
        </w:rPr>
        <w:tab/>
      </w:r>
      <w:r>
        <w:rPr>
          <w:rFonts w:ascii="Arial" w:cs="Arial" w:eastAsia="Arial" w:hAnsi="Arial"/>
          <w:sz w:val="18"/>
          <w:szCs w:val="18"/>
          <w:color w:val="auto"/>
        </w:rPr>
        <w:t>active subscribers, up</w:t>
      </w:r>
      <w:r>
        <w:rPr>
          <w:sz w:val="20"/>
          <w:szCs w:val="20"/>
          <w:color w:val="auto"/>
        </w:rPr>
        <w:tab/>
      </w:r>
      <w:r>
        <w:rPr>
          <w:rFonts w:ascii="Arial" w:cs="Arial" w:eastAsia="Arial" w:hAnsi="Arial"/>
          <w:sz w:val="17"/>
          <w:szCs w:val="17"/>
          <w:color w:val="auto"/>
        </w:rPr>
        <w:t>% from the end of fiscal year 2020.</w:t>
      </w:r>
    </w:p>
    <w:p>
      <w:pPr>
        <w:spacing w:after="0" w:line="185" w:lineRule="exact"/>
        <w:rPr>
          <w:sz w:val="20"/>
          <w:szCs w:val="20"/>
          <w:color w:val="auto"/>
        </w:rPr>
      </w:pPr>
    </w:p>
    <w:p>
      <w:pPr>
        <w:ind w:left="180" w:right="180" w:firstLine="545"/>
        <w:spacing w:after="0"/>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In fiscal year 2020, Gross Profit was $15.5 million compared to $53.6 million in fiscal year 2019</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Gross Margins of 9.9% and 20.9%, respectively. The decrease in Gross Profit and Gross Margin in fiscal year 2020 was driven by lower total revenue and relatively constant rental product depreciation and revenue share, which represented a larger percentage of total revenue due to the impact of the COVID-19 pandemic. We expect to have the opportunity to improve Gross Profit by driving growth in total revenue, fulfillment and operational efficiency gains, and strategically evolving our mix of product acquisition.</w:t>
      </w:r>
    </w:p>
    <w:p>
      <w:pPr>
        <w:spacing w:after="0" w:line="181" w:lineRule="exact"/>
        <w:rPr>
          <w:sz w:val="20"/>
          <w:szCs w:val="20"/>
          <w:color w:val="auto"/>
        </w:rPr>
      </w:pPr>
    </w:p>
    <w:p>
      <w:pPr>
        <w:ind w:left="180" w:right="260" w:firstLine="545"/>
        <w:spacing w:after="0" w:line="237" w:lineRule="auto"/>
        <w:rPr>
          <w:sz w:val="20"/>
          <w:szCs w:val="20"/>
          <w:color w:val="auto"/>
        </w:rPr>
      </w:pPr>
      <w:r>
        <w:rPr>
          <w:rFonts w:ascii="Arial" w:cs="Arial" w:eastAsia="Arial" w:hAnsi="Arial"/>
          <w:sz w:val="18"/>
          <w:szCs w:val="18"/>
          <w:b w:val="1"/>
          <w:bCs w:val="1"/>
          <w:color w:val="auto"/>
        </w:rPr>
        <w:t>Gross Profit Excluding Product Depreciation and Gross Margin Excluding Product Depreciation</w:t>
      </w:r>
      <w:r>
        <w:rPr>
          <w:rFonts w:ascii="Arial" w:cs="Arial" w:eastAsia="Arial" w:hAnsi="Arial"/>
          <w:sz w:val="18"/>
          <w:szCs w:val="18"/>
          <w:color w:val="auto"/>
        </w:rPr>
        <w:t>: Gross Profit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and Gross Margin Excluding Product Depreciation indicate the total variable profit of our offerings excluding non-cash expenses and reflect the cash profit available to cover our operating expenses and capital expenditures. In fiscal year 2020, Gross Profit Excluding Product Depreciation was $85.4 million compared to $129.3 million in fiscal year 2019, representing margins of 54.2% and 50.3%, respectively. Gross Profit Excluding Product Depreciation has improved as we have reduced our fulfillment expense, partially offset by increased revenue share expense, as we have shifted to acquiring a greater portion of our products through Share by RTR. Our Gross Margin Excluding Product Depreciation will continue to vary based on our fulfillment expense efficiency and resulting Fulfillment Margin, and the mix of channels through which we acquire product.</w:t>
      </w:r>
    </w:p>
    <w:p>
      <w:pPr>
        <w:spacing w:after="0" w:line="182" w:lineRule="exact"/>
        <w:rPr>
          <w:sz w:val="20"/>
          <w:szCs w:val="20"/>
          <w:color w:val="auto"/>
        </w:rPr>
      </w:pPr>
    </w:p>
    <w:p>
      <w:pPr>
        <w:ind w:left="180" w:right="100" w:firstLine="545"/>
        <w:spacing w:after="0" w:line="264" w:lineRule="auto"/>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rental product depreciation, other depreciation and amortization,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
        <w:spacing w:after="0" w:line="235" w:lineRule="auto"/>
        <w:rPr>
          <w:sz w:val="20"/>
          <w:szCs w:val="20"/>
          <w:color w:val="auto"/>
        </w:rPr>
      </w:pPr>
      <w:r>
        <w:rPr>
          <w:rFonts w:ascii="Arial" w:cs="Arial" w:eastAsia="Arial" w:hAnsi="Arial"/>
          <w:sz w:val="18"/>
          <w:szCs w:val="18"/>
          <w:color w:val="auto"/>
        </w:rPr>
        <w:t>stock-based compensation expense, write-off of liquidated assets, certain non-recurring, one-time, costs (see above footnotes), income taxes, other income and expense, and other gains / losses. We define Adjusted EBITDA Margin as Adjusted EBITDA calculated as a percentage of total revenue, net for a period. In fiscal year 2020, Adjusted EBITDA was $(20.3) million compared to $(18.0) million in fiscal year 2019, representing margins of (12.9)% and (7.0)% respectively. Adjusted EBITDA has decreased due to the decrease in profitability and net loss. We have the opportunity to improve Adjusted EBITDA as we drive operating expense leverage.</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22" w:lineRule="exact"/>
        <w:rPr>
          <w:sz w:val="20"/>
          <w:szCs w:val="20"/>
          <w:color w:val="auto"/>
        </w:rPr>
      </w:pPr>
    </w:p>
    <w:p>
      <w:pPr>
        <w:ind w:left="180" w:right="240" w:firstLine="545"/>
        <w:spacing w:after="0" w:line="239" w:lineRule="auto"/>
        <w:rPr>
          <w:sz w:val="20"/>
          <w:szCs w:val="20"/>
          <w:color w:val="auto"/>
        </w:rPr>
      </w:pPr>
      <w:r>
        <w:rPr>
          <w:rFonts w:ascii="Arial" w:cs="Arial" w:eastAsia="Arial" w:hAnsi="Arial"/>
          <w:sz w:val="18"/>
          <w:szCs w:val="18"/>
          <w:color w:val="auto"/>
        </w:rPr>
        <w:t>Our total revenue, net consists of Subscription and Reserve rental revenue and Other revenue. Total revenue is presented net of promotional discounts, credits and refunds, and taxes.</w:t>
      </w:r>
    </w:p>
    <w:p>
      <w:pPr>
        <w:spacing w:after="0" w:line="180"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a-la-carte (through our Reserve offering) rental fees. We recognize subscription fees ratably over the subscription period, commencing on the date the subscriber enrolls in the subscription program. These fees are collected upon enrollment and any revenue from an unrecognized portion of the subscription period is deferred to the following fiscal period. We recognize a-la-carte rental fees over the rental period, which starts on the date of delivery of the product to the customer. A-la-carte rental orders can be placed up to four months prior to the rental start date and the customer’s payment form is charged upon order confirmation. We defer recognizing the rental fees and any related promotions for a-la-carte rentals until the date of delivery, and then recognize those fees evenly over the four- or eight-day rental period.</w:t>
      </w:r>
    </w:p>
    <w:p>
      <w:pPr>
        <w:spacing w:after="0" w:line="182" w:lineRule="exact"/>
        <w:rPr>
          <w:sz w:val="20"/>
          <w:szCs w:val="20"/>
          <w:color w:val="auto"/>
        </w:rPr>
      </w:pPr>
    </w:p>
    <w:p>
      <w:pPr>
        <w:ind w:left="180" w:right="20" w:firstLine="545"/>
        <w:spacing w:after="0" w:line="243"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for 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00" w:lineRule="exact"/>
        <w:rPr>
          <w:sz w:val="20"/>
          <w:szCs w:val="20"/>
          <w:color w:val="auto"/>
        </w:rPr>
      </w:pPr>
    </w:p>
    <w:p>
      <w:pPr>
        <w:ind w:left="180" w:right="60" w:firstLine="545"/>
        <w:spacing w:after="0" w:line="236"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consist of all variable costs to receive, process and fulfill customer orders. This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shipping costs 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expense to increase in absolute dollars in future periods to support our growth, especially due to competitive pressures in the labor market which could lead to higher wage rates, and as costs to ship and process orders to/from customers will increase as order volume increases.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79" w:lineRule="exact"/>
        <w:rPr>
          <w:sz w:val="20"/>
          <w:szCs w:val="20"/>
          <w:color w:val="auto"/>
        </w:rPr>
      </w:pPr>
    </w:p>
    <w:p>
      <w:pPr>
        <w:ind w:left="180" w:right="120" w:firstLine="545"/>
        <w:spacing w:after="0" w:line="248"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user experience, data science, analytics and information technology-related efforts, net of personnel costs associated with</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60"/>
          </w:cols>
          <w:pgMar w:left="320" w:top="456"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80"/>
        <w:spacing w:after="0" w:line="236" w:lineRule="auto"/>
        <w:rPr>
          <w:sz w:val="20"/>
          <w:szCs w:val="20"/>
          <w:color w:val="auto"/>
        </w:rPr>
      </w:pPr>
      <w:r>
        <w:rPr>
          <w:rFonts w:ascii="Arial" w:cs="Arial" w:eastAsia="Arial" w:hAnsi="Arial"/>
          <w:sz w:val="18"/>
          <w:szCs w:val="18"/>
          <w:color w:val="auto"/>
        </w:rPr>
        <w:t>capitalized software. Technology expenses also include professional services, third-party hosting expenses, site monitoring costs, and software and license fees. We expect to increase technology expenses as we continue to invest in our technology stack and grow our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179" w:lineRule="exact"/>
        <w:rPr>
          <w:sz w:val="20"/>
          <w:szCs w:val="20"/>
          <w:color w:val="auto"/>
        </w:rPr>
      </w:pPr>
    </w:p>
    <w:p>
      <w:pPr>
        <w:jc w:val="both"/>
        <w:ind w:left="180" w:right="340" w:firstLine="545"/>
        <w:spacing w:after="0" w:line="262" w:lineRule="auto"/>
        <w:rPr>
          <w:sz w:val="20"/>
          <w:szCs w:val="20"/>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Marketing expenses include online and mobile marketing, search engine optimization and email costs,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personnel 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62"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of all other personnel and related costs,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85" w:lineRule="exact"/>
        <w:rPr>
          <w:sz w:val="20"/>
          <w:szCs w:val="20"/>
          <w:color w:val="auto"/>
        </w:rPr>
      </w:pPr>
    </w:p>
    <w:p>
      <w:pPr>
        <w:ind w:left="180" w:right="20" w:firstLine="545"/>
        <w:spacing w:after="0" w:line="237"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w:t>
      </w:r>
    </w:p>
    <w:p>
      <w:pPr>
        <w:spacing w:after="0" w:line="182" w:lineRule="exact"/>
        <w:rPr>
          <w:sz w:val="20"/>
          <w:szCs w:val="20"/>
          <w:color w:val="auto"/>
        </w:rPr>
      </w:pPr>
    </w:p>
    <w:p>
      <w:pPr>
        <w:ind w:left="180" w:right="120" w:firstLine="545"/>
        <w:spacing w:after="0" w:line="264"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for fixed assets, intangible assets including capitalized software, and financing right-of-use assets.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 (Expense)</w:t>
      </w:r>
    </w:p>
    <w:p>
      <w:pPr>
        <w:spacing w:after="0" w:line="122" w:lineRule="exact"/>
        <w:rPr>
          <w:sz w:val="20"/>
          <w:szCs w:val="20"/>
          <w:color w:val="auto"/>
        </w:rPr>
      </w:pPr>
    </w:p>
    <w:p>
      <w:pPr>
        <w:ind w:left="180" w:right="240" w:firstLine="545"/>
        <w:spacing w:after="0" w:line="239" w:lineRule="auto"/>
        <w:rPr>
          <w:sz w:val="20"/>
          <w:szCs w:val="20"/>
          <w:color w:val="auto"/>
        </w:rPr>
      </w:pPr>
      <w:r>
        <w:rPr>
          <w:rFonts w:ascii="Arial" w:cs="Arial" w:eastAsia="Arial" w:hAnsi="Arial"/>
          <w:sz w:val="18"/>
          <w:szCs w:val="18"/>
          <w:color w:val="auto"/>
        </w:rPr>
        <w:t>Interest income / (expense) consists primarily of accrued paid-in-kind interest, cash interest and debt issuance cost amortization associated with our Ares Facility and Temasek Facility (each as defined below).</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22" w:lineRule="exact"/>
        <w:rPr>
          <w:sz w:val="20"/>
          <w:szCs w:val="20"/>
          <w:color w:val="auto"/>
        </w:rPr>
      </w:pPr>
    </w:p>
    <w:p>
      <w:pPr>
        <w:ind w:left="180" w:right="240" w:firstLine="545"/>
        <w:spacing w:after="0" w:line="267" w:lineRule="auto"/>
        <w:rPr>
          <w:sz w:val="20"/>
          <w:szCs w:val="20"/>
          <w:color w:val="auto"/>
        </w:rPr>
      </w:pPr>
      <w:r>
        <w:rPr>
          <w:rFonts w:ascii="Arial" w:cs="Arial" w:eastAsia="Arial" w:hAnsi="Arial"/>
          <w:sz w:val="17"/>
          <w:szCs w:val="17"/>
          <w:color w:val="auto"/>
        </w:rPr>
        <w:t>Other income / (expense) consists primarily of changes in fair value of warrants associated with debt and equity issuances, debt extinguishment costs, proceeds from previous insurance claims and proceeds from monetizing tax credits associated with growth.</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320" w:top="456" w:right="5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22" w:lineRule="exact"/>
        <w:rPr>
          <w:sz w:val="20"/>
          <w:szCs w:val="20"/>
          <w:color w:val="auto"/>
        </w:rPr>
      </w:pPr>
    </w:p>
    <w:p>
      <w:pPr>
        <w:ind w:left="180" w:right="240" w:firstLine="545"/>
        <w:spacing w:after="0" w:line="237" w:lineRule="auto"/>
        <w:rPr>
          <w:sz w:val="20"/>
          <w:szCs w:val="20"/>
          <w:color w:val="auto"/>
        </w:rPr>
      </w:pPr>
      <w:r>
        <w:rPr>
          <w:rFonts w:ascii="Arial" w:cs="Arial" w:eastAsia="Arial" w:hAnsi="Arial"/>
          <w:sz w:val="18"/>
          <w:szCs w:val="18"/>
          <w:color w:val="auto"/>
        </w:rPr>
        <w:t>Income taxes consist primarily of state minimum taxes. We have established a valuation allowance for our deferred tax assets, including federal and state NOLs. We expect to maintain this valuation allowance until it becomes more likely than not that the benefit of our federal and state deferred tax assets will be realized by way of expected future taxable income in the United States.</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right="160" w:firstLine="545"/>
        <w:spacing w:after="0" w:line="239"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33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67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80" w:type="dxa"/>
            <w:vAlign w:val="bottom"/>
            <w:gridSpan w:val="5"/>
          </w:tcPr>
          <w:p>
            <w:pPr>
              <w:ind w:left="380"/>
              <w:spacing w:after="0"/>
              <w:rPr>
                <w:sz w:val="20"/>
                <w:szCs w:val="20"/>
                <w:color w:val="auto"/>
              </w:rPr>
            </w:pPr>
            <w:r>
              <w:rPr>
                <w:rFonts w:ascii="Arial" w:cs="Arial" w:eastAsia="Arial" w:hAnsi="Arial"/>
                <w:sz w:val="14"/>
                <w:szCs w:val="14"/>
                <w:b w:val="1"/>
                <w:bCs w:val="1"/>
                <w:color w:val="auto"/>
              </w:rPr>
              <w:t>January 31,</w:t>
            </w:r>
          </w:p>
        </w:tc>
      </w:tr>
      <w:tr>
        <w:trPr>
          <w:trHeight w:val="154"/>
        </w:trPr>
        <w:tc>
          <w:tcPr>
            <w:tcW w:w="6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78"/>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4"/>
        </w:trPr>
        <w:tc>
          <w:tcPr>
            <w:tcW w:w="6780" w:type="dxa"/>
            <w:vAlign w:val="bottom"/>
            <w:tcBorders>
              <w:bottom w:val="single" w:sz="8" w:color="CCEEFF"/>
            </w:tcBorders>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gridSpan w:val="4"/>
          </w:tcPr>
          <w:p>
            <w:pPr>
              <w:ind w:left="380"/>
              <w:spacing w:after="0" w:line="154"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3"/>
                <w:szCs w:val="13"/>
                <w:color w:val="auto"/>
              </w:rPr>
            </w:pPr>
          </w:p>
        </w:tc>
      </w:tr>
      <w:tr>
        <w:trPr>
          <w:trHeight w:val="194"/>
        </w:trPr>
        <w:tc>
          <w:tcPr>
            <w:tcW w:w="67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Statements of Operations Data:</w:t>
            </w:r>
          </w:p>
        </w:tc>
        <w:tc>
          <w:tcPr>
            <w:tcW w:w="2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6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Subscription and Reserve rental revenue</w:t>
            </w:r>
          </w:p>
        </w:tc>
        <w:tc>
          <w:tcPr>
            <w:tcW w:w="3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$ 235.4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$ 135.9</w:t>
            </w:r>
          </w:p>
        </w:tc>
        <w:tc>
          <w:tcPr>
            <w:tcW w:w="120" w:type="dxa"/>
            <w:vAlign w:val="bottom"/>
            <w:shd w:val="clear" w:color="auto" w:fill="CCEEFF"/>
          </w:tcPr>
          <w:p>
            <w:pPr>
              <w:spacing w:after="0"/>
              <w:rPr>
                <w:sz w:val="17"/>
                <w:szCs w:val="17"/>
                <w:color w:val="auto"/>
              </w:rPr>
            </w:pPr>
          </w:p>
        </w:tc>
      </w:tr>
      <w:tr>
        <w:trPr>
          <w:trHeight w:val="207"/>
        </w:trPr>
        <w:tc>
          <w:tcPr>
            <w:tcW w:w="6780" w:type="dxa"/>
            <w:vAlign w:val="bottom"/>
          </w:tcPr>
          <w:p>
            <w:pPr>
              <w:ind w:left="360"/>
              <w:spacing w:after="0" w:line="201" w:lineRule="exact"/>
              <w:rPr>
                <w:sz w:val="20"/>
                <w:szCs w:val="20"/>
                <w:color w:val="auto"/>
              </w:rPr>
            </w:pPr>
            <w:r>
              <w:rPr>
                <w:rFonts w:ascii="Arial" w:cs="Arial" w:eastAsia="Arial" w:hAnsi="Arial"/>
                <w:sz w:val="18"/>
                <w:szCs w:val="18"/>
                <w:color w:val="auto"/>
              </w:rPr>
              <w:t>Other revenue</w:t>
            </w:r>
          </w:p>
        </w:tc>
        <w:tc>
          <w:tcPr>
            <w:tcW w:w="24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r>
      <w:tr>
        <w:trPr>
          <w:trHeight w:val="200"/>
        </w:trPr>
        <w:tc>
          <w:tcPr>
            <w:tcW w:w="67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revenue, net</w:t>
            </w:r>
          </w:p>
        </w:tc>
        <w:tc>
          <w:tcPr>
            <w:tcW w:w="3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256.9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7"/>
                <w:szCs w:val="17"/>
                <w:color w:val="auto"/>
              </w:rPr>
            </w:pPr>
          </w:p>
        </w:tc>
      </w:t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Costs and expenses:</w:t>
            </w:r>
          </w:p>
        </w:tc>
        <w:tc>
          <w:tcPr>
            <w:tcW w:w="2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6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Fulfillment</w:t>
            </w:r>
          </w:p>
        </w:tc>
        <w:tc>
          <w:tcPr>
            <w:tcW w:w="3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7"/>
                <w:szCs w:val="17"/>
                <w:color w:val="auto"/>
              </w:rPr>
            </w:pPr>
          </w:p>
        </w:tc>
      </w:tr>
      <w:tr>
        <w:trPr>
          <w:trHeight w:val="200"/>
        </w:trPr>
        <w:tc>
          <w:tcPr>
            <w:tcW w:w="6780" w:type="dxa"/>
            <w:vAlign w:val="bottom"/>
          </w:tcPr>
          <w:p>
            <w:pPr>
              <w:ind w:left="360"/>
              <w:spacing w:after="0" w:line="201" w:lineRule="exact"/>
              <w:rPr>
                <w:sz w:val="20"/>
                <w:szCs w:val="20"/>
                <w:color w:val="auto"/>
              </w:rPr>
            </w:pPr>
            <w:r>
              <w:rPr>
                <w:rFonts w:ascii="Arial" w:cs="Arial" w:eastAsia="Arial" w:hAnsi="Arial"/>
                <w:sz w:val="18"/>
                <w:szCs w:val="18"/>
                <w:color w:val="auto"/>
              </w:rPr>
              <w:t>Technology</w:t>
            </w:r>
          </w:p>
        </w:tc>
        <w:tc>
          <w:tcPr>
            <w:tcW w:w="3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40.2</w:t>
            </w:r>
          </w:p>
        </w:tc>
        <w:tc>
          <w:tcPr>
            <w:tcW w:w="180" w:type="dxa"/>
            <w:vAlign w:val="bottom"/>
          </w:tcPr>
          <w:p>
            <w:pPr>
              <w:spacing w:after="0"/>
              <w:rPr>
                <w:sz w:val="17"/>
                <w:szCs w:val="17"/>
                <w:color w:val="auto"/>
              </w:rPr>
            </w:pPr>
          </w:p>
        </w:tc>
        <w:tc>
          <w:tcPr>
            <w:tcW w:w="7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37.7</w:t>
            </w:r>
          </w:p>
        </w:tc>
        <w:tc>
          <w:tcPr>
            <w:tcW w:w="120" w:type="dxa"/>
            <w:vAlign w:val="bottom"/>
          </w:tcPr>
          <w:p>
            <w:pPr>
              <w:spacing w:after="0"/>
              <w:rPr>
                <w:sz w:val="17"/>
                <w:szCs w:val="17"/>
                <w:color w:val="auto"/>
              </w:rPr>
            </w:pPr>
          </w:p>
        </w:tc>
      </w:tr>
      <w:tr>
        <w:trPr>
          <w:trHeight w:val="200"/>
        </w:trPr>
        <w:tc>
          <w:tcPr>
            <w:tcW w:w="6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Marketing</w:t>
            </w:r>
          </w:p>
        </w:tc>
        <w:tc>
          <w:tcPr>
            <w:tcW w:w="3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7"/>
                <w:szCs w:val="17"/>
                <w:color w:val="auto"/>
              </w:rPr>
            </w:pPr>
          </w:p>
        </w:tc>
      </w:tr>
      <w:tr>
        <w:trPr>
          <w:trHeight w:val="200"/>
        </w:trPr>
        <w:tc>
          <w:tcPr>
            <w:tcW w:w="6780" w:type="dxa"/>
            <w:vAlign w:val="bottom"/>
          </w:tcPr>
          <w:p>
            <w:pPr>
              <w:ind w:left="360"/>
              <w:spacing w:after="0" w:line="201" w:lineRule="exact"/>
              <w:rPr>
                <w:sz w:val="20"/>
                <w:szCs w:val="20"/>
                <w:color w:val="auto"/>
              </w:rPr>
            </w:pPr>
            <w:r>
              <w:rPr>
                <w:rFonts w:ascii="Arial" w:cs="Arial" w:eastAsia="Arial" w:hAnsi="Arial"/>
                <w:sz w:val="18"/>
                <w:szCs w:val="18"/>
                <w:color w:val="auto"/>
              </w:rPr>
              <w:t>General and administrative</w:t>
            </w:r>
          </w:p>
        </w:tc>
        <w:tc>
          <w:tcPr>
            <w:tcW w:w="3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98.9</w:t>
            </w:r>
          </w:p>
        </w:tc>
        <w:tc>
          <w:tcPr>
            <w:tcW w:w="180" w:type="dxa"/>
            <w:vAlign w:val="bottom"/>
          </w:tcPr>
          <w:p>
            <w:pPr>
              <w:spacing w:after="0"/>
              <w:rPr>
                <w:sz w:val="17"/>
                <w:szCs w:val="17"/>
                <w:color w:val="auto"/>
              </w:rPr>
            </w:pPr>
          </w:p>
        </w:tc>
        <w:tc>
          <w:tcPr>
            <w:tcW w:w="7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77.2</w:t>
            </w:r>
          </w:p>
        </w:tc>
        <w:tc>
          <w:tcPr>
            <w:tcW w:w="120" w:type="dxa"/>
            <w:vAlign w:val="bottom"/>
          </w:tcPr>
          <w:p>
            <w:pPr>
              <w:spacing w:after="0"/>
              <w:rPr>
                <w:sz w:val="17"/>
                <w:szCs w:val="17"/>
                <w:color w:val="auto"/>
              </w:rPr>
            </w:pPr>
          </w:p>
        </w:tc>
      </w:tr>
      <w:tr>
        <w:trPr>
          <w:trHeight w:val="200"/>
        </w:trPr>
        <w:tc>
          <w:tcPr>
            <w:tcW w:w="6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Rental product depreciation and revenue share</w:t>
            </w:r>
          </w:p>
        </w:tc>
        <w:tc>
          <w:tcPr>
            <w:tcW w:w="3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85.2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7"/>
                <w:szCs w:val="17"/>
                <w:color w:val="auto"/>
              </w:rPr>
            </w:pPr>
          </w:p>
        </w:tc>
      </w:tr>
      <w:tr>
        <w:trPr>
          <w:trHeight w:val="207"/>
        </w:trPr>
        <w:tc>
          <w:tcPr>
            <w:tcW w:w="6780" w:type="dxa"/>
            <w:vAlign w:val="bottom"/>
          </w:tcPr>
          <w:p>
            <w:pPr>
              <w:ind w:left="360"/>
              <w:spacing w:after="0" w:line="201" w:lineRule="exact"/>
              <w:rPr>
                <w:sz w:val="20"/>
                <w:szCs w:val="20"/>
                <w:color w:val="auto"/>
              </w:rPr>
            </w:pPr>
            <w:r>
              <w:rPr>
                <w:rFonts w:ascii="Arial" w:cs="Arial" w:eastAsia="Arial" w:hAnsi="Arial"/>
                <w:sz w:val="18"/>
                <w:szCs w:val="18"/>
                <w:color w:val="auto"/>
              </w:rPr>
              <w:t>Other depreciation and amortization</w:t>
            </w:r>
          </w:p>
        </w:tc>
        <w:tc>
          <w:tcPr>
            <w:tcW w:w="24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r>
      <w:tr>
        <w:trPr>
          <w:trHeight w:val="200"/>
        </w:trPr>
        <w:tc>
          <w:tcPr>
            <w:tcW w:w="67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costs and expenses</w:t>
            </w:r>
          </w:p>
        </w:tc>
        <w:tc>
          <w:tcPr>
            <w:tcW w:w="24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386.9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7"/>
                <w:szCs w:val="17"/>
                <w:color w:val="auto"/>
              </w:rPr>
            </w:pPr>
          </w:p>
        </w:tc>
      </w:tr>
      <w:tr>
        <w:trPr>
          <w:trHeight w:val="207"/>
        </w:trPr>
        <w:tc>
          <w:tcPr>
            <w:tcW w:w="6780" w:type="dxa"/>
            <w:vAlign w:val="bottom"/>
          </w:tcPr>
          <w:p>
            <w:pPr>
              <w:ind w:left="1060"/>
              <w:spacing w:after="0"/>
              <w:rPr>
                <w:sz w:val="20"/>
                <w:szCs w:val="20"/>
                <w:color w:val="auto"/>
              </w:rPr>
            </w:pPr>
            <w:r>
              <w:rPr>
                <w:rFonts w:ascii="Arial" w:cs="Arial" w:eastAsia="Arial" w:hAnsi="Arial"/>
                <w:sz w:val="18"/>
                <w:szCs w:val="18"/>
                <w:color w:val="auto"/>
              </w:rPr>
              <w:t>Operating loss</w:t>
            </w:r>
          </w:p>
        </w:tc>
        <w:tc>
          <w:tcPr>
            <w:tcW w:w="3240" w:type="dxa"/>
            <w:vAlign w:val="bottom"/>
            <w:gridSpan w:val="3"/>
          </w:tcPr>
          <w:p>
            <w:pPr>
              <w:jc w:val="right"/>
              <w:ind w:right="140"/>
              <w:spacing w:after="0"/>
              <w:rPr>
                <w:sz w:val="20"/>
                <w:szCs w:val="20"/>
                <w:color w:val="auto"/>
              </w:rPr>
            </w:pPr>
            <w:r>
              <w:rPr>
                <w:rFonts w:ascii="Arial" w:cs="Arial" w:eastAsia="Arial" w:hAnsi="Arial"/>
                <w:sz w:val="18"/>
                <w:szCs w:val="18"/>
                <w:color w:val="auto"/>
              </w:rPr>
              <w:t>(130.0)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(130.5)</w:t>
            </w:r>
          </w:p>
        </w:tc>
      </w:tr>
      <w:tr>
        <w:trPr>
          <w:trHeight w:val="200"/>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 (expense), net</w:t>
            </w:r>
          </w:p>
        </w:tc>
        <w:tc>
          <w:tcPr>
            <w:tcW w:w="324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(24.0)</w:t>
            </w:r>
          </w:p>
        </w:tc>
        <w:tc>
          <w:tcPr>
            <w:tcW w:w="8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(46.6)</w:t>
            </w:r>
          </w:p>
        </w:tc>
      </w:tr>
      <w:tr>
        <w:trPr>
          <w:trHeight w:val="200"/>
        </w:trPr>
        <w:tc>
          <w:tcPr>
            <w:tcW w:w="6780" w:type="dxa"/>
            <w:vAlign w:val="bottom"/>
          </w:tcPr>
          <w:p>
            <w:pPr>
              <w:spacing w:after="0" w:line="201" w:lineRule="exact"/>
              <w:rPr>
                <w:sz w:val="20"/>
                <w:szCs w:val="20"/>
                <w:color w:val="auto"/>
              </w:rPr>
            </w:pPr>
            <w:r>
              <w:rPr>
                <w:rFonts w:ascii="Arial" w:cs="Arial" w:eastAsia="Arial" w:hAnsi="Arial"/>
                <w:sz w:val="18"/>
                <w:szCs w:val="18"/>
                <w:color w:val="auto"/>
              </w:rPr>
              <w:t>Other income / (expense), net</w:t>
            </w:r>
          </w:p>
        </w:tc>
        <w:tc>
          <w:tcPr>
            <w:tcW w:w="2440" w:type="dxa"/>
            <w:vAlign w:val="bottom"/>
          </w:tcPr>
          <w:p>
            <w:pPr>
              <w:spacing w:after="0"/>
              <w:rPr>
                <w:sz w:val="17"/>
                <w:szCs w:val="17"/>
                <w:color w:val="auto"/>
              </w:rPr>
            </w:pPr>
          </w:p>
        </w:tc>
        <w:tc>
          <w:tcPr>
            <w:tcW w:w="8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(0.1)</w:t>
            </w:r>
          </w:p>
        </w:tc>
        <w:tc>
          <w:tcPr>
            <w:tcW w:w="7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r>
      <w:tr>
        <w:trPr>
          <w:trHeight w:val="27"/>
        </w:trPr>
        <w:tc>
          <w:tcPr>
            <w:tcW w:w="6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678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Net loss before benefit from income taxes</w:t>
            </w:r>
          </w:p>
        </w:tc>
        <w:tc>
          <w:tcPr>
            <w:tcW w:w="2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(154.1)</w:t>
            </w:r>
          </w:p>
        </w:tc>
        <w:tc>
          <w:tcPr>
            <w:tcW w:w="8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(171.1)</w:t>
            </w:r>
          </w:p>
        </w:tc>
      </w:tr>
      <w:tr>
        <w:trPr>
          <w:trHeight w:val="207"/>
        </w:trPr>
        <w:tc>
          <w:tcPr>
            <w:tcW w:w="6780" w:type="dxa"/>
            <w:vAlign w:val="bottom"/>
          </w:tcPr>
          <w:p>
            <w:pPr>
              <w:spacing w:after="0" w:line="201" w:lineRule="exact"/>
              <w:rPr>
                <w:sz w:val="20"/>
                <w:szCs w:val="20"/>
                <w:color w:val="auto"/>
              </w:rPr>
            </w:pPr>
            <w:r>
              <w:rPr>
                <w:rFonts w:ascii="Arial" w:cs="Arial" w:eastAsia="Arial" w:hAnsi="Arial"/>
                <w:sz w:val="18"/>
                <w:szCs w:val="18"/>
                <w:color w:val="auto"/>
              </w:rPr>
              <w:t>Benefit from income taxes</w:t>
            </w:r>
          </w:p>
        </w:tc>
        <w:tc>
          <w:tcPr>
            <w:tcW w:w="24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0"/>
        </w:trPr>
        <w:tc>
          <w:tcPr>
            <w:tcW w:w="678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Net loss</w:t>
            </w:r>
          </w:p>
        </w:tc>
        <w:tc>
          <w:tcPr>
            <w:tcW w:w="324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(153.9)</w:t>
            </w:r>
          </w:p>
        </w:tc>
        <w:tc>
          <w:tcPr>
            <w:tcW w:w="8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(171.1)</w:t>
            </w:r>
          </w:p>
        </w:tc>
      </w:tr>
      <w:tr>
        <w:trPr>
          <w:trHeight w:val="20"/>
        </w:trPr>
        <w:tc>
          <w:tcPr>
            <w:tcW w:w="67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Years Ended January 31, 2020 and 2021</w:t>
      </w:r>
    </w:p>
    <w:p>
      <w:pPr>
        <w:spacing w:after="0" w:line="100" w:lineRule="exact"/>
        <w:rPr>
          <w:sz w:val="20"/>
          <w:szCs w:val="20"/>
          <w:color w:val="auto"/>
        </w:rPr>
      </w:pPr>
    </w:p>
    <w:p>
      <w:pPr>
        <w:ind w:left="180" w:right="100" w:firstLine="545"/>
        <w:spacing w:after="0" w:line="24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$157.5 million for fiscal year 2020, a decrease of $99.4 million, or 38.7%,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$256.9 million for fiscal year 2019. This decrease was primarily driven by the reduction in overall demand directly attributable to the COVID-19 pandemic.</w:t>
      </w:r>
    </w:p>
    <w:p>
      <w:pPr>
        <w:spacing w:after="0" w:line="173" w:lineRule="exact"/>
        <w:rPr>
          <w:sz w:val="20"/>
          <w:szCs w:val="20"/>
          <w:color w:val="auto"/>
        </w:rPr>
      </w:pPr>
    </w:p>
    <w:p>
      <w:pPr>
        <w:ind w:left="180" w:right="40" w:firstLine="545"/>
        <w:spacing w:after="0" w:line="248"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$135.9 million for fiscal year 2020,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$99.5 million, or 42.3%, compared to $235.4 million for fiscal year 2019. This decrease was primarily driven by the 59% year over year decrease in active subscriber counts as a result of the COVID-19 pandemic.</w:t>
      </w:r>
    </w:p>
    <w:p>
      <w:pPr>
        <w:spacing w:after="0" w:line="173" w:lineRule="exact"/>
        <w:rPr>
          <w:sz w:val="20"/>
          <w:szCs w:val="20"/>
          <w:color w:val="auto"/>
        </w:rPr>
      </w:pPr>
    </w:p>
    <w:p>
      <w:pPr>
        <w:ind w:left="180" w:right="200" w:firstLine="545"/>
        <w:spacing w:after="0" w:line="243"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$ 21.6 million for fiscal year 2020, an increase of $0.1 million, or 0.7%,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$21.5 million for fiscal year 2019. This increase was primarily driven by a temporary mix shift from Subscription and Reserve rental revenue to Other revenue during the COVID-19 pandemic. We launched additional resale initiatives and increased promotional activities for</w:t>
      </w: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320"/>
        <w:spacing w:after="0" w:line="239" w:lineRule="auto"/>
        <w:rPr>
          <w:sz w:val="20"/>
          <w:szCs w:val="20"/>
          <w:color w:val="auto"/>
        </w:rPr>
      </w:pPr>
      <w:r>
        <w:rPr>
          <w:rFonts w:ascii="Arial" w:cs="Arial" w:eastAsia="Arial" w:hAnsi="Arial"/>
          <w:sz w:val="18"/>
          <w:szCs w:val="18"/>
          <w:color w:val="auto"/>
        </w:rPr>
        <w:t>resale items in order to increase revenue from subscribers, which resulted in Other revenue representing 13.7% of our total revenue in fiscal year 2020, up from 8.4% in fiscal year 2019.</w:t>
      </w:r>
    </w:p>
    <w:p>
      <w:pPr>
        <w:spacing w:after="0" w:line="180" w:lineRule="exact"/>
        <w:rPr>
          <w:sz w:val="20"/>
          <w:szCs w:val="20"/>
          <w:color w:val="auto"/>
        </w:rPr>
      </w:pPr>
    </w:p>
    <w:p>
      <w:pPr>
        <w:ind w:left="180" w:right="120" w:firstLine="545"/>
        <w:spacing w:after="0" w:line="243"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were $288.0 million for fiscal year 2020, a decrease of $98.9 million, or 25.6%,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$ 386.9 million in fiscal year 2019. This decrease was primarily driven by reduced total shipments to be fulfilled as a result of the COVID-19 pandemic, as well as cost saving initiatives put in place as a direct response to the COVID-19 pandemic’s impact on the overall business.</w:t>
      </w:r>
    </w:p>
    <w:p>
      <w:pPr>
        <w:spacing w:after="0" w:line="177" w:lineRule="exact"/>
        <w:rPr>
          <w:sz w:val="20"/>
          <w:szCs w:val="20"/>
          <w:color w:val="auto"/>
        </w:rPr>
      </w:pPr>
    </w:p>
    <w:p>
      <w:pPr>
        <w:ind w:left="180" w:right="160" w:firstLine="545"/>
        <w:spacing w:after="0" w:line="262" w:lineRule="auto"/>
        <w:rPr>
          <w:sz w:val="20"/>
          <w:szCs w:val="20"/>
          <w:color w:val="auto"/>
        </w:rPr>
      </w:pPr>
      <w:r>
        <w:rPr>
          <w:rFonts w:ascii="Arial" w:cs="Arial" w:eastAsia="Arial" w:hAnsi="Arial"/>
          <w:sz w:val="17"/>
          <w:szCs w:val="17"/>
          <w:b w:val="1"/>
          <w:bCs w:val="1"/>
          <w:i w:val="1"/>
          <w:iCs w:val="1"/>
          <w:color w:val="auto"/>
        </w:rPr>
        <w:t xml:space="preserve">Fulfillment. </w:t>
      </w:r>
      <w:r>
        <w:rPr>
          <w:rFonts w:ascii="Arial" w:cs="Arial" w:eastAsia="Arial" w:hAnsi="Arial"/>
          <w:sz w:val="17"/>
          <w:szCs w:val="17"/>
          <w:color w:val="auto"/>
        </w:rPr>
        <w:t>Fulfillment expenses were $53.0 million for fiscal year 2020, a decrease of $65.1 million, or 55.2%,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$118.1 million in fiscal year 2019. This decrease was primarily driven by the reduction in total shipments to be fulfilled as a result of the reduced number of active subscribers during the COVID-19 pandemic and the lower number of shipments received by such subscribers. Fulfillment expenses as a percentage of revenue also decreased as a result of efficiencies in transportation rates and fulfillment labor.</w:t>
      </w:r>
    </w:p>
    <w:p>
      <w:pPr>
        <w:spacing w:after="0" w:line="162" w:lineRule="exact"/>
        <w:rPr>
          <w:sz w:val="20"/>
          <w:szCs w:val="20"/>
          <w:color w:val="auto"/>
        </w:rPr>
      </w:pPr>
    </w:p>
    <w:p>
      <w:pPr>
        <w:ind w:left="720"/>
        <w:spacing w:after="0"/>
        <w:tabs>
          <w:tab w:leader="none" w:pos="1920" w:val="left"/>
        </w:tabs>
        <w:rPr>
          <w:sz w:val="20"/>
          <w:szCs w:val="20"/>
          <w:color w:val="auto"/>
        </w:rPr>
      </w:pPr>
      <w:r>
        <w:rPr>
          <w:rFonts w:ascii="Arial" w:cs="Arial" w:eastAsia="Arial" w:hAnsi="Arial"/>
          <w:sz w:val="18"/>
          <w:szCs w:val="18"/>
          <w:b w:val="1"/>
          <w:bCs w:val="1"/>
          <w:i w:val="1"/>
          <w:iCs w:val="1"/>
          <w:color w:val="auto"/>
        </w:rPr>
        <w:t>Technology.</w:t>
      </w:r>
      <w:r>
        <w:rPr>
          <w:sz w:val="20"/>
          <w:szCs w:val="20"/>
          <w:color w:val="auto"/>
        </w:rPr>
        <w:tab/>
      </w:r>
      <w:r>
        <w:rPr>
          <w:rFonts w:ascii="Arial" w:cs="Arial" w:eastAsia="Arial" w:hAnsi="Arial"/>
          <w:sz w:val="17"/>
          <w:szCs w:val="17"/>
          <w:color w:val="auto"/>
        </w:rPr>
        <w:t>Technology expenses were $37.7 million for fiscal year 2020, a decrease of $2.5 million, or 6.3%, compared to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$40.2 million in fiscal year 2019. This decrease was primarily driven by cost saving initiatives put in place as a result of the impact of the</w:t>
      </w:r>
    </w:p>
    <w:p>
      <w:pPr>
        <w:ind w:left="180"/>
        <w:spacing w:after="0"/>
        <w:rPr>
          <w:sz w:val="20"/>
          <w:szCs w:val="20"/>
          <w:color w:val="auto"/>
        </w:rPr>
      </w:pPr>
      <w:r>
        <w:rPr>
          <w:rFonts w:ascii="Arial" w:cs="Arial" w:eastAsia="Arial" w:hAnsi="Arial"/>
          <w:sz w:val="18"/>
          <w:szCs w:val="18"/>
          <w:color w:val="auto"/>
        </w:rPr>
        <w:t>COVID-19 pandemic, including contract renegotiations and technology personnel cost reductions.</w:t>
      </w:r>
    </w:p>
    <w:p>
      <w:pPr>
        <w:spacing w:after="0" w:line="185" w:lineRule="exact"/>
        <w:rPr>
          <w:sz w:val="20"/>
          <w:szCs w:val="20"/>
          <w:color w:val="auto"/>
        </w:rPr>
      </w:pPr>
    </w:p>
    <w:p>
      <w:pPr>
        <w:ind w:left="720"/>
        <w:spacing w:after="0"/>
        <w:tabs>
          <w:tab w:leader="none" w:pos="1780" w:val="left"/>
        </w:tabs>
        <w:rPr>
          <w:sz w:val="20"/>
          <w:szCs w:val="20"/>
          <w:color w:val="auto"/>
        </w:rPr>
      </w:pPr>
      <w:r>
        <w:rPr>
          <w:rFonts w:ascii="Arial" w:cs="Arial" w:eastAsia="Arial" w:hAnsi="Arial"/>
          <w:sz w:val="18"/>
          <w:szCs w:val="18"/>
          <w:b w:val="1"/>
          <w:bCs w:val="1"/>
          <w:i w:val="1"/>
          <w:iCs w:val="1"/>
          <w:color w:val="auto"/>
        </w:rPr>
        <w:t>Marketing.</w:t>
      </w:r>
      <w:r>
        <w:rPr>
          <w:sz w:val="20"/>
          <w:szCs w:val="20"/>
          <w:color w:val="auto"/>
        </w:rPr>
        <w:tab/>
      </w:r>
      <w:r>
        <w:rPr>
          <w:rFonts w:ascii="Arial" w:cs="Arial" w:eastAsia="Arial" w:hAnsi="Arial"/>
          <w:sz w:val="17"/>
          <w:szCs w:val="17"/>
          <w:color w:val="auto"/>
        </w:rPr>
        <w:t>Marketing expenses were $8.1 million for fiscal year 2020, a decrease of $14.8 million, or 64.4%, compared to</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$22.9 million in fiscal year 2019. This decrease was primarily driven by the decision to reduce paid and brand marketing spend during the</w:t>
      </w:r>
    </w:p>
    <w:p>
      <w:pPr>
        <w:ind w:left="180"/>
        <w:spacing w:after="0" w:line="238" w:lineRule="auto"/>
        <w:rPr>
          <w:sz w:val="20"/>
          <w:szCs w:val="20"/>
          <w:color w:val="auto"/>
        </w:rPr>
      </w:pPr>
      <w:r>
        <w:rPr>
          <w:rFonts w:ascii="Arial" w:cs="Arial" w:eastAsia="Arial" w:hAnsi="Arial"/>
          <w:sz w:val="18"/>
          <w:szCs w:val="18"/>
          <w:color w:val="auto"/>
        </w:rPr>
        <w:t>COVID-19 pandemic in addition to marketing personnel cost reductions. Marketing expenses unrelated to personnel costs were</w:t>
      </w:r>
    </w:p>
    <w:p>
      <w:pPr>
        <w:ind w:left="180"/>
        <w:spacing w:after="0"/>
        <w:rPr>
          <w:sz w:val="20"/>
          <w:szCs w:val="20"/>
          <w:color w:val="auto"/>
        </w:rPr>
      </w:pPr>
      <w:r>
        <w:rPr>
          <w:rFonts w:ascii="Arial" w:cs="Arial" w:eastAsia="Arial" w:hAnsi="Arial"/>
          <w:sz w:val="18"/>
          <w:szCs w:val="18"/>
          <w:color w:val="auto"/>
        </w:rPr>
        <w:t>$18.1 million in fiscal year 2019 and $4.2 million in fiscal year 2020, representing 7.0% and 2.7% of total revenue, respectively.</w:t>
      </w:r>
    </w:p>
    <w:p>
      <w:pPr>
        <w:spacing w:after="0" w:line="185" w:lineRule="exact"/>
        <w:rPr>
          <w:sz w:val="20"/>
          <w:szCs w:val="20"/>
          <w:color w:val="auto"/>
        </w:rPr>
      </w:pPr>
    </w:p>
    <w:p>
      <w:pPr>
        <w:ind w:left="720"/>
        <w:spacing w:after="0"/>
        <w:tabs>
          <w:tab w:leader="none" w:pos="3260" w:val="left"/>
        </w:tabs>
        <w:rPr>
          <w:sz w:val="20"/>
          <w:szCs w:val="20"/>
          <w:color w:val="auto"/>
        </w:rPr>
      </w:pPr>
      <w:r>
        <w:rPr>
          <w:rFonts w:ascii="Arial" w:cs="Arial" w:eastAsia="Arial" w:hAnsi="Arial"/>
          <w:sz w:val="18"/>
          <w:szCs w:val="18"/>
          <w:b w:val="1"/>
          <w:bCs w:val="1"/>
          <w:i w:val="1"/>
          <w:iCs w:val="1"/>
          <w:color w:val="auto"/>
        </w:rPr>
        <w:t>General and Administrative.</w:t>
      </w:r>
      <w:r>
        <w:rPr>
          <w:sz w:val="20"/>
          <w:szCs w:val="20"/>
          <w:color w:val="auto"/>
        </w:rPr>
        <w:tab/>
      </w:r>
      <w:r>
        <w:rPr>
          <w:rFonts w:ascii="Arial" w:cs="Arial" w:eastAsia="Arial" w:hAnsi="Arial"/>
          <w:sz w:val="17"/>
          <w:szCs w:val="17"/>
          <w:color w:val="auto"/>
        </w:rPr>
        <w:t>General and administrative expenses were $77.2 million for fiscal year 2020, a decrease 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$21.7 million, or 21.9%, compared to $98.9 million in fiscal year 2019. This decrease was primarily driven by cost saving initiatives put in</w:t>
      </w:r>
    </w:p>
    <w:p>
      <w:pPr>
        <w:ind w:left="180"/>
        <w:spacing w:after="0"/>
        <w:rPr>
          <w:sz w:val="20"/>
          <w:szCs w:val="20"/>
          <w:color w:val="auto"/>
        </w:rPr>
      </w:pPr>
      <w:r>
        <w:rPr>
          <w:rFonts w:ascii="Arial" w:cs="Arial" w:eastAsia="Arial" w:hAnsi="Arial"/>
          <w:sz w:val="17"/>
          <w:szCs w:val="17"/>
          <w:color w:val="auto"/>
        </w:rPr>
        <w:t>place as a result of the impact of the COVID-19 pandemic, including retail store closures and associated personnel and operating expense</w:t>
      </w:r>
    </w:p>
    <w:p>
      <w:pPr>
        <w:ind w:left="180"/>
        <w:spacing w:after="0" w:line="238" w:lineRule="auto"/>
        <w:rPr>
          <w:sz w:val="20"/>
          <w:szCs w:val="20"/>
          <w:color w:val="auto"/>
        </w:rPr>
      </w:pPr>
      <w:r>
        <w:rPr>
          <w:rFonts w:ascii="Arial" w:cs="Arial" w:eastAsia="Arial" w:hAnsi="Arial"/>
          <w:sz w:val="18"/>
          <w:szCs w:val="18"/>
          <w:color w:val="auto"/>
        </w:rPr>
        <w:t>reductions, contract renegotiations, and other general and administrative personnel cost reductions, partially offset by operating lease</w:t>
      </w:r>
    </w:p>
    <w:p>
      <w:pPr>
        <w:ind w:left="180"/>
        <w:spacing w:after="0" w:line="232" w:lineRule="auto"/>
        <w:rPr>
          <w:sz w:val="20"/>
          <w:szCs w:val="20"/>
          <w:color w:val="auto"/>
        </w:rPr>
      </w:pPr>
      <w:r>
        <w:rPr>
          <w:rFonts w:ascii="Arial" w:cs="Arial" w:eastAsia="Arial" w:hAnsi="Arial"/>
          <w:sz w:val="18"/>
          <w:szCs w:val="18"/>
          <w:color w:val="auto"/>
        </w:rPr>
        <w:t>disposals as a result of the COVID-19 pandemic. Occupancy expenses (including warehouse-related expenses) contributed to the</w:t>
      </w:r>
    </w:p>
    <w:p>
      <w:pPr>
        <w:ind w:left="180"/>
        <w:spacing w:after="0" w:line="232" w:lineRule="auto"/>
        <w:rPr>
          <w:sz w:val="20"/>
          <w:szCs w:val="20"/>
          <w:color w:val="auto"/>
        </w:rPr>
      </w:pPr>
      <w:r>
        <w:rPr>
          <w:rFonts w:ascii="Arial" w:cs="Arial" w:eastAsia="Arial" w:hAnsi="Arial"/>
          <w:sz w:val="18"/>
          <w:szCs w:val="18"/>
          <w:color w:val="auto"/>
        </w:rPr>
        <w:t>increase in general and administrative expenses as a percentage of total revenue, increasing from 7.9% in fiscal year 2019 to 11.7% in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fiscal year 2020.</w:t>
      </w:r>
    </w:p>
    <w:p>
      <w:pPr>
        <w:spacing w:after="0" w:line="185"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$89.0 million for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2020, an increase of $3.8 million, or 4.4%, compared to $85.2 million in fiscal year 2019. This increase was primarily driven by increased performance based and upfront revenue share payments related to a higher penetration of items acquired through Share by RTR in fiscal year 2020. Rental product depreciation and revenue share increased to 56.5% of total revenue in fiscal year 2020, compared to 33.2% in fiscal year 2019. This increase was primarily driven by a higher level of product on hand relative to depressed active subscriber and revenue levels due to COVID-19.</w:t>
      </w:r>
    </w:p>
    <w:p>
      <w:pPr>
        <w:spacing w:after="0" w:line="179" w:lineRule="exact"/>
        <w:rPr>
          <w:sz w:val="20"/>
          <w:szCs w:val="20"/>
          <w:color w:val="auto"/>
        </w:rPr>
      </w:pPr>
    </w:p>
    <w:p>
      <w:pPr>
        <w:ind w:left="180" w:right="160" w:firstLine="545"/>
        <w:spacing w:after="0" w:line="243"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$23.0 million for fiscal year 2020,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$1.4 million, or 6.7%, compared to $21.6 million in fiscal year 2019. This increase was primarily driven by an increase in capitalized software amortization and the timing of depreciation expense associated with assets related to the build out of our new corporate HQ office in Brooklyn, NY put in use in fiscal year 2020.</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6"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$46.6 million for fiscal year 2020, an increase of $22.6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93.9%, compared to $24.0 million for fiscal year 2019. This increase was primarily driven by the incremental accrued payment-in-kind interest and cash interest related to the additional draw downs on our Temasek Facility and payment-in-kind interest, or PIK, related to the addition of our Ares Facility. Of the $46.6 million total interest expense in fiscal year 2020, $36.9 million was PIK interest, $4.4 million was cash and financing lease interest and $5.1 million was debt discount amortization, compared with $19.8 million PIK interest, $1.0 million cash and financing lease interest and $3.2 million debt amortization in fiscal year 2019.</w:t>
      </w:r>
    </w:p>
    <w:p>
      <w:pPr>
        <w:spacing w:after="0" w:line="179" w:lineRule="exact"/>
        <w:rPr>
          <w:sz w:val="20"/>
          <w:szCs w:val="20"/>
          <w:color w:val="auto"/>
        </w:rPr>
      </w:pPr>
    </w:p>
    <w:p>
      <w:pPr>
        <w:ind w:left="180" w:right="80" w:firstLine="545"/>
        <w:spacing w:after="0" w:line="248"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$ 6.0 million for fiscal year 2020, an increase of $6.1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$(0.1) million for the fiscal year 2019. This increase was primarily driven by the receipt of insurance claim proceeds and monetization of a tax credit, partially offset by a loss on debt extinguishment, all of which did not occur in the prior year.</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320" w:top="456" w:right="5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Quarterly Results of Operations</w:t>
      </w:r>
    </w:p>
    <w:p>
      <w:pPr>
        <w:spacing w:after="0" w:line="122" w:lineRule="exact"/>
        <w:rPr>
          <w:sz w:val="20"/>
          <w:szCs w:val="20"/>
          <w:color w:val="auto"/>
        </w:rPr>
      </w:pPr>
    </w:p>
    <w:p>
      <w:pPr>
        <w:ind w:left="180" w:right="320" w:firstLine="545"/>
        <w:spacing w:after="0" w:line="234" w:lineRule="auto"/>
        <w:rPr>
          <w:sz w:val="20"/>
          <w:szCs w:val="20"/>
          <w:color w:val="auto"/>
        </w:rPr>
      </w:pPr>
      <w:r>
        <w:rPr>
          <w:rFonts w:ascii="Arial" w:cs="Arial" w:eastAsia="Arial" w:hAnsi="Arial"/>
          <w:sz w:val="18"/>
          <w:szCs w:val="18"/>
          <w:color w:val="auto"/>
        </w:rPr>
        <w:t>The following table sets forth our unaudited quarterly consolidated statements of operations data by quarter from the first quarter of 2019 to the first quarter of 2021. The unaudited quarterly consolidated results of operations set forth below have been prepared on the same basis as our audited consolidated financial statements and in our opinion contains all adjustments, consisting only of normal and recurring adjustments, necessary for the fair statement of this financial information. You should read the following information in conjunction with our consolidated financial statements and the accompanying notes thereto included elsewhere in this prospectus. The results of historical periods are not necessarily indicative of the results for any future period, and the results for any quarter are not necessarily indicative of results to be expected for a full year or any other period.</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jc w:val="center"/>
              <w:ind w:right="160"/>
              <w:spacing w:after="0"/>
              <w:rPr>
                <w:sz w:val="20"/>
                <w:szCs w:val="20"/>
                <w:color w:val="auto"/>
              </w:rPr>
            </w:pPr>
            <w:r>
              <w:rPr>
                <w:rFonts w:ascii="Arial" w:cs="Arial" w:eastAsia="Arial" w:hAnsi="Arial"/>
                <w:sz w:val="13"/>
                <w:szCs w:val="13"/>
                <w:b w:val="1"/>
                <w:bCs w:val="1"/>
                <w:color w:val="auto"/>
              </w:rPr>
              <w:t>Three Months Ended</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April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40"/>
              <w:spacing w:after="0" w:line="124" w:lineRule="exact"/>
              <w:rPr>
                <w:sz w:val="20"/>
                <w:szCs w:val="20"/>
                <w:color w:val="auto"/>
              </w:rPr>
            </w:pPr>
            <w:r>
              <w:rPr>
                <w:rFonts w:ascii="Arial" w:cs="Arial" w:eastAsia="Arial" w:hAnsi="Arial"/>
                <w:sz w:val="13"/>
                <w:szCs w:val="13"/>
                <w:b w:val="1"/>
                <w:bCs w:val="1"/>
                <w:color w:val="auto"/>
              </w:rPr>
              <w:t>July 31,</w:t>
            </w:r>
          </w:p>
        </w:tc>
        <w:tc>
          <w:tcPr>
            <w:tcW w:w="40" w:type="dxa"/>
            <w:vAlign w:val="bottom"/>
          </w:tcPr>
          <w:p>
            <w:pPr>
              <w:spacing w:after="0"/>
              <w:rPr>
                <w:sz w:val="10"/>
                <w:szCs w:val="10"/>
                <w:color w:val="auto"/>
              </w:rPr>
            </w:pPr>
          </w:p>
        </w:tc>
        <w:tc>
          <w:tcPr>
            <w:tcW w:w="900" w:type="dxa"/>
            <w:vAlign w:val="bottom"/>
            <w:gridSpan w:val="3"/>
          </w:tcPr>
          <w:p>
            <w:pPr>
              <w:jc w:val="right"/>
              <w:ind w:right="120"/>
              <w:spacing w:after="0" w:line="124" w:lineRule="exact"/>
              <w:rPr>
                <w:sz w:val="20"/>
                <w:szCs w:val="20"/>
                <w:color w:val="auto"/>
              </w:rPr>
            </w:pPr>
            <w:r>
              <w:rPr>
                <w:rFonts w:ascii="Arial" w:cs="Arial" w:eastAsia="Arial" w:hAnsi="Arial"/>
                <w:sz w:val="13"/>
                <w:szCs w:val="13"/>
                <w:b w:val="1"/>
                <w:bCs w:val="1"/>
                <w:color w:val="auto"/>
              </w:rPr>
              <w:t>October 31,</w:t>
            </w:r>
          </w:p>
        </w:tc>
        <w:tc>
          <w:tcPr>
            <w:tcW w:w="40" w:type="dxa"/>
            <w:vAlign w:val="bottom"/>
          </w:tcPr>
          <w:p>
            <w:pPr>
              <w:spacing w:after="0"/>
              <w:rPr>
                <w:sz w:val="10"/>
                <w:szCs w:val="10"/>
                <w:color w:val="auto"/>
              </w:rPr>
            </w:pPr>
          </w:p>
        </w:tc>
        <w:tc>
          <w:tcPr>
            <w:tcW w:w="880" w:type="dxa"/>
            <w:vAlign w:val="bottom"/>
            <w:gridSpan w:val="3"/>
          </w:tcPr>
          <w:p>
            <w:pPr>
              <w:jc w:val="right"/>
              <w:ind w:right="120"/>
              <w:spacing w:after="0" w:line="124" w:lineRule="exact"/>
              <w:rPr>
                <w:sz w:val="20"/>
                <w:szCs w:val="20"/>
                <w:color w:val="auto"/>
              </w:rPr>
            </w:pPr>
            <w:r>
              <w:rPr>
                <w:rFonts w:ascii="Arial" w:cs="Arial" w:eastAsia="Arial" w:hAnsi="Arial"/>
                <w:sz w:val="13"/>
                <w:szCs w:val="13"/>
                <w:b w:val="1"/>
                <w:bCs w:val="1"/>
                <w:color w:val="auto"/>
              </w:rPr>
              <w:t>January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rPr>
              <w:t>April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40"/>
              <w:spacing w:after="0" w:line="124" w:lineRule="exact"/>
              <w:rPr>
                <w:sz w:val="20"/>
                <w:szCs w:val="20"/>
                <w:color w:val="auto"/>
              </w:rPr>
            </w:pPr>
            <w:r>
              <w:rPr>
                <w:rFonts w:ascii="Arial" w:cs="Arial" w:eastAsia="Arial" w:hAnsi="Arial"/>
                <w:sz w:val="13"/>
                <w:szCs w:val="13"/>
                <w:b w:val="1"/>
                <w:bCs w:val="1"/>
                <w:color w:val="auto"/>
              </w:rPr>
              <w:t>July 31,</w:t>
            </w:r>
          </w:p>
        </w:tc>
        <w:tc>
          <w:tcPr>
            <w:tcW w:w="40" w:type="dxa"/>
            <w:vAlign w:val="bottom"/>
          </w:tcPr>
          <w:p>
            <w:pPr>
              <w:spacing w:after="0"/>
              <w:rPr>
                <w:sz w:val="10"/>
                <w:szCs w:val="10"/>
                <w:color w:val="auto"/>
              </w:rPr>
            </w:pPr>
          </w:p>
        </w:tc>
        <w:tc>
          <w:tcPr>
            <w:tcW w:w="900" w:type="dxa"/>
            <w:vAlign w:val="bottom"/>
            <w:gridSpan w:val="3"/>
          </w:tcPr>
          <w:p>
            <w:pPr>
              <w:jc w:val="right"/>
              <w:ind w:right="120"/>
              <w:spacing w:after="0" w:line="124" w:lineRule="exact"/>
              <w:rPr>
                <w:sz w:val="20"/>
                <w:szCs w:val="20"/>
                <w:color w:val="auto"/>
              </w:rPr>
            </w:pPr>
            <w:r>
              <w:rPr>
                <w:rFonts w:ascii="Arial" w:cs="Arial" w:eastAsia="Arial" w:hAnsi="Arial"/>
                <w:sz w:val="13"/>
                <w:szCs w:val="13"/>
                <w:b w:val="1"/>
                <w:bCs w:val="1"/>
                <w:color w:val="auto"/>
              </w:rPr>
              <w:t>October 31,</w:t>
            </w:r>
          </w:p>
        </w:tc>
        <w:tc>
          <w:tcPr>
            <w:tcW w:w="40" w:type="dxa"/>
            <w:vAlign w:val="bottom"/>
          </w:tcPr>
          <w:p>
            <w:pPr>
              <w:spacing w:after="0"/>
              <w:rPr>
                <w:sz w:val="10"/>
                <w:szCs w:val="10"/>
                <w:color w:val="auto"/>
              </w:rPr>
            </w:pPr>
          </w:p>
        </w:tc>
        <w:tc>
          <w:tcPr>
            <w:tcW w:w="900" w:type="dxa"/>
            <w:vAlign w:val="bottom"/>
            <w:gridSpan w:val="3"/>
          </w:tcPr>
          <w:p>
            <w:pPr>
              <w:jc w:val="right"/>
              <w:ind w:right="140"/>
              <w:spacing w:after="0" w:line="124" w:lineRule="exact"/>
              <w:rPr>
                <w:sz w:val="20"/>
                <w:szCs w:val="20"/>
                <w:color w:val="auto"/>
              </w:rPr>
            </w:pPr>
            <w:r>
              <w:rPr>
                <w:rFonts w:ascii="Arial" w:cs="Arial" w:eastAsia="Arial" w:hAnsi="Arial"/>
                <w:sz w:val="13"/>
                <w:szCs w:val="13"/>
                <w:b w:val="1"/>
                <w:bCs w:val="1"/>
                <w:color w:val="auto"/>
              </w:rPr>
              <w:t>January 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69"/>
              <w:spacing w:after="0" w:line="124" w:lineRule="exact"/>
              <w:rPr>
                <w:sz w:val="20"/>
                <w:szCs w:val="20"/>
                <w:color w:val="auto"/>
              </w:rPr>
            </w:pPr>
            <w:r>
              <w:rPr>
                <w:rFonts w:ascii="Arial" w:cs="Arial" w:eastAsia="Arial" w:hAnsi="Arial"/>
                <w:sz w:val="13"/>
                <w:szCs w:val="13"/>
                <w:b w:val="1"/>
                <w:bCs w:val="1"/>
                <w:color w:val="auto"/>
              </w:rPr>
              <w:t>April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20" w:type="dxa"/>
            <w:vAlign w:val="bottom"/>
            <w:vMerge w:val="restart"/>
          </w:tcPr>
          <w:p>
            <w:pPr>
              <w:spacing w:after="0"/>
              <w:rPr>
                <w:sz w:val="20"/>
                <w:szCs w:val="20"/>
                <w:color w:val="auto"/>
              </w:rPr>
            </w:pPr>
            <w:r>
              <w:rPr>
                <w:rFonts w:ascii="Arial" w:cs="Arial" w:eastAsia="Arial" w:hAnsi="Arial"/>
                <w:sz w:val="13"/>
                <w:szCs w:val="13"/>
                <w:b w:val="1"/>
                <w:bCs w:val="1"/>
                <w:color w:val="auto"/>
              </w:rPr>
              <w:t>Consolidated Statement of Operations Data:</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2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560" w:type="dxa"/>
            <w:vAlign w:val="bottom"/>
            <w:tcBorders>
              <w:bottom w:val="single" w:sz="8" w:color="auto"/>
            </w:tcBorders>
            <w:gridSpan w:val="18"/>
          </w:tcPr>
          <w:p>
            <w:pPr>
              <w:jc w:val="center"/>
              <w:ind w:right="180"/>
              <w:spacing w:after="0" w:line="141" w:lineRule="exact"/>
              <w:rPr>
                <w:sz w:val="20"/>
                <w:szCs w:val="20"/>
                <w:color w:val="auto"/>
              </w:rPr>
            </w:pPr>
            <w:r>
              <w:rPr>
                <w:rFonts w:ascii="Arial" w:cs="Arial" w:eastAsia="Arial" w:hAnsi="Arial"/>
                <w:sz w:val="13"/>
                <w:szCs w:val="13"/>
                <w:b w:val="1"/>
                <w:bCs w:val="1"/>
                <w:color w:val="auto"/>
              </w:rPr>
              <w:t>(in millions, except share and per share amounts)</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Revenue:</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40" w:type="dxa"/>
            <w:vAlign w:val="bottom"/>
            <w:gridSpan w:val="3"/>
          </w:tcPr>
          <w:p>
            <w:pPr>
              <w:ind w:left="200"/>
              <w:spacing w:after="0"/>
              <w:rPr>
                <w:sz w:val="20"/>
                <w:szCs w:val="20"/>
                <w:color w:val="auto"/>
              </w:rPr>
            </w:pPr>
            <w:r>
              <w:rPr>
                <w:rFonts w:ascii="Arial" w:cs="Arial" w:eastAsia="Arial" w:hAnsi="Arial"/>
                <w:sz w:val="14"/>
                <w:szCs w:val="14"/>
                <w:color w:val="auto"/>
              </w:rPr>
              <w:t>Subscription and Reserve rental revenue $</w:t>
            </w:r>
          </w:p>
        </w:tc>
        <w:tc>
          <w:tcPr>
            <w:tcW w:w="720" w:type="dxa"/>
            <w:vAlign w:val="bottom"/>
          </w:tcPr>
          <w:p>
            <w:pPr>
              <w:jc w:val="right"/>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59.2</w:t>
            </w: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67.0</w:t>
            </w:r>
          </w:p>
        </w:tc>
        <w:tc>
          <w:tcPr>
            <w:tcW w:w="8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52.3</w:t>
            </w: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revenue</w:t>
            </w: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420"/>
              <w:spacing w:after="0"/>
              <w:rPr>
                <w:sz w:val="20"/>
                <w:szCs w:val="20"/>
                <w:color w:val="auto"/>
              </w:rPr>
            </w:pPr>
            <w:r>
              <w:rPr>
                <w:rFonts w:ascii="Arial" w:cs="Arial" w:eastAsia="Arial" w:hAnsi="Arial"/>
                <w:sz w:val="14"/>
                <w:szCs w:val="14"/>
                <w:color w:val="auto"/>
              </w:rPr>
              <w:t>Total revenue, net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200"/>
              <w:spacing w:after="0"/>
              <w:rPr>
                <w:sz w:val="20"/>
                <w:szCs w:val="20"/>
                <w:color w:val="auto"/>
              </w:rPr>
            </w:pPr>
            <w:r>
              <w:rPr>
                <w:rFonts w:ascii="Arial" w:cs="Arial" w:eastAsia="Arial" w:hAnsi="Arial"/>
                <w:sz w:val="14"/>
                <w:szCs w:val="14"/>
                <w:color w:val="auto"/>
              </w:rPr>
              <w:t>Fulfillment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Technology</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200"/>
              <w:spacing w:after="0"/>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20" w:type="dxa"/>
            <w:vAlign w:val="bottom"/>
          </w:tcPr>
          <w:p>
            <w:pPr>
              <w:ind w:left="200"/>
              <w:spacing w:after="0"/>
              <w:rPr>
                <w:sz w:val="20"/>
                <w:szCs w:val="20"/>
                <w:color w:val="auto"/>
              </w:rPr>
            </w:pPr>
            <w:r>
              <w:rPr>
                <w:rFonts w:ascii="Arial" w:cs="Arial" w:eastAsia="Arial" w:hAnsi="Arial"/>
                <w:sz w:val="14"/>
                <w:szCs w:val="14"/>
                <w:color w:val="auto"/>
              </w:rPr>
              <w:t>Rental product depreciation and revenue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360"/>
              <w:spacing w:after="0" w:line="155" w:lineRule="exact"/>
              <w:rPr>
                <w:sz w:val="20"/>
                <w:szCs w:val="20"/>
                <w:color w:val="auto"/>
              </w:rPr>
            </w:pPr>
            <w:r>
              <w:rPr>
                <w:rFonts w:ascii="Arial" w:cs="Arial" w:eastAsia="Arial" w:hAnsi="Arial"/>
                <w:sz w:val="14"/>
                <w:szCs w:val="14"/>
                <w:color w:val="auto"/>
              </w:rPr>
              <w:t>share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21.7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27.7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26.5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20.5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depreciation and amortization</w:t>
            </w: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20" w:type="dxa"/>
            <w:vAlign w:val="bottom"/>
          </w:tcPr>
          <w:p>
            <w:pPr>
              <w:ind w:left="420"/>
              <w:spacing w:after="0"/>
              <w:rPr>
                <w:sz w:val="20"/>
                <w:szCs w:val="20"/>
                <w:color w:val="auto"/>
              </w:rPr>
            </w:pPr>
            <w:r>
              <w:rPr>
                <w:rFonts w:ascii="Arial" w:cs="Arial" w:eastAsia="Arial" w:hAnsi="Arial"/>
                <w:sz w:val="14"/>
                <w:szCs w:val="14"/>
                <w:color w:val="auto"/>
              </w:rPr>
              <w:t>Total costs and expenses</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Operating loss</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20"/>
                <w:szCs w:val="20"/>
                <w:color w:val="auto"/>
              </w:rPr>
            </w:pPr>
            <w:r>
              <w:rPr>
                <w:rFonts w:ascii="Arial" w:cs="Arial" w:eastAsia="Arial" w:hAnsi="Arial"/>
                <w:sz w:val="14"/>
                <w:szCs w:val="14"/>
                <w:color w:val="auto"/>
              </w:rPr>
              <w:t>Interest income / (expense), net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(8.9)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Other income / (expense), net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20" w:type="dxa"/>
            <w:vAlign w:val="bottom"/>
          </w:tcPr>
          <w:p>
            <w:pPr>
              <w:ind w:left="640"/>
              <w:spacing w:after="0"/>
              <w:rPr>
                <w:sz w:val="20"/>
                <w:szCs w:val="20"/>
                <w:color w:val="auto"/>
              </w:rPr>
            </w:pPr>
            <w:r>
              <w:rPr>
                <w:rFonts w:ascii="Arial" w:cs="Arial" w:eastAsia="Arial" w:hAnsi="Arial"/>
                <w:sz w:val="14"/>
                <w:szCs w:val="14"/>
                <w:color w:val="auto"/>
              </w:rPr>
              <w:t>Net loss before benefit from</w:t>
            </w: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780"/>
              <w:spacing w:after="0" w:line="155" w:lineRule="exact"/>
              <w:rPr>
                <w:sz w:val="20"/>
                <w:szCs w:val="20"/>
                <w:color w:val="auto"/>
              </w:rPr>
            </w:pPr>
            <w:r>
              <w:rPr>
                <w:rFonts w:ascii="Arial" w:cs="Arial" w:eastAsia="Arial" w:hAnsi="Arial"/>
                <w:sz w:val="14"/>
                <w:szCs w:val="14"/>
                <w:color w:val="auto"/>
              </w:rPr>
              <w:t>income taxes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(27.8)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(30.2)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(48.7)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(47.4)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(44.9)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(44.3)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(38.8)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Benefit from income taxes</w:t>
            </w: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640"/>
              <w:spacing w:after="0"/>
              <w:rPr>
                <w:sz w:val="20"/>
                <w:szCs w:val="20"/>
                <w:color w:val="auto"/>
              </w:rPr>
            </w:pPr>
            <w:r>
              <w:rPr>
                <w:rFonts w:ascii="Arial" w:cs="Arial" w:eastAsia="Arial" w:hAnsi="Arial"/>
                <w:sz w:val="14"/>
                <w:szCs w:val="14"/>
                <w:color w:val="auto"/>
              </w:rPr>
              <w:t>Net loss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(27.8)</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(30.2)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(48.7)</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(47.2)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(43.1)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(44.9)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(44.3)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(38.8)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loss per share attributable to common</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stockholders, based and diluted</w:t>
            </w:r>
          </w:p>
        </w:tc>
        <w:tc>
          <w:tcPr>
            <w:tcW w:w="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(2.56)</w:t>
            </w:r>
          </w:p>
        </w:tc>
        <w:tc>
          <w:tcPr>
            <w:tcW w:w="1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(2.78)</w:t>
            </w:r>
          </w:p>
        </w:tc>
        <w:tc>
          <w:tcPr>
            <w:tcW w:w="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(4.45)</w:t>
            </w:r>
          </w:p>
        </w:tc>
        <w:tc>
          <w:tcPr>
            <w:tcW w:w="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(4.30)</w:t>
            </w:r>
          </w:p>
        </w:tc>
        <w:tc>
          <w:tcPr>
            <w:tcW w:w="1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(3.88)</w:t>
            </w:r>
          </w:p>
        </w:tc>
        <w:tc>
          <w:tcPr>
            <w:tcW w:w="1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(4.04)</w:t>
            </w:r>
          </w:p>
        </w:tc>
        <w:tc>
          <w:tcPr>
            <w:tcW w:w="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(3.98)</w:t>
            </w:r>
          </w:p>
        </w:tc>
        <w:tc>
          <w:tcPr>
            <w:tcW w:w="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(3.48)</w:t>
            </w:r>
          </w:p>
        </w:tc>
        <w:tc>
          <w:tcPr>
            <w:tcW w:w="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color w:val="auto"/>
              </w:rPr>
              <w:t>Weighted-average shares used in</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40"/>
              <w:spacing w:after="0"/>
              <w:rPr>
                <w:sz w:val="20"/>
                <w:szCs w:val="20"/>
                <w:color w:val="auto"/>
              </w:rPr>
            </w:pPr>
            <w:r>
              <w:rPr>
                <w:rFonts w:ascii="Arial" w:cs="Arial" w:eastAsia="Arial" w:hAnsi="Arial"/>
                <w:sz w:val="14"/>
                <w:szCs w:val="14"/>
                <w:color w:val="auto"/>
              </w:rPr>
              <w:t>computing net loss per share attributable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40"/>
              <w:spacing w:after="0"/>
              <w:rPr>
                <w:sz w:val="20"/>
                <w:szCs w:val="20"/>
                <w:color w:val="auto"/>
              </w:rPr>
            </w:pPr>
            <w:r>
              <w:rPr>
                <w:rFonts w:ascii="Arial" w:cs="Arial" w:eastAsia="Arial" w:hAnsi="Arial"/>
                <w:sz w:val="14"/>
                <w:szCs w:val="14"/>
                <w:color w:val="auto"/>
              </w:rPr>
              <w:t>to common stockholders, basic 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140"/>
              <w:spacing w:after="0" w:line="155" w:lineRule="exact"/>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10,838,607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10,894,782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10,945,994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10,976,735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11,112,667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11,112,706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11,115,005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11,127,721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11,287,251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320" w:top="456"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 w:firstLine="545"/>
        <w:spacing w:after="0" w:line="234" w:lineRule="auto"/>
        <w:rPr>
          <w:sz w:val="20"/>
          <w:szCs w:val="20"/>
          <w:color w:val="auto"/>
        </w:rPr>
      </w:pPr>
      <w:r>
        <w:rPr>
          <w:rFonts w:ascii="Arial" w:cs="Arial" w:eastAsia="Arial" w:hAnsi="Arial"/>
          <w:sz w:val="18"/>
          <w:szCs w:val="18"/>
          <w:color w:val="auto"/>
        </w:rPr>
        <w:t>The following table sets forth our quarterly key business and financial metrics by quarter from the first quarter of 2019 to the first quarter of 2021.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total revenue, net, fulfillment expenses and net loss.</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right"/>
              <w:ind w:right="50"/>
              <w:spacing w:after="0" w:line="124" w:lineRule="exact"/>
              <w:rPr>
                <w:sz w:val="20"/>
                <w:szCs w:val="20"/>
                <w:color w:val="auto"/>
              </w:rPr>
            </w:pPr>
            <w:r>
              <w:rPr>
                <w:rFonts w:ascii="Arial" w:cs="Arial" w:eastAsia="Arial" w:hAnsi="Arial"/>
                <w:sz w:val="13"/>
                <w:szCs w:val="13"/>
                <w:b w:val="1"/>
                <w:bCs w:val="1"/>
                <w:color w:val="auto"/>
              </w:rPr>
              <w:t>April 30,</w:t>
            </w:r>
          </w:p>
        </w:tc>
        <w:tc>
          <w:tcPr>
            <w:tcW w:w="840" w:type="dxa"/>
            <w:vAlign w:val="bottom"/>
            <w:gridSpan w:val="2"/>
          </w:tcPr>
          <w:p>
            <w:pPr>
              <w:jc w:val="right"/>
              <w:ind w:right="130"/>
              <w:spacing w:after="0" w:line="124" w:lineRule="exact"/>
              <w:rPr>
                <w:sz w:val="20"/>
                <w:szCs w:val="20"/>
                <w:color w:val="auto"/>
              </w:rPr>
            </w:pPr>
            <w:r>
              <w:rPr>
                <w:rFonts w:ascii="Arial" w:cs="Arial" w:eastAsia="Arial" w:hAnsi="Arial"/>
                <w:sz w:val="13"/>
                <w:szCs w:val="13"/>
                <w:b w:val="1"/>
                <w:bCs w:val="1"/>
                <w:color w:val="auto"/>
              </w:rPr>
              <w:t>July 31,</w:t>
            </w:r>
          </w:p>
        </w:tc>
        <w:tc>
          <w:tcPr>
            <w:tcW w:w="98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October 31,</w:t>
            </w:r>
          </w:p>
        </w:tc>
        <w:tc>
          <w:tcPr>
            <w:tcW w:w="1000" w:type="dxa"/>
            <w:vAlign w:val="bottom"/>
            <w:gridSpan w:val="2"/>
          </w:tcPr>
          <w:p>
            <w:pPr>
              <w:ind w:left="120"/>
              <w:spacing w:after="0" w:line="124" w:lineRule="exact"/>
              <w:rPr>
                <w:sz w:val="20"/>
                <w:szCs w:val="20"/>
                <w:color w:val="auto"/>
              </w:rPr>
            </w:pPr>
            <w:r>
              <w:rPr>
                <w:rFonts w:ascii="Arial" w:cs="Arial" w:eastAsia="Arial" w:hAnsi="Arial"/>
                <w:sz w:val="13"/>
                <w:szCs w:val="13"/>
                <w:b w:val="1"/>
                <w:bCs w:val="1"/>
                <w:color w:val="auto"/>
              </w:rPr>
              <w:t>January 31,</w:t>
            </w:r>
          </w:p>
        </w:tc>
        <w:tc>
          <w:tcPr>
            <w:tcW w:w="800" w:type="dxa"/>
            <w:vAlign w:val="bottom"/>
          </w:tcPr>
          <w:p>
            <w:pPr>
              <w:jc w:val="right"/>
              <w:ind w:right="110"/>
              <w:spacing w:after="0" w:line="124" w:lineRule="exact"/>
              <w:rPr>
                <w:sz w:val="20"/>
                <w:szCs w:val="20"/>
                <w:color w:val="auto"/>
              </w:rPr>
            </w:pPr>
            <w:r>
              <w:rPr>
                <w:rFonts w:ascii="Arial" w:cs="Arial" w:eastAsia="Arial" w:hAnsi="Arial"/>
                <w:sz w:val="13"/>
                <w:szCs w:val="13"/>
                <w:b w:val="1"/>
                <w:bCs w:val="1"/>
                <w:color w:val="auto"/>
              </w:rPr>
              <w:t>April 30,</w:t>
            </w:r>
          </w:p>
        </w:tc>
        <w:tc>
          <w:tcPr>
            <w:tcW w:w="740" w:type="dxa"/>
            <w:vAlign w:val="bottom"/>
          </w:tcPr>
          <w:p>
            <w:pPr>
              <w:jc w:val="right"/>
              <w:ind w:right="90"/>
              <w:spacing w:after="0" w:line="124" w:lineRule="exact"/>
              <w:rPr>
                <w:sz w:val="20"/>
                <w:szCs w:val="20"/>
                <w:color w:val="auto"/>
              </w:rPr>
            </w:pPr>
            <w:r>
              <w:rPr>
                <w:rFonts w:ascii="Arial" w:cs="Arial" w:eastAsia="Arial" w:hAnsi="Arial"/>
                <w:sz w:val="13"/>
                <w:szCs w:val="13"/>
                <w:b w:val="1"/>
                <w:bCs w:val="1"/>
                <w:color w:val="auto"/>
              </w:rPr>
              <w:t>July 31,</w:t>
            </w:r>
          </w:p>
        </w:tc>
        <w:tc>
          <w:tcPr>
            <w:tcW w:w="98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January 31,</w:t>
            </w:r>
          </w:p>
        </w:tc>
        <w:tc>
          <w:tcPr>
            <w:tcW w:w="64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r>
      <w:tr>
        <w:trPr>
          <w:trHeight w:val="164"/>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40"/>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rPr>
              <w:t>($ in millions)</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Active subscribers (at the end of period)</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8"/>
              </w:rPr>
              <w:t>101,607</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8"/>
              </w:rPr>
              <w:t>106,192</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118,827</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133,572</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52,886</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54,228</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65,545</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54,797</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74,018</w:t>
            </w:r>
          </w:p>
        </w:tc>
        <w:tc>
          <w:tcPr>
            <w:tcW w:w="100" w:type="dxa"/>
            <w:vAlign w:val="bottom"/>
            <w:shd w:val="clear" w:color="auto" w:fill="CCEEFF"/>
          </w:tcPr>
          <w:p>
            <w:pPr>
              <w:spacing w:after="0"/>
              <w:rPr>
                <w:sz w:val="13"/>
                <w:szCs w:val="13"/>
                <w:color w:val="auto"/>
              </w:rPr>
            </w:pPr>
          </w:p>
        </w:tc>
      </w:tr>
      <w:tr>
        <w:trPr>
          <w:trHeight w:val="160"/>
        </w:trPr>
        <w:tc>
          <w:tcPr>
            <w:tcW w:w="2920" w:type="dxa"/>
            <w:vAlign w:val="bottom"/>
          </w:tcPr>
          <w:p>
            <w:pPr>
              <w:spacing w:after="0"/>
              <w:rPr>
                <w:sz w:val="20"/>
                <w:szCs w:val="20"/>
                <w:color w:val="auto"/>
              </w:rPr>
            </w:pPr>
            <w:r>
              <w:rPr>
                <w:rFonts w:ascii="Arial" w:cs="Arial" w:eastAsia="Arial" w:hAnsi="Arial"/>
                <w:sz w:val="14"/>
                <w:szCs w:val="14"/>
                <w:color w:val="auto"/>
              </w:rPr>
              <w:t>Gross profit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13.8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17.6</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8.9</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13.3</w:t>
            </w:r>
          </w:p>
        </w:tc>
        <w:tc>
          <w:tcPr>
            <w:tcW w:w="800" w:type="dxa"/>
            <w:vAlign w:val="bottom"/>
          </w:tcPr>
          <w:p>
            <w:pPr>
              <w:jc w:val="right"/>
              <w:ind w:right="110"/>
              <w:spacing w:after="0"/>
              <w:rPr>
                <w:sz w:val="20"/>
                <w:szCs w:val="20"/>
                <w:color w:val="auto"/>
              </w:rPr>
            </w:pPr>
            <w:r>
              <w:rPr>
                <w:rFonts w:ascii="Arial" w:cs="Arial" w:eastAsia="Arial" w:hAnsi="Arial"/>
                <w:sz w:val="14"/>
                <w:szCs w:val="14"/>
                <w:color w:val="auto"/>
              </w:rPr>
              <w:t>$   10.1</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   (1.4)</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2.4</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4.4</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3"/>
                <w:szCs w:val="13"/>
                <w:color w:val="auto"/>
              </w:rPr>
            </w:pPr>
          </w:p>
        </w:tc>
      </w:tr>
      <w:tr>
        <w:trPr>
          <w:trHeight w:val="160"/>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Gross profit excluding product depreciation</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30.8</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27.9</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36.6</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32.2</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14.6</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19.2</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19.4</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3"/>
                <w:szCs w:val="13"/>
                <w:color w:val="auto"/>
              </w:rPr>
            </w:pPr>
          </w:p>
        </w:tc>
      </w:tr>
      <w:tr>
        <w:trPr>
          <w:trHeight w:val="176"/>
        </w:trPr>
        <w:tc>
          <w:tcPr>
            <w:tcW w:w="2920" w:type="dxa"/>
            <w:vAlign w:val="bottom"/>
          </w:tcPr>
          <w:p>
            <w:pPr>
              <w:spacing w:after="0"/>
              <w:rPr>
                <w:sz w:val="20"/>
                <w:szCs w:val="20"/>
                <w:color w:val="auto"/>
              </w:rPr>
            </w:pPr>
            <w:r>
              <w:rPr>
                <w:rFonts w:ascii="Arial" w:cs="Arial" w:eastAsia="Arial" w:hAnsi="Arial"/>
                <w:sz w:val="14"/>
                <w:szCs w:val="14"/>
                <w:color w:val="auto"/>
              </w:rPr>
              <w:t>Adjusted EBITDA</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(10.6)</w:t>
            </w:r>
          </w:p>
        </w:tc>
        <w:tc>
          <w:tcPr>
            <w:tcW w:w="260" w:type="dxa"/>
            <w:vAlign w:val="bottom"/>
          </w:tcPr>
          <w:p>
            <w:pPr>
              <w:spacing w:after="0"/>
              <w:rPr>
                <w:sz w:val="15"/>
                <w:szCs w:val="15"/>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(7.1)</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(3.1)</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(5.4)</w:t>
            </w:r>
          </w:p>
        </w:tc>
        <w:tc>
          <w:tcPr>
            <w:tcW w:w="2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r>
    </w:tbl>
    <w:p>
      <w:pPr>
        <w:spacing w:after="0" w:line="198" w:lineRule="exact"/>
        <w:rPr>
          <w:sz w:val="20"/>
          <w:szCs w:val="20"/>
          <w:color w:val="auto"/>
        </w:rPr>
      </w:pPr>
    </w:p>
    <w:p>
      <w:pPr>
        <w:ind w:left="180" w:right="420" w:firstLine="545"/>
        <w:spacing w:after="0" w:line="237" w:lineRule="auto"/>
        <w:rPr>
          <w:sz w:val="20"/>
          <w:szCs w:val="20"/>
          <w:color w:val="auto"/>
        </w:rPr>
      </w:pPr>
      <w:r>
        <w:rPr>
          <w:rFonts w:ascii="Arial" w:cs="Arial" w:eastAsia="Arial" w:hAnsi="Arial"/>
          <w:sz w:val="18"/>
          <w:szCs w:val="18"/>
          <w:color w:val="auto"/>
        </w:rPr>
        <w:t>The following table presents a reconciliation of total revenue, net, the most comparable GAAP financial measure, to each of Fulfillment Profit, Gross Profit Excluding Product Depreciation, and Contribution Profit, respectively, by quarter from the first quarter of 2019 to the first quarter of 2021:</w:t>
      </w:r>
    </w:p>
    <w:p>
      <w:pPr>
        <w:spacing w:after="0" w:line="226"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jc w:val="center"/>
              <w:ind w:left="269"/>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right"/>
              <w:ind w:right="180"/>
              <w:spacing w:after="0" w:line="124"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c>
          <w:tcPr>
            <w:tcW w:w="720" w:type="dxa"/>
            <w:vAlign w:val="bottom"/>
            <w:gridSpan w:val="3"/>
          </w:tcPr>
          <w:p>
            <w:pPr>
              <w:jc w:val="right"/>
              <w:ind w:right="180"/>
              <w:spacing w:after="0" w:line="124" w:lineRule="exact"/>
              <w:rPr>
                <w:sz w:val="20"/>
                <w:szCs w:val="20"/>
                <w:color w:val="auto"/>
              </w:rPr>
            </w:pPr>
            <w:r>
              <w:rPr>
                <w:rFonts w:ascii="Arial" w:cs="Arial" w:eastAsia="Arial" w:hAnsi="Arial"/>
                <w:sz w:val="13"/>
                <w:szCs w:val="13"/>
                <w:b w:val="1"/>
                <w:bCs w:val="1"/>
                <w:color w:val="auto"/>
              </w:rPr>
              <w:t>July 31,</w:t>
            </w:r>
          </w:p>
        </w:tc>
        <w:tc>
          <w:tcPr>
            <w:tcW w:w="980" w:type="dxa"/>
            <w:vAlign w:val="bottom"/>
            <w:gridSpan w:val="4"/>
          </w:tcPr>
          <w:p>
            <w:pPr>
              <w:ind w:left="100"/>
              <w:spacing w:after="0" w:line="124" w:lineRule="exact"/>
              <w:rPr>
                <w:sz w:val="20"/>
                <w:szCs w:val="20"/>
                <w:color w:val="auto"/>
              </w:rPr>
            </w:pPr>
            <w:r>
              <w:rPr>
                <w:rFonts w:ascii="Arial" w:cs="Arial" w:eastAsia="Arial" w:hAnsi="Arial"/>
                <w:sz w:val="13"/>
                <w:szCs w:val="13"/>
                <w:b w:val="1"/>
                <w:bCs w:val="1"/>
                <w:color w:val="auto"/>
              </w:rPr>
              <w:t>October 31,</w:t>
            </w:r>
          </w:p>
        </w:tc>
        <w:tc>
          <w:tcPr>
            <w:tcW w:w="880" w:type="dxa"/>
            <w:vAlign w:val="bottom"/>
            <w:gridSpan w:val="4"/>
          </w:tcPr>
          <w:p>
            <w:pPr>
              <w:ind w:left="100"/>
              <w:spacing w:after="0" w:line="124" w:lineRule="exact"/>
              <w:rPr>
                <w:sz w:val="20"/>
                <w:szCs w:val="20"/>
                <w:color w:val="auto"/>
              </w:rPr>
            </w:pPr>
            <w:r>
              <w:rPr>
                <w:rFonts w:ascii="Arial" w:cs="Arial" w:eastAsia="Arial" w:hAnsi="Arial"/>
                <w:sz w:val="13"/>
                <w:szCs w:val="13"/>
                <w:b w:val="1"/>
                <w:bCs w:val="1"/>
                <w:color w:val="auto"/>
              </w:rPr>
              <w:t>January 31,</w:t>
            </w:r>
          </w:p>
        </w:tc>
        <w:tc>
          <w:tcPr>
            <w:tcW w:w="860" w:type="dxa"/>
            <w:vAlign w:val="bottom"/>
            <w:gridSpan w:val="4"/>
          </w:tcPr>
          <w:p>
            <w:pPr>
              <w:ind w:left="200"/>
              <w:spacing w:after="0" w:line="124"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c>
          <w:tcPr>
            <w:tcW w:w="6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July 31,</w:t>
            </w:r>
          </w:p>
        </w:tc>
        <w:tc>
          <w:tcPr>
            <w:tcW w:w="980" w:type="dxa"/>
            <w:vAlign w:val="bottom"/>
            <w:gridSpan w:val="4"/>
          </w:tcPr>
          <w:p>
            <w:pPr>
              <w:ind w:left="100"/>
              <w:spacing w:after="0" w:line="124"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4"/>
          </w:tcPr>
          <w:p>
            <w:pPr>
              <w:ind w:left="100"/>
              <w:spacing w:after="0" w:line="124" w:lineRule="exact"/>
              <w:rPr>
                <w:sz w:val="20"/>
                <w:szCs w:val="20"/>
                <w:color w:val="auto"/>
              </w:rPr>
            </w:pPr>
            <w:r>
              <w:rPr>
                <w:rFonts w:ascii="Arial" w:cs="Arial" w:eastAsia="Arial" w:hAnsi="Arial"/>
                <w:sz w:val="13"/>
                <w:szCs w:val="13"/>
                <w:b w:val="1"/>
                <w:bCs w:val="1"/>
                <w:color w:val="auto"/>
              </w:rPr>
              <w:t>January 31,</w:t>
            </w:r>
          </w:p>
        </w:tc>
        <w:tc>
          <w:tcPr>
            <w:tcW w:w="62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r>
      <w:tr>
        <w:trPr>
          <w:trHeight w:val="164"/>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40"/>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100"/>
              <w:spacing w:after="0" w:line="141" w:lineRule="exact"/>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Total revenue,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3"/>
                <w:szCs w:val="13"/>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Fulfillment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r>
      <w:tr>
        <w:trPr>
          <w:trHeight w:val="160"/>
        </w:trPr>
        <w:tc>
          <w:tcPr>
            <w:tcW w:w="3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Fulfillment profit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3"/>
                <w:szCs w:val="13"/>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Revenue share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r>
      <w:tr>
        <w:trPr>
          <w:trHeight w:val="160"/>
        </w:trPr>
        <w:tc>
          <w:tcPr>
            <w:tcW w:w="3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 excluding product depreciation</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3"/>
                <w:szCs w:val="13"/>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Rental product depreciation</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r>
      <w:tr>
        <w:trPr>
          <w:trHeight w:val="160"/>
        </w:trPr>
        <w:tc>
          <w:tcPr>
            <w:tcW w:w="3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3"/>
                <w:szCs w:val="13"/>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Credit card processing fees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r>
      <w:tr>
        <w:trPr>
          <w:trHeight w:val="160"/>
        </w:trPr>
        <w:tc>
          <w:tcPr>
            <w:tcW w:w="3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Contribution profit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3"/>
                <w:szCs w:val="13"/>
                <w:color w:val="auto"/>
              </w:rPr>
            </w:pPr>
          </w:p>
        </w:tc>
      </w:tr>
      <w:tr>
        <w:trPr>
          <w:trHeight w:val="160"/>
        </w:trPr>
        <w:tc>
          <w:tcPr>
            <w:tcW w:w="3100" w:type="dxa"/>
            <w:vAlign w:val="bottom"/>
          </w:tcPr>
          <w:p>
            <w:pPr>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11.9</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3"/>
                <w:szCs w:val="13"/>
                <w:color w:val="auto"/>
              </w:rPr>
            </w:pPr>
          </w:p>
        </w:tc>
      </w:tr>
      <w:tr>
        <w:trPr>
          <w:trHeight w:val="160"/>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Marketing</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r>
      <w:tr>
        <w:trPr>
          <w:trHeight w:val="165"/>
        </w:trPr>
        <w:tc>
          <w:tcPr>
            <w:tcW w:w="3100" w:type="dxa"/>
            <w:vAlign w:val="bottom"/>
          </w:tcPr>
          <w:p>
            <w:pPr>
              <w:spacing w:after="0"/>
              <w:rPr>
                <w:sz w:val="20"/>
                <w:szCs w:val="20"/>
                <w:color w:val="auto"/>
              </w:rPr>
            </w:pPr>
            <w:r>
              <w:rPr>
                <w:rFonts w:ascii="Arial" w:cs="Arial" w:eastAsia="Arial" w:hAnsi="Arial"/>
                <w:sz w:val="14"/>
                <w:szCs w:val="14"/>
                <w:color w:val="auto"/>
              </w:rPr>
              <w:t>General and administrative (excluding credit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100" w:type="dxa"/>
            <w:vAlign w:val="bottom"/>
          </w:tcPr>
          <w:p>
            <w:pPr>
              <w:ind w:left="140"/>
              <w:spacing w:after="0" w:line="155" w:lineRule="exact"/>
              <w:rPr>
                <w:sz w:val="20"/>
                <w:szCs w:val="20"/>
                <w:color w:val="auto"/>
              </w:rPr>
            </w:pPr>
            <w:r>
              <w:rPr>
                <w:rFonts w:ascii="Arial" w:cs="Arial" w:eastAsia="Arial" w:hAnsi="Arial"/>
                <w:sz w:val="14"/>
                <w:szCs w:val="14"/>
                <w:color w:val="auto"/>
              </w:rPr>
              <w:t>card processing fees)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25.5</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16.5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18.0</w:t>
            </w:r>
          </w:p>
        </w:tc>
        <w:tc>
          <w:tcPr>
            <w:tcW w:w="100" w:type="dxa"/>
            <w:vAlign w:val="bottom"/>
          </w:tcPr>
          <w:p>
            <w:pPr>
              <w:spacing w:after="0"/>
              <w:rPr>
                <w:sz w:val="13"/>
                <w:szCs w:val="13"/>
                <w:color w:val="auto"/>
              </w:rPr>
            </w:pPr>
          </w:p>
        </w:tc>
      </w:tr>
      <w:tr>
        <w:trPr>
          <w:trHeight w:val="160"/>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Other depreciation and amortization</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3"/>
                <w:szCs w:val="13"/>
                <w:color w:val="auto"/>
              </w:rPr>
            </w:pPr>
          </w:p>
        </w:tc>
      </w:tr>
      <w:tr>
        <w:trPr>
          <w:trHeight w:val="182"/>
        </w:trPr>
        <w:tc>
          <w:tcPr>
            <w:tcW w:w="3100" w:type="dxa"/>
            <w:vAlign w:val="bottom"/>
          </w:tcPr>
          <w:p>
            <w:pPr>
              <w:ind w:left="280"/>
              <w:spacing w:after="0"/>
              <w:rPr>
                <w:sz w:val="20"/>
                <w:szCs w:val="20"/>
                <w:color w:val="auto"/>
              </w:rPr>
            </w:pPr>
            <w:r>
              <w:rPr>
                <w:rFonts w:ascii="Arial" w:cs="Arial" w:eastAsia="Arial" w:hAnsi="Arial"/>
                <w:sz w:val="14"/>
                <w:szCs w:val="14"/>
                <w:color w:val="auto"/>
              </w:rPr>
              <w:t>Operating loss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(22.2)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(24.9)</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(43.1)</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(39.8)</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(35.1)</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(33.6)</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(32.0)</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(29.8)</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(28.3)</w:t>
            </w:r>
          </w:p>
        </w:tc>
      </w:tr>
    </w:tbl>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380" w:firstLine="545"/>
        <w:spacing w:after="0" w:line="239"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by quarter from the first quarter of 2019 to the first quarter of 2021:</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3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April 30,</w:t>
            </w:r>
          </w:p>
        </w:tc>
        <w:tc>
          <w:tcPr>
            <w:tcW w:w="720" w:type="dxa"/>
            <w:vAlign w:val="bottom"/>
            <w:gridSpan w:val="4"/>
          </w:tcPr>
          <w:p>
            <w:pPr>
              <w:ind w:left="80"/>
              <w:spacing w:after="0" w:line="124" w:lineRule="exact"/>
              <w:rPr>
                <w:sz w:val="20"/>
                <w:szCs w:val="20"/>
                <w:color w:val="auto"/>
              </w:rPr>
            </w:pPr>
            <w:r>
              <w:rPr>
                <w:rFonts w:ascii="Arial" w:cs="Arial" w:eastAsia="Arial" w:hAnsi="Arial"/>
                <w:sz w:val="13"/>
                <w:szCs w:val="13"/>
                <w:b w:val="1"/>
                <w:bCs w:val="1"/>
                <w:color w:val="auto"/>
              </w:rPr>
              <w:t>July 31,</w:t>
            </w:r>
          </w:p>
        </w:tc>
        <w:tc>
          <w:tcPr>
            <w:tcW w:w="960" w:type="dxa"/>
            <w:vAlign w:val="bottom"/>
            <w:gridSpan w:val="4"/>
          </w:tcPr>
          <w:p>
            <w:pPr>
              <w:ind w:left="80"/>
              <w:spacing w:after="0" w:line="124" w:lineRule="exact"/>
              <w:rPr>
                <w:sz w:val="20"/>
                <w:szCs w:val="20"/>
                <w:color w:val="auto"/>
              </w:rPr>
            </w:pPr>
            <w:r>
              <w:rPr>
                <w:rFonts w:ascii="Arial" w:cs="Arial" w:eastAsia="Arial" w:hAnsi="Arial"/>
                <w:sz w:val="13"/>
                <w:szCs w:val="13"/>
                <w:b w:val="1"/>
                <w:bCs w:val="1"/>
                <w:color w:val="auto"/>
              </w:rPr>
              <w:t>October 31,</w:t>
            </w:r>
          </w:p>
        </w:tc>
        <w:tc>
          <w:tcPr>
            <w:tcW w:w="920" w:type="dxa"/>
            <w:vAlign w:val="bottom"/>
            <w:gridSpan w:val="4"/>
          </w:tcPr>
          <w:p>
            <w:pPr>
              <w:ind w:left="100"/>
              <w:spacing w:after="0" w:line="124" w:lineRule="exact"/>
              <w:rPr>
                <w:sz w:val="20"/>
                <w:szCs w:val="20"/>
                <w:color w:val="auto"/>
              </w:rPr>
            </w:pPr>
            <w:r>
              <w:rPr>
                <w:rFonts w:ascii="Arial" w:cs="Arial" w:eastAsia="Arial" w:hAnsi="Arial"/>
                <w:sz w:val="13"/>
                <w:szCs w:val="13"/>
                <w:b w:val="1"/>
                <w:bCs w:val="1"/>
                <w:color w:val="auto"/>
              </w:rPr>
              <w:t>January 31,</w:t>
            </w:r>
          </w:p>
        </w:tc>
        <w:tc>
          <w:tcPr>
            <w:tcW w:w="860" w:type="dxa"/>
            <w:vAlign w:val="bottom"/>
            <w:gridSpan w:val="4"/>
          </w:tcPr>
          <w:p>
            <w:pPr>
              <w:jc w:val="center"/>
              <w:ind w:right="20"/>
              <w:spacing w:after="0" w:line="124" w:lineRule="exact"/>
              <w:rPr>
                <w:sz w:val="20"/>
                <w:szCs w:val="20"/>
                <w:color w:val="auto"/>
              </w:rPr>
            </w:pPr>
            <w:r>
              <w:rPr>
                <w:rFonts w:ascii="Arial" w:cs="Arial" w:eastAsia="Arial" w:hAnsi="Arial"/>
                <w:sz w:val="13"/>
                <w:szCs w:val="13"/>
                <w:b w:val="1"/>
                <w:bCs w:val="1"/>
                <w:color w:val="auto"/>
              </w:rPr>
              <w:t>April 30,</w:t>
            </w:r>
          </w:p>
        </w:tc>
        <w:tc>
          <w:tcPr>
            <w:tcW w:w="680" w:type="dxa"/>
            <w:vAlign w:val="bottom"/>
            <w:gridSpan w:val="4"/>
          </w:tcPr>
          <w:p>
            <w:pPr>
              <w:ind w:left="60"/>
              <w:spacing w:after="0" w:line="124" w:lineRule="exact"/>
              <w:rPr>
                <w:sz w:val="20"/>
                <w:szCs w:val="20"/>
                <w:color w:val="auto"/>
              </w:rPr>
            </w:pPr>
            <w:r>
              <w:rPr>
                <w:rFonts w:ascii="Arial" w:cs="Arial" w:eastAsia="Arial" w:hAnsi="Arial"/>
                <w:sz w:val="13"/>
                <w:szCs w:val="13"/>
                <w:b w:val="1"/>
                <w:bCs w:val="1"/>
                <w:color w:val="auto"/>
              </w:rPr>
              <w:t>July 31,</w:t>
            </w:r>
          </w:p>
        </w:tc>
        <w:tc>
          <w:tcPr>
            <w:tcW w:w="980" w:type="dxa"/>
            <w:vAlign w:val="bottom"/>
            <w:gridSpan w:val="4"/>
          </w:tcPr>
          <w:p>
            <w:pPr>
              <w:ind w:left="100"/>
              <w:spacing w:after="0" w:line="124"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4"/>
          </w:tcPr>
          <w:p>
            <w:pPr>
              <w:ind w:left="100"/>
              <w:spacing w:after="0" w:line="124" w:lineRule="exact"/>
              <w:rPr>
                <w:sz w:val="20"/>
                <w:szCs w:val="20"/>
                <w:color w:val="auto"/>
              </w:rPr>
            </w:pPr>
            <w:r>
              <w:rPr>
                <w:rFonts w:ascii="Arial" w:cs="Arial" w:eastAsia="Arial" w:hAnsi="Arial"/>
                <w:sz w:val="13"/>
                <w:szCs w:val="13"/>
                <w:b w:val="1"/>
                <w:bCs w:val="1"/>
                <w:color w:val="auto"/>
              </w:rPr>
              <w:t>January 31,</w:t>
            </w:r>
          </w:p>
        </w:tc>
        <w:tc>
          <w:tcPr>
            <w:tcW w:w="62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r>
      <w:tr>
        <w:trPr>
          <w:trHeight w:val="164"/>
        </w:trPr>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40"/>
        </w:trPr>
        <w:tc>
          <w:tcPr>
            <w:tcW w:w="3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rPr>
              <w:t>(in millions)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(42.3)</w:t>
            </w:r>
          </w:p>
        </w:tc>
      </w:tr>
      <w:tr>
        <w:trPr>
          <w:trHeight w:val="160"/>
        </w:trPr>
        <w:tc>
          <w:tcPr>
            <w:tcW w:w="3060" w:type="dxa"/>
            <w:vAlign w:val="bottom"/>
          </w:tcPr>
          <w:p>
            <w:pPr>
              <w:ind w:left="280"/>
              <w:spacing w:after="0" w:line="160" w:lineRule="exact"/>
              <w:rPr>
                <w:sz w:val="20"/>
                <w:szCs w:val="20"/>
                <w:color w:val="auto"/>
              </w:rPr>
            </w:pPr>
            <w:r>
              <w:rPr>
                <w:rFonts w:ascii="Arial" w:cs="Arial" w:eastAsia="Arial" w:hAnsi="Arial"/>
                <w:sz w:val="11"/>
                <w:szCs w:val="11"/>
                <w:color w:val="auto"/>
              </w:rPr>
              <w:t xml:space="preserve">Interest (income) / expense, net </w:t>
            </w:r>
            <w:r>
              <w:rPr>
                <w:rFonts w:ascii="Arial" w:cs="Arial" w:eastAsia="Arial" w:hAnsi="Arial"/>
                <w:sz w:val="18"/>
                <w:szCs w:val="18"/>
                <w:color w:val="auto"/>
                <w:vertAlign w:val="superscript"/>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3"/>
                <w:szCs w:val="13"/>
                <w:color w:val="auto"/>
              </w:rPr>
            </w:pPr>
          </w:p>
        </w:tc>
      </w:tr>
      <w:tr>
        <w:trPr>
          <w:trHeight w:val="160"/>
        </w:trPr>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Rental product depreciation</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3"/>
                <w:szCs w:val="13"/>
                <w:color w:val="auto"/>
              </w:rPr>
            </w:pPr>
          </w:p>
        </w:tc>
      </w:tr>
      <w:tr>
        <w:trPr>
          <w:trHeight w:val="160"/>
        </w:trPr>
        <w:tc>
          <w:tcPr>
            <w:tcW w:w="3060" w:type="dxa"/>
            <w:vAlign w:val="bottom"/>
          </w:tcPr>
          <w:p>
            <w:pPr>
              <w:ind w:left="280"/>
              <w:spacing w:after="0" w:line="160" w:lineRule="exact"/>
              <w:rPr>
                <w:sz w:val="20"/>
                <w:szCs w:val="20"/>
                <w:color w:val="auto"/>
              </w:rPr>
            </w:pPr>
            <w:r>
              <w:rPr>
                <w:rFonts w:ascii="Arial" w:cs="Arial" w:eastAsia="Arial" w:hAnsi="Arial"/>
                <w:sz w:val="11"/>
                <w:szCs w:val="11"/>
                <w:color w:val="auto"/>
              </w:rPr>
              <w:t xml:space="preserve">Other depreciation and amortization </w:t>
            </w:r>
            <w:r>
              <w:rPr>
                <w:rFonts w:ascii="Arial" w:cs="Arial" w:eastAsia="Arial" w:hAnsi="Arial"/>
                <w:sz w:val="18"/>
                <w:szCs w:val="18"/>
                <w:color w:val="auto"/>
                <w:vertAlign w:val="superscript"/>
              </w:rPr>
              <w:t>(2)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3"/>
                <w:szCs w:val="13"/>
                <w:color w:val="auto"/>
              </w:rPr>
            </w:pPr>
          </w:p>
        </w:tc>
      </w:tr>
      <w:tr>
        <w:trPr>
          <w:trHeight w:val="160"/>
        </w:trPr>
        <w:tc>
          <w:tcPr>
            <w:tcW w:w="3060" w:type="dxa"/>
            <w:vAlign w:val="bottom"/>
            <w:shd w:val="clear" w:color="auto" w:fill="CCEEFF"/>
          </w:tcPr>
          <w:p>
            <w:pPr>
              <w:ind w:left="280"/>
              <w:spacing w:after="0" w:line="160" w:lineRule="exact"/>
              <w:rPr>
                <w:sz w:val="20"/>
                <w:szCs w:val="20"/>
                <w:color w:val="auto"/>
              </w:rPr>
            </w:pPr>
            <w:r>
              <w:rPr>
                <w:rFonts w:ascii="Arial" w:cs="Arial" w:eastAsia="Arial" w:hAnsi="Arial"/>
                <w:sz w:val="11"/>
                <w:szCs w:val="11"/>
                <w:color w:val="auto"/>
              </w:rPr>
              <w:t xml:space="preserve">Stock compensation </w:t>
            </w:r>
            <w:r>
              <w:rPr>
                <w:rFonts w:ascii="Arial" w:cs="Arial" w:eastAsia="Arial" w:hAnsi="Arial"/>
                <w:sz w:val="18"/>
                <w:szCs w:val="18"/>
                <w:color w:val="auto"/>
                <w:vertAlign w:val="superscript"/>
              </w:rPr>
              <w:t>(3)</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3"/>
                <w:szCs w:val="13"/>
                <w:color w:val="auto"/>
              </w:rPr>
            </w:pPr>
          </w:p>
        </w:tc>
      </w:tr>
      <w:tr>
        <w:trPr>
          <w:trHeight w:val="160"/>
        </w:trPr>
        <w:tc>
          <w:tcPr>
            <w:tcW w:w="3060" w:type="dxa"/>
            <w:vAlign w:val="bottom"/>
          </w:tcPr>
          <w:p>
            <w:pPr>
              <w:ind w:left="280"/>
              <w:spacing w:after="0" w:line="160" w:lineRule="exact"/>
              <w:rPr>
                <w:sz w:val="20"/>
                <w:szCs w:val="20"/>
                <w:color w:val="auto"/>
              </w:rPr>
            </w:pPr>
            <w:r>
              <w:rPr>
                <w:rFonts w:ascii="Arial" w:cs="Arial" w:eastAsia="Arial" w:hAnsi="Arial"/>
                <w:sz w:val="11"/>
                <w:szCs w:val="11"/>
                <w:color w:val="auto"/>
              </w:rPr>
              <w:t xml:space="preserve">Write-off of liquidated assets </w:t>
            </w:r>
            <w:r>
              <w:rPr>
                <w:rFonts w:ascii="Arial" w:cs="Arial" w:eastAsia="Arial" w:hAnsi="Arial"/>
                <w:sz w:val="18"/>
                <w:szCs w:val="18"/>
                <w:color w:val="auto"/>
                <w:vertAlign w:val="superscript"/>
              </w:rPr>
              <w:t>(4)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r>
      <w:tr>
        <w:trPr>
          <w:trHeight w:val="160"/>
        </w:trPr>
        <w:tc>
          <w:tcPr>
            <w:tcW w:w="3060" w:type="dxa"/>
            <w:vAlign w:val="bottom"/>
            <w:shd w:val="clear" w:color="auto" w:fill="CCEEFF"/>
          </w:tcPr>
          <w:p>
            <w:pPr>
              <w:ind w:left="280"/>
              <w:spacing w:after="0" w:line="160" w:lineRule="exact"/>
              <w:rPr>
                <w:sz w:val="20"/>
                <w:szCs w:val="20"/>
                <w:color w:val="auto"/>
              </w:rPr>
            </w:pPr>
            <w:r>
              <w:rPr>
                <w:rFonts w:ascii="Arial" w:cs="Arial" w:eastAsia="Arial" w:hAnsi="Arial"/>
                <w:sz w:val="11"/>
                <w:szCs w:val="11"/>
                <w:color w:val="auto"/>
              </w:rPr>
              <w:t xml:space="preserve">Non-recurring adjustments </w:t>
            </w:r>
            <w:r>
              <w:rPr>
                <w:rFonts w:ascii="Arial" w:cs="Arial" w:eastAsia="Arial" w:hAnsi="Arial"/>
                <w:sz w:val="18"/>
                <w:szCs w:val="18"/>
                <w:color w:val="auto"/>
                <w:vertAlign w:val="superscript"/>
              </w:rPr>
              <w:t>(5)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r>
      <w:tr>
        <w:trPr>
          <w:trHeight w:val="160"/>
        </w:trPr>
        <w:tc>
          <w:tcPr>
            <w:tcW w:w="3060" w:type="dxa"/>
            <w:vAlign w:val="bottom"/>
          </w:tcPr>
          <w:p>
            <w:pPr>
              <w:ind w:left="280"/>
              <w:spacing w:after="0"/>
              <w:rPr>
                <w:sz w:val="20"/>
                <w:szCs w:val="20"/>
                <w:color w:val="auto"/>
              </w:rPr>
            </w:pPr>
            <w:r>
              <w:rPr>
                <w:rFonts w:ascii="Arial" w:cs="Arial" w:eastAsia="Arial" w:hAnsi="Arial"/>
                <w:sz w:val="14"/>
                <w:szCs w:val="14"/>
                <w:color w:val="auto"/>
              </w:rPr>
              <w:t>Benefit from income taxes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0"/>
        </w:trPr>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 expense, net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r>
      <w:tr>
        <w:trPr>
          <w:trHeight w:val="167"/>
        </w:trPr>
        <w:tc>
          <w:tcPr>
            <w:tcW w:w="3060" w:type="dxa"/>
            <w:vAlign w:val="bottom"/>
          </w:tcPr>
          <w:p>
            <w:pPr>
              <w:ind w:left="280"/>
              <w:spacing w:after="0" w:line="160" w:lineRule="exact"/>
              <w:rPr>
                <w:sz w:val="20"/>
                <w:szCs w:val="20"/>
                <w:color w:val="auto"/>
              </w:rPr>
            </w:pPr>
            <w:r>
              <w:rPr>
                <w:rFonts w:ascii="Arial" w:cs="Arial" w:eastAsia="Arial" w:hAnsi="Arial"/>
                <w:sz w:val="11"/>
                <w:szCs w:val="11"/>
                <w:color w:val="auto"/>
              </w:rPr>
              <w:t xml:space="preserve">Other (gains) / losses </w:t>
            </w:r>
            <w:r>
              <w:rPr>
                <w:rFonts w:ascii="Arial" w:cs="Arial" w:eastAsia="Arial" w:hAnsi="Arial"/>
                <w:sz w:val="18"/>
                <w:szCs w:val="18"/>
                <w:color w:val="auto"/>
                <w:vertAlign w:val="superscript"/>
              </w:rPr>
              <w:t>(6)</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0"/>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8</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r>
      <w:tr>
        <w:trPr>
          <w:trHeight w:val="20"/>
        </w:trPr>
        <w:tc>
          <w:tcPr>
            <w:tcW w:w="3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85" w:lineRule="exact"/>
        <w:rPr>
          <w:sz w:val="20"/>
          <w:szCs w:val="20"/>
          <w:color w:val="auto"/>
        </w:rPr>
      </w:pPr>
    </w:p>
    <w:p>
      <w:pPr>
        <w:ind w:left="600" w:right="320" w:hanging="426"/>
        <w:spacing w:after="0" w:line="246" w:lineRule="auto"/>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debt discount amortization of $1.1 million, $0.1 million, $1.0 million, $1.0 million, $1.0 million, $1.0 million, $1.1 million, $2.0 million and $2.2 million in the three months ended April 30, 2019, July 31, 2019, October 31, 2019, January 31, 2020, April 30, 2020, July 31, 2020, October 31, 2020, January 31, 2021 and April 30, 2021, respectively.</w:t>
      </w:r>
    </w:p>
    <w:p>
      <w:pPr>
        <w:spacing w:after="0" w:line="106" w:lineRule="exact"/>
        <w:rPr>
          <w:rFonts w:ascii="Arial" w:cs="Arial" w:eastAsia="Arial" w:hAnsi="Arial"/>
          <w:sz w:val="14"/>
          <w:szCs w:val="14"/>
          <w:color w:val="auto"/>
        </w:rPr>
      </w:pPr>
    </w:p>
    <w:p>
      <w:pPr>
        <w:ind w:left="600" w:hanging="426"/>
        <w:spacing w:after="0"/>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non-rental product depreciation and capitalized software amortization.</w:t>
      </w:r>
    </w:p>
    <w:p>
      <w:pPr>
        <w:spacing w:after="0" w:line="119" w:lineRule="exact"/>
        <w:rPr>
          <w:rFonts w:ascii="Arial" w:cs="Arial" w:eastAsia="Arial" w:hAnsi="Arial"/>
          <w:sz w:val="14"/>
          <w:szCs w:val="14"/>
          <w:color w:val="auto"/>
        </w:rPr>
      </w:pPr>
    </w:p>
    <w:p>
      <w:pPr>
        <w:ind w:left="600" w:hanging="426"/>
        <w:spacing w:after="0"/>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Reflects the non-cash expense for stock-based compensation.</w:t>
      </w:r>
    </w:p>
    <w:p>
      <w:pPr>
        <w:spacing w:after="0" w:line="119" w:lineRule="exact"/>
        <w:rPr>
          <w:rFonts w:ascii="Arial" w:cs="Arial" w:eastAsia="Arial" w:hAnsi="Arial"/>
          <w:sz w:val="14"/>
          <w:szCs w:val="14"/>
          <w:color w:val="auto"/>
        </w:rPr>
      </w:pPr>
    </w:p>
    <w:p>
      <w:pPr>
        <w:ind w:left="600" w:hanging="426"/>
        <w:spacing w:after="0"/>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products that had previously been held for sale.</w:t>
      </w:r>
    </w:p>
    <w:p>
      <w:pPr>
        <w:spacing w:after="0" w:line="119" w:lineRule="exact"/>
        <w:rPr>
          <w:rFonts w:ascii="Arial" w:cs="Arial" w:eastAsia="Arial" w:hAnsi="Arial"/>
          <w:sz w:val="14"/>
          <w:szCs w:val="14"/>
          <w:color w:val="auto"/>
        </w:rPr>
      </w:pPr>
    </w:p>
    <w:p>
      <w:pPr>
        <w:ind w:left="600" w:right="220" w:hanging="426"/>
        <w:spacing w:after="0" w:line="238" w:lineRule="auto"/>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Non-recurring adjustments for the three months ended October 31, 2019 include $2.9 million of costs related to a September 2019 software outage. Remaining non-recurring adjustments in fiscal year 2019 relate primarily to legal costs and settlements. Non-recurring adjustments in fiscal year 2020 include costs associated with COVID-19-related matters including severance, furlough benefits, one-time bonuses and related legal fees of $0.9 million, $1.9 million, $0.2 million and</w:t>
      </w:r>
    </w:p>
    <w:p>
      <w:pPr>
        <w:spacing w:after="0" w:line="1" w:lineRule="exact"/>
        <w:rPr>
          <w:rFonts w:ascii="Arial" w:cs="Arial" w:eastAsia="Arial" w:hAnsi="Arial"/>
          <w:sz w:val="14"/>
          <w:szCs w:val="14"/>
          <w:color w:val="auto"/>
        </w:rPr>
      </w:pPr>
    </w:p>
    <w:p>
      <w:pPr>
        <w:ind w:left="600" w:right="120"/>
        <w:spacing w:after="0" w:line="246" w:lineRule="auto"/>
        <w:rPr>
          <w:rFonts w:ascii="Arial" w:cs="Arial" w:eastAsia="Arial" w:hAnsi="Arial"/>
          <w:sz w:val="14"/>
          <w:szCs w:val="14"/>
          <w:color w:val="auto"/>
        </w:rPr>
      </w:pPr>
      <w:r>
        <w:rPr>
          <w:rFonts w:ascii="Arial" w:cs="Arial" w:eastAsia="Arial" w:hAnsi="Arial"/>
          <w:sz w:val="14"/>
          <w:szCs w:val="14"/>
          <w:color w:val="auto"/>
        </w:rPr>
        <w:t>$0.1 million for the three months ended April 30, 2020, July 31, 2020, October 31, 2020 and January 31, 2021, respectively. Non-recurring adjustments for the three months ended October 31, 2020 include $0.5 million of shipping carrier transition costs. Non-recurring adjustments for the three months ended April 30, 2021 include $0.9 million of costs associated with public readiness preparation.</w:t>
      </w:r>
    </w:p>
    <w:p>
      <w:pPr>
        <w:spacing w:after="0" w:line="106" w:lineRule="exact"/>
        <w:rPr>
          <w:rFonts w:ascii="Arial" w:cs="Arial" w:eastAsia="Arial" w:hAnsi="Arial"/>
          <w:sz w:val="14"/>
          <w:szCs w:val="14"/>
          <w:color w:val="auto"/>
        </w:rPr>
      </w:pPr>
    </w:p>
    <w:p>
      <w:pPr>
        <w:ind w:left="600" w:hanging="426"/>
        <w:spacing w:after="0"/>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costs associated with the write-off of asset disposals, operating lease termination and foreign exchange.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22" w:lineRule="exact"/>
        <w:rPr>
          <w:sz w:val="20"/>
          <w:szCs w:val="20"/>
          <w:color w:val="auto"/>
        </w:rPr>
      </w:pPr>
    </w:p>
    <w:p>
      <w:pPr>
        <w:ind w:left="180" w:right="120" w:firstLine="545"/>
        <w:spacing w:after="0" w:line="234" w:lineRule="auto"/>
        <w:rPr>
          <w:sz w:val="20"/>
          <w:szCs w:val="20"/>
          <w:color w:val="auto"/>
        </w:rPr>
      </w:pPr>
      <w:r>
        <w:rPr>
          <w:rFonts w:ascii="Arial" w:cs="Arial" w:eastAsia="Arial" w:hAnsi="Arial"/>
          <w:sz w:val="18"/>
          <w:szCs w:val="18"/>
          <w:color w:val="auto"/>
        </w:rPr>
        <w:t>Our quarterly revenue increased for the periods presented through the first quarter of fiscal year 2020 primarily due to increases in the number of active subscribers. Our quarterly revenue fluctuated in the remaining periods presented primarily due to the impacts of the COVID-19 pandemic. Beginning in March 2020, positivity rates and shelter-in-place restrictions significantly reduced consumer demand for our Subscription and Reserve offerings, and we saw our the number of active subscribers decrease. However, a significant number of our subscribers put their membership on pause rather than canceling. Throughout fiscal year 2020 and in the first quarter of fiscal year 2021, we observed that our the number of active subscribers were closely tied to COVID-19 positivity rates and social distancing/shelter-at-home restrictions, resulting in an overall reduction in revenue and revenue growth rates compared to pre-COVID-19 levels during this period.</w:t>
      </w:r>
    </w:p>
    <w:p>
      <w:pPr>
        <w:spacing w:after="0" w:line="202" w:lineRule="exact"/>
        <w:rPr>
          <w:sz w:val="20"/>
          <w:szCs w:val="20"/>
          <w:color w:val="auto"/>
        </w:rPr>
      </w:pPr>
    </w:p>
    <w:p>
      <w:pPr>
        <w:ind w:left="180" w:right="60" w:firstLine="545"/>
        <w:spacing w:after="0" w:line="235" w:lineRule="auto"/>
        <w:rPr>
          <w:sz w:val="20"/>
          <w:szCs w:val="20"/>
          <w:color w:val="auto"/>
        </w:rPr>
      </w:pPr>
      <w:r>
        <w:rPr>
          <w:rFonts w:ascii="Arial" w:cs="Arial" w:eastAsia="Arial" w:hAnsi="Arial"/>
          <w:sz w:val="18"/>
          <w:szCs w:val="18"/>
          <w:color w:val="auto"/>
        </w:rPr>
        <w:t>As COVID-19 restrictions have been relaxed and virus positivity rates declined in fiscal year 2021, we have seen increased demand for our offerings though our quarterly revenue remains below pre-COVID-19 levels. As a result of the Delta variant, new restrictions are being contemplated and implemented by workforces and federal, state and local government officials, which could result in a reduction in revenue and revenue growth rates. As of the date of this prospectus, we do not believe our customer demand and operations have been significantly impacted, but we continue to monitor the pandemic and impact on consumer demand.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60" w:firstLine="545"/>
        <w:spacing w:after="0" w:line="234" w:lineRule="auto"/>
        <w:rPr>
          <w:sz w:val="20"/>
          <w:szCs w:val="20"/>
          <w:color w:val="auto"/>
        </w:rPr>
      </w:pPr>
      <w:r>
        <w:rPr>
          <w:rFonts w:ascii="Arial" w:cs="Arial" w:eastAsia="Arial" w:hAnsi="Arial"/>
          <w:sz w:val="18"/>
          <w:szCs w:val="18"/>
          <w:color w:val="auto"/>
        </w:rPr>
        <w:t>Our operating expenses increased for the four quarters of fiscal year 2019 as we scaled to support our growth in operations. In fiscal year 2020, we implemented several cost-saving measures to withstand the COVID-19 pandemic. For example, we paused paid advertising and marketing activities, announced the permanent closure of our brick and mortar retail stores and resized our workforce in our fulfillment centers to better align labor to demand and manage our fulfillment expenses. Overall, during fiscal year 2020, we laid off 31% and furloughed 34% of all employees. In addition, the financial actions we took resulted in a 53% reduction in operating expenses, capital expenditures and product costs, as compared to our pre-COVID-19 budget for April 2020 through January 2021.</w:t>
      </w:r>
    </w:p>
    <w:p>
      <w:pPr>
        <w:spacing w:after="0" w:line="205" w:lineRule="exact"/>
        <w:rPr>
          <w:sz w:val="20"/>
          <w:szCs w:val="20"/>
          <w:color w:val="auto"/>
        </w:rPr>
      </w:pPr>
    </w:p>
    <w:p>
      <w:pPr>
        <w:ind w:left="180" w:right="60" w:firstLine="545"/>
        <w:spacing w:after="0" w:line="237" w:lineRule="auto"/>
        <w:rPr>
          <w:sz w:val="20"/>
          <w:szCs w:val="20"/>
          <w:color w:val="auto"/>
        </w:rPr>
      </w:pPr>
      <w:r>
        <w:rPr>
          <w:rFonts w:ascii="Arial" w:cs="Arial" w:eastAsia="Arial" w:hAnsi="Arial"/>
          <w:sz w:val="18"/>
          <w:szCs w:val="18"/>
          <w:color w:val="auto"/>
        </w:rPr>
        <w:t>The full extent to which the COVID-19 pandemic, including the spread of any new strains, such as the Delta variant, will directly or indirectly impact our business, quarterly results of operations, and financial condition will depend on future developments that are highly uncertain and cannot be accurately predicted. For additional details, refer to the section titled “Risk Factors.”</w:t>
      </w: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Non-GAAP Financial Metrics</w:t>
      </w:r>
    </w:p>
    <w:p>
      <w:pPr>
        <w:spacing w:after="0" w:line="229"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04" w:lineRule="exact"/>
        <w:rPr>
          <w:sz w:val="20"/>
          <w:szCs w:val="20"/>
          <w:color w:val="auto"/>
        </w:rPr>
      </w:pPr>
    </w:p>
    <w:p>
      <w:pPr>
        <w:ind w:left="180" w:right="160" w:firstLine="545"/>
        <w:spacing w:after="0" w:line="236" w:lineRule="auto"/>
        <w:rPr>
          <w:sz w:val="20"/>
          <w:szCs w:val="20"/>
          <w:color w:val="auto"/>
        </w:rPr>
      </w:pPr>
      <w:r>
        <w:rPr>
          <w:rFonts w:ascii="Arial" w:cs="Arial" w:eastAsia="Arial" w:hAnsi="Arial"/>
          <w:sz w:val="18"/>
          <w:szCs w:val="18"/>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79" w:lineRule="exact"/>
        <w:rPr>
          <w:sz w:val="20"/>
          <w:szCs w:val="20"/>
          <w:color w:val="auto"/>
        </w:rPr>
      </w:pPr>
    </w:p>
    <w:p>
      <w:pPr>
        <w:ind w:left="180" w:right="140" w:firstLine="545"/>
        <w:spacing w:after="0" w:line="239" w:lineRule="auto"/>
        <w:rPr>
          <w:sz w:val="20"/>
          <w:szCs w:val="20"/>
          <w:color w:val="auto"/>
        </w:rPr>
      </w:pPr>
      <w:r>
        <w:rPr>
          <w:rFonts w:ascii="Arial" w:cs="Arial" w:eastAsia="Arial" w:hAnsi="Arial"/>
          <w:sz w:val="18"/>
          <w:szCs w:val="18"/>
          <w:b w:val="1"/>
          <w:bCs w:val="1"/>
          <w:i w:val="1"/>
          <w:iCs w:val="1"/>
          <w:color w:val="auto"/>
        </w:rPr>
        <w:t xml:space="preserve">Fulfillment Profit, Gross Profit Excluding Product Depreciation and Contribution Profit. </w:t>
      </w:r>
      <w:r>
        <w:rPr>
          <w:rFonts w:ascii="Arial" w:cs="Arial" w:eastAsia="Arial" w:hAnsi="Arial"/>
          <w:sz w:val="18"/>
          <w:szCs w:val="18"/>
          <w:color w:val="auto"/>
        </w:rPr>
        <w:t>We use Fulfillment Profit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 the efficiency of the inbound, outbound and processing cost of each shipment. We use Gross Profit Excluding Product Depreciation to measure our total variable profit excluding non-cash expenses as an indicator of the cash gross profit available to cover our operating expenses and capital expenditures. We use Contribution Profit to measure the overall efficiency of our business model, including fulfillment expense, total product costs and credit card fees. See “—Our Financial Model” for how we define each of Fulfillment Profit, Gross Profit Excluding Product Depreciation and Contribution Profit and related terms.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320" w:top="456" w:right="5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00" w:firstLine="545"/>
        <w:spacing w:after="0" w:line="237" w:lineRule="auto"/>
        <w:rPr>
          <w:sz w:val="20"/>
          <w:szCs w:val="20"/>
          <w:color w:val="auto"/>
        </w:rPr>
      </w:pPr>
      <w:r>
        <w:rPr>
          <w:rFonts w:ascii="Arial" w:cs="Arial" w:eastAsia="Arial" w:hAnsi="Arial"/>
          <w:sz w:val="18"/>
          <w:szCs w:val="18"/>
          <w:color w:val="auto"/>
        </w:rPr>
        <w:t>The following table presents a reconciliation of Total revenue, net, the most comparable GAAP financial measure, to each of Fulfillment Profit, Gross Profit Excluding Product Depreciation, and Contribution Profit, respectively, for the years ended January 31, 2020 and 2021:</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7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80" w:type="dxa"/>
            <w:vAlign w:val="bottom"/>
            <w:gridSpan w:val="5"/>
          </w:tcPr>
          <w:p>
            <w:pPr>
              <w:ind w:left="380"/>
              <w:spacing w:after="0"/>
              <w:rPr>
                <w:sz w:val="20"/>
                <w:szCs w:val="20"/>
                <w:color w:val="auto"/>
              </w:rPr>
            </w:pPr>
            <w:r>
              <w:rPr>
                <w:rFonts w:ascii="Arial" w:cs="Arial" w:eastAsia="Arial" w:hAnsi="Arial"/>
                <w:sz w:val="14"/>
                <w:szCs w:val="14"/>
                <w:b w:val="1"/>
                <w:bCs w:val="1"/>
                <w:color w:val="auto"/>
              </w:rPr>
              <w:t>January 31,</w:t>
            </w:r>
          </w:p>
        </w:tc>
      </w:tr>
      <w:tr>
        <w:trPr>
          <w:trHeight w:val="154"/>
        </w:trPr>
        <w:tc>
          <w:tcPr>
            <w:tcW w:w="7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79"/>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4"/>
        </w:trPr>
        <w:tc>
          <w:tcPr>
            <w:tcW w:w="7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60" w:type="dxa"/>
            <w:vAlign w:val="bottom"/>
            <w:gridSpan w:val="4"/>
          </w:tcPr>
          <w:p>
            <w:pPr>
              <w:ind w:left="380"/>
              <w:spacing w:after="0" w:line="154"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r>
      <w:tr>
        <w:trPr>
          <w:trHeight w:val="200"/>
        </w:trPr>
        <w:tc>
          <w:tcPr>
            <w:tcW w:w="7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revenue, net</w:t>
            </w:r>
          </w:p>
        </w:tc>
        <w:tc>
          <w:tcPr>
            <w:tcW w:w="2620" w:type="dxa"/>
            <w:vAlign w:val="bottom"/>
            <w:gridSpan w:val="2"/>
            <w:shd w:val="clear" w:color="auto" w:fill="CCEEFF"/>
          </w:tcPr>
          <w:p>
            <w:pPr>
              <w:jc w:val="right"/>
              <w:ind w:right="439"/>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31"/>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1"/>
        </w:trPr>
        <w:tc>
          <w:tcPr>
            <w:tcW w:w="722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256.9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7"/>
                <w:szCs w:val="17"/>
                <w:color w:val="auto"/>
              </w:rPr>
            </w:pPr>
          </w:p>
        </w:tc>
      </w:tr>
      <w:tr>
        <w:trPr>
          <w:trHeight w:val="207"/>
        </w:trPr>
        <w:tc>
          <w:tcPr>
            <w:tcW w:w="7220" w:type="dxa"/>
            <w:vAlign w:val="bottom"/>
          </w:tcPr>
          <w:p>
            <w:pPr>
              <w:spacing w:after="0" w:line="201" w:lineRule="exact"/>
              <w:rPr>
                <w:sz w:val="20"/>
                <w:szCs w:val="20"/>
                <w:color w:val="auto"/>
              </w:rPr>
            </w:pPr>
            <w:r>
              <w:rPr>
                <w:rFonts w:ascii="Arial" w:cs="Arial" w:eastAsia="Arial" w:hAnsi="Arial"/>
                <w:sz w:val="18"/>
                <w:szCs w:val="18"/>
                <w:color w:val="auto"/>
              </w:rPr>
              <w:t>Fulfillment</w:t>
            </w:r>
          </w:p>
        </w:tc>
        <w:tc>
          <w:tcPr>
            <w:tcW w:w="200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r>
      <w:tr>
        <w:trPr>
          <w:trHeight w:val="200"/>
        </w:trPr>
        <w:tc>
          <w:tcPr>
            <w:tcW w:w="7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Fulfillment profit</w:t>
            </w:r>
          </w:p>
        </w:tc>
        <w:tc>
          <w:tcPr>
            <w:tcW w:w="2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138.8</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7"/>
                <w:szCs w:val="17"/>
                <w:color w:val="auto"/>
              </w:rPr>
            </w:pPr>
          </w:p>
        </w:tc>
      </w:tr>
      <w:tr>
        <w:trPr>
          <w:trHeight w:val="314"/>
        </w:trPr>
        <w:tc>
          <w:tcPr>
            <w:tcW w:w="7220" w:type="dxa"/>
            <w:vAlign w:val="bottom"/>
          </w:tcPr>
          <w:p>
            <w:pPr>
              <w:spacing w:after="0"/>
              <w:rPr>
                <w:sz w:val="20"/>
                <w:szCs w:val="20"/>
                <w:color w:val="auto"/>
              </w:rPr>
            </w:pPr>
            <w:r>
              <w:rPr>
                <w:rFonts w:ascii="Arial" w:cs="Arial" w:eastAsia="Arial" w:hAnsi="Arial"/>
                <w:sz w:val="18"/>
                <w:szCs w:val="18"/>
                <w:color w:val="auto"/>
              </w:rPr>
              <w:t>Revenue share</w:t>
            </w:r>
          </w:p>
        </w:tc>
        <w:tc>
          <w:tcPr>
            <w:tcW w:w="200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4"/>
                <w:szCs w:val="24"/>
                <w:color w:val="auto"/>
              </w:rPr>
            </w:pPr>
          </w:p>
        </w:tc>
      </w:tr>
      <w:tr>
        <w:trPr>
          <w:trHeight w:val="200"/>
        </w:trPr>
        <w:tc>
          <w:tcPr>
            <w:tcW w:w="7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Gross profit excluding product depreciation</w:t>
            </w:r>
          </w:p>
        </w:tc>
        <w:tc>
          <w:tcPr>
            <w:tcW w:w="2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129.3</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7"/>
                <w:szCs w:val="17"/>
                <w:color w:val="auto"/>
              </w:rPr>
            </w:pPr>
          </w:p>
        </w:tc>
      </w:tr>
      <w:tr>
        <w:trPr>
          <w:trHeight w:val="207"/>
        </w:trPr>
        <w:tc>
          <w:tcPr>
            <w:tcW w:w="7220" w:type="dxa"/>
            <w:vAlign w:val="bottom"/>
          </w:tcPr>
          <w:p>
            <w:pPr>
              <w:spacing w:after="0" w:line="201" w:lineRule="exact"/>
              <w:rPr>
                <w:sz w:val="20"/>
                <w:szCs w:val="20"/>
                <w:color w:val="auto"/>
              </w:rPr>
            </w:pPr>
            <w:r>
              <w:rPr>
                <w:rFonts w:ascii="Arial" w:cs="Arial" w:eastAsia="Arial" w:hAnsi="Arial"/>
                <w:sz w:val="18"/>
                <w:szCs w:val="18"/>
                <w:color w:val="auto"/>
              </w:rPr>
              <w:t>Rental product depreciation</w:t>
            </w:r>
          </w:p>
        </w:tc>
        <w:tc>
          <w:tcPr>
            <w:tcW w:w="200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69.9</w:t>
            </w:r>
          </w:p>
        </w:tc>
        <w:tc>
          <w:tcPr>
            <w:tcW w:w="120" w:type="dxa"/>
            <w:vAlign w:val="bottom"/>
          </w:tcPr>
          <w:p>
            <w:pPr>
              <w:spacing w:after="0"/>
              <w:rPr>
                <w:sz w:val="18"/>
                <w:szCs w:val="18"/>
                <w:color w:val="auto"/>
              </w:rPr>
            </w:pPr>
          </w:p>
        </w:tc>
      </w:tr>
      <w:tr>
        <w:trPr>
          <w:trHeight w:val="200"/>
        </w:trPr>
        <w:tc>
          <w:tcPr>
            <w:tcW w:w="7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Gross profit</w:t>
            </w:r>
          </w:p>
        </w:tc>
        <w:tc>
          <w:tcPr>
            <w:tcW w:w="2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53.6</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7"/>
                <w:szCs w:val="17"/>
                <w:color w:val="auto"/>
              </w:rPr>
            </w:pPr>
          </w:p>
        </w:tc>
      </w:tr>
      <w:tr>
        <w:trPr>
          <w:trHeight w:val="314"/>
        </w:trPr>
        <w:tc>
          <w:tcPr>
            <w:tcW w:w="7220" w:type="dxa"/>
            <w:vAlign w:val="bottom"/>
          </w:tcPr>
          <w:p>
            <w:pPr>
              <w:spacing w:after="0"/>
              <w:rPr>
                <w:sz w:val="20"/>
                <w:szCs w:val="20"/>
                <w:color w:val="auto"/>
              </w:rPr>
            </w:pPr>
            <w:r>
              <w:rPr>
                <w:rFonts w:ascii="Arial" w:cs="Arial" w:eastAsia="Arial" w:hAnsi="Arial"/>
                <w:sz w:val="18"/>
                <w:szCs w:val="18"/>
                <w:color w:val="auto"/>
              </w:rPr>
              <w:t>Credit card processing fees</w:t>
            </w:r>
          </w:p>
        </w:tc>
        <w:tc>
          <w:tcPr>
            <w:tcW w:w="200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r>
      <w:tr>
        <w:trPr>
          <w:trHeight w:val="200"/>
        </w:trPr>
        <w:tc>
          <w:tcPr>
            <w:tcW w:w="7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Contribution profit</w:t>
            </w:r>
          </w:p>
        </w:tc>
        <w:tc>
          <w:tcPr>
            <w:tcW w:w="2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7"/>
                <w:szCs w:val="17"/>
                <w:color w:val="auto"/>
              </w:rPr>
            </w:pPr>
          </w:p>
        </w:tc>
      </w:tr>
      <w:tr>
        <w:trPr>
          <w:trHeight w:val="307"/>
        </w:trPr>
        <w:tc>
          <w:tcPr>
            <w:tcW w:w="7220" w:type="dxa"/>
            <w:vAlign w:val="bottom"/>
          </w:tcPr>
          <w:p>
            <w:pPr>
              <w:spacing w:after="0"/>
              <w:rPr>
                <w:sz w:val="20"/>
                <w:szCs w:val="20"/>
                <w:color w:val="auto"/>
              </w:rPr>
            </w:pPr>
            <w:r>
              <w:rPr>
                <w:rFonts w:ascii="Arial" w:cs="Arial" w:eastAsia="Arial" w:hAnsi="Arial"/>
                <w:sz w:val="18"/>
                <w:szCs w:val="18"/>
                <w:color w:val="auto"/>
              </w:rPr>
              <w:t>Technology</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4"/>
                <w:szCs w:val="24"/>
                <w:color w:val="auto"/>
              </w:rPr>
            </w:pPr>
          </w:p>
        </w:tc>
      </w:tr>
      <w:tr>
        <w:trPr>
          <w:trHeight w:val="200"/>
        </w:trPr>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Marketing</w:t>
            </w:r>
          </w:p>
        </w:tc>
        <w:tc>
          <w:tcPr>
            <w:tcW w:w="2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7"/>
                <w:szCs w:val="17"/>
                <w:color w:val="auto"/>
              </w:rPr>
            </w:pPr>
          </w:p>
        </w:tc>
      </w:tr>
      <w:tr>
        <w:trPr>
          <w:trHeight w:val="200"/>
        </w:trPr>
        <w:tc>
          <w:tcPr>
            <w:tcW w:w="7220" w:type="dxa"/>
            <w:vAlign w:val="bottom"/>
          </w:tcPr>
          <w:p>
            <w:pPr>
              <w:spacing w:after="0" w:line="201" w:lineRule="exact"/>
              <w:rPr>
                <w:sz w:val="20"/>
                <w:szCs w:val="20"/>
                <w:color w:val="auto"/>
              </w:rPr>
            </w:pPr>
            <w:r>
              <w:rPr>
                <w:rFonts w:ascii="Arial" w:cs="Arial" w:eastAsia="Arial" w:hAnsi="Arial"/>
                <w:sz w:val="18"/>
                <w:szCs w:val="18"/>
                <w:color w:val="auto"/>
              </w:rPr>
              <w:t>General and administrative (excluding credit card processing fees)</w:t>
            </w:r>
          </w:p>
        </w:tc>
        <w:tc>
          <w:tcPr>
            <w:tcW w:w="26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90.7</w:t>
            </w:r>
          </w:p>
        </w:tc>
        <w:tc>
          <w:tcPr>
            <w:tcW w:w="180" w:type="dxa"/>
            <w:vAlign w:val="bottom"/>
          </w:tcPr>
          <w:p>
            <w:pPr>
              <w:spacing w:after="0"/>
              <w:rPr>
                <w:sz w:val="17"/>
                <w:szCs w:val="17"/>
                <w:color w:val="auto"/>
              </w:rPr>
            </w:pPr>
          </w:p>
        </w:tc>
        <w:tc>
          <w:tcPr>
            <w:tcW w:w="7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72.8</w:t>
            </w:r>
          </w:p>
        </w:tc>
        <w:tc>
          <w:tcPr>
            <w:tcW w:w="120" w:type="dxa"/>
            <w:vAlign w:val="bottom"/>
          </w:tcPr>
          <w:p>
            <w:pPr>
              <w:spacing w:after="0"/>
              <w:rPr>
                <w:sz w:val="17"/>
                <w:szCs w:val="17"/>
                <w:color w:val="auto"/>
              </w:rPr>
            </w:pPr>
          </w:p>
        </w:tc>
      </w:tr>
      <w:tr>
        <w:trPr>
          <w:trHeight w:val="200"/>
        </w:trPr>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depreciation and amortization</w:t>
            </w:r>
          </w:p>
        </w:tc>
        <w:tc>
          <w:tcPr>
            <w:tcW w:w="20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7"/>
                <w:szCs w:val="17"/>
                <w:color w:val="auto"/>
              </w:rPr>
            </w:pPr>
          </w:p>
        </w:tc>
      </w:tr>
      <w:tr>
        <w:trPr>
          <w:trHeight w:val="219"/>
        </w:trPr>
        <w:tc>
          <w:tcPr>
            <w:tcW w:w="722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800" w:type="dxa"/>
            <w:vAlign w:val="bottom"/>
            <w:gridSpan w:val="3"/>
          </w:tcPr>
          <w:p>
            <w:pPr>
              <w:jc w:val="right"/>
              <w:ind w:right="140"/>
              <w:spacing w:after="0"/>
              <w:rPr>
                <w:sz w:val="20"/>
                <w:szCs w:val="20"/>
                <w:color w:val="auto"/>
              </w:rPr>
            </w:pPr>
            <w:r>
              <w:rPr>
                <w:rFonts w:ascii="Arial" w:cs="Arial" w:eastAsia="Arial" w:hAnsi="Arial"/>
                <w:sz w:val="18"/>
                <w:szCs w:val="18"/>
                <w:color w:val="auto"/>
              </w:rPr>
              <w:t>$(130.0)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$(130.5)</w:t>
            </w:r>
          </w:p>
        </w:tc>
      </w:tr>
    </w:tbl>
    <w:p>
      <w:pPr>
        <w:spacing w:after="0" w:line="179" w:lineRule="exact"/>
        <w:rPr>
          <w:sz w:val="20"/>
          <w:szCs w:val="20"/>
          <w:color w:val="auto"/>
        </w:rPr>
      </w:pPr>
    </w:p>
    <w:p>
      <w:pPr>
        <w:ind w:left="180" w:right="960" w:firstLine="545"/>
        <w:spacing w:after="0" w:line="26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included in this prospectus because it is a key performance measure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assess our operating performance and the operating leverage of our business.</w:t>
      </w:r>
    </w:p>
    <w:p>
      <w:pPr>
        <w:spacing w:after="0" w:line="181" w:lineRule="exact"/>
        <w:rPr>
          <w:sz w:val="20"/>
          <w:szCs w:val="20"/>
          <w:color w:val="auto"/>
        </w:rPr>
      </w:pPr>
    </w:p>
    <w:p>
      <w:pPr>
        <w:ind w:left="180" w:right="60" w:firstLine="545"/>
        <w:spacing w:after="0" w:line="239"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years ended January 31, 2020 and 2021:</w:t>
      </w: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ind w:left="280"/>
              <w:spacing w:after="0"/>
              <w:rPr>
                <w:sz w:val="20"/>
                <w:szCs w:val="20"/>
                <w:color w:val="auto"/>
              </w:rPr>
            </w:pPr>
            <w:r>
              <w:rPr>
                <w:rFonts w:ascii="Arial" w:cs="Arial" w:eastAsia="Arial" w:hAnsi="Arial"/>
                <w:sz w:val="14"/>
                <w:szCs w:val="14"/>
                <w:b w:val="1"/>
                <w:bCs w:val="1"/>
                <w:color w:val="auto"/>
              </w:rPr>
              <w:t>January 31,</w:t>
            </w:r>
          </w:p>
        </w:tc>
      </w:tr>
      <w:tr>
        <w:trPr>
          <w:trHeight w:val="154"/>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tcPr>
          <w:p>
            <w:pPr>
              <w:ind w:left="280"/>
              <w:spacing w:after="0" w:line="154"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r>
      <w:tr>
        <w:trPr>
          <w:trHeight w:val="200"/>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3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4"/>
              </w:rPr>
              <w:t>(153.9)</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8"/>
              </w:rPr>
              <w:t>(171.1)</w:t>
            </w:r>
          </w:p>
        </w:tc>
      </w:tr>
      <w:tr>
        <w:trPr>
          <w:trHeight w:val="200"/>
        </w:trPr>
        <w:tc>
          <w:tcPr>
            <w:tcW w:w="20" w:type="dxa"/>
            <w:vAlign w:val="bottom"/>
          </w:tcPr>
          <w:p>
            <w:pPr>
              <w:spacing w:after="0"/>
              <w:rPr>
                <w:sz w:val="17"/>
                <w:szCs w:val="17"/>
                <w:color w:val="auto"/>
              </w:rPr>
            </w:pPr>
          </w:p>
        </w:tc>
        <w:tc>
          <w:tcPr>
            <w:tcW w:w="6120" w:type="dxa"/>
            <w:vAlign w:val="bottom"/>
          </w:tcPr>
          <w:p>
            <w:pPr>
              <w:spacing w:after="0" w:line="201" w:lineRule="exact"/>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15"/>
                <w:szCs w:val="15"/>
                <w:color w:val="auto"/>
              </w:rPr>
              <w:t>(1)</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24.0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46.6</w:t>
            </w:r>
          </w:p>
        </w:tc>
        <w:tc>
          <w:tcPr>
            <w:tcW w:w="1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Rental product depreciation</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120" w:type="dxa"/>
            <w:vAlign w:val="bottom"/>
          </w:tcPr>
          <w:p>
            <w:pPr>
              <w:spacing w:after="0" w:line="201" w:lineRule="exact"/>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15"/>
                <w:szCs w:val="15"/>
                <w:color w:val="auto"/>
              </w:rPr>
              <w:t>(2)</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21.6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23.0</w:t>
            </w:r>
          </w:p>
        </w:tc>
        <w:tc>
          <w:tcPr>
            <w:tcW w:w="1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Stock compensation </w:t>
            </w:r>
            <w:r>
              <w:rPr>
                <w:rFonts w:ascii="Arial" w:cs="Arial" w:eastAsia="Arial" w:hAnsi="Arial"/>
                <w:sz w:val="15"/>
                <w:szCs w:val="15"/>
                <w:color w:val="auto"/>
              </w:rPr>
              <w:t>(3)</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120" w:type="dxa"/>
            <w:vAlign w:val="bottom"/>
          </w:tcPr>
          <w:p>
            <w:pPr>
              <w:spacing w:after="0" w:line="201" w:lineRule="exact"/>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15"/>
                <w:szCs w:val="15"/>
                <w:color w:val="auto"/>
              </w:rPr>
              <w:t>(4)</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15"/>
                <w:szCs w:val="15"/>
                <w:color w:val="auto"/>
              </w:rPr>
              <w:t>(5)</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120" w:type="dxa"/>
            <w:vAlign w:val="bottom"/>
          </w:tcPr>
          <w:p>
            <w:pPr>
              <w:spacing w:after="0" w:line="201" w:lineRule="exact"/>
              <w:rPr>
                <w:sz w:val="20"/>
                <w:szCs w:val="20"/>
                <w:color w:val="auto"/>
              </w:rPr>
            </w:pPr>
            <w:r>
              <w:rPr>
                <w:rFonts w:ascii="Arial" w:cs="Arial" w:eastAsia="Arial" w:hAnsi="Arial"/>
                <w:sz w:val="18"/>
                <w:szCs w:val="18"/>
                <w:color w:val="auto"/>
              </w:rPr>
              <w:t>Benefit from income taxes</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0"/>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(income) / expense, net</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(6.0)</w:t>
            </w:r>
          </w:p>
        </w:tc>
      </w:tr>
      <w:tr>
        <w:trPr>
          <w:trHeight w:val="207"/>
        </w:trPr>
        <w:tc>
          <w:tcPr>
            <w:tcW w:w="20" w:type="dxa"/>
            <w:vAlign w:val="bottom"/>
          </w:tcPr>
          <w:p>
            <w:pPr>
              <w:spacing w:after="0"/>
              <w:rPr>
                <w:sz w:val="18"/>
                <w:szCs w:val="18"/>
                <w:color w:val="auto"/>
              </w:rPr>
            </w:pPr>
          </w:p>
        </w:tc>
        <w:tc>
          <w:tcPr>
            <w:tcW w:w="6120" w:type="dxa"/>
            <w:vAlign w:val="bottom"/>
          </w:tcPr>
          <w:p>
            <w:pPr>
              <w:spacing w:after="0" w:line="201" w:lineRule="exact"/>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15"/>
                <w:szCs w:val="15"/>
                <w:color w:val="auto"/>
              </w:rPr>
              <w:t>(6)</w:t>
            </w:r>
          </w:p>
        </w:tc>
        <w:tc>
          <w:tcPr>
            <w:tcW w:w="3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6"/>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(18.0)</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(20.3)</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84"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Includes debt discount amortization of $3.2 million in fiscal year 2019 and $5.1 million in fiscal year 2020.</w:t>
      </w:r>
    </w:p>
    <w:p>
      <w:pPr>
        <w:ind w:left="180"/>
        <w:spacing w:after="0"/>
        <w:tabs>
          <w:tab w:leader="none" w:pos="58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Includes non-rental product depreciation and capitalized software amortization.</w:t>
      </w:r>
    </w:p>
    <w:p>
      <w:pPr>
        <w:ind w:left="180"/>
        <w:spacing w:after="0"/>
        <w:tabs>
          <w:tab w:leader="none" w:pos="58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Reflects the non-cash expense for stock-based compensation.</w:t>
      </w:r>
    </w:p>
    <w:p>
      <w:pPr>
        <w:ind w:left="180"/>
        <w:spacing w:after="0"/>
        <w:tabs>
          <w:tab w:leader="none" w:pos="58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Reflects the write-off of the remaining book value of liquidated products that had previously been held for sale.</w:t>
      </w:r>
    </w:p>
    <w:p>
      <w:pPr>
        <w:spacing w:after="0" w:line="1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00" w:right="320" w:hanging="426"/>
        <w:spacing w:after="0" w:line="238"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w:t>
      </w:r>
    </w:p>
    <w:p>
      <w:pPr>
        <w:spacing w:after="0" w:line="1" w:lineRule="exact"/>
        <w:rPr>
          <w:rFonts w:ascii="Arial" w:cs="Arial" w:eastAsia="Arial" w:hAnsi="Arial"/>
          <w:sz w:val="14"/>
          <w:szCs w:val="14"/>
          <w:color w:val="auto"/>
        </w:rPr>
      </w:pPr>
    </w:p>
    <w:p>
      <w:pPr>
        <w:ind w:left="600" w:hanging="426"/>
        <w:spacing w:after="0"/>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Includes costs associated with the write-off of asset disposals, operating lease termination and foreign exchange.</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80" w:right="420" w:firstLine="545"/>
        <w:spacing w:after="0" w:line="236"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January 31, 2021, we had cash and cash equivalents of $95.3 million and restricted cash of $13.9 million ($3.4 million current and $10.5 million noncurrent), which were primarily held for working capital purposes, and an accumulated deficit of $589.4 million.</w:t>
      </w:r>
    </w:p>
    <w:p>
      <w:pPr>
        <w:spacing w:after="0" w:line="201" w:lineRule="exact"/>
        <w:rPr>
          <w:sz w:val="20"/>
          <w:szCs w:val="20"/>
          <w:color w:val="auto"/>
        </w:rPr>
      </w:pPr>
    </w:p>
    <w:p>
      <w:pPr>
        <w:ind w:left="180" w:right="200" w:firstLine="545"/>
        <w:spacing w:after="0" w:line="236" w:lineRule="auto"/>
        <w:rPr>
          <w:sz w:val="20"/>
          <w:szCs w:val="20"/>
          <w:color w:val="auto"/>
        </w:rPr>
      </w:pPr>
      <w:r>
        <w:rPr>
          <w:rFonts w:ascii="Arial" w:cs="Arial" w:eastAsia="Arial" w:hAnsi="Arial"/>
          <w:sz w:val="18"/>
          <w:szCs w:val="18"/>
          <w:color w:val="auto"/>
        </w:rPr>
        <w:t>We expect that operating losses and negative cash flows from operations could continue in the foreseeable future as we continue to acquire products and increase other investments in our business. We believe our existing cash and cash equivalents and available access to equity and debt financing will be sufficient to meet our working capital and capital expenditures needs and allow us to comply with our debt covenants for at least the next 12 months from the date of this prospectus.</w:t>
      </w:r>
    </w:p>
    <w:p>
      <w:pPr>
        <w:spacing w:after="0" w:line="201"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Our future capital requirements will depend on many factors, including, but not limited to, growth in the number of customers and active subscribers and the timing of investments in technology and personnel to support the overall growth in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9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January 31,</w:t>
            </w:r>
          </w:p>
        </w:tc>
      </w:tr>
      <w:tr>
        <w:trPr>
          <w:trHeight w:val="154"/>
        </w:trPr>
        <w:tc>
          <w:tcPr>
            <w:tcW w:w="9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31"/>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4"/>
        </w:trPr>
        <w:tc>
          <w:tcPr>
            <w:tcW w:w="9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ind w:left="300"/>
              <w:spacing w:after="0" w:line="154"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r>
      <w:tr>
        <w:trPr>
          <w:trHeight w:val="200"/>
        </w:trPr>
        <w:tc>
          <w:tcPr>
            <w:tcW w:w="9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(37.6)</w:t>
            </w:r>
          </w:p>
        </w:tc>
        <w:tc>
          <w:tcPr>
            <w:tcW w:w="8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 (42.8)</w:t>
            </w:r>
          </w:p>
        </w:tc>
      </w:tr>
      <w:tr>
        <w:trPr>
          <w:trHeight w:val="200"/>
        </w:trPr>
        <w:tc>
          <w:tcPr>
            <w:tcW w:w="9160" w:type="dxa"/>
            <w:vAlign w:val="bottom"/>
          </w:tcPr>
          <w:p>
            <w:pPr>
              <w:spacing w:after="0" w:line="201"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8"/>
              </w:rPr>
              <w:t>(138.6)</w:t>
            </w:r>
          </w:p>
        </w:tc>
        <w:tc>
          <w:tcPr>
            <w:tcW w:w="8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(58.4)</w:t>
            </w:r>
          </w:p>
        </w:tc>
      </w:tr>
      <w:tr>
        <w:trPr>
          <w:trHeight w:val="200"/>
        </w:trPr>
        <w:tc>
          <w:tcPr>
            <w:tcW w:w="9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177.9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7"/>
                <w:szCs w:val="17"/>
                <w:color w:val="auto"/>
              </w:rPr>
            </w:pPr>
          </w:p>
        </w:tc>
      </w:tr>
      <w:tr>
        <w:trPr>
          <w:trHeight w:val="207"/>
        </w:trPr>
        <w:tc>
          <w:tcPr>
            <w:tcW w:w="9160" w:type="dxa"/>
            <w:vAlign w:val="bottom"/>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8"/>
                <w:szCs w:val="18"/>
                <w:color w:val="auto"/>
              </w:rPr>
            </w:pPr>
          </w:p>
        </w:tc>
      </w:tr>
      <w:tr>
        <w:trPr>
          <w:trHeight w:val="200"/>
        </w:trPr>
        <w:tc>
          <w:tcPr>
            <w:tcW w:w="9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and restricted cash at beginning of year</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7"/>
                <w:szCs w:val="17"/>
                <w:color w:val="auto"/>
              </w:rPr>
            </w:pPr>
          </w:p>
        </w:tc>
      </w:tr>
      <w:tr>
        <w:trPr>
          <w:trHeight w:val="207"/>
        </w:trPr>
        <w:tc>
          <w:tcPr>
            <w:tcW w:w="9160" w:type="dxa"/>
            <w:vAlign w:val="bottom"/>
          </w:tcPr>
          <w:p>
            <w:pPr>
              <w:spacing w:after="0"/>
              <w:rPr>
                <w:sz w:val="20"/>
                <w:szCs w:val="20"/>
                <w:color w:val="auto"/>
              </w:rPr>
            </w:pPr>
            <w:r>
              <w:rPr>
                <w:rFonts w:ascii="Arial" w:cs="Arial" w:eastAsia="Arial" w:hAnsi="Arial"/>
                <w:sz w:val="18"/>
                <w:szCs w:val="18"/>
                <w:color w:val="auto"/>
              </w:rPr>
              <w:t>Cash and cash equivalents and restricted cash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109.2</w:t>
            </w:r>
          </w:p>
        </w:tc>
        <w:tc>
          <w:tcPr>
            <w:tcW w:w="12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left="180" w:right="500" w:firstLine="545"/>
        <w:spacing w:after="0" w:line="264"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For fiscal year 2020, net cash used in operating activities was $42.8 million,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a net loss of $(171.1) million, partially offset by</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60"/>
        <w:spacing w:after="0" w:line="234" w:lineRule="auto"/>
        <w:rPr>
          <w:sz w:val="20"/>
          <w:szCs w:val="20"/>
          <w:color w:val="auto"/>
        </w:rPr>
      </w:pPr>
      <w:r>
        <w:rPr>
          <w:rFonts w:ascii="Arial" w:cs="Arial" w:eastAsia="Arial" w:hAnsi="Arial"/>
          <w:sz w:val="18"/>
          <w:szCs w:val="18"/>
          <w:color w:val="auto"/>
        </w:rPr>
        <w:t>non-cash charges of $145.2 million, proceeds from rental product sold of $17.9 million and a net change of $1.0 million in our operating assets and liabilities. The non-cash charges were primarily comprised of $70.8 million of rental product depreciation and write-off expenses, $36.9 million of payment-in-kind interest, $8.2 million of stock-based compensation, $5.2 million of debt discount amortization, gain from remeasurement of the warrant liability, and debt extinguishment costs and $24.1 million of other property and equipment and software depreciation and amortization. Cash flow from operating activities excludes proceeds received from sales of owned rental products that are still in rentable condition; such proceeds are included in cash flow from investing activities.</w:t>
      </w:r>
    </w:p>
    <w:p>
      <w:pPr>
        <w:spacing w:after="0" w:line="205"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For fiscal year 2019, net cash used in operating activities was $37.6 million, which consisted of a net loss of $(153.9) million, partially offset by non-cash charges of $127.5 million, proceeds of sale of rental product of $19.3 million and a net change of $8.1 million in our operating assets and liabilities. The non-cash charges were primarily comprised of $ 76.1 million of rental product depreciation and write-off expenses, $19.0 million of payment-in-kind interest, $6.8 million of stock-based compensation, $4.1 million of debt discount amortization and $21.6 million of other PPE and software depreciation and amortization.</w:t>
      </w:r>
    </w:p>
    <w:p>
      <w:pPr>
        <w:spacing w:after="0" w:line="180"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For fiscal year 2020, net cash used in investing activities was $58.4 million, consisting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$54.9 million of purchases of rental product and $23.8 million of purchases of property and equipment. Both types of spend were materially reduced from their initial planned spend at the onset of the COVID-19 pandemic. The majority of the investment in rental product was to support the planned demand growth prior to the onset of COVID-19, of which $38.8 million was purchased prior to COVID-19. The majority of the investment in property and equipment is related to the investment in automation assets and additional processing machinery and equipment for our warehouses in addition to the buildout of our new headquarters in Brooklyn, NY and capitalized technology labor for multi-warehouse operations processing, site reliability and new membership site functionality. The cash used in investing activities was partially offset by $17.9 million of proceeds from sale of owned rental products and $2.4 million of proceeds from sales of liquidated rental products.</w:t>
      </w:r>
    </w:p>
    <w:p>
      <w:pPr>
        <w:spacing w:after="0" w:line="207"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For fiscal year 2019, net cash used in investing activities was $138.6 million, consisting of $117.7 million of purchases of rental product and $ 43.8 million of purchases of property and equipment. The investment in rental product was to support our growth in customer demand. The majority of the investment in property and equipment is related to the buildout of the Arlington warehouse which opened during fiscal year 2019 and investment in automation assets and additional processing machinery and equipment for our Secaucus warehouse. The cash used in investing activities was partially offset by $19.3 million of proceeds from sale of owned rental products and $3.6 million of proceeds from sales of liquidated rental products.</w:t>
      </w:r>
    </w:p>
    <w:p>
      <w:pPr>
        <w:spacing w:after="0" w:line="183" w:lineRule="exact"/>
        <w:rPr>
          <w:sz w:val="20"/>
          <w:szCs w:val="20"/>
          <w:color w:val="auto"/>
        </w:rPr>
      </w:pPr>
    </w:p>
    <w:p>
      <w:pPr>
        <w:ind w:left="180" w:right="200" w:firstLine="545"/>
        <w:spacing w:after="0" w:line="248"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During fiscal year 2020, net cash provided by financing activities was $168.5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consisting primarily of net proceeds from issuance of debt of $107.7 million and $60.4 million from the issuance of redeemable preferred stock.</w:t>
      </w:r>
    </w:p>
    <w:p>
      <w:pPr>
        <w:spacing w:after="0" w:line="195" w:lineRule="exact"/>
        <w:rPr>
          <w:sz w:val="20"/>
          <w:szCs w:val="20"/>
          <w:color w:val="auto"/>
        </w:rPr>
      </w:pPr>
    </w:p>
    <w:p>
      <w:pPr>
        <w:ind w:left="180" w:right="540" w:firstLine="545"/>
        <w:spacing w:after="0" w:line="239" w:lineRule="auto"/>
        <w:rPr>
          <w:sz w:val="20"/>
          <w:szCs w:val="20"/>
          <w:color w:val="auto"/>
        </w:rPr>
      </w:pPr>
      <w:r>
        <w:rPr>
          <w:rFonts w:ascii="Arial" w:cs="Arial" w:eastAsia="Arial" w:hAnsi="Arial"/>
          <w:sz w:val="18"/>
          <w:szCs w:val="18"/>
          <w:color w:val="auto"/>
        </w:rPr>
        <w:t>During fiscal year 2019, net cash provided in financing activities was $177.9 million, consisting primarily of net proceeds from issuance of debt of $42.6 million and $133.8 million from the issuance of redeemable preferred stock.</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Indebtedness</w:t>
      </w:r>
    </w:p>
    <w:p>
      <w:pPr>
        <w:spacing w:after="0" w:line="100" w:lineRule="exact"/>
        <w:rPr>
          <w:sz w:val="20"/>
          <w:szCs w:val="20"/>
          <w:color w:val="auto"/>
        </w:rPr>
      </w:pPr>
    </w:p>
    <w:p>
      <w:pPr>
        <w:ind w:left="180" w:right="100" w:firstLine="545"/>
        <w:spacing w:after="0" w:line="248" w:lineRule="auto"/>
        <w:rPr>
          <w:sz w:val="20"/>
          <w:szCs w:val="20"/>
          <w:color w:val="auto"/>
        </w:rPr>
      </w:pPr>
      <w:r>
        <w:rPr>
          <w:rFonts w:ascii="Arial" w:cs="Arial" w:eastAsia="Arial" w:hAnsi="Arial"/>
          <w:sz w:val="18"/>
          <w:szCs w:val="18"/>
          <w:b w:val="1"/>
          <w:bCs w:val="1"/>
          <w:i w:val="1"/>
          <w:iCs w:val="1"/>
          <w:color w:val="auto"/>
        </w:rPr>
        <w:t xml:space="preserve">Bank of America Credit Facility. </w:t>
      </w:r>
      <w:r>
        <w:rPr>
          <w:rFonts w:ascii="Arial" w:cs="Arial" w:eastAsia="Arial" w:hAnsi="Arial"/>
          <w:sz w:val="18"/>
          <w:szCs w:val="18"/>
          <w:color w:val="auto"/>
        </w:rPr>
        <w:t>We entered into a revolving credit facility in April 2019, as subsequently amended in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with Bank of America as agent and lender, and Barclays Bank PLC and Goldman Sachs Bank USA as additional lenders, which we refer to as our Bank of America</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
        <w:spacing w:after="0" w:line="237" w:lineRule="auto"/>
        <w:rPr>
          <w:sz w:val="20"/>
          <w:szCs w:val="20"/>
          <w:color w:val="auto"/>
        </w:rPr>
      </w:pPr>
      <w:r>
        <w:rPr>
          <w:rFonts w:ascii="Arial" w:cs="Arial" w:eastAsia="Arial" w:hAnsi="Arial"/>
          <w:sz w:val="18"/>
          <w:szCs w:val="18"/>
          <w:color w:val="auto"/>
        </w:rPr>
        <w:t>Credit Facility. In October 2020, we entered into the Ares Facility (as defined below) and repaid in full the outstanding balance of the Bank of America Facility in the amount of $ 29.5 million, and terminated the credit commitments. The outstanding balance on the Bank of America Credit Facility as of January 31, 2020 and 2021, was $44.0 million and $0, respectively.</w:t>
      </w:r>
    </w:p>
    <w:p>
      <w:pPr>
        <w:spacing w:after="0" w:line="180" w:lineRule="exact"/>
        <w:rPr>
          <w:sz w:val="20"/>
          <w:szCs w:val="20"/>
          <w:color w:val="auto"/>
        </w:rPr>
      </w:pPr>
    </w:p>
    <w:p>
      <w:pPr>
        <w:ind w:left="180" w:right="80" w:firstLine="545"/>
        <w:spacing w:after="0" w:line="236" w:lineRule="auto"/>
        <w:rPr>
          <w:sz w:val="20"/>
          <w:szCs w:val="20"/>
          <w:color w:val="auto"/>
        </w:rPr>
      </w:pPr>
      <w:r>
        <w:rPr>
          <w:rFonts w:ascii="Arial" w:cs="Arial" w:eastAsia="Arial" w:hAnsi="Arial"/>
          <w:sz w:val="18"/>
          <w:szCs w:val="18"/>
          <w:b w:val="1"/>
          <w:bCs w:val="1"/>
          <w:i w:val="1"/>
          <w:iCs w:val="1"/>
          <w:color w:val="auto"/>
        </w:rPr>
        <w:t xml:space="preserve">Temasek Credit Facility. </w:t>
      </w:r>
      <w:r>
        <w:rPr>
          <w:rFonts w:ascii="Arial" w:cs="Arial" w:eastAsia="Arial" w:hAnsi="Arial"/>
          <w:sz w:val="18"/>
          <w:szCs w:val="18"/>
          <w:color w:val="auto"/>
        </w:rPr>
        <w:t>We entered into a subordinated, junior lien loan agreement in July 2018, as subsequently amended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2018, April 2019, November 2019, June 2020, August 2020 and October 2020, with Double Helix Pte Ltd. as administrative agent for Temasek Holdings, which we refer to as our Temasek Facility. We drew $100.0 million of the initial commitments on the closing date and another $50.0 million in November 2019. We drew the remaining $50.0 million of the initial commitments and $30.0 million subsequent commitments in March 2020. The initial commitments bear an interest rate of 15% per annum that accrue as non-cash interest and, after the third anniversary of the loan, we can elect to pay cash interest at 13% per annum in lieu of the 15% non-cash interest. The subsequent commitments bear a cash interest rate of 13% per annum, payable quarterly. If the initial commitments are prepaid or accelerated prior to the fourth anniversary of the loan, we are subject to a prepayment premium. If the subsequent commitments are prepaid or accelerated prior to the 18-month anniversary of the loan, we are subject to prepayment premium amounts. The Temasek Facility contains various events of default, the occurrence of which could result in the acceleration of obligations under the Temasek Facility.</w:t>
      </w:r>
    </w:p>
    <w:p>
      <w:pPr>
        <w:spacing w:after="0" w:line="201" w:lineRule="exact"/>
        <w:rPr>
          <w:sz w:val="20"/>
          <w:szCs w:val="20"/>
          <w:color w:val="auto"/>
        </w:rPr>
      </w:pPr>
    </w:p>
    <w:p>
      <w:pPr>
        <w:ind w:left="180" w:right="120" w:firstLine="545"/>
        <w:spacing w:after="0" w:line="267" w:lineRule="auto"/>
        <w:rPr>
          <w:sz w:val="20"/>
          <w:szCs w:val="20"/>
          <w:color w:val="auto"/>
        </w:rPr>
      </w:pPr>
      <w:r>
        <w:rPr>
          <w:rFonts w:ascii="Arial" w:cs="Arial" w:eastAsia="Arial" w:hAnsi="Arial"/>
          <w:sz w:val="17"/>
          <w:szCs w:val="17"/>
          <w:color w:val="auto"/>
        </w:rPr>
        <w:t>The Temasek Facility matures in July 2023. The outstanding balance on the Temasek Facility as of January 31, 2021 consisted of $230.0 million of outstanding principal, $62.2 million of payment-in-kind interest, netted with $1.9 million of unamortized debt discount.</w:t>
      </w:r>
    </w:p>
    <w:p>
      <w:pPr>
        <w:spacing w:after="0" w:line="158" w:lineRule="exact"/>
        <w:rPr>
          <w:sz w:val="20"/>
          <w:szCs w:val="20"/>
          <w:color w:val="auto"/>
        </w:rPr>
      </w:pPr>
    </w:p>
    <w:p>
      <w:pPr>
        <w:ind w:left="180" w:firstLine="545"/>
        <w:spacing w:after="0" w:line="249" w:lineRule="auto"/>
        <w:rPr>
          <w:sz w:val="20"/>
          <w:szCs w:val="20"/>
          <w:color w:val="auto"/>
        </w:rPr>
      </w:pPr>
      <w:r>
        <w:rPr>
          <w:rFonts w:ascii="Arial" w:cs="Arial" w:eastAsia="Arial" w:hAnsi="Arial"/>
          <w:sz w:val="17"/>
          <w:szCs w:val="17"/>
          <w:b w:val="1"/>
          <w:bCs w:val="1"/>
          <w:i w:val="1"/>
          <w:iCs w:val="1"/>
          <w:color w:val="auto"/>
        </w:rPr>
        <w:t xml:space="preserve">Ares Credit Facility. </w:t>
      </w:r>
      <w:r>
        <w:rPr>
          <w:rFonts w:ascii="Arial" w:cs="Arial" w:eastAsia="Arial" w:hAnsi="Arial"/>
          <w:sz w:val="17"/>
          <w:szCs w:val="17"/>
          <w:color w:val="auto"/>
        </w:rPr>
        <w:t>We entered into a first lien facility in October 2020, as subsequently amended in April 2021, with Alter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Domus (US) LLC as administrative agent for Ares Corporate Opportunities Fund V, L.P., or Ares, which we call the Ares Facility. In conjunction with the incurrence of the Ares Facility, we issued 1,695,955 shares of our Series G preferred stock to Ares for $25.0 million in aggregate proceeds. The Ares Facility bears an interest rate of 8% per annum to be accrued as non-cash interest, or we can elect to pay cash interest at 6.5% per annum, and the facility is secured by substantially all of our assets. The Ares Facility requires the original principal to begin to be repaid quarterly at 0.25% starting January 31, 2021 and an exit payment of $1.5 million to be paid once the facility matures or the original principal of $75.0 million is paid in full. The Ares Facility also requires we meet specified financial covenants that are measured based on pre-defined consolidated EBITDA thresholds starting in the second quarter of fiscal year 2021. The consolidated EBITDA covenant allows for an equity cure under certain circumstances. The April and May 2021 Series G proceeds may be applied cumulatively as an equity cure for the quarters ending July 31, 2021 through October 31, 2022. The consolidated EBITDA covenant applies through the quarter ending July 31, 2023. After October 31, 2022, the consolidated EBITDA covenant thresholds increase in each successive quarterly period and continue to allow for an equity cure; however, the proceeds from the April and May 2021 Series G issuances are no longer permitted to be applied. See Note 7 to our audited consolidated financial statements included elsewhere in this prospectus. The Ares Facility requires mandatory prepayment upon defined triggering events as well as permitting optional prepayments and certain of the mandatory prepayment triggering items are subject to a prepayment premium. The Ares Facility contains various events of default, the occurrence of which could result in the acceleration of obligations under the Ares Facility.</w:t>
      </w:r>
    </w:p>
    <w:p>
      <w:pPr>
        <w:spacing w:after="0" w:line="197" w:lineRule="exact"/>
        <w:rPr>
          <w:sz w:val="20"/>
          <w:szCs w:val="20"/>
          <w:color w:val="auto"/>
        </w:rPr>
      </w:pPr>
    </w:p>
    <w:p>
      <w:pPr>
        <w:ind w:left="180" w:right="240" w:firstLine="545"/>
        <w:spacing w:after="0" w:line="237" w:lineRule="auto"/>
        <w:rPr>
          <w:sz w:val="20"/>
          <w:szCs w:val="20"/>
          <w:color w:val="auto"/>
        </w:rPr>
      </w:pPr>
      <w:r>
        <w:rPr>
          <w:rFonts w:ascii="Arial" w:cs="Arial" w:eastAsia="Arial" w:hAnsi="Arial"/>
          <w:sz w:val="18"/>
          <w:szCs w:val="18"/>
          <w:color w:val="auto"/>
        </w:rPr>
        <w:t>The Ares Facility matures at the earlier of October 2023 or 91 days prior to the maturity of the Temasek Facility. The outstanding balance on the Ares Facility as of January 31, 2021 consisted of $75.0 million of outstanding principal, $1.6 million of payment-in-kind interest, netted with $10.9 million of unamortized debt discount and debt issuance costs.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0"/>
          </w:cols>
          <w:pgMar w:left="320" w:top="456" w:right="5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our contractual obligations and commitments as of January 31, 2021:</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5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center"/>
              <w:ind w:left="357"/>
              <w:spacing w:after="0"/>
              <w:rPr>
                <w:sz w:val="20"/>
                <w:szCs w:val="20"/>
                <w:color w:val="auto"/>
              </w:rPr>
            </w:pPr>
            <w:r>
              <w:rPr>
                <w:rFonts w:ascii="Arial" w:cs="Arial" w:eastAsia="Arial" w:hAnsi="Arial"/>
                <w:sz w:val="14"/>
                <w:szCs w:val="14"/>
                <w:b w:val="1"/>
                <w:bCs w:val="1"/>
                <w:color w:val="auto"/>
              </w:rPr>
              <w:t>Payments Due by Period</w:t>
            </w: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tcPr>
          <w:p>
            <w:pPr>
              <w:ind w:left="440"/>
              <w:spacing w:after="0" w:line="141" w:lineRule="exact"/>
              <w:rPr>
                <w:sz w:val="20"/>
                <w:szCs w:val="20"/>
                <w:color w:val="auto"/>
              </w:rPr>
            </w:pPr>
            <w:r>
              <w:rPr>
                <w:rFonts w:ascii="Arial" w:cs="Arial" w:eastAsia="Arial" w:hAnsi="Arial"/>
                <w:sz w:val="14"/>
                <w:szCs w:val="14"/>
                <w:b w:val="1"/>
                <w:bCs w:val="1"/>
                <w:color w:val="auto"/>
                <w:w w:val="98"/>
              </w:rPr>
              <w:t>Less than 1</w:t>
            </w:r>
          </w:p>
        </w:tc>
        <w:tc>
          <w:tcPr>
            <w:tcW w:w="440" w:type="dxa"/>
            <w:vAlign w:val="bottom"/>
          </w:tcPr>
          <w:p>
            <w:pPr>
              <w:spacing w:after="0"/>
              <w:rPr>
                <w:sz w:val="12"/>
                <w:szCs w:val="12"/>
                <w:color w:val="auto"/>
              </w:rPr>
            </w:pPr>
          </w:p>
        </w:tc>
        <w:tc>
          <w:tcPr>
            <w:tcW w:w="820" w:type="dxa"/>
            <w:vAlign w:val="bottom"/>
            <w:gridSpan w:val="3"/>
          </w:tcPr>
          <w:p>
            <w:pPr>
              <w:ind w:left="100"/>
              <w:spacing w:after="0" w:line="141" w:lineRule="exact"/>
              <w:rPr>
                <w:sz w:val="20"/>
                <w:szCs w:val="20"/>
                <w:color w:val="auto"/>
              </w:rPr>
            </w:pPr>
            <w:r>
              <w:rPr>
                <w:rFonts w:ascii="Arial" w:cs="Arial" w:eastAsia="Arial" w:hAnsi="Arial"/>
                <w:sz w:val="14"/>
                <w:szCs w:val="14"/>
                <w:b w:val="1"/>
                <w:bCs w:val="1"/>
                <w:color w:val="auto"/>
              </w:rPr>
              <w:t>1 to 3</w:t>
            </w:r>
          </w:p>
        </w:tc>
        <w:tc>
          <w:tcPr>
            <w:tcW w:w="200" w:type="dxa"/>
            <w:vAlign w:val="bottom"/>
          </w:tcPr>
          <w:p>
            <w:pPr>
              <w:spacing w:after="0"/>
              <w:rPr>
                <w:sz w:val="12"/>
                <w:szCs w:val="12"/>
                <w:color w:val="auto"/>
              </w:rPr>
            </w:pPr>
          </w:p>
        </w:tc>
        <w:tc>
          <w:tcPr>
            <w:tcW w:w="4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3 to 5</w:t>
            </w:r>
          </w:p>
        </w:tc>
        <w:tc>
          <w:tcPr>
            <w:tcW w:w="1240" w:type="dxa"/>
            <w:vAlign w:val="bottom"/>
            <w:gridSpan w:val="3"/>
          </w:tcPr>
          <w:p>
            <w:pPr>
              <w:ind w:left="440"/>
              <w:spacing w:after="0" w:line="141" w:lineRule="exact"/>
              <w:rPr>
                <w:sz w:val="20"/>
                <w:szCs w:val="20"/>
                <w:color w:val="auto"/>
              </w:rPr>
            </w:pPr>
            <w:r>
              <w:rPr>
                <w:rFonts w:ascii="Arial" w:cs="Arial" w:eastAsia="Arial" w:hAnsi="Arial"/>
                <w:sz w:val="14"/>
                <w:szCs w:val="14"/>
                <w:b w:val="1"/>
                <w:bCs w:val="1"/>
                <w:color w:val="auto"/>
                <w:w w:val="99"/>
              </w:rPr>
              <w:t>More than 5</w:t>
            </w:r>
          </w:p>
        </w:tc>
        <w:tc>
          <w:tcPr>
            <w:tcW w:w="60" w:type="dxa"/>
            <w:vAlign w:val="bottom"/>
          </w:tcPr>
          <w:p>
            <w:pPr>
              <w:spacing w:after="0"/>
              <w:rPr>
                <w:sz w:val="12"/>
                <w:szCs w:val="12"/>
                <w:color w:val="auto"/>
              </w:rPr>
            </w:pPr>
          </w:p>
        </w:tc>
      </w:tr>
      <w:tr>
        <w:trPr>
          <w:trHeight w:val="174"/>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year</w:t>
            </w:r>
          </w:p>
        </w:tc>
        <w:tc>
          <w:tcPr>
            <w:tcW w:w="440" w:type="dxa"/>
            <w:vAlign w:val="bottom"/>
          </w:tcPr>
          <w:p>
            <w:pPr>
              <w:spacing w:after="0"/>
              <w:rPr>
                <w:sz w:val="15"/>
                <w:szCs w:val="15"/>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r>
      <w:tr>
        <w:trPr>
          <w:trHeight w:val="154"/>
        </w:trPr>
        <w:tc>
          <w:tcPr>
            <w:tcW w:w="5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center"/>
              <w:ind w:left="17"/>
              <w:spacing w:after="0" w:line="154"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0"/>
        </w:trPr>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Financing lease liabilities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0.4</w:t>
            </w:r>
          </w:p>
        </w:tc>
        <w:tc>
          <w:tcPr>
            <w:tcW w:w="60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r>
      <w:tr>
        <w:trPr>
          <w:trHeight w:val="200"/>
        </w:trPr>
        <w:tc>
          <w:tcPr>
            <w:tcW w:w="5920" w:type="dxa"/>
            <w:vAlign w:val="bottom"/>
          </w:tcPr>
          <w:p>
            <w:pPr>
              <w:spacing w:after="0" w:line="201" w:lineRule="exact"/>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7"/>
              </w:rPr>
              <w:t>117.8</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15.7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24.8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96"/>
              </w:rPr>
              <w:t>19.5</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57.8</w:t>
            </w:r>
          </w:p>
        </w:tc>
        <w:tc>
          <w:tcPr>
            <w:tcW w:w="60" w:type="dxa"/>
            <w:vAlign w:val="bottom"/>
          </w:tcPr>
          <w:p>
            <w:pPr>
              <w:spacing w:after="0"/>
              <w:rPr>
                <w:sz w:val="17"/>
                <w:szCs w:val="17"/>
                <w:color w:val="auto"/>
              </w:rPr>
            </w:pPr>
          </w:p>
        </w:tc>
      </w:tr>
      <w:tr>
        <w:trPr>
          <w:trHeight w:val="200"/>
        </w:trPr>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 term debt</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368.8</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367.9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92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487.0</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392.9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19.5</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85" w:lineRule="exact"/>
        <w:rPr>
          <w:sz w:val="20"/>
          <w:szCs w:val="20"/>
          <w:color w:val="auto"/>
        </w:rPr>
      </w:pPr>
    </w:p>
    <w:p>
      <w:pPr>
        <w:ind w:left="600" w:right="240" w:hanging="426"/>
        <w:spacing w:after="0" w:line="246" w:lineRule="auto"/>
        <w:tabs>
          <w:tab w:leader="none" w:pos="6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our Ares Facility, which had an outstanding balance as of January 31, 2021 of $75.0 million of outstanding principal, $1.6 million of payment-in-kind interest, and our Temasek Facility, which had an outstanding balance as of January 31, 2021 of $230.0 million of outstanding principal, $62.2 million of payment-in-kind interest.</w:t>
      </w:r>
    </w:p>
    <w:p>
      <w:pPr>
        <w:spacing w:after="0" w:line="194" w:lineRule="exact"/>
        <w:rPr>
          <w:sz w:val="20"/>
          <w:szCs w:val="20"/>
          <w:color w:val="auto"/>
        </w:rPr>
      </w:pPr>
    </w:p>
    <w:p>
      <w:pPr>
        <w:ind w:left="180" w:right="260" w:firstLine="545"/>
        <w:spacing w:after="0" w:line="239" w:lineRule="auto"/>
        <w:rPr>
          <w:sz w:val="20"/>
          <w:szCs w:val="20"/>
          <w:color w:val="auto"/>
        </w:rPr>
      </w:pPr>
      <w:r>
        <w:rPr>
          <w:rFonts w:ascii="Arial" w:cs="Arial" w:eastAsia="Arial" w:hAnsi="Arial"/>
          <w:sz w:val="18"/>
          <w:szCs w:val="18"/>
          <w:color w:val="auto"/>
        </w:rPr>
        <w:t>For additional discussion on our financing lease liabilities, operating lease liabilities and long term debt, see Notes 4 and 7 to our audited consolidated financial statements included elsewhere in this prospectus.</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80" w:right="100" w:firstLine="545"/>
        <w:spacing w:after="0" w:line="239" w:lineRule="auto"/>
        <w:rPr>
          <w:sz w:val="20"/>
          <w:szCs w:val="20"/>
          <w:color w:val="auto"/>
        </w:rPr>
      </w:pPr>
      <w:r>
        <w:rPr>
          <w:rFonts w:ascii="Arial" w:cs="Arial" w:eastAsia="Arial" w:hAnsi="Arial"/>
          <w:sz w:val="18"/>
          <w:szCs w:val="18"/>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Inflation Risk</w:t>
      </w:r>
    </w:p>
    <w:p>
      <w:pPr>
        <w:spacing w:after="0" w:line="122" w:lineRule="exact"/>
        <w:rPr>
          <w:sz w:val="20"/>
          <w:szCs w:val="20"/>
          <w:color w:val="auto"/>
        </w:rPr>
      </w:pPr>
    </w:p>
    <w:p>
      <w:pPr>
        <w:ind w:left="180" w:right="280" w:firstLine="545"/>
        <w:spacing w:after="0" w:line="23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180" w:right="160" w:firstLine="545"/>
        <w:spacing w:after="0" w:line="234" w:lineRule="auto"/>
        <w:rPr>
          <w:sz w:val="20"/>
          <w:szCs w:val="20"/>
          <w:color w:val="auto"/>
        </w:rPr>
      </w:pPr>
      <w:r>
        <w:rPr>
          <w:rFonts w:ascii="Arial" w:cs="Arial" w:eastAsia="Arial" w:hAnsi="Arial"/>
          <w:sz w:val="18"/>
          <w:szCs w:val="18"/>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and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0"/>
        <w:spacing w:after="0" w:line="237" w:lineRule="auto"/>
        <w:rPr>
          <w:sz w:val="20"/>
          <w:szCs w:val="20"/>
          <w:color w:val="auto"/>
        </w:rPr>
      </w:pPr>
      <w:r>
        <w:rPr>
          <w:rFonts w:ascii="Arial" w:cs="Arial" w:eastAsia="Arial" w:hAnsi="Arial"/>
          <w:sz w:val="18"/>
          <w:szCs w:val="18"/>
          <w:color w:val="auto"/>
        </w:rPr>
        <w:t>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180" w:right="140" w:firstLine="545"/>
        <w:spacing w:after="0" w:line="256" w:lineRule="auto"/>
        <w:rPr>
          <w:sz w:val="20"/>
          <w:szCs w:val="20"/>
          <w:color w:val="auto"/>
        </w:rPr>
      </w:pPr>
      <w:r>
        <w:rPr>
          <w:rFonts w:ascii="Arial" w:cs="Arial" w:eastAsia="Arial" w:hAnsi="Arial"/>
          <w:sz w:val="17"/>
          <w:szCs w:val="17"/>
          <w:color w:val="auto"/>
        </w:rPr>
        <w:t>We recognize rental revenue from subscription and on-demand rental fees in accordance with ASC 842. Subscription fees are recognized ratably over the subscription period, commencing on the date the subscriber enrolls in the rental program. We also recognize fees for on-demand rentals ratably over the rental period, which starts with the date of delivery of rental product to the customer.</w:t>
      </w:r>
    </w:p>
    <w:p>
      <w:pPr>
        <w:spacing w:after="0" w:line="189" w:lineRule="exact"/>
        <w:rPr>
          <w:sz w:val="20"/>
          <w:szCs w:val="20"/>
          <w:color w:val="auto"/>
        </w:rPr>
      </w:pPr>
    </w:p>
    <w:p>
      <w:pPr>
        <w:ind w:left="180" w:right="100" w:firstLine="545"/>
        <w:spacing w:after="0" w:line="236" w:lineRule="auto"/>
        <w:rPr>
          <w:sz w:val="20"/>
          <w:szCs w:val="20"/>
          <w:color w:val="auto"/>
        </w:rPr>
      </w:pPr>
      <w:r>
        <w:rPr>
          <w:rFonts w:ascii="Arial" w:cs="Arial" w:eastAsia="Arial" w:hAnsi="Arial"/>
          <w:sz w:val="18"/>
          <w:szCs w:val="18"/>
          <w:color w:val="auto"/>
        </w:rPr>
        <w:t>We recognize revenue from the sale of rental product to our customers in accordance with ASC 606. Sale of rental product occurs in two forms: (i) liquidation at the end of the useful life and (ii) customer purchase of rental product at a discounted price, calculated as a percentage of retail value. The single performance obligation associated with rental product sales is generally satisfied upon delivery of the rental product to the customer.</w:t>
      </w:r>
    </w:p>
    <w:p>
      <w:pPr>
        <w:spacing w:after="0" w:line="201" w:lineRule="exact"/>
        <w:rPr>
          <w:sz w:val="20"/>
          <w:szCs w:val="20"/>
          <w:color w:val="auto"/>
        </w:rPr>
      </w:pPr>
    </w:p>
    <w:p>
      <w:pPr>
        <w:ind w:left="180" w:right="320" w:firstLine="545"/>
        <w:spacing w:after="0" w:line="236" w:lineRule="auto"/>
        <w:rPr>
          <w:sz w:val="20"/>
          <w:szCs w:val="20"/>
          <w:color w:val="auto"/>
        </w:rPr>
      </w:pPr>
      <w:r>
        <w:rPr>
          <w:rFonts w:ascii="Arial" w:cs="Arial" w:eastAsia="Arial" w:hAnsi="Arial"/>
          <w:sz w:val="18"/>
          <w:szCs w:val="18"/>
          <w:color w:val="auto"/>
        </w:rPr>
        <w:t>Revenue is presented net of promotional discounts, customer credits and returns. Promotional discounts are recognized in accordance with either ASC 842 or ASC 606, based on the revenue recognition guidance applied to the rental fees or product sales to which the promotional discounts are related. Revenue is presented net of taxes that are collected from customers and remitted to governmental authorities.</w:t>
      </w:r>
    </w:p>
    <w:p>
      <w:pPr>
        <w:spacing w:after="0" w:line="201" w:lineRule="exact"/>
        <w:rPr>
          <w:sz w:val="20"/>
          <w:szCs w:val="20"/>
          <w:color w:val="auto"/>
        </w:rPr>
      </w:pPr>
    </w:p>
    <w:p>
      <w:pPr>
        <w:ind w:left="180" w:firstLine="545"/>
        <w:spacing w:after="0" w:line="253" w:lineRule="auto"/>
        <w:rPr>
          <w:sz w:val="20"/>
          <w:szCs w:val="20"/>
          <w:color w:val="auto"/>
        </w:rPr>
      </w:pPr>
      <w:r>
        <w:rPr>
          <w:rFonts w:ascii="Arial" w:cs="Arial" w:eastAsia="Arial" w:hAnsi="Arial"/>
          <w:sz w:val="17"/>
          <w:szCs w:val="17"/>
          <w:color w:val="auto"/>
        </w:rPr>
        <w:t>A liability is recognized at the time a customer credit or a gift card is issued, and revenue is recognized upon redemption of the credit or gift card. Customer credits and gift cards do not have expiration dates. Over time, a portion of these instruments is not redeemed. We recognize breakage income based on the redemption pattern method. We continue to maintain the full liability for the unredeemed portion of the credits and gift cards for any legal obligation to remit such credits to government authorities in relevant jurisdictions.</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Rental Product</w:t>
      </w:r>
    </w:p>
    <w:p>
      <w:pPr>
        <w:spacing w:after="0" w:line="229" w:lineRule="exact"/>
        <w:rPr>
          <w:sz w:val="20"/>
          <w:szCs w:val="20"/>
          <w:color w:val="auto"/>
        </w:rPr>
      </w:pPr>
    </w:p>
    <w:p>
      <w:pPr>
        <w:ind w:left="180" w:right="100" w:firstLine="545"/>
        <w:spacing w:after="0" w:line="235" w:lineRule="auto"/>
        <w:rPr>
          <w:sz w:val="20"/>
          <w:szCs w:val="20"/>
          <w:color w:val="auto"/>
        </w:rPr>
      </w:pPr>
      <w:r>
        <w:rPr>
          <w:rFonts w:ascii="Arial" w:cs="Arial" w:eastAsia="Arial" w:hAnsi="Arial"/>
          <w:sz w:val="18"/>
          <w:szCs w:val="18"/>
          <w:color w:val="auto"/>
        </w:rPr>
        <w:t>We consider rental product to be a long-term productive asset and, as such, classify it as a noncurrent asset on the consolidated balance sheets. Rental product is stated at cost, less accumulated depreciation. We depreciate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Right of Use Assets</w:t>
      </w:r>
    </w:p>
    <w:p>
      <w:pPr>
        <w:spacing w:after="0" w:line="229"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Right-of-use assets and lease liabilities are measured and recognized at the lease commencement date based on the present value of lease payments over the expected lease term. The estimated incremental borrowing rate, used to determine the present value of future minimum lease payments, is determined at the lease effective date or lease commencement date, whichever is later, and is subsequently reassessed upon modification to the lease arrangement. The determination of the estimated incremental borrowing rate requires judgement and is primarily based on publicly available information for companies within the same industry and with similar credit profiles.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6"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180" w:right="240" w:firstLine="545"/>
        <w:spacing w:after="0" w:line="236" w:lineRule="auto"/>
        <w:rPr>
          <w:sz w:val="20"/>
          <w:szCs w:val="20"/>
          <w:color w:val="auto"/>
        </w:rPr>
      </w:pPr>
      <w:r>
        <w:rPr>
          <w:rFonts w:ascii="Arial" w:cs="Arial" w:eastAsia="Arial" w:hAnsi="Arial"/>
          <w:sz w:val="18"/>
          <w:szCs w:val="18"/>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86" w:lineRule="exact"/>
        <w:rPr>
          <w:sz w:val="20"/>
          <w:szCs w:val="20"/>
          <w:color w:val="auto"/>
        </w:rPr>
      </w:pPr>
    </w:p>
    <w:p>
      <w:pPr>
        <w:ind w:left="920" w:right="20" w:hanging="212"/>
        <w:spacing w:after="0" w:line="239"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of common stock</w:t>
      </w:r>
      <w:r>
        <w:rPr>
          <w:rFonts w:ascii="Arial" w:cs="Arial" w:eastAsia="Arial" w:hAnsi="Arial"/>
          <w:sz w:val="18"/>
          <w:szCs w:val="18"/>
          <w:color w:val="auto"/>
        </w:rPr>
        <w:t>. Because our common stock is not yet publicly traded, we are required to estimate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common stock. The fair value of the shares of common stock underlying the stock options has historically been determined by a third-party valuation firm and approved by our Board of Directors. The fair value of our common stock is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85" w:lineRule="exact"/>
        <w:rPr>
          <w:rFonts w:ascii="Arial" w:cs="Arial" w:eastAsia="Arial" w:hAnsi="Arial"/>
          <w:sz w:val="18"/>
          <w:szCs w:val="18"/>
          <w:color w:val="auto"/>
        </w:rPr>
      </w:pPr>
    </w:p>
    <w:p>
      <w:pPr>
        <w:ind w:left="920" w:right="40" w:hanging="212"/>
        <w:spacing w:after="0" w:line="258" w:lineRule="auto"/>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Expected volatility</w:t>
      </w:r>
      <w:r>
        <w:rPr>
          <w:rFonts w:ascii="Arial" w:cs="Arial" w:eastAsia="Arial" w:hAnsi="Arial"/>
          <w:sz w:val="17"/>
          <w:szCs w:val="17"/>
          <w:color w:val="auto"/>
        </w:rPr>
        <w:t>. As a result of the lack of historical and implied volatility data of our common stock, the expected stock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volatility has been estimated based on the historical volatilities of a specified group of companies in its industry for a period equal to the expected life of the option. We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71" w:lineRule="exact"/>
        <w:rPr>
          <w:rFonts w:ascii="Arial" w:cs="Arial" w:eastAsia="Arial" w:hAnsi="Arial"/>
          <w:sz w:val="17"/>
          <w:szCs w:val="17"/>
          <w:color w:val="auto"/>
        </w:rPr>
      </w:pPr>
    </w:p>
    <w:p>
      <w:pPr>
        <w:ind w:left="920" w:right="200" w:hanging="212"/>
        <w:spacing w:after="0" w:line="248"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 The expected term of stock options represents the weighted-average period the stock options are expected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 outstanding and is based on the stock options’ vesting terms and contractual terms, estimated employee termination behavior, and potential future stock price outcomes.</w:t>
      </w:r>
    </w:p>
    <w:p>
      <w:pPr>
        <w:spacing w:after="0" w:line="79" w:lineRule="exact"/>
        <w:rPr>
          <w:rFonts w:ascii="Arial" w:cs="Arial" w:eastAsia="Arial" w:hAnsi="Arial"/>
          <w:sz w:val="18"/>
          <w:szCs w:val="18"/>
          <w:color w:val="auto"/>
        </w:rPr>
      </w:pPr>
    </w:p>
    <w:p>
      <w:pPr>
        <w:ind w:left="920" w:right="620" w:hanging="212"/>
        <w:spacing w:after="0" w:line="264"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 The expected risk-free rate assumption is based on the U.S. Treasury instruments whose term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expected term of the stock options.</w:t>
      </w:r>
    </w:p>
    <w:p>
      <w:pPr>
        <w:spacing w:after="0" w:line="65" w:lineRule="exact"/>
        <w:rPr>
          <w:rFonts w:ascii="Arial" w:cs="Arial" w:eastAsia="Arial" w:hAnsi="Arial"/>
          <w:sz w:val="18"/>
          <w:szCs w:val="18"/>
          <w:color w:val="auto"/>
        </w:rPr>
      </w:pPr>
    </w:p>
    <w:p>
      <w:pPr>
        <w:ind w:left="920" w:right="120" w:hanging="212"/>
        <w:spacing w:after="0" w:line="264"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Expected dividend yield</w:t>
      </w:r>
      <w:r>
        <w:rPr>
          <w:rFonts w:ascii="Arial" w:cs="Arial" w:eastAsia="Arial" w:hAnsi="Arial"/>
          <w:sz w:val="18"/>
          <w:szCs w:val="18"/>
          <w:color w:val="auto"/>
        </w:rPr>
        <w:t>. The expected dividend assumption is based on our history and expectation of dividend. We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dividends and do not expect to do so in the foreseeable future.</w:t>
      </w:r>
    </w:p>
    <w:p>
      <w:pPr>
        <w:spacing w:after="0" w:line="181" w:lineRule="exact"/>
        <w:rPr>
          <w:sz w:val="20"/>
          <w:szCs w:val="20"/>
          <w:color w:val="auto"/>
        </w:rPr>
      </w:pPr>
    </w:p>
    <w:p>
      <w:pPr>
        <w:ind w:left="180" w:right="260" w:firstLine="545"/>
        <w:spacing w:after="0" w:line="237" w:lineRule="auto"/>
        <w:rPr>
          <w:sz w:val="20"/>
          <w:szCs w:val="20"/>
          <w:color w:val="auto"/>
        </w:rPr>
      </w:pPr>
      <w:r>
        <w:rPr>
          <w:rFonts w:ascii="Arial" w:cs="Arial" w:eastAsia="Arial" w:hAnsi="Arial"/>
          <w:sz w:val="18"/>
          <w:szCs w:val="18"/>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202"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have also granted RSUs which vest only upon satisfaction of both time-based service and performance-based conditions. As of January 31, 2021, we have not recognized share-based compensation expense for awards with performance-based conditions which include a qualifying event because the qualifying event is not probable. In the period in which the qualifying event, such as an initial public offering, becomes probable, we will record a cumulative one-time share-based compensation expense determined using grant-date fair values. Share-based compensation related to any remaining time-based service after the qualifying event will be recorded over the remaining requisite service period. We will record share-based compensation expense for RSUs on an accelerated attribution method over the requisite service period, which is generally 4 years, and only if performance-based conditions are considered probable to be satisfied. The total unrecorded share-based compensation expense related to these awards was $12.7 million as of January 31, 2021. The total unrecorded share-based compensation expense relating to RSUs for which the time-based service vesting condition had been satisfied or partially satisfied as of January 31, 2021 was $7.6 million, which represents the amount of cumulative compensation expense that would have been recognized in our financial statements had the initial public offering been determined to be probable at January 31, 2021.</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Our warrants that do not meet the criteria for equity treatment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statements of operations. The warrants are valued using a Black-Scholes option pricing model. The assumptions used in preparing the model include estimates such as fair value of the underlying shares, expected volatility, expected term, risk-free interest rate and expected dividend yield. This valuation model uses unobservable market share price input on a recurring basis, and therefore the liability is classified as Level 3.</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80" w:right="340" w:firstLine="545"/>
        <w:spacing w:after="0" w:line="239" w:lineRule="auto"/>
        <w:rPr>
          <w:sz w:val="20"/>
          <w:szCs w:val="20"/>
          <w:color w:val="auto"/>
        </w:rPr>
      </w:pPr>
      <w:r>
        <w:rPr>
          <w:rFonts w:ascii="Arial" w:cs="Arial" w:eastAsia="Arial" w:hAnsi="Arial"/>
          <w:sz w:val="18"/>
          <w:szCs w:val="18"/>
          <w:color w:val="auto"/>
        </w:rPr>
        <w:t>See Note 2 to our consolidated financial statements included elsewhere in this prospectus for a description of recently adopted accounting pronouncements and recently issued accounting pronouncements not yet adopted.</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0"/>
          </w:cols>
          <w:pgMar w:left="320" w:top="456" w:right="5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31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207"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firstLine="545"/>
        <w:spacing w:after="0" w:line="246" w:lineRule="auto"/>
        <w:rPr>
          <w:sz w:val="20"/>
          <w:szCs w:val="20"/>
          <w:color w:val="auto"/>
        </w:rPr>
      </w:pPr>
      <w:r>
        <w:rPr>
          <w:rFonts w:ascii="Arial" w:cs="Arial" w:eastAsia="Arial" w:hAnsi="Arial"/>
          <w:sz w:val="17"/>
          <w:szCs w:val="17"/>
          <w:color w:val="auto"/>
        </w:rPr>
        <w:t>We built the world’s first and largest shared designer rental closet — what we call the Closet in the Cloud — with over 18,000 styles by over 750 designer brands.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total subscribers</w:t>
      </w:r>
    </w:p>
    <w:p>
      <w:pPr>
        <w:ind w:left="180" w:right="220"/>
        <w:spacing w:after="0"/>
        <w:rPr>
          <w:sz w:val="20"/>
          <w:szCs w:val="20"/>
          <w:color w:val="auto"/>
        </w:rPr>
      </w:pPr>
      <w:r>
        <w:rPr>
          <w:rFonts w:ascii="Arial" w:cs="Arial" w:eastAsia="Arial" w:hAnsi="Arial"/>
          <w:sz w:val="18"/>
          <w:szCs w:val="18"/>
          <w:color w:val="auto"/>
        </w:rPr>
        <w:t>(active and paused) as of , 2021. In the first six months of fiscal year 2021, % of our total revenue was generated by subscribers.</w:t>
      </w:r>
    </w:p>
    <w:p>
      <w:pPr>
        <w:spacing w:after="0" w:line="200" w:lineRule="exact"/>
        <w:rPr>
          <w:sz w:val="20"/>
          <w:szCs w:val="20"/>
          <w:color w:val="auto"/>
        </w:rPr>
      </w:pPr>
    </w:p>
    <w:p>
      <w:pPr>
        <w:spacing w:after="0" w:line="207" w:lineRule="exact"/>
        <w:rPr>
          <w:sz w:val="20"/>
          <w:szCs w:val="20"/>
          <w:color w:val="auto"/>
        </w:rPr>
      </w:pPr>
    </w:p>
    <w:p>
      <w:pPr>
        <w:ind w:left="180" w:right="40" w:firstLine="545"/>
        <w:spacing w:after="0" w:line="236" w:lineRule="auto"/>
        <w:rPr>
          <w:sz w:val="20"/>
          <w:szCs w:val="20"/>
          <w:color w:val="auto"/>
        </w:rPr>
      </w:pPr>
      <w:r>
        <w:rPr>
          <w:rFonts w:ascii="Arial" w:cs="Arial" w:eastAsia="Arial" w:hAnsi="Arial"/>
          <w:sz w:val="18"/>
          <w:szCs w:val="18"/>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w:t>
      </w:r>
    </w:p>
    <w:p>
      <w:pPr>
        <w:spacing w:after="0" w:line="201" w:lineRule="exact"/>
        <w:rPr>
          <w:sz w:val="20"/>
          <w:szCs w:val="20"/>
          <w:color w:val="auto"/>
        </w:rPr>
      </w:pPr>
    </w:p>
    <w:p>
      <w:pPr>
        <w:ind w:left="180" w:right="60" w:firstLine="545"/>
        <w:spacing w:after="0" w:line="234" w:lineRule="auto"/>
        <w:rPr>
          <w:sz w:val="20"/>
          <w:szCs w:val="20"/>
          <w:color w:val="auto"/>
        </w:rPr>
      </w:pPr>
      <w:r>
        <w:rPr>
          <w:rFonts w:ascii="Arial" w:cs="Arial" w:eastAsia="Arial" w:hAnsi="Arial"/>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(approximately $47,000 in designer retail value in fiscal year 2019 and more than $37,000 annualized for the first five months of fiscal year 2021).</w:t>
      </w:r>
      <w:r>
        <w:rPr>
          <w:rFonts w:ascii="Arial" w:cs="Arial" w:eastAsia="Arial" w:hAnsi="Arial"/>
          <w:sz w:val="15"/>
          <w:szCs w:val="15"/>
          <w:color w:val="auto"/>
        </w:rPr>
        <w:t>17</w:t>
      </w:r>
      <w:r>
        <w:rPr>
          <w:rFonts w:ascii="Arial" w:cs="Arial" w:eastAsia="Arial" w:hAnsi="Arial"/>
          <w:sz w:val="18"/>
          <w:szCs w:val="18"/>
          <w:color w:val="auto"/>
        </w:rPr>
        <w:t xml:space="preserve"> We have become an everyday utility; our most engaged subscribers wear Rent the Runway more than 100 days per year. We believe that the convenience and access to a broad assortment of designer brands, categories and styles helps drive our strong customer engagement.</w:t>
      </w:r>
    </w:p>
    <w:p>
      <w:pPr>
        <w:spacing w:after="0" w:line="205"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80010</wp:posOffset>
            </wp:positionV>
            <wp:extent cx="755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64" w:lineRule="exact"/>
        <w:rPr>
          <w:sz w:val="20"/>
          <w:szCs w:val="20"/>
          <w:color w:val="auto"/>
        </w:rPr>
      </w:pPr>
    </w:p>
    <w:p>
      <w:pPr>
        <w:ind w:left="500" w:right="260" w:hanging="326"/>
        <w:spacing w:after="0" w:line="197" w:lineRule="auto"/>
        <w:tabs>
          <w:tab w:leader="none" w:pos="50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40"/>
          </w:cols>
          <w:pgMar w:left="320" w:top="456" w:right="5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color w:val="auto"/>
        </w:rPr>
        <w:t>Our Closet in the Cloud connects our deeply engaged customers and our differentiated brand partners on a powerful platform built around our brand, data, logistics and technology advantages.</w:t>
      </w:r>
    </w:p>
    <w:p>
      <w:pPr>
        <w:spacing w:after="0" w:line="87" w:lineRule="exact"/>
        <w:rPr>
          <w:sz w:val="20"/>
          <w:szCs w:val="20"/>
          <w:color w:val="auto"/>
        </w:rPr>
      </w:pPr>
    </w:p>
    <w:p>
      <w:pPr>
        <w:ind w:left="920" w:hanging="212"/>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Brand Partner Advantage</w:t>
      </w:r>
      <w:r>
        <w:rPr>
          <w:rFonts w:ascii="Arial" w:cs="Arial" w:eastAsia="Arial" w:hAnsi="Arial"/>
          <w:sz w:val="18"/>
          <w:szCs w:val="18"/>
          <w:color w:val="auto"/>
        </w:rPr>
        <w:t>. Our assortment contains thousands of new, current season styles procured from our brand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brands have evolved to balance our margins and the capital needs of our business.</w:t>
      </w:r>
    </w:p>
    <w:p>
      <w:pPr>
        <w:spacing w:after="0" w:line="87" w:lineRule="exact"/>
        <w:rPr>
          <w:rFonts w:ascii="Arial" w:cs="Arial" w:eastAsia="Arial" w:hAnsi="Arial"/>
          <w:sz w:val="18"/>
          <w:szCs w:val="18"/>
          <w:color w:val="auto"/>
        </w:rPr>
      </w:pPr>
    </w:p>
    <w:p>
      <w:pPr>
        <w:ind w:left="920" w:right="40" w:hanging="212"/>
        <w:spacing w:after="0" w:line="270" w:lineRule="auto"/>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Data Advantage</w:t>
      </w:r>
      <w:r>
        <w:rPr>
          <w:rFonts w:ascii="Arial" w:cs="Arial" w:eastAsia="Arial" w:hAnsi="Arial"/>
          <w:sz w:val="17"/>
          <w:szCs w:val="17"/>
          <w:color w:val="auto"/>
        </w:rPr>
        <w:t>. We capture a vast amount of quality, actionable data on our customers and products. We leverage this data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61" w:lineRule="exact"/>
        <w:rPr>
          <w:rFonts w:ascii="Arial" w:cs="Arial" w:eastAsia="Arial" w:hAnsi="Arial"/>
          <w:sz w:val="17"/>
          <w:szCs w:val="17"/>
          <w:color w:val="auto"/>
        </w:rPr>
      </w:pPr>
    </w:p>
    <w:p>
      <w:pPr>
        <w:ind w:left="920" w:right="20" w:hanging="212"/>
        <w:spacing w:after="0" w:line="262" w:lineRule="auto"/>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Technology and Logistics Advantage</w:t>
      </w:r>
      <w:r>
        <w:rPr>
          <w:rFonts w:ascii="Arial" w:cs="Arial" w:eastAsia="Arial" w:hAnsi="Arial"/>
          <w:sz w:val="17"/>
          <w:szCs w:val="17"/>
          <w:color w:val="auto"/>
        </w:rPr>
        <w:t>. We have developed a proprietary operating system for the sharing economy of physical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all of our offerings in one easy experience for the customer.</w:t>
      </w:r>
    </w:p>
    <w:p>
      <w:pPr>
        <w:spacing w:after="0" w:line="184" w:lineRule="exact"/>
        <w:rPr>
          <w:sz w:val="20"/>
          <w:szCs w:val="20"/>
          <w:color w:val="auto"/>
        </w:rPr>
      </w:pPr>
    </w:p>
    <w:p>
      <w:pPr>
        <w:ind w:left="180" w:right="280" w:firstLine="545"/>
        <w:spacing w:after="0" w:line="234" w:lineRule="auto"/>
        <w:rPr>
          <w:sz w:val="20"/>
          <w:szCs w:val="20"/>
          <w:color w:val="auto"/>
        </w:rPr>
      </w:pPr>
      <w:r>
        <w:rPr>
          <w:rFonts w:ascii="Arial" w:cs="Arial" w:eastAsia="Arial" w:hAnsi="Arial"/>
          <w:sz w:val="18"/>
          <w:szCs w:val="18"/>
          <w:color w:val="auto"/>
        </w:rPr>
        <w:t>Since our inception, organic growth, or word-of-mouth marketing, has been a key advantage for RTR. Many of our customers publicly share their love of the Rent the Runway experience on social media and in their personal lives, which helps drive brand awareness and new customer acquisition. Because of how customers use Rent the Runway, renting bold dynamic pieces, and the confidence they feel, our clothing becomes a visual billboard and advertising for the platform. As a result, since our founding, we have spent less than 10% of total revenue on marketing, and our growth has been mostly organic. More than 88% of our customers over the last 12 years have been acquired via word-of-mouth. Our brand and deeply engaged community have allowed us to acquire customers efficiently even as we have scaled.</w:t>
      </w:r>
    </w:p>
    <w:p>
      <w:pPr>
        <w:spacing w:after="0" w:line="204" w:lineRule="exact"/>
        <w:rPr>
          <w:sz w:val="20"/>
          <w:szCs w:val="20"/>
          <w:color w:val="auto"/>
        </w:rPr>
      </w:pPr>
    </w:p>
    <w:p>
      <w:pPr>
        <w:ind w:left="180" w:right="160" w:firstLine="545"/>
        <w:spacing w:after="0" w:line="239" w:lineRule="auto"/>
        <w:rPr>
          <w:sz w:val="20"/>
          <w:szCs w:val="20"/>
          <w:color w:val="auto"/>
        </w:rPr>
      </w:pPr>
      <w:r>
        <w:rPr>
          <w:rFonts w:ascii="Arial" w:cs="Arial" w:eastAsia="Arial" w:hAnsi="Arial"/>
          <w:sz w:val="18"/>
          <w:szCs w:val="18"/>
          <w:color w:val="auto"/>
        </w:rPr>
        <w:t>We generate revenue from our Subscription, Reserve and Resale offerings. The majority of revenue comes from our Subscription offering, which is highly recurring and drives customer engagement.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achieved the following operating and financial results:</w:t>
      </w:r>
    </w:p>
    <w:p>
      <w:pPr>
        <w:spacing w:after="0" w:line="114" w:lineRule="exact"/>
        <w:rPr>
          <w:sz w:val="20"/>
          <w:szCs w:val="20"/>
          <w:color w:val="auto"/>
        </w:rPr>
      </w:pPr>
    </w:p>
    <w:p>
      <w:pPr>
        <w:ind w:left="920" w:right="100" w:hanging="212"/>
        <w:spacing w:after="0" w:line="239" w:lineRule="auto"/>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had 147,866 and 95,245 total subscribers at the end of fiscal year 2019 and fiscal year 2020, respectively, and 133,572 and 54,797 active subscribers (excluding paused subscribers), respectively;</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Revenue was $256.9 million and $157.5 million in fiscal year 2019 and fiscal year 2020, respectively;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Gross Profit was $53.6 million and $15.5 million in fiscal year 2019 and fiscal year 2020, respectively;</w:t>
      </w:r>
    </w:p>
    <w:p>
      <w:pPr>
        <w:spacing w:after="0" w:line="113" w:lineRule="exact"/>
        <w:rPr>
          <w:rFonts w:ascii="Arial" w:cs="Arial" w:eastAsia="Arial" w:hAnsi="Arial"/>
          <w:sz w:val="18"/>
          <w:szCs w:val="18"/>
          <w:color w:val="auto"/>
        </w:rPr>
      </w:pPr>
    </w:p>
    <w:p>
      <w:pPr>
        <w:ind w:left="920" w:right="580" w:hanging="212"/>
        <w:spacing w:after="0" w:line="239" w:lineRule="auto"/>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Gross Profit Excluding Product Depreciation was $129.3 million and $85.4 million in fiscal year 2019 and fiscal year 2020, respectively;</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Net Loss was $(153.9) million and $(171.1) million in fiscal year 2019 and fiscal year 2020, respectively; and</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6"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Adjusted EBITDA was $(18.0) million and $(20.3) million in fiscal year 2019 and fiscal year 2020, respectively.</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Trends in Our Favor</w:t>
      </w:r>
    </w:p>
    <w:p>
      <w:pPr>
        <w:spacing w:after="0" w:line="229" w:lineRule="exact"/>
        <w:rPr>
          <w:sz w:val="20"/>
          <w:szCs w:val="20"/>
          <w:color w:val="auto"/>
        </w:rPr>
      </w:pPr>
    </w:p>
    <w:p>
      <w:pPr>
        <w:ind w:left="180" w:right="560" w:firstLine="545"/>
        <w:spacing w:after="0" w:line="239" w:lineRule="auto"/>
        <w:rPr>
          <w:sz w:val="20"/>
          <w:szCs w:val="20"/>
          <w:color w:val="auto"/>
        </w:rPr>
      </w:pPr>
      <w:r>
        <w:rPr>
          <w:rFonts w:ascii="Arial" w:cs="Arial" w:eastAsia="Arial" w:hAnsi="Arial"/>
          <w:sz w:val="18"/>
          <w:szCs w:val="18"/>
          <w:color w:val="auto"/>
        </w:rPr>
        <w:t>We are witnessing trends that are driving consumer and brand behavior in our favor, though the extent to which they may be impacted by the COVID-19 pandemic remains uncertain.</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Trends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Some of the key trends impacting consumers in our industry include:</w:t>
      </w:r>
    </w:p>
    <w:p>
      <w:pPr>
        <w:spacing w:after="0" w:line="92" w:lineRule="exact"/>
        <w:rPr>
          <w:sz w:val="20"/>
          <w:szCs w:val="20"/>
          <w:color w:val="auto"/>
        </w:rPr>
      </w:pPr>
    </w:p>
    <w:p>
      <w:pPr>
        <w:ind w:left="920" w:right="60" w:hanging="212"/>
        <w:spacing w:after="0" w:line="237"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Shift from Ownership to Access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shift from ownership to access has been rapid across many categories and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the total addressable market opportunity by reducing barriers to entry from music to media to homes. In 2020, access models represented 64% of the U.S. recorded music market, 71% of the U.S. home entertainment market and 17% of the U.S. hospitality market. Businesses such as Spotify, Netflix and Airbnb have been built in the transition to access and we believe that the apparel industry is ripe for this same disruption. We are at the beginning of a revolution of how people choose to dress and express themselves. Across the retail landscape, many customers are acting in a manner that already mirrors an access/rental model, by returning items more frequently, through buying and reselling secondhand clothing, and by purchasing and disposing of fast fashion, often within 12 months.</w:t>
      </w:r>
    </w:p>
    <w:p>
      <w:pPr>
        <w:spacing w:after="0" w:line="88" w:lineRule="exact"/>
        <w:rPr>
          <w:rFonts w:ascii="Arial" w:cs="Arial" w:eastAsia="Arial" w:hAnsi="Arial"/>
          <w:sz w:val="18"/>
          <w:szCs w:val="18"/>
          <w:color w:val="auto"/>
        </w:rPr>
      </w:pPr>
    </w:p>
    <w:p>
      <w:pPr>
        <w:ind w:left="920" w:right="120" w:hanging="212"/>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Desire for Variety and Newness: </w:t>
      </w:r>
      <w:r>
        <w:rPr>
          <w:rFonts w:ascii="Arial" w:cs="Arial" w:eastAsia="Arial" w:hAnsi="Arial"/>
          <w:sz w:val="18"/>
          <w:szCs w:val="18"/>
          <w:color w:val="auto"/>
        </w:rPr>
        <w:t>Consumers are increasingly seeking variety and newness in their wardrobes. Closets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and, according to the Wall Street Journal, the average consumer buys approximately 70 items of clothing per year as compared to 40 items per year in 1990. While closets have expanded in quantity, items are worn less and discarded faster. The average consumer already operates with a rental mentality seeking variety, rotation and newness: 33% of women consider an outfit to be “old” after wearing it fewer than three times.</w:t>
      </w:r>
      <w:r>
        <w:rPr>
          <w:rFonts w:ascii="Arial" w:cs="Arial" w:eastAsia="Arial" w:hAnsi="Arial"/>
          <w:sz w:val="15"/>
          <w:szCs w:val="15"/>
          <w:color w:val="auto"/>
        </w:rPr>
        <w:t>18</w:t>
      </w:r>
    </w:p>
    <w:p>
      <w:pPr>
        <w:spacing w:after="0" w:line="87" w:lineRule="exact"/>
        <w:rPr>
          <w:rFonts w:ascii="Arial" w:cs="Arial" w:eastAsia="Arial" w:hAnsi="Arial"/>
          <w:sz w:val="18"/>
          <w:szCs w:val="18"/>
          <w:color w:val="auto"/>
        </w:rPr>
      </w:pPr>
    </w:p>
    <w:p>
      <w:pPr>
        <w:ind w:left="920" w:right="20" w:hanging="212"/>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of Online Shopping: </w:t>
      </w:r>
      <w:r>
        <w:rPr>
          <w:rFonts w:ascii="Arial" w:cs="Arial" w:eastAsia="Arial" w:hAnsi="Arial"/>
          <w:sz w:val="18"/>
          <w:szCs w:val="18"/>
          <w:color w:val="auto"/>
        </w:rPr>
        <w:t>Despite the fact that closets are growing, online sales represent the fastest growing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apparel market. U.S. online apparel grew at a 17% CAGR between 2015 and 2020 while the broader apparel sector declined, according to Euromonitor. Mobile has seen even faster growth as consumers increasingly use their smartphones to discover and shop. According to Euromonitor, U.S. mobile e-Commerce grew at a 35% CAGR between 2015 and 2020.</w:t>
      </w:r>
      <w:r>
        <w:rPr>
          <w:rFonts w:ascii="Arial" w:cs="Arial" w:eastAsia="Arial" w:hAnsi="Arial"/>
          <w:sz w:val="15"/>
          <w:szCs w:val="15"/>
          <w:color w:val="auto"/>
        </w:rPr>
        <w:t>19</w:t>
      </w:r>
      <w:r>
        <w:rPr>
          <w:rFonts w:ascii="Arial" w:cs="Arial" w:eastAsia="Arial" w:hAnsi="Arial"/>
          <w:sz w:val="18"/>
          <w:szCs w:val="18"/>
          <w:color w:val="auto"/>
        </w:rPr>
        <w:t xml:space="preserve"> These trends have been accelerated by the COVID-19 crisis as consumers have moved their shopping online.</w:t>
      </w:r>
    </w:p>
    <w:p>
      <w:pPr>
        <w:spacing w:after="0" w:line="87" w:lineRule="exact"/>
        <w:rPr>
          <w:rFonts w:ascii="Arial" w:cs="Arial" w:eastAsia="Arial" w:hAnsi="Arial"/>
          <w:sz w:val="18"/>
          <w:szCs w:val="18"/>
          <w:color w:val="auto"/>
        </w:rPr>
      </w:pPr>
    </w:p>
    <w:p>
      <w:pPr>
        <w:ind w:left="920" w:hanging="212"/>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Media Driving Fashion: </w:t>
      </w:r>
      <w:r>
        <w:rPr>
          <w:rFonts w:ascii="Arial" w:cs="Arial" w:eastAsia="Arial" w:hAnsi="Arial"/>
          <w:sz w:val="18"/>
          <w:szCs w:val="18"/>
          <w:color w:val="auto"/>
        </w:rPr>
        <w:t>Consumers are spending a significant amount of time on social media, a medium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fashion awareness and influencing purchasing behavior. Millennials post nine selfies a week, according to Now Sourcing, and one in seven women considers it a fashion faux-pas to be photographed in an outfit twice, according to McKinsey.</w:t>
      </w:r>
      <w:r>
        <w:rPr>
          <w:rFonts w:ascii="Arial" w:cs="Arial" w:eastAsia="Arial" w:hAnsi="Arial"/>
          <w:sz w:val="15"/>
          <w:szCs w:val="15"/>
          <w:color w:val="auto"/>
        </w:rPr>
        <w:t>20</w:t>
      </w:r>
      <w:r>
        <w:rPr>
          <w:rFonts w:ascii="Arial" w:cs="Arial" w:eastAsia="Arial" w:hAnsi="Arial"/>
          <w:sz w:val="18"/>
          <w:szCs w:val="18"/>
          <w:color w:val="auto"/>
        </w:rPr>
        <w:t xml:space="preserve"> The ubiquity of fashion on social media has meant that consumers have a higher awareness of aspirational brands outside their income level and are taking fashion cues from their friends and influencers as opposed to industry experts.</w:t>
      </w:r>
    </w:p>
    <w:p>
      <w:pPr>
        <w:spacing w:after="0" w:line="87" w:lineRule="exact"/>
        <w:rPr>
          <w:rFonts w:ascii="Arial" w:cs="Arial" w:eastAsia="Arial" w:hAnsi="Arial"/>
          <w:sz w:val="18"/>
          <w:szCs w:val="18"/>
          <w:color w:val="auto"/>
        </w:rPr>
      </w:pPr>
    </w:p>
    <w:p>
      <w:pPr>
        <w:ind w:left="920" w:right="220" w:hanging="212"/>
        <w:spacing w:after="0" w:line="248"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Increasingly Female Workforce: </w:t>
      </w:r>
      <w:r>
        <w:rPr>
          <w:rFonts w:ascii="Arial" w:cs="Arial" w:eastAsia="Arial" w:hAnsi="Arial"/>
          <w:sz w:val="18"/>
          <w:szCs w:val="18"/>
          <w:color w:val="auto"/>
        </w:rPr>
        <w:t>As of January 2021, women represented 47% of the workforce, up from 38% in 1970,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 to the U.S. Bureau for Labor Statistics and U.S. Census, but control 70 to 80% of household spending (according to Forbes).</w:t>
      </w:r>
      <w:r>
        <w:rPr>
          <w:rFonts w:ascii="Arial" w:cs="Arial" w:eastAsia="Arial" w:hAnsi="Arial"/>
          <w:sz w:val="15"/>
          <w:szCs w:val="15"/>
          <w:color w:val="auto"/>
        </w:rPr>
        <w:t>21</w:t>
      </w:r>
      <w:r>
        <w:rPr>
          <w:rFonts w:ascii="Arial" w:cs="Arial" w:eastAsia="Arial" w:hAnsi="Arial"/>
          <w:sz w:val="18"/>
          <w:szCs w:val="18"/>
          <w:color w:val="auto"/>
        </w:rPr>
        <w:t xml:space="preserv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73660</wp:posOffset>
            </wp:positionV>
            <wp:extent cx="755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38" w:lineRule="exact"/>
        <w:rPr>
          <w:sz w:val="20"/>
          <w:szCs w:val="20"/>
          <w:color w:val="auto"/>
        </w:rPr>
      </w:pPr>
    </w:p>
    <w:p>
      <w:pPr>
        <w:ind w:left="500" w:hanging="326"/>
        <w:spacing w:after="0"/>
        <w:tabs>
          <w:tab w:leader="none" w:pos="50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Hubbub, Inc.</w:t>
      </w:r>
    </w:p>
    <w:p>
      <w:pPr>
        <w:ind w:left="500" w:hanging="326"/>
        <w:spacing w:after="0" w:line="185" w:lineRule="auto"/>
        <w:tabs>
          <w:tab w:leader="none" w:pos="500" w:val="left"/>
        </w:tabs>
        <w:numPr>
          <w:ilvl w:val="0"/>
          <w:numId w:val="96"/>
        </w:numPr>
        <w:rPr>
          <w:rFonts w:ascii="Arial" w:cs="Arial" w:eastAsia="Arial" w:hAnsi="Arial"/>
          <w:sz w:val="18"/>
          <w:szCs w:val="18"/>
          <w:color w:val="auto"/>
          <w:vertAlign w:val="superscript"/>
        </w:rPr>
      </w:pPr>
      <w:r>
        <w:rPr>
          <w:rFonts w:ascii="Arial" w:cs="Arial" w:eastAsia="Arial" w:hAnsi="Arial"/>
          <w:sz w:val="11"/>
          <w:szCs w:val="11"/>
          <w:color w:val="auto"/>
        </w:rPr>
        <w:t>Euromonitor, Retailing 2020. Retail Value RSP excludes sales tax, current prices and year-over-year exchange rates.</w:t>
      </w:r>
    </w:p>
    <w:p>
      <w:pPr>
        <w:ind w:left="500" w:hanging="326"/>
        <w:spacing w:after="0" w:line="185" w:lineRule="auto"/>
        <w:tabs>
          <w:tab w:leader="none" w:pos="500" w:val="left"/>
        </w:tabs>
        <w:numPr>
          <w:ilvl w:val="0"/>
          <w:numId w:val="96"/>
        </w:numPr>
        <w:rPr>
          <w:rFonts w:ascii="Arial" w:cs="Arial" w:eastAsia="Arial" w:hAnsi="Arial"/>
          <w:sz w:val="18"/>
          <w:szCs w:val="18"/>
          <w:color w:val="auto"/>
          <w:vertAlign w:val="superscript"/>
        </w:rPr>
      </w:pPr>
      <w:r>
        <w:rPr>
          <w:rFonts w:ascii="Arial" w:cs="Arial" w:eastAsia="Arial" w:hAnsi="Arial"/>
          <w:sz w:val="11"/>
          <w:szCs w:val="11"/>
          <w:color w:val="auto"/>
        </w:rPr>
        <w:t>Workforce representation according to McKinsey &amp; Co., The State of Fashion, 2019.</w:t>
      </w:r>
    </w:p>
    <w:p>
      <w:pPr>
        <w:ind w:left="500" w:right="160" w:hanging="326"/>
        <w:spacing w:after="0" w:line="181" w:lineRule="auto"/>
        <w:tabs>
          <w:tab w:leader="none" w:pos="50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U.S. Census Bureau, Women Are Nearly Half of U.S. Workforce But Only 27% of STEM Workers, January 2021. Control of household spending according to Forbes, 20 Facts and Figures to Know When Marketing to Women, May 2019.</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40"/>
          </w:cols>
          <w:pgMar w:left="320" w:top="456" w:right="5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40"/>
        <w:spacing w:after="0" w:line="235" w:lineRule="auto"/>
        <w:rPr>
          <w:sz w:val="20"/>
          <w:szCs w:val="20"/>
          <w:color w:val="auto"/>
        </w:rPr>
      </w:pPr>
      <w:r>
        <w:rPr>
          <w:rFonts w:ascii="Arial" w:cs="Arial" w:eastAsia="Arial" w:hAnsi="Arial"/>
          <w:sz w:val="18"/>
          <w:szCs w:val="18"/>
          <w:color w:val="auto"/>
        </w:rPr>
        <w:t>increasingly female workforce is spending 3x more than their male counterparts on workwear, with 50% of women feeling pressure to be “put together” at work and 41% believing how they dress impacts how they are perceived as leaders according to a Refinery29 study. There are many unspoken (and sometimes spoken) rules around how professional women should dress including appropriate outfits, preferred designers, and suitable professional styles. Half of the women surveyed say they have nothing to wear at least a few times a week, but still spend three hours a week getting dressed.</w:t>
      </w:r>
      <w:r>
        <w:rPr>
          <w:rFonts w:ascii="Arial" w:cs="Arial" w:eastAsia="Arial" w:hAnsi="Arial"/>
          <w:sz w:val="15"/>
          <w:szCs w:val="15"/>
          <w:color w:val="auto"/>
        </w:rPr>
        <w:t>22</w:t>
      </w:r>
    </w:p>
    <w:p>
      <w:pPr>
        <w:spacing w:after="0" w:line="87" w:lineRule="exact"/>
        <w:rPr>
          <w:sz w:val="20"/>
          <w:szCs w:val="20"/>
          <w:color w:val="auto"/>
        </w:rPr>
      </w:pPr>
    </w:p>
    <w:p>
      <w:pPr>
        <w:ind w:left="920" w:right="60" w:hanging="212"/>
        <w:spacing w:after="0" w:line="243" w:lineRule="auto"/>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Importance of Sustainability: </w:t>
      </w:r>
      <w:r>
        <w:rPr>
          <w:rFonts w:ascii="Arial" w:cs="Arial" w:eastAsia="Arial" w:hAnsi="Arial"/>
          <w:sz w:val="18"/>
          <w:szCs w:val="18"/>
          <w:color w:val="auto"/>
        </w:rPr>
        <w:t>Consumers are increasingly aware of the impact their choices are making on the environment,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seeking more sustainable alternatives, and holding brands accountable. According to McKinsey, internet searches for “sustainable fashion” grew 3x between 2016 and 2019 and hits on the Instagram hashtag #sustainablefashion grew 5x between 2016 and 2019 in the U.S. and Europe.</w:t>
      </w:r>
      <w:r>
        <w:rPr>
          <w:rFonts w:ascii="Arial" w:cs="Arial" w:eastAsia="Arial" w:hAnsi="Arial"/>
          <w:sz w:val="15"/>
          <w:szCs w:val="15"/>
          <w:color w:val="auto"/>
        </w:rPr>
        <w:t>23</w:t>
      </w:r>
    </w:p>
    <w:p>
      <w:pPr>
        <w:spacing w:after="0" w:line="83" w:lineRule="exact"/>
        <w:rPr>
          <w:rFonts w:ascii="Arial" w:cs="Arial" w:eastAsia="Arial" w:hAnsi="Arial"/>
          <w:sz w:val="18"/>
          <w:szCs w:val="18"/>
          <w:color w:val="auto"/>
        </w:rPr>
      </w:pPr>
    </w:p>
    <w:p>
      <w:pPr>
        <w:ind w:left="920" w:right="340" w:hanging="212"/>
        <w:spacing w:after="0" w:line="264" w:lineRule="auto"/>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Normalization of Secondhand: </w:t>
      </w:r>
      <w:r>
        <w:rPr>
          <w:rFonts w:ascii="Arial" w:cs="Arial" w:eastAsia="Arial" w:hAnsi="Arial"/>
          <w:sz w:val="18"/>
          <w:szCs w:val="18"/>
          <w:color w:val="auto"/>
        </w:rPr>
        <w:t>Secondhand fashion has become more mainstream, driven by its affordability, uniqueness,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and alignment with environmental consciousness.</w:t>
      </w:r>
    </w:p>
    <w:p>
      <w:pPr>
        <w:spacing w:after="0" w:line="181" w:lineRule="exact"/>
        <w:rPr>
          <w:sz w:val="20"/>
          <w:szCs w:val="20"/>
          <w:color w:val="auto"/>
        </w:rPr>
      </w:pPr>
    </w:p>
    <w:p>
      <w:pPr>
        <w:ind w:left="180" w:right="220" w:firstLine="545"/>
        <w:spacing w:after="0" w:line="239" w:lineRule="auto"/>
        <w:rPr>
          <w:sz w:val="20"/>
          <w:szCs w:val="20"/>
          <w:color w:val="auto"/>
        </w:rPr>
      </w:pPr>
      <w:r>
        <w:rPr>
          <w:rFonts w:ascii="Arial" w:cs="Arial" w:eastAsia="Arial" w:hAnsi="Arial"/>
          <w:sz w:val="18"/>
          <w:szCs w:val="18"/>
          <w:color w:val="auto"/>
        </w:rPr>
        <w:t>All designer brands, whether accessible or prestige, face challenges to grow their businesses and serve their consumers. Those challenges include:</w:t>
      </w:r>
    </w:p>
    <w:p>
      <w:pPr>
        <w:spacing w:after="0" w:line="87" w:lineRule="exact"/>
        <w:rPr>
          <w:sz w:val="20"/>
          <w:szCs w:val="20"/>
          <w:color w:val="auto"/>
        </w:rPr>
      </w:pPr>
    </w:p>
    <w:p>
      <w:pPr>
        <w:ind w:left="920" w:right="60" w:hanging="212"/>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Decline of Traditional Wholesale Channels: </w:t>
      </w:r>
      <w:r>
        <w:rPr>
          <w:rFonts w:ascii="Arial" w:cs="Arial" w:eastAsia="Arial" w:hAnsi="Arial"/>
          <w:sz w:val="18"/>
          <w:szCs w:val="18"/>
          <w:color w:val="auto"/>
        </w:rPr>
        <w:t>Customers are shopping less in wholesale channels such as physical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new customers were traditionally introduced to new brands. Declining foot traffic and discovery in traditional wholesale channels is leading to bankruptcies and store closures. It is estimated that 80,000 retailers, or 9% of the 878,000 stores in the U.S. will close their doors in the next five years. Department stores, one-fifth of which have closed since 2018, have traditionally represented a majority of brands’ revenue, making a decline in traffic a headwind on revenue.</w:t>
      </w:r>
    </w:p>
    <w:p>
      <w:pPr>
        <w:spacing w:after="0" w:line="87" w:lineRule="exact"/>
        <w:rPr>
          <w:rFonts w:ascii="Arial" w:cs="Arial" w:eastAsia="Arial" w:hAnsi="Arial"/>
          <w:sz w:val="18"/>
          <w:szCs w:val="18"/>
          <w:color w:val="auto"/>
        </w:rPr>
      </w:pPr>
    </w:p>
    <w:p>
      <w:pPr>
        <w:ind w:left="920" w:right="360" w:hanging="212"/>
        <w:spacing w:after="0" w:line="248" w:lineRule="auto"/>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Direct-to-Consumer, or DTC, as an Essential Channel for Every Brand: </w:t>
      </w:r>
      <w:r>
        <w:rPr>
          <w:rFonts w:ascii="Arial" w:cs="Arial" w:eastAsia="Arial" w:hAnsi="Arial"/>
          <w:sz w:val="18"/>
          <w:szCs w:val="18"/>
          <w:color w:val="auto"/>
        </w:rPr>
        <w:t>Given the growth in online and the challenges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traditional wholesale channels, brands are increasingly seeking DTC channels but often lack the financial or human capital to build them.</w:t>
      </w:r>
    </w:p>
    <w:p>
      <w:pPr>
        <w:spacing w:after="0" w:line="79" w:lineRule="exact"/>
        <w:rPr>
          <w:rFonts w:ascii="Arial" w:cs="Arial" w:eastAsia="Arial" w:hAnsi="Arial"/>
          <w:sz w:val="18"/>
          <w:szCs w:val="18"/>
          <w:color w:val="auto"/>
        </w:rPr>
      </w:pPr>
    </w:p>
    <w:p>
      <w:pPr>
        <w:ind w:left="920" w:right="120" w:hanging="212"/>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Larger, More Fractured Discovery Landscape: </w:t>
      </w:r>
      <w:r>
        <w:rPr>
          <w:rFonts w:ascii="Arial" w:cs="Arial" w:eastAsia="Arial" w:hAnsi="Arial"/>
          <w:sz w:val="18"/>
          <w:szCs w:val="18"/>
          <w:color w:val="auto"/>
        </w:rPr>
        <w:t>It is increasingly important for brands to innovate their approach to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According to Publicis Sapient, 87% of shoppers today begin product searches online, meaning that younger customers are missing from the traditional in-store brand discovery funnel and instead focused on direct search for brands they already know. Additionally, new brands emerge each year, providing customers with an endless aisle of choices yet leaving brands with a customer discovery challenge.</w:t>
      </w:r>
    </w:p>
    <w:p>
      <w:pPr>
        <w:spacing w:after="0" w:line="87" w:lineRule="exact"/>
        <w:rPr>
          <w:rFonts w:ascii="Arial" w:cs="Arial" w:eastAsia="Arial" w:hAnsi="Arial"/>
          <w:sz w:val="18"/>
          <w:szCs w:val="18"/>
          <w:color w:val="auto"/>
        </w:rPr>
      </w:pPr>
    </w:p>
    <w:p>
      <w:pPr>
        <w:ind w:left="920" w:right="280" w:hanging="212"/>
        <w:spacing w:after="0" w:line="245" w:lineRule="auto"/>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Consumer Base: </w:t>
      </w:r>
      <w:r>
        <w:rPr>
          <w:rFonts w:ascii="Arial" w:cs="Arial" w:eastAsia="Arial" w:hAnsi="Arial"/>
          <w:sz w:val="18"/>
          <w:szCs w:val="18"/>
          <w:color w:val="auto"/>
        </w:rPr>
        <w:t>The combination of a decline in traditional offline channels, the difficulty for brands in moving online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fractured discovery landscape has left brands with</w:t>
      </w:r>
    </w:p>
    <w:p>
      <w:pPr>
        <w:ind w:left="940" w:right="160"/>
        <w:spacing w:after="0" w:line="239" w:lineRule="auto"/>
        <w:rPr>
          <w:rFonts w:ascii="Arial" w:cs="Arial" w:eastAsia="Arial" w:hAnsi="Arial"/>
          <w:sz w:val="18"/>
          <w:szCs w:val="18"/>
          <w:color w:val="auto"/>
        </w:rPr>
      </w:pPr>
      <w:r>
        <w:rPr>
          <w:rFonts w:ascii="Arial" w:cs="Arial" w:eastAsia="Arial" w:hAnsi="Arial"/>
          <w:sz w:val="18"/>
          <w:szCs w:val="18"/>
          <w:color w:val="auto"/>
        </w:rPr>
        <w:t>an aging consumer base from traditional retail outlets. The average age of a luxury department store customer is 51 years old, meaning it is more difficult for brand partners to reach younger customers through traditional channels.</w:t>
      </w:r>
    </w:p>
    <w:p>
      <w:pPr>
        <w:spacing w:after="0" w:line="86" w:lineRule="exact"/>
        <w:rPr>
          <w:rFonts w:ascii="Arial" w:cs="Arial" w:eastAsia="Arial" w:hAnsi="Arial"/>
          <w:sz w:val="18"/>
          <w:szCs w:val="18"/>
          <w:color w:val="auto"/>
        </w:rPr>
      </w:pPr>
    </w:p>
    <w:p>
      <w:pPr>
        <w:ind w:left="920" w:right="100" w:hanging="212"/>
        <w:spacing w:after="0" w:line="239" w:lineRule="auto"/>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Heightened Competition from Mass and Fast Fashion: </w:t>
      </w:r>
      <w:r>
        <w:rPr>
          <w:rFonts w:ascii="Arial" w:cs="Arial" w:eastAsia="Arial" w:hAnsi="Arial"/>
          <w:sz w:val="18"/>
          <w:szCs w:val="18"/>
          <w:color w:val="auto"/>
        </w:rPr>
        <w:t>The desire for newness has led to enormous competition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apparel industry from mass and fast fashion brands who can quickly manufacture and copy styles at lower prices than designer brands. In 2020, mass market and fast fashion comprised 42% of the U.S. apparel market up from 31% ten years ago. It has also forced brands to create bigger collections more frequently. For example, according to McKinsey, among European apparel companies, the average number of clothing collections per year more than doubled between 2000 and 2011, increasing brand costs and impacting their profitability.</w:t>
      </w: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44" w:lineRule="exact"/>
        <w:rPr>
          <w:sz w:val="20"/>
          <w:szCs w:val="20"/>
          <w:color w:val="auto"/>
        </w:rPr>
      </w:pPr>
    </w:p>
    <w:p>
      <w:pPr>
        <w:ind w:left="700" w:hanging="526"/>
        <w:spacing w:after="0"/>
        <w:tabs>
          <w:tab w:leader="none" w:pos="70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Refinery29 Survey.</w:t>
      </w:r>
    </w:p>
    <w:p>
      <w:pPr>
        <w:ind w:left="700" w:hanging="526"/>
        <w:spacing w:after="0" w:line="187" w:lineRule="auto"/>
        <w:tabs>
          <w:tab w:leader="none" w:pos="700" w:val="left"/>
        </w:tabs>
        <w:numPr>
          <w:ilvl w:val="0"/>
          <w:numId w:val="99"/>
        </w:numPr>
        <w:rPr>
          <w:rFonts w:ascii="Arial" w:cs="Arial" w:eastAsia="Arial" w:hAnsi="Arial"/>
          <w:sz w:val="19"/>
          <w:szCs w:val="19"/>
          <w:color w:val="auto"/>
          <w:vertAlign w:val="superscript"/>
        </w:rPr>
      </w:pPr>
      <w:r>
        <w:rPr>
          <w:rFonts w:ascii="Arial" w:cs="Arial" w:eastAsia="Arial" w:hAnsi="Arial"/>
          <w:sz w:val="12"/>
          <w:szCs w:val="12"/>
          <w:color w:val="auto"/>
        </w:rPr>
        <w:t>McKinsey &amp; Co., Style That’s Sustainable: A New Fast-Fashion Formula, October 2016.</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320" w:top="456" w:right="5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0" w:hanging="212"/>
        <w:spacing w:after="0" w:line="248" w:lineRule="auto"/>
        <w:tabs>
          <w:tab w:leader="none" w:pos="92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Importance of Data: </w:t>
      </w:r>
      <w:r>
        <w:rPr>
          <w:rFonts w:ascii="Arial" w:cs="Arial" w:eastAsia="Arial" w:hAnsi="Arial"/>
          <w:sz w:val="18"/>
          <w:szCs w:val="18"/>
          <w:color w:val="auto"/>
        </w:rPr>
        <w:t>Data is critical to helping brands assess their product and efficiently acquire customers. Brands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 information about trends, products quality and fit and need data to help them fuel customer acquisition and loyalty. Through traditional wholesale channels, brands receive very minimal data, and the data they do receive is often a season old.</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 The Closet in the Cloud</w:t>
      </w:r>
    </w:p>
    <w:p>
      <w:pPr>
        <w:spacing w:after="0" w:line="229" w:lineRule="exact"/>
        <w:rPr>
          <w:sz w:val="20"/>
          <w:szCs w:val="20"/>
          <w:color w:val="auto"/>
        </w:rPr>
      </w:pPr>
    </w:p>
    <w:p>
      <w:pPr>
        <w:ind w:left="180" w:right="80" w:firstLine="545"/>
        <w:spacing w:after="0" w:line="246" w:lineRule="auto"/>
        <w:rPr>
          <w:sz w:val="20"/>
          <w:szCs w:val="20"/>
          <w:color w:val="auto"/>
        </w:rPr>
      </w:pPr>
      <w:r>
        <w:rPr>
          <w:rFonts w:ascii="Arial" w:cs="Arial" w:eastAsia="Arial" w:hAnsi="Arial"/>
          <w:sz w:val="17"/>
          <w:szCs w:val="17"/>
          <w:color w:val="auto"/>
        </w:rPr>
        <w:t>We built the world’s first and largest designer rental closet that we call the Closet in the Cloud. We give customers the ability to subscribe, rent a-la-carte through our Reserve offering, or buy from over 18,000 styles by over 750 designer brands. We started with a-la-carte rentals of evening wear and accessories for special occasions, and have grown our assortment to include products for subscription across multiple use cases including ready-to-wear, workwear, denim, casual, outerwear, blouses, knitwear, loungewear, jewelry, handbags, activewear, maternity, ski wear, home goods and kidswear amongst other categories. We have served over 2.5 million</w:t>
      </w:r>
    </w:p>
    <w:p>
      <w:pPr>
        <w:ind w:left="180" w:right="400"/>
        <w:spacing w:after="0" w:line="239" w:lineRule="auto"/>
        <w:rPr>
          <w:sz w:val="20"/>
          <w:szCs w:val="20"/>
          <w:color w:val="auto"/>
        </w:rPr>
      </w:pPr>
      <w:r>
        <w:rPr>
          <w:rFonts w:ascii="Arial" w:cs="Arial" w:eastAsia="Arial" w:hAnsi="Arial"/>
          <w:sz w:val="18"/>
          <w:szCs w:val="18"/>
          <w:color w:val="auto"/>
        </w:rPr>
        <w:t>lifetime customers across all of our offerings and in the first six months of fiscal year 2021 % of our total revenue came from subscribers.</w:t>
      </w:r>
    </w:p>
    <w:p>
      <w:pPr>
        <w:spacing w:after="0" w:line="202"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We have created a two-sided discovery engine: customers are finding new brands they love and brands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 Our Closet in the Cloud connects our deeply engaged customers and our differentiated brand partners on a powerful platform built around our brand, data, logistics and technology advantages.</w:t>
      </w:r>
    </w:p>
    <w:p>
      <w:pPr>
        <w:spacing w:after="0" w:line="87" w:lineRule="exact"/>
        <w:rPr>
          <w:sz w:val="20"/>
          <w:szCs w:val="20"/>
          <w:color w:val="auto"/>
        </w:rPr>
      </w:pPr>
    </w:p>
    <w:p>
      <w:pPr>
        <w:ind w:left="920" w:hanging="212"/>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Our Customers</w:t>
      </w:r>
      <w:r>
        <w:rPr>
          <w:rFonts w:ascii="Arial" w:cs="Arial" w:eastAsia="Arial" w:hAnsi="Arial"/>
          <w:sz w:val="18"/>
          <w:szCs w:val="18"/>
          <w:color w:val="auto"/>
        </w:rPr>
        <w:t>: In fiscal year 2019, approximately 700,000 unique customers discovered and engaged with brands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We deliver significant financial value to customers, with our average subscriber wearing clothes worth more than 20 times what she pays for a monthly RTR subscription on an annualized basis (approximately $47,000 in designer retail value in fiscal year 2019 and more than $37,000 annualized for the first five months of fiscal year 2021).</w:t>
      </w:r>
      <w:r>
        <w:rPr>
          <w:rFonts w:ascii="Arial" w:cs="Arial" w:eastAsia="Arial" w:hAnsi="Arial"/>
          <w:sz w:val="15"/>
          <w:szCs w:val="15"/>
          <w:color w:val="auto"/>
        </w:rPr>
        <w:t>24</w:t>
      </w:r>
      <w:r>
        <w:rPr>
          <w:rFonts w:ascii="Arial" w:cs="Arial" w:eastAsia="Arial" w:hAnsi="Arial"/>
          <w:sz w:val="18"/>
          <w:szCs w:val="18"/>
          <w:color w:val="auto"/>
        </w:rPr>
        <w:t xml:space="preserve"> We have become an everyday utility, with our most engaged subscribers wearing Rent the Runway more than 100 days per year.</w:t>
      </w:r>
    </w:p>
    <w:p>
      <w:pPr>
        <w:spacing w:after="0" w:line="96" w:lineRule="exact"/>
        <w:rPr>
          <w:sz w:val="20"/>
          <w:szCs w:val="20"/>
          <w:color w:val="auto"/>
        </w:rPr>
      </w:pPr>
    </w:p>
    <w:p>
      <w:pPr>
        <w:ind w:left="1040" w:right="40"/>
        <w:spacing w:after="0" w:line="235" w:lineRule="auto"/>
        <w:rPr>
          <w:sz w:val="20"/>
          <w:szCs w:val="20"/>
          <w:color w:val="auto"/>
        </w:rPr>
      </w:pPr>
      <w:r>
        <w:rPr>
          <w:rFonts w:ascii="Arial" w:cs="Arial" w:eastAsia="Arial" w:hAnsi="Arial"/>
          <w:sz w:val="18"/>
          <w:szCs w:val="18"/>
          <w:color w:val="auto"/>
        </w:rPr>
        <w:t>Our Closet in the Cloud provides customers boundless opportunities for self-expression and fun. Our focus has been on democratizing fashion and bringing in new customers who are driven by the ability to find new brands and take fashion risks without the commitment of purchasing. We have become a brand discovery engine for our customers with 98% of our subscribers trying new brands on Rent the Runway they have never owned before and subscribers interacting with an average of 54 brands in their first year with us.</w:t>
      </w:r>
    </w:p>
    <w:p>
      <w:pPr>
        <w:spacing w:after="0" w:line="87" w:lineRule="exact"/>
        <w:rPr>
          <w:sz w:val="20"/>
          <w:szCs w:val="20"/>
          <w:color w:val="auto"/>
        </w:rPr>
      </w:pPr>
    </w:p>
    <w:p>
      <w:pPr>
        <w:ind w:left="920" w:hanging="212"/>
        <w:spacing w:after="0" w:line="238" w:lineRule="auto"/>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Our Brand Partners: </w:t>
      </w:r>
      <w:r>
        <w:rPr>
          <w:rFonts w:ascii="Arial" w:cs="Arial" w:eastAsia="Arial" w:hAnsi="Arial"/>
          <w:sz w:val="18"/>
          <w:szCs w:val="18"/>
          <w:color w:val="auto"/>
        </w:rPr>
        <w:t>We source our products directly from over 750 brand partners. Our partners include many of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renowned and relevant names in the fashion industry, from iconic designers such as Tory Burch, Diane Von Furstenberg and Ralph Lauren, contemporary designers such as ALC, Ganni and Veronica Beard, rising stars such as Rosie ıAssouline and Paco Rabanne, and fashion darlings such as Proenza Schouler, Maison Margiela, Altuzarra and JW Anderson. Our platform continues to be a valued launching pad for new and emerging brands and a business builder for existing brands. Over the past six years, we were launch partners with 80% of the LVMH prize winners, a leading award for young designers, in line with luxury destinations including Bergdorf Goodman and Matches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60" w:lineRule="exact"/>
        <w:rPr>
          <w:sz w:val="20"/>
          <w:szCs w:val="20"/>
          <w:color w:val="auto"/>
        </w:rPr>
      </w:pPr>
    </w:p>
    <w:p>
      <w:pPr>
        <w:ind w:left="700" w:right="60" w:hanging="526"/>
        <w:spacing w:after="0" w:line="197" w:lineRule="auto"/>
        <w:tabs>
          <w:tab w:leader="none" w:pos="70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40"/>
          </w:cols>
          <w:pgMar w:left="320" w:top="456"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Approximately 91% of our brand partners say they work with us because we introduce them to new, desirable customers and deepen awareness of their brands. This new customer base coupled with our curated selection and sustainable business model attracts brand partners such as Cecilie Bahnsen, Khaite, Sandy Liang, Thebe Magugu and Pyer Moss who have achieved cult status in the fashion industry and are extremely selective about their distribution. We have fostered strong relationships with our brand partners and we have retained nearly 100% of our brand partners.</w:t>
      </w:r>
    </w:p>
    <w:p>
      <w:pPr>
        <w:spacing w:after="0" w:line="202" w:lineRule="exact"/>
        <w:rPr>
          <w:sz w:val="20"/>
          <w:szCs w:val="20"/>
          <w:color w:val="auto"/>
        </w:rPr>
      </w:pPr>
    </w:p>
    <w:p>
      <w:pPr>
        <w:ind w:left="180" w:right="80" w:firstLine="545"/>
        <w:spacing w:after="0" w:line="233" w:lineRule="auto"/>
        <w:rPr>
          <w:sz w:val="20"/>
          <w:szCs w:val="20"/>
          <w:color w:val="auto"/>
        </w:rPr>
      </w:pPr>
      <w:r>
        <w:rPr>
          <w:rFonts w:ascii="Arial" w:cs="Arial" w:eastAsia="Arial" w:hAnsi="Arial"/>
          <w:sz w:val="18"/>
          <w:szCs w:val="18"/>
          <w:color w:val="auto"/>
        </w:rPr>
        <w:t>Our two-sided discovery engine sits at the center of Rent the Runway and creates our flywheel. As customers experience the magic of wearing whatever they want from an “Unlimited Closet” at a great price, they discover new brands. Brands gain new customers through our platform and significant data insights. The unparalleled value we provide to our brand partners leads them to engage with us more deeply, broaden their assortment on Rent the Runway and work with us in designing exclusive products. As we increase categories and styles available on our platform, we see higher engagement from current customers as they use us more days per year and across more diverse use cases. We saw that our average subscriber went from using Rent the Runway to get dressed 51 days in 2017 to 83 days in 2019.</w:t>
      </w:r>
      <w:r>
        <w:rPr>
          <w:rFonts w:ascii="Arial" w:cs="Arial" w:eastAsia="Arial" w:hAnsi="Arial"/>
          <w:sz w:val="15"/>
          <w:szCs w:val="15"/>
          <w:color w:val="auto"/>
        </w:rPr>
        <w:t>25</w:t>
      </w:r>
      <w:r>
        <w:rPr>
          <w:rFonts w:ascii="Arial" w:cs="Arial" w:eastAsia="Arial" w:hAnsi="Arial"/>
          <w:sz w:val="18"/>
          <w:szCs w:val="18"/>
          <w:color w:val="auto"/>
        </w:rPr>
        <w:t xml:space="preserve"> Compared to 2016, our subscribers in fiscal year 2019 rented from 58% more brands and from 39% more aesthetics in their first 30 days as a subscriber. Our deep customer engagement further fuels our data advantage and our value proposition to new and existing brand partners.</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platform and business model are driven by three core advantages:</w:t>
      </w:r>
    </w:p>
    <w:p>
      <w:pPr>
        <w:spacing w:after="0" w:line="92" w:lineRule="exact"/>
        <w:rPr>
          <w:sz w:val="20"/>
          <w:szCs w:val="20"/>
          <w:color w:val="auto"/>
        </w:rPr>
      </w:pPr>
    </w:p>
    <w:p>
      <w:pPr>
        <w:ind w:left="920" w:hanging="212"/>
        <w:spacing w:after="0" w:line="235" w:lineRule="auto"/>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Brand Partner Advantage: </w:t>
      </w:r>
      <w:r>
        <w:rPr>
          <w:rFonts w:ascii="Arial" w:cs="Arial" w:eastAsia="Arial" w:hAnsi="Arial"/>
          <w:sz w:val="18"/>
          <w:szCs w:val="18"/>
          <w:color w:val="auto"/>
        </w:rPr>
        <w:t>Unlike most other players in the secondhand economy, we procure our assortment directly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as opposed to customers’ closets. We control what items we have on our platform. Our assortment contains thousands of new, current season styles that our luxury competitors simultaneously carry - all available for subscription, a-la-carte rental, and sale at much lower prices. We believe our engaged and loyal customer base paired with the data and business insights that we provide to our brand partners, typically quarterly, makes us an essential destination for many of the world’s most important brands. 91% of our brand partners state that “RTR enables my brand to reach a new and/or different customer compared to other wholesale accounts that are essential to my business success.” As we have grown, our commercial relationships with our brand partners have evolved to balance our margins and the capital needs of our business. We work with brands through a combination of Wholesale,</w:t>
      </w:r>
    </w:p>
    <w:p>
      <w:pPr>
        <w:spacing w:after="0" w:line="1" w:lineRule="exact"/>
        <w:rPr>
          <w:rFonts w:ascii="Arial" w:cs="Arial" w:eastAsia="Arial" w:hAnsi="Arial"/>
          <w:sz w:val="18"/>
          <w:szCs w:val="18"/>
          <w:color w:val="auto"/>
        </w:rPr>
      </w:pPr>
    </w:p>
    <w:p>
      <w:pPr>
        <w:ind w:left="940" w:right="440"/>
        <w:spacing w:after="0" w:line="239" w:lineRule="auto"/>
        <w:rPr>
          <w:rFonts w:ascii="Arial" w:cs="Arial" w:eastAsia="Arial" w:hAnsi="Arial"/>
          <w:sz w:val="18"/>
          <w:szCs w:val="18"/>
          <w:color w:val="auto"/>
        </w:rPr>
      </w:pPr>
      <w:r>
        <w:rPr>
          <w:rFonts w:ascii="Arial" w:cs="Arial" w:eastAsia="Arial" w:hAnsi="Arial"/>
          <w:sz w:val="18"/>
          <w:szCs w:val="18"/>
          <w:color w:val="auto"/>
        </w:rPr>
        <w:t>revenue share arrangements through our “Share by RTR” capability and co-manufacturing of “Exclusive Designs” driven by RTR’s data platform. 91% of our brand partners say that they see RTR as part of the future of fashion.</w:t>
      </w:r>
    </w:p>
    <w:p>
      <w:pPr>
        <w:spacing w:after="0" w:line="86" w:lineRule="exact"/>
        <w:rPr>
          <w:rFonts w:ascii="Arial" w:cs="Arial" w:eastAsia="Arial" w:hAnsi="Arial"/>
          <w:sz w:val="18"/>
          <w:szCs w:val="18"/>
          <w:color w:val="auto"/>
        </w:rPr>
      </w:pPr>
    </w:p>
    <w:p>
      <w:pPr>
        <w:ind w:left="920" w:right="100" w:hanging="212"/>
        <w:spacing w:after="0" w:line="258" w:lineRule="auto"/>
        <w:tabs>
          <w:tab w:leader="none" w:pos="92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Data Advantage: </w:t>
      </w:r>
      <w:r>
        <w:rPr>
          <w:rFonts w:ascii="Arial" w:cs="Arial" w:eastAsia="Arial" w:hAnsi="Arial"/>
          <w:sz w:val="17"/>
          <w:szCs w:val="17"/>
          <w:color w:val="auto"/>
        </w:rPr>
        <w:t>Our ability to best serve customers and brand partners stems from our deep understanding of both sides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platform. Our data is one-of-a-kind and propels our customer value proposition, our relationship with our brands and our financial model. Our data enables us to increase customer lifetime value and return on investment of our products. We collect a variety of data, and, given the frequency of use of our subscribers, we are able to capture more than 6,200 unique data points per active subscriber per year and up to 27 unique rental product data points per item each time it is rented.</w:t>
      </w:r>
    </w:p>
    <w:p>
      <w:pPr>
        <w:spacing w:after="0" w:line="71" w:lineRule="exact"/>
        <w:rPr>
          <w:rFonts w:ascii="Arial" w:cs="Arial" w:eastAsia="Arial" w:hAnsi="Arial"/>
          <w:sz w:val="17"/>
          <w:szCs w:val="17"/>
          <w:color w:val="auto"/>
        </w:rPr>
      </w:pPr>
    </w:p>
    <w:p>
      <w:pPr>
        <w:ind w:left="920" w:right="120" w:hanging="212"/>
        <w:spacing w:after="0" w:line="239" w:lineRule="auto"/>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Technology and Logistics Advantage: </w:t>
      </w:r>
      <w:r>
        <w:rPr>
          <w:rFonts w:ascii="Arial" w:cs="Arial" w:eastAsia="Arial" w:hAnsi="Arial"/>
          <w:sz w:val="18"/>
          <w:szCs w:val="18"/>
          <w:color w:val="auto"/>
        </w:rPr>
        <w:t>Over the last 12 years, we have developed a proprietary operating system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sharing economy of physical goods. Our operating system is extensible, allowing us to be the backbone for a business model that gives the customer full flexibility to subscribe, rent a-la-carte or buy. Our operating system consists of distributed reverse logistics infrastructure, proprietary and third-party software, and data products and algorithms. Given that much of our operating system had to be developed from scratch, we have acquired significant data and process know-how over the years that help us scale efficiently. We are experts in vertically-integrated just-in-time reverse logistics and garment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55" w:lineRule="exact"/>
        <w:rPr>
          <w:sz w:val="20"/>
          <w:szCs w:val="20"/>
          <w:color w:val="auto"/>
        </w:rPr>
      </w:pPr>
    </w:p>
    <w:p>
      <w:pPr>
        <w:ind w:left="700" w:hanging="526"/>
        <w:spacing w:after="0"/>
        <w:tabs>
          <w:tab w:leader="none" w:pos="70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Average subscriber wears calculated based on subscriber engagement in calendar year 2019 on an annualized basis.</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6"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40" w:right="300"/>
        <w:spacing w:after="0" w:line="237" w:lineRule="auto"/>
        <w:rPr>
          <w:sz w:val="20"/>
          <w:szCs w:val="20"/>
          <w:color w:val="auto"/>
        </w:rPr>
      </w:pPr>
      <w:r>
        <w:rPr>
          <w:rFonts w:ascii="Arial" w:cs="Arial" w:eastAsia="Arial" w:hAnsi="Arial"/>
          <w:sz w:val="18"/>
          <w:szCs w:val="18"/>
          <w:color w:val="auto"/>
        </w:rPr>
        <w:t>science allowing us to achieve multi-year monetization on our garments and maximize utilization of our products. Our vertical integration has allowed us to better control our customer and brand partner experience while creating efficiencies of scale throughout the business. We have processed over 40 million units over the past decade and $15.8 billion in GMV.</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How It Works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offer customers three ways to access our closet: subscription, a-la-carte rentals and resale.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Browse</w:t>
      </w:r>
    </w:p>
    <w:p>
      <w:pPr>
        <w:spacing w:after="0" w:line="122" w:lineRule="exact"/>
        <w:rPr>
          <w:sz w:val="20"/>
          <w:szCs w:val="20"/>
          <w:color w:val="auto"/>
        </w:rPr>
      </w:pPr>
    </w:p>
    <w:p>
      <w:pPr>
        <w:jc w:val="both"/>
        <w:ind w:left="180" w:firstLine="545"/>
        <w:spacing w:after="0" w:line="237" w:lineRule="auto"/>
        <w:rPr>
          <w:sz w:val="20"/>
          <w:szCs w:val="20"/>
          <w:color w:val="auto"/>
        </w:rPr>
      </w:pPr>
      <w:r>
        <w:rPr>
          <w:rFonts w:ascii="Arial" w:cs="Arial" w:eastAsia="Arial" w:hAnsi="Arial"/>
          <w:sz w:val="18"/>
          <w:szCs w:val="18"/>
          <w:color w:val="auto"/>
        </w:rPr>
        <w:t>Customers access thousands of styles from more than 750 brands as they use our filters, site navigation and search functionality to find pieces that suit their needs. Before selecting a style to order, customers can use the 1.7 million free-form customer reviews, including nearly 700,000 photo reviews, posted by our community, to understand the size and fit of different items.</w:t>
      </w:r>
    </w:p>
    <w:p>
      <w:pPr>
        <w:spacing w:after="0" w:line="202" w:lineRule="exact"/>
        <w:rPr>
          <w:sz w:val="20"/>
          <w:szCs w:val="20"/>
          <w:color w:val="auto"/>
        </w:rPr>
      </w:pPr>
    </w:p>
    <w:p>
      <w:pPr>
        <w:jc w:val="both"/>
        <w:ind w:left="180" w:right="100" w:firstLine="545"/>
        <w:spacing w:after="0" w:line="239" w:lineRule="auto"/>
        <w:rPr>
          <w:sz w:val="20"/>
          <w:szCs w:val="20"/>
          <w:color w:val="auto"/>
        </w:rPr>
      </w:pPr>
      <w:r>
        <w:rPr>
          <w:rFonts w:ascii="Arial" w:cs="Arial" w:eastAsia="Arial" w:hAnsi="Arial"/>
          <w:sz w:val="18"/>
          <w:szCs w:val="18"/>
          <w:color w:val="auto"/>
        </w:rPr>
        <w:t>Once customers find a style they love, they choose to access it through our monthly subscription offering or an a-la-carte rental, or purchase the item.</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Subscription</w:t>
      </w:r>
    </w:p>
    <w:p>
      <w:pPr>
        <w:spacing w:after="0" w:line="104" w:lineRule="exact"/>
        <w:rPr>
          <w:sz w:val="20"/>
          <w:szCs w:val="20"/>
          <w:color w:val="auto"/>
        </w:rPr>
      </w:pPr>
    </w:p>
    <w:p>
      <w:pPr>
        <w:jc w:val="both"/>
        <w:ind w:left="180" w:right="100" w:firstLine="545"/>
        <w:spacing w:after="0" w:line="241" w:lineRule="auto"/>
        <w:rPr>
          <w:sz w:val="20"/>
          <w:szCs w:val="20"/>
          <w:color w:val="auto"/>
        </w:rPr>
      </w:pPr>
      <w:r>
        <w:rPr>
          <w:rFonts w:ascii="Arial" w:cs="Arial" w:eastAsia="Arial" w:hAnsi="Arial"/>
          <w:sz w:val="18"/>
          <w:szCs w:val="18"/>
          <w:i w:val="1"/>
          <w:iCs w:val="1"/>
          <w:color w:val="auto"/>
        </w:rPr>
        <w:t xml:space="preserve">Pick a Plan. </w:t>
      </w:r>
      <w:r>
        <w:rPr>
          <w:rFonts w:ascii="Arial" w:cs="Arial" w:eastAsia="Arial" w:hAnsi="Arial"/>
          <w:sz w:val="18"/>
          <w:szCs w:val="18"/>
          <w:color w:val="auto"/>
        </w:rPr>
        <w:t>While our subscription plans are customizable, when customers subscribe to the Closet in the Cloud, they select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a menu of entry plans. Each plan starts with four items, or “spots,” per shipment, and varies based on how often the subscriber wishes to receive new shipments, each a “swap.” Today, the majority of our subscribers onboard into plans that offer one, two or four shipments per month for $89, $135 or $199 per month, respectively.</w:t>
      </w:r>
    </w:p>
    <w:p>
      <w:pPr>
        <w:spacing w:after="0" w:line="184" w:lineRule="exact"/>
        <w:rPr>
          <w:sz w:val="20"/>
          <w:szCs w:val="20"/>
          <w:color w:val="auto"/>
        </w:rPr>
      </w:pPr>
    </w:p>
    <w:p>
      <w:pPr>
        <w:ind w:left="180" w:right="180" w:firstLine="545"/>
        <w:spacing w:after="0" w:line="260" w:lineRule="auto"/>
        <w:rPr>
          <w:sz w:val="20"/>
          <w:szCs w:val="20"/>
          <w:color w:val="auto"/>
        </w:rPr>
      </w:pPr>
      <w:r>
        <w:rPr>
          <w:rFonts w:ascii="Arial" w:cs="Arial" w:eastAsia="Arial" w:hAnsi="Arial"/>
          <w:sz w:val="18"/>
          <w:szCs w:val="18"/>
          <w:i w:val="1"/>
          <w:iCs w:val="1"/>
          <w:color w:val="auto"/>
        </w:rPr>
        <w:t xml:space="preserve">Customize. </w:t>
      </w:r>
      <w:r>
        <w:rPr>
          <w:rFonts w:ascii="Arial" w:cs="Arial" w:eastAsia="Arial" w:hAnsi="Arial"/>
          <w:sz w:val="18"/>
          <w:szCs w:val="18"/>
          <w:color w:val="auto"/>
        </w:rPr>
        <w:t>Subscribers can customize their plans to adapt to their changing lifestyles, needs and budgets by adding or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spots for $25 or $29 per item per month and shipments for $25 - $39 per shipment per month, as they see fit.</w:t>
      </w:r>
    </w:p>
    <w:p>
      <w:pPr>
        <w:spacing w:after="0" w:line="166" w:lineRule="exact"/>
        <w:rPr>
          <w:sz w:val="20"/>
          <w:szCs w:val="20"/>
          <w:color w:val="auto"/>
        </w:rPr>
      </w:pPr>
    </w:p>
    <w:p>
      <w:pPr>
        <w:ind w:left="180" w:right="100" w:firstLine="545"/>
        <w:spacing w:after="0" w:line="260" w:lineRule="auto"/>
        <w:rPr>
          <w:sz w:val="20"/>
          <w:szCs w:val="20"/>
          <w:color w:val="auto"/>
        </w:rPr>
      </w:pPr>
      <w:r>
        <w:rPr>
          <w:rFonts w:ascii="Arial" w:cs="Arial" w:eastAsia="Arial" w:hAnsi="Arial"/>
          <w:sz w:val="18"/>
          <w:szCs w:val="18"/>
          <w:i w:val="1"/>
          <w:iCs w:val="1"/>
          <w:color w:val="auto"/>
        </w:rPr>
        <w:t xml:space="preserve">Choose Items. </w:t>
      </w:r>
      <w:r>
        <w:rPr>
          <w:rFonts w:ascii="Arial" w:cs="Arial" w:eastAsia="Arial" w:hAnsi="Arial"/>
          <w:sz w:val="18"/>
          <w:szCs w:val="18"/>
          <w:color w:val="auto"/>
        </w:rPr>
        <w:t>After picking a plan, subscribers browse our broad assortment of items to build their first shipment. Our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visit our app five times per week.</w:t>
      </w:r>
    </w:p>
    <w:p>
      <w:pPr>
        <w:spacing w:after="0" w:line="184" w:lineRule="exact"/>
        <w:rPr>
          <w:sz w:val="20"/>
          <w:szCs w:val="20"/>
          <w:color w:val="auto"/>
        </w:rPr>
      </w:pPr>
    </w:p>
    <w:p>
      <w:pPr>
        <w:ind w:left="180" w:right="180" w:firstLine="545"/>
        <w:spacing w:after="0" w:line="235" w:lineRule="auto"/>
        <w:rPr>
          <w:sz w:val="20"/>
          <w:szCs w:val="20"/>
          <w:color w:val="auto"/>
        </w:rPr>
      </w:pPr>
      <w:r>
        <w:rPr>
          <w:rFonts w:ascii="Arial" w:cs="Arial" w:eastAsia="Arial" w:hAnsi="Arial"/>
          <w:sz w:val="18"/>
          <w:szCs w:val="18"/>
          <w:color w:val="auto"/>
        </w:rPr>
        <w:t>We use personalization algorithms that leverage style, size and fit preferences to deliver a personalized storefront for each subscriber and provide personalized size recommendations to each customer at the item level. Subscribers “heart” items they love and create “shortlists” to organize and save styles as they browse our selection, making styles easily accessible when they are ready to rent. When subscribers “heart” styles as they browse, the interactions are recorded by our personalization algorithm, which helps us further refine and improve each subscriber’s personalized recommendations.</w:t>
      </w:r>
    </w:p>
    <w:p>
      <w:pPr>
        <w:spacing w:after="0" w:line="184" w:lineRule="exact"/>
        <w:rPr>
          <w:sz w:val="20"/>
          <w:szCs w:val="20"/>
          <w:color w:val="auto"/>
        </w:rPr>
      </w:pPr>
    </w:p>
    <w:p>
      <w:pPr>
        <w:ind w:left="180" w:right="580" w:firstLine="545"/>
        <w:spacing w:after="0" w:line="260" w:lineRule="auto"/>
        <w:rPr>
          <w:sz w:val="20"/>
          <w:szCs w:val="20"/>
          <w:color w:val="auto"/>
        </w:rPr>
      </w:pPr>
      <w:r>
        <w:rPr>
          <w:rFonts w:ascii="Arial" w:cs="Arial" w:eastAsia="Arial" w:hAnsi="Arial"/>
          <w:sz w:val="18"/>
          <w:szCs w:val="18"/>
          <w:i w:val="1"/>
          <w:iCs w:val="1"/>
          <w:color w:val="auto"/>
        </w:rPr>
        <w:t xml:space="preserve">Wear, Repeat. </w:t>
      </w:r>
      <w:r>
        <w:rPr>
          <w:rFonts w:ascii="Arial" w:cs="Arial" w:eastAsia="Arial" w:hAnsi="Arial"/>
          <w:sz w:val="18"/>
          <w:szCs w:val="18"/>
          <w:color w:val="auto"/>
        </w:rPr>
        <w:t>When subscribers place an order, we aim to deliver their order within two days of shipping from our fulfillment</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in our patented, reusable garment bags, cleaned and ready to wear.</w:t>
      </w:r>
    </w:p>
    <w:p>
      <w:pPr>
        <w:spacing w:after="0" w:line="184" w:lineRule="exact"/>
        <w:rPr>
          <w:sz w:val="20"/>
          <w:szCs w:val="20"/>
          <w:color w:val="auto"/>
        </w:rPr>
      </w:pPr>
    </w:p>
    <w:p>
      <w:pPr>
        <w:ind w:left="180" w:right="480" w:firstLine="545"/>
        <w:spacing w:after="0" w:line="237" w:lineRule="auto"/>
        <w:rPr>
          <w:sz w:val="20"/>
          <w:szCs w:val="20"/>
          <w:color w:val="auto"/>
        </w:rPr>
      </w:pPr>
      <w:r>
        <w:rPr>
          <w:rFonts w:ascii="Arial" w:cs="Arial" w:eastAsia="Arial" w:hAnsi="Arial"/>
          <w:sz w:val="18"/>
          <w:szCs w:val="18"/>
          <w:color w:val="auto"/>
        </w:rPr>
        <w:t>Subscribers wear items for as long as they would like and choose to return some or all of their items with each new shipment. When subscribers select the items they want to return on our app, we allow them to immediately start building their next shipment, maximizing their time with items at home.</w:t>
      </w:r>
    </w:p>
    <w:p>
      <w:pPr>
        <w:spacing w:after="0" w:line="202" w:lineRule="exact"/>
        <w:rPr>
          <w:sz w:val="20"/>
          <w:szCs w:val="20"/>
          <w:color w:val="auto"/>
        </w:rPr>
      </w:pPr>
    </w:p>
    <w:p>
      <w:pPr>
        <w:ind w:left="180" w:right="780" w:firstLine="545"/>
        <w:spacing w:after="0" w:line="239" w:lineRule="auto"/>
        <w:rPr>
          <w:sz w:val="20"/>
          <w:szCs w:val="20"/>
          <w:color w:val="auto"/>
        </w:rPr>
      </w:pPr>
      <w:r>
        <w:rPr>
          <w:rFonts w:ascii="Arial" w:cs="Arial" w:eastAsia="Arial" w:hAnsi="Arial"/>
          <w:sz w:val="18"/>
          <w:szCs w:val="18"/>
          <w:color w:val="auto"/>
        </w:rPr>
        <w:t>Subscribers give us real-time feedback on the size, fit and quality of the items they are returning every time they rent. The structured data we collect through our “happiness survey” allows us to both</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60"/>
          </w:cols>
          <w:pgMar w:left="320" w:top="456"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380"/>
        <w:spacing w:after="0" w:line="239" w:lineRule="auto"/>
        <w:rPr>
          <w:sz w:val="20"/>
          <w:szCs w:val="20"/>
          <w:color w:val="auto"/>
        </w:rPr>
      </w:pPr>
      <w:r>
        <w:rPr>
          <w:rFonts w:ascii="Arial" w:cs="Arial" w:eastAsia="Arial" w:hAnsi="Arial"/>
          <w:sz w:val="18"/>
          <w:szCs w:val="18"/>
          <w:color w:val="auto"/>
        </w:rPr>
        <w:t>improve her experience as well as optimize our care and therefore return on investment of the items returned. As of June 2021, we’ve collected over 20 million happiness surveys since this feedback collection feature launched in June 2017.</w:t>
      </w:r>
    </w:p>
    <w:p>
      <w:pPr>
        <w:spacing w:after="0" w:line="202" w:lineRule="exact"/>
        <w:rPr>
          <w:sz w:val="20"/>
          <w:szCs w:val="20"/>
          <w:color w:val="auto"/>
        </w:rPr>
      </w:pPr>
    </w:p>
    <w:p>
      <w:pPr>
        <w:ind w:left="180" w:right="80" w:firstLine="545"/>
        <w:spacing w:after="0" w:line="237" w:lineRule="auto"/>
        <w:rPr>
          <w:sz w:val="20"/>
          <w:szCs w:val="20"/>
          <w:color w:val="auto"/>
        </w:rPr>
      </w:pPr>
      <w:r>
        <w:rPr>
          <w:rFonts w:ascii="Arial" w:cs="Arial" w:eastAsia="Arial" w:hAnsi="Arial"/>
          <w:sz w:val="18"/>
          <w:szCs w:val="18"/>
          <w:color w:val="auto"/>
        </w:rPr>
        <w:t>Once subscribers confirm their new shipment, they return their items to the nearest preferred shipping partner location or any Rent the Runway drop-off point in RTR’s reusable garment bag. To maximize convenience, all shipments arrive with a prepaid return label, allowing subscribers to easily send their rentals back.</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Reserve</w:t>
      </w:r>
    </w:p>
    <w:p>
      <w:pPr>
        <w:spacing w:after="0" w:line="122" w:lineRule="exact"/>
        <w:rPr>
          <w:sz w:val="20"/>
          <w:szCs w:val="20"/>
          <w:color w:val="auto"/>
        </w:rPr>
      </w:pPr>
    </w:p>
    <w:p>
      <w:pPr>
        <w:ind w:left="180" w:right="80" w:firstLine="545"/>
        <w:spacing w:after="0" w:line="237" w:lineRule="auto"/>
        <w:rPr>
          <w:sz w:val="20"/>
          <w:szCs w:val="20"/>
          <w:color w:val="auto"/>
        </w:rPr>
      </w:pPr>
      <w:r>
        <w:rPr>
          <w:rFonts w:ascii="Arial" w:cs="Arial" w:eastAsia="Arial" w:hAnsi="Arial"/>
          <w:sz w:val="18"/>
          <w:szCs w:val="18"/>
          <w:color w:val="auto"/>
        </w:rPr>
        <w:t>When customers want to rent items a -la-carte for an upcoming event, they book styles for four or eight days through our Reserve offering. Approximately 93% of our Reserve rentals are priced below $100. After selecting pieces, they typically select a delivery date one to two days before their event.</w:t>
      </w:r>
    </w:p>
    <w:p>
      <w:pPr>
        <w:spacing w:after="0" w:line="202" w:lineRule="exact"/>
        <w:rPr>
          <w:sz w:val="20"/>
          <w:szCs w:val="20"/>
          <w:color w:val="auto"/>
        </w:rPr>
      </w:pPr>
    </w:p>
    <w:p>
      <w:pPr>
        <w:ind w:left="180" w:right="120" w:firstLine="545"/>
        <w:spacing w:after="0" w:line="236" w:lineRule="auto"/>
        <w:rPr>
          <w:sz w:val="20"/>
          <w:szCs w:val="20"/>
          <w:color w:val="auto"/>
        </w:rPr>
      </w:pPr>
      <w:r>
        <w:rPr>
          <w:rFonts w:ascii="Arial" w:cs="Arial" w:eastAsia="Arial" w:hAnsi="Arial"/>
          <w:sz w:val="18"/>
          <w:szCs w:val="18"/>
          <w:color w:val="auto"/>
        </w:rPr>
        <w:t>To make sure our customers are prepared,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on behalf of our customers when they are returned.</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Resale</w:t>
      </w:r>
    </w:p>
    <w:p>
      <w:pPr>
        <w:spacing w:after="0" w:line="122" w:lineRule="exact"/>
        <w:rPr>
          <w:sz w:val="20"/>
          <w:szCs w:val="20"/>
          <w:color w:val="auto"/>
        </w:rPr>
      </w:pPr>
    </w:p>
    <w:p>
      <w:pPr>
        <w:ind w:left="180" w:right="140" w:firstLine="545"/>
        <w:spacing w:after="0" w:line="236" w:lineRule="auto"/>
        <w:rPr>
          <w:sz w:val="20"/>
          <w:szCs w:val="20"/>
          <w:color w:val="auto"/>
        </w:rPr>
      </w:pPr>
      <w:r>
        <w:rPr>
          <w:rFonts w:ascii="Arial" w:cs="Arial" w:eastAsia="Arial" w:hAnsi="Arial"/>
          <w:sz w:val="18"/>
          <w:szCs w:val="18"/>
          <w:color w:val="auto"/>
        </w:rPr>
        <w:t>In addition to renting, customers also shop pre-loved styles from our closet at a discount to retail price, ranging from 10-85% off of designer retail value (which we calculate using original retail and/or comparable value prices). Customers can purchase any styles they love; no subscription is required. Our subscribers have the option to purchase items they already have at home, opening a spot in their next shipment. As of June 2021, approximately 50% of our currently active subscribers had purchased at least one item on RTR.</w:t>
      </w:r>
    </w:p>
    <w:p>
      <w:pPr>
        <w:spacing w:after="0" w:line="201"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Prices for our resale items are dynamically calculated by our pricing algorithm which takes in data on rental history, customer trends and the impact of removing an item from rental circulation to optimize for lifetime return on investment on each product.</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Customer Value Proposition</w:t>
      </w:r>
    </w:p>
    <w:p>
      <w:pPr>
        <w:spacing w:after="0" w:line="229" w:lineRule="exact"/>
        <w:rPr>
          <w:sz w:val="20"/>
          <w:szCs w:val="20"/>
          <w:color w:val="auto"/>
        </w:rPr>
      </w:pPr>
    </w:p>
    <w:p>
      <w:pPr>
        <w:ind w:left="180" w:right="120" w:firstLine="545"/>
        <w:spacing w:after="0" w:line="234" w:lineRule="auto"/>
        <w:rPr>
          <w:sz w:val="20"/>
          <w:szCs w:val="20"/>
          <w:color w:val="auto"/>
        </w:rPr>
      </w:pPr>
      <w:r>
        <w:rPr>
          <w:rFonts w:ascii="Arial" w:cs="Arial" w:eastAsia="Arial" w:hAnsi="Arial"/>
          <w:sz w:val="18"/>
          <w:szCs w:val="18"/>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outside the Top 100 U.S. cities. Our customers lead busy lives: over 90% of our customers are working women and over 90% have at least a bachelor’s degree. One third of our customers have kids or are pregnant, and over 75% of our customers socialize two or more times per week. Likely as a result of these busy lives, 75% of them feel “time-starved.”</w:t>
      </w:r>
    </w:p>
    <w:p>
      <w:pPr>
        <w:spacing w:after="0" w:line="205" w:lineRule="exact"/>
        <w:rPr>
          <w:sz w:val="20"/>
          <w:szCs w:val="20"/>
          <w:color w:val="auto"/>
        </w:rPr>
      </w:pPr>
    </w:p>
    <w:p>
      <w:pPr>
        <w:ind w:left="180" w:right="120" w:firstLine="545"/>
        <w:spacing w:after="0" w:line="235" w:lineRule="auto"/>
        <w:rPr>
          <w:sz w:val="20"/>
          <w:szCs w:val="20"/>
          <w:color w:val="auto"/>
        </w:rPr>
      </w:pPr>
      <w:r>
        <w:rPr>
          <w:rFonts w:ascii="Arial" w:cs="Arial" w:eastAsia="Arial" w:hAnsi="Arial"/>
          <w:sz w:val="18"/>
          <w:szCs w:val="18"/>
          <w:color w:val="auto"/>
        </w:rPr>
        <w:t>A portion of our customers are subscribers and for fiscal year 2020, they accounted for 89% of our revenue and % in the first six months of fiscal year 2021. Subscribers are customers who have ongoing access to our Closet in the Cloud via our monthly subscription offering. While our subscribers are increasingly diversifying across geography and age, they are slightly wealthier than our Reserve customers with 82% having household income of $100,000 or more, as compared to 66% of our Reserve customers. As of June 2021, approximately 47% of our subscribers lived in the Top 100 U.S.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6"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80"/>
        <w:spacing w:after="0"/>
        <w:tabs>
          <w:tab w:leader="none" w:pos="9040" w:val="left"/>
        </w:tabs>
        <w:rPr>
          <w:sz w:val="20"/>
          <w:szCs w:val="20"/>
          <w:color w:val="auto"/>
        </w:rPr>
      </w:pPr>
      <w:r>
        <w:rPr>
          <w:rFonts w:ascii="Arial" w:cs="Arial" w:eastAsia="Arial" w:hAnsi="Arial"/>
          <w:sz w:val="18"/>
          <w:szCs w:val="18"/>
          <w:color w:val="auto"/>
        </w:rPr>
        <w:t>cities by population, and approximately 53% lived outside the Top 100 U.S. cities. As of July 31, 2021, we had</w:t>
      </w:r>
      <w:r>
        <w:rPr>
          <w:sz w:val="20"/>
          <w:szCs w:val="20"/>
          <w:color w:val="auto"/>
        </w:rPr>
        <w:tab/>
      </w:r>
      <w:r>
        <w:rPr>
          <w:rFonts w:ascii="Arial" w:cs="Arial" w:eastAsia="Arial" w:hAnsi="Arial"/>
          <w:sz w:val="17"/>
          <w:szCs w:val="17"/>
          <w:color w:val="auto"/>
        </w:rPr>
        <w:t>active subscribers on</w:t>
      </w:r>
    </w:p>
    <w:p>
      <w:pPr>
        <w:ind w:left="180" w:right="160"/>
        <w:spacing w:after="0" w:line="239" w:lineRule="auto"/>
        <w:rPr>
          <w:sz w:val="20"/>
          <w:szCs w:val="20"/>
          <w:color w:val="auto"/>
        </w:rPr>
      </w:pPr>
      <w:r>
        <w:rPr>
          <w:rFonts w:ascii="Arial" w:cs="Arial" w:eastAsia="Arial" w:hAnsi="Arial"/>
          <w:sz w:val="18"/>
          <w:szCs w:val="18"/>
          <w:color w:val="auto"/>
        </w:rPr>
        <w:t>Rent the Runway and total subscribers including paused subscribers. Many of our subscribers started as customers in Reserve and Resale and we continue to see activation from Reserve and Resale customers into subscribers for many years.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Magic of Rent the Runway</w:t>
      </w:r>
    </w:p>
    <w:p>
      <w:pPr>
        <w:spacing w:after="0" w:line="122" w:lineRule="exact"/>
        <w:rPr>
          <w:sz w:val="20"/>
          <w:szCs w:val="20"/>
          <w:color w:val="auto"/>
        </w:rPr>
      </w:pPr>
    </w:p>
    <w:p>
      <w:pPr>
        <w:ind w:left="180" w:right="360" w:firstLine="545"/>
        <w:spacing w:after="0" w:line="239" w:lineRule="auto"/>
        <w:rPr>
          <w:sz w:val="20"/>
          <w:szCs w:val="20"/>
          <w:color w:val="auto"/>
        </w:rPr>
      </w:pPr>
      <w:r>
        <w:rPr>
          <w:rFonts w:ascii="Arial" w:cs="Arial" w:eastAsia="Arial" w:hAnsi="Arial"/>
          <w:sz w:val="18"/>
          <w:szCs w:val="18"/>
          <w:color w:val="auto"/>
        </w:rPr>
        <w:t>When our customers use Rent the Runway, they experience the magic of accessing an “Unlimited Closet” of constantly rotating styles while saving money and time and reducing clothing waste.</w:t>
      </w:r>
    </w:p>
    <w:p>
      <w:pPr>
        <w:spacing w:after="0" w:line="87" w:lineRule="exact"/>
        <w:rPr>
          <w:sz w:val="20"/>
          <w:szCs w:val="20"/>
          <w:color w:val="auto"/>
        </w:rPr>
      </w:pPr>
    </w:p>
    <w:p>
      <w:pPr>
        <w:ind w:left="920" w:right="80" w:hanging="212"/>
        <w:spacing w:after="0" w:line="255" w:lineRule="auto"/>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Variety and Discovery. </w:t>
      </w:r>
      <w:r>
        <w:rPr>
          <w:rFonts w:ascii="Arial" w:cs="Arial" w:eastAsia="Arial" w:hAnsi="Arial"/>
          <w:sz w:val="17"/>
          <w:szCs w:val="17"/>
          <w:color w:val="auto"/>
        </w:rPr>
        <w:t>With over 18,000 styles across over 750 brands and hundreds of categories available in our Closet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Cloud, Rent the Runway gives customers the ability to always wear something new to them and encourages customers to expand their fashion tastes. Broad assortment, coupled with curation and personalization that is driven by our proprietary data, enables us to provide our customers with the most relevant styles for them. According to our April 2021 Subscriber Survey, 92% of our subscribers have experimented more with their personal style since joining Rent the Runway, and 85% have discovered a new favorite brand. We are a brand discovery engine, as our subscribers wear 54 brands in their first year, on average.</w:t>
      </w:r>
    </w:p>
    <w:p>
      <w:pPr>
        <w:spacing w:after="0" w:line="76" w:lineRule="exact"/>
        <w:rPr>
          <w:rFonts w:ascii="Arial" w:cs="Arial" w:eastAsia="Arial" w:hAnsi="Arial"/>
          <w:sz w:val="17"/>
          <w:szCs w:val="17"/>
          <w:color w:val="auto"/>
        </w:rPr>
      </w:pPr>
    </w:p>
    <w:p>
      <w:pPr>
        <w:ind w:left="920" w:hanging="212"/>
        <w:spacing w:after="0" w:line="236" w:lineRule="auto"/>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w:t>
      </w:r>
      <w:r>
        <w:rPr>
          <w:rFonts w:ascii="Arial" w:cs="Arial" w:eastAsia="Arial" w:hAnsi="Arial"/>
          <w:sz w:val="18"/>
          <w:szCs w:val="18"/>
          <w:color w:val="auto"/>
        </w:rPr>
        <w:t>Rent the Runway makes thousands of designer styles accessible to all through our Subscription offering for a flat monthly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The majority of our a-la-carte rentals are priced between 15% and 18% of an item’s retail price. In our June 2021 Customer Survey, 87% of our customers noted that RTR gives them more access to brands they cannot afford to buy. Whether it is through expanding access to affordable designer fashion for aspirational luxury customers or providing a more rational way for today’s luxury customer to experiment with the latest fashion trends, Rent the Runway offers economic value to all customers. 60% of our subscribers report spending between $100 and $500 less per month on clothes and at least $25 less on dry cleaning per month when they have a subscription to RTR.</w:t>
      </w:r>
    </w:p>
    <w:p>
      <w:pPr>
        <w:spacing w:after="0" w:line="88" w:lineRule="exact"/>
        <w:rPr>
          <w:rFonts w:ascii="Arial" w:cs="Arial" w:eastAsia="Arial" w:hAnsi="Arial"/>
          <w:sz w:val="18"/>
          <w:szCs w:val="18"/>
          <w:color w:val="auto"/>
        </w:rPr>
      </w:pPr>
    </w:p>
    <w:p>
      <w:pPr>
        <w:ind w:left="920" w:right="60" w:hanging="212"/>
        <w:spacing w:after="0"/>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Self-Confidence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83% of our subscribers say RTR makes them the most confident version of themselves at work or in social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settings. Because there is no commitment to keep an item on RTR, we fuel greater self-expression for our customers. Our average subscriber receives four compliments each time she wears RTR. 91% of our subscribers love the fashion freedom they get from RTR affirming that they can wear a wardrobe that is commitment-free and changes as they do, whether that’s their style or their size.</w:t>
      </w:r>
    </w:p>
    <w:p>
      <w:pPr>
        <w:spacing w:after="0" w:line="87" w:lineRule="exact"/>
        <w:rPr>
          <w:rFonts w:ascii="Arial" w:cs="Arial" w:eastAsia="Arial" w:hAnsi="Arial"/>
          <w:sz w:val="18"/>
          <w:szCs w:val="18"/>
          <w:color w:val="auto"/>
        </w:rPr>
      </w:pPr>
    </w:p>
    <w:p>
      <w:pPr>
        <w:ind w:left="920" w:right="20" w:hanging="212"/>
        <w:spacing w:after="0" w:line="237" w:lineRule="auto"/>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Personalization and Convenience. </w:t>
      </w:r>
      <w:r>
        <w:rPr>
          <w:rFonts w:ascii="Arial" w:cs="Arial" w:eastAsia="Arial" w:hAnsi="Arial"/>
          <w:sz w:val="18"/>
          <w:szCs w:val="18"/>
          <w:color w:val="auto"/>
        </w:rPr>
        <w:t>We use our rich customer data to create a personalized storefront for customers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style preferences, browsing history and past rentals. Our understanding of our customer improves with each interaction, and we use our personalization algorithm to provide personalized size recommendations to each customer at the item level. 30% of items rented in fiscal year to date through June 2021 were a result of our personalized recommendations. By showing customers designs they will love and items that are likely to fit, we continue to drive strong loyalty and monetization. In fiscal year 2019, subscribers who used our personalized recommendations had 2.7x longer tenure. We purpose-built the Rent the Runway customer experience to be highly convenient and mobile, enabling customers to potentially select and order items within one minute.</w:t>
      </w:r>
    </w:p>
    <w:p>
      <w:pPr>
        <w:spacing w:after="0" w:line="88" w:lineRule="exact"/>
        <w:rPr>
          <w:rFonts w:ascii="Arial" w:cs="Arial" w:eastAsia="Arial" w:hAnsi="Arial"/>
          <w:sz w:val="18"/>
          <w:szCs w:val="18"/>
          <w:color w:val="auto"/>
        </w:rPr>
      </w:pPr>
    </w:p>
    <w:p>
      <w:pPr>
        <w:ind w:left="920" w:right="140" w:hanging="212"/>
        <w:spacing w:after="0" w:line="264" w:lineRule="auto"/>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Experience and Community. </w:t>
      </w:r>
      <w:r>
        <w:rPr>
          <w:rFonts w:ascii="Arial" w:cs="Arial" w:eastAsia="Arial" w:hAnsi="Arial"/>
          <w:sz w:val="18"/>
          <w:szCs w:val="18"/>
          <w:color w:val="auto"/>
        </w:rPr>
        <w:t>Our customers are deeply engaged, as evidenced by the 22 million customer reviews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submitted through June 2021. As of June 2021, 20% of our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40" w:right="60"/>
        <w:spacing w:after="0" w:line="235" w:lineRule="auto"/>
        <w:rPr>
          <w:sz w:val="20"/>
          <w:szCs w:val="20"/>
          <w:color w:val="auto"/>
        </w:rPr>
      </w:pPr>
      <w:r>
        <w:rPr>
          <w:rFonts w:ascii="Arial" w:cs="Arial" w:eastAsia="Arial" w:hAnsi="Arial"/>
          <w:sz w:val="18"/>
          <w:szCs w:val="18"/>
          <w:color w:val="auto"/>
        </w:rPr>
        <w:t>customers in the past six months have provided a photo with their review on RTR without financial incentive from us.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 and 78% of our customers posted themselves wearing Rent the Runway on social media, as indicated by our April 2021 Subscriber Survey.</w:t>
      </w:r>
    </w:p>
    <w:p>
      <w:pPr>
        <w:spacing w:after="0" w:line="87" w:lineRule="exact"/>
        <w:rPr>
          <w:sz w:val="20"/>
          <w:szCs w:val="20"/>
          <w:color w:val="auto"/>
        </w:rPr>
      </w:pPr>
    </w:p>
    <w:p>
      <w:pPr>
        <w:ind w:left="920" w:hanging="212"/>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Sustainability. </w:t>
      </w:r>
      <w:r>
        <w:rPr>
          <w:rFonts w:ascii="Arial" w:cs="Arial" w:eastAsia="Arial" w:hAnsi="Arial"/>
          <w:sz w:val="18"/>
          <w:szCs w:val="18"/>
          <w:color w:val="auto"/>
        </w:rPr>
        <w:t>Our business model aims to teach customers a rent versus buy mindset when it comes to building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wardrobes: that they should invest in purchasing high-quality pieces that they will wear with frequency over many years, and that they should rent the 81% of items that they would have only worn a few times. Our success in building a rent versus buy mindset is evidenced by the fact that 83% of our subscribers have bought less fast fashion since using RTR and 89% buy fewer clothes than they used to prior to joining RTR.</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Brand Value Proposition</w:t>
      </w:r>
    </w:p>
    <w:p>
      <w:pPr>
        <w:spacing w:after="0" w:line="229" w:lineRule="exact"/>
        <w:rPr>
          <w:sz w:val="20"/>
          <w:szCs w:val="20"/>
          <w:color w:val="auto"/>
        </w:rPr>
      </w:pPr>
    </w:p>
    <w:p>
      <w:pPr>
        <w:ind w:left="180" w:right="260" w:firstLine="545"/>
        <w:spacing w:after="0" w:line="236" w:lineRule="auto"/>
        <w:rPr>
          <w:sz w:val="20"/>
          <w:szCs w:val="20"/>
          <w:color w:val="auto"/>
        </w:rPr>
      </w:pPr>
      <w:r>
        <w:rPr>
          <w:rFonts w:ascii="Arial" w:cs="Arial" w:eastAsia="Arial" w:hAnsi="Arial"/>
          <w:sz w:val="18"/>
          <w:szCs w:val="18"/>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January 31, 2021, no single brand partner accounted for more than 2% of active units available on the RTR platform.</w:t>
      </w:r>
    </w:p>
    <w:p>
      <w:pPr>
        <w:spacing w:after="0" w:line="201"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control how they appear to a new and critical customer segment.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205" w:lineRule="exact"/>
        <w:rPr>
          <w:sz w:val="20"/>
          <w:szCs w:val="20"/>
          <w:color w:val="auto"/>
        </w:rPr>
      </w:pPr>
    </w:p>
    <w:p>
      <w:pPr>
        <w:ind w:left="180" w:right="160" w:firstLine="545"/>
        <w:spacing w:after="0" w:line="237" w:lineRule="auto"/>
        <w:rPr>
          <w:sz w:val="20"/>
          <w:szCs w:val="20"/>
          <w:color w:val="auto"/>
        </w:rPr>
      </w:pPr>
      <w:r>
        <w:rPr>
          <w:rFonts w:ascii="Arial" w:cs="Arial" w:eastAsia="Arial" w:hAnsi="Arial"/>
          <w:sz w:val="18"/>
          <w:szCs w:val="18"/>
          <w:color w:val="auto"/>
        </w:rPr>
        <w:t>Brands that were on the RTR platform for five years from fiscal year 2014 through fiscal year 2019 saw the GMV of their products acquired by RTR increase by 293% over that time. We are widely recognized by the brand community as an important and growing distribution channel for their businesses.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Benefits for Brands</w:t>
      </w:r>
    </w:p>
    <w:p>
      <w:pPr>
        <w:spacing w:after="0" w:line="122" w:lineRule="exact"/>
        <w:rPr>
          <w:sz w:val="20"/>
          <w:szCs w:val="20"/>
          <w:color w:val="auto"/>
        </w:rPr>
      </w:pPr>
    </w:p>
    <w:p>
      <w:pPr>
        <w:ind w:left="180" w:right="720" w:firstLine="545"/>
        <w:spacing w:after="0" w:line="239" w:lineRule="auto"/>
        <w:rPr>
          <w:sz w:val="20"/>
          <w:szCs w:val="20"/>
          <w:color w:val="auto"/>
        </w:rPr>
      </w:pPr>
      <w:r>
        <w:rPr>
          <w:rFonts w:ascii="Arial" w:cs="Arial" w:eastAsia="Arial" w:hAnsi="Arial"/>
          <w:sz w:val="18"/>
          <w:szCs w:val="18"/>
          <w:color w:val="auto"/>
        </w:rPr>
        <w:t>When our brand partners join Rent the Runway, they trust that our platform will grow their customer base, build their brand awareness and enable them to innovate their business.</w:t>
      </w:r>
    </w:p>
    <w:p>
      <w:pPr>
        <w:spacing w:after="0" w:line="87" w:lineRule="exact"/>
        <w:rPr>
          <w:sz w:val="20"/>
          <w:szCs w:val="20"/>
          <w:color w:val="auto"/>
        </w:rPr>
      </w:pPr>
    </w:p>
    <w:p>
      <w:pPr>
        <w:ind w:left="920" w:right="240" w:hanging="212"/>
        <w:spacing w:after="0" w:line="248" w:lineRule="auto"/>
        <w:tabs>
          <w:tab w:leader="none" w:pos="92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Brand. </w:t>
      </w:r>
      <w:r>
        <w:rPr>
          <w:rFonts w:ascii="Arial" w:cs="Arial" w:eastAsia="Arial" w:hAnsi="Arial"/>
          <w:sz w:val="18"/>
          <w:szCs w:val="18"/>
          <w:color w:val="auto"/>
        </w:rPr>
        <w:t>Rent the Runway is a trusted platform for discovery and access, and we present our brand partners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79" w:lineRule="exact"/>
        <w:rPr>
          <w:rFonts w:ascii="Arial" w:cs="Arial" w:eastAsia="Arial" w:hAnsi="Arial"/>
          <w:sz w:val="18"/>
          <w:szCs w:val="18"/>
          <w:color w:val="auto"/>
        </w:rPr>
      </w:pPr>
    </w:p>
    <w:p>
      <w:pPr>
        <w:jc w:val="both"/>
        <w:ind w:left="920" w:hanging="212"/>
        <w:spacing w:after="0" w:line="270" w:lineRule="auto"/>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Discovery and Acquisition. </w:t>
      </w:r>
      <w:r>
        <w:rPr>
          <w:rFonts w:ascii="Arial" w:cs="Arial" w:eastAsia="Arial" w:hAnsi="Arial"/>
          <w:sz w:val="17"/>
          <w:szCs w:val="17"/>
          <w:color w:val="auto"/>
        </w:rPr>
        <w:t>With over 2.5 million lifetime customers as of June 2021 across all offerings, we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brand partners with a new way to reach both current luxury consumers and aspirational luxury consumers. 91% of our brand partners say that RTR introduces them to new, desirable customers and deepens awareness of their brand. The value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40"/>
          </w:cols>
          <w:pgMar w:left="320" w:top="456"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40" w:right="20"/>
        <w:spacing w:after="0" w:line="236" w:lineRule="auto"/>
        <w:rPr>
          <w:sz w:val="20"/>
          <w:szCs w:val="20"/>
          <w:color w:val="auto"/>
        </w:rPr>
      </w:pPr>
      <w:r>
        <w:rPr>
          <w:rFonts w:ascii="Arial" w:cs="Arial" w:eastAsia="Arial" w:hAnsi="Arial"/>
          <w:sz w:val="18"/>
          <w:szCs w:val="18"/>
          <w:color w:val="auto"/>
        </w:rPr>
        <w:t>of our customers to brands is driven not only by their demographics, but also by the reason they come to Rent the Runway, which is to discover new brands and trends. 87% of our subscribers use RTR to explore fashion that takes them out of their comfort zone and 82% of our subscribers purchased one or more brands they discovered on Rent the Runway (either from RTR or elsewhere). This often means we are helping brands expand their wallet share with consumers.</w:t>
      </w:r>
    </w:p>
    <w:p>
      <w:pPr>
        <w:spacing w:after="0" w:line="86" w:lineRule="exact"/>
        <w:rPr>
          <w:sz w:val="20"/>
          <w:szCs w:val="20"/>
          <w:color w:val="auto"/>
        </w:rPr>
      </w:pPr>
    </w:p>
    <w:p>
      <w:pPr>
        <w:ind w:left="920" w:right="40" w:hanging="212"/>
        <w:spacing w:after="0" w:line="236" w:lineRule="auto"/>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Their Business. </w:t>
      </w:r>
      <w:r>
        <w:rPr>
          <w:rFonts w:ascii="Arial" w:cs="Arial" w:eastAsia="Arial" w:hAnsi="Arial"/>
          <w:sz w:val="18"/>
          <w:szCs w:val="18"/>
          <w:color w:val="auto"/>
        </w:rPr>
        <w:t>We serve as an important channel for over 750 brands that see us as essential to their future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 like we’ve done for Badgley Mischka, Vince and Jason Wu, building brand awareness like we’ve done for MSGM, Monse and Bash or helping brands create new product lines like we’ve done with Thakoon, Peter Som, Marchesa and Tanya Taylor. As brands expand their reach through our platform, they are also able to develop and bring to market a broader assortment of designs. Products that have lower sell-through rates or are not picked up by wholesale channels could be attractive for rental and typically see more success on Rent the Runway, allowing brands to monetize a higher diversity of product. Rent the Runway sees high success in fashion styles that are colorful, printed and embellished—styles that according to our brand partners, are very different from those other retailers are purchasing from them.</w:t>
      </w:r>
    </w:p>
    <w:p>
      <w:pPr>
        <w:spacing w:after="0" w:line="85" w:lineRule="exact"/>
        <w:rPr>
          <w:rFonts w:ascii="Arial" w:cs="Arial" w:eastAsia="Arial" w:hAnsi="Arial"/>
          <w:sz w:val="18"/>
          <w:szCs w:val="18"/>
          <w:color w:val="auto"/>
        </w:rPr>
      </w:pPr>
    </w:p>
    <w:p>
      <w:pPr>
        <w:ind w:left="920" w:right="380" w:hanging="212"/>
        <w:spacing w:after="0" w:line="248" w:lineRule="auto"/>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More Profitable Partnership. </w:t>
      </w:r>
      <w:r>
        <w:rPr>
          <w:rFonts w:ascii="Arial" w:cs="Arial" w:eastAsia="Arial" w:hAnsi="Arial"/>
          <w:sz w:val="18"/>
          <w:szCs w:val="18"/>
          <w:color w:val="auto"/>
        </w:rPr>
        <w:t>We are a more profitable partner to brands than legacy retailers because we do not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to sign margin agreements with us or return-to-vendor agreements, which have historically levied brands with higher inventory risk than their retail partners.</w:t>
      </w:r>
    </w:p>
    <w:p>
      <w:pPr>
        <w:spacing w:after="0" w:line="79" w:lineRule="exact"/>
        <w:rPr>
          <w:rFonts w:ascii="Arial" w:cs="Arial" w:eastAsia="Arial" w:hAnsi="Arial"/>
          <w:sz w:val="18"/>
          <w:szCs w:val="18"/>
          <w:color w:val="auto"/>
        </w:rPr>
      </w:pPr>
    </w:p>
    <w:p>
      <w:pPr>
        <w:ind w:left="920" w:hanging="212"/>
        <w:spacing w:after="0" w:line="243" w:lineRule="auto"/>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Compete with Mass and Fast Fashion. </w:t>
      </w:r>
      <w:r>
        <w:rPr>
          <w:rFonts w:ascii="Arial" w:cs="Arial" w:eastAsia="Arial" w:hAnsi="Arial"/>
          <w:sz w:val="18"/>
          <w:szCs w:val="18"/>
          <w:color w:val="auto"/>
        </w:rPr>
        <w:t>We enable brands to compete with wear-it-once, mass and fast fashion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their premium products at a more accessible price point, enabling brands to connect with a broad customer base without diluting their brand. Historically, to connect with mass or aspirational customers, designers would have to partner with mass retailers to design low price point collections that used lower quality materials and different designs than their main lines.</w:t>
      </w:r>
    </w:p>
    <w:p>
      <w:pPr>
        <w:spacing w:after="0" w:line="83" w:lineRule="exact"/>
        <w:rPr>
          <w:rFonts w:ascii="Arial" w:cs="Arial" w:eastAsia="Arial" w:hAnsi="Arial"/>
          <w:sz w:val="18"/>
          <w:szCs w:val="18"/>
          <w:color w:val="auto"/>
        </w:rPr>
      </w:pPr>
    </w:p>
    <w:p>
      <w:pPr>
        <w:ind w:left="920" w:right="160" w:hanging="212"/>
        <w:spacing w:after="0"/>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w:t>
      </w:r>
      <w:r>
        <w:rPr>
          <w:rFonts w:ascii="Arial" w:cs="Arial" w:eastAsia="Arial" w:hAnsi="Arial"/>
          <w:sz w:val="18"/>
          <w:szCs w:val="18"/>
          <w:color w:val="auto"/>
        </w:rPr>
        <w:t>We provide our brand partners with actionable data and customer feedback that is not available via traditional wholesale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channels and is differentiated from what they collect through their own DTC channels. For brands, we provide real-time, data-based feedback on wear rate, durability, quality, fit and customer demand on a detailed, quarterly dashboard. This data allows them to adjust their designs in order to grow and optimize their businesses and manufacture styles that are more durable and sustainable.</w:t>
      </w:r>
    </w:p>
    <w:p>
      <w:pPr>
        <w:spacing w:after="0" w:line="87" w:lineRule="exact"/>
        <w:rPr>
          <w:rFonts w:ascii="Arial" w:cs="Arial" w:eastAsia="Arial" w:hAnsi="Arial"/>
          <w:sz w:val="18"/>
          <w:szCs w:val="18"/>
          <w:color w:val="auto"/>
        </w:rPr>
      </w:pPr>
    </w:p>
    <w:p>
      <w:pPr>
        <w:ind w:left="920" w:right="300" w:hanging="212"/>
        <w:spacing w:after="0" w:line="248" w:lineRule="auto"/>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Sustainability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allows brands to participate in the circular economy and provides a way for them to address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secondhand market. As of June 2021, 80.6% of our brand partners believed that sustainability is important to their brand’s customer and 67% believed that RTR is an important part of their business’s sustainability strategy.</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Unique Brand Partner Approach</w:t>
      </w:r>
    </w:p>
    <w:p>
      <w:pPr>
        <w:spacing w:after="0" w:line="229" w:lineRule="exact"/>
        <w:rPr>
          <w:sz w:val="20"/>
          <w:szCs w:val="20"/>
          <w:color w:val="auto"/>
        </w:rPr>
      </w:pPr>
    </w:p>
    <w:p>
      <w:pPr>
        <w:ind w:left="180" w:right="180" w:firstLine="545"/>
        <w:spacing w:after="0" w:line="235" w:lineRule="auto"/>
        <w:rPr>
          <w:sz w:val="20"/>
          <w:szCs w:val="20"/>
          <w:color w:val="auto"/>
        </w:rPr>
      </w:pPr>
      <w:r>
        <w:rPr>
          <w:rFonts w:ascii="Arial" w:cs="Arial" w:eastAsia="Arial" w:hAnsi="Arial"/>
          <w:sz w:val="18"/>
          <w:szCs w:val="18"/>
          <w:color w:val="auto"/>
        </w:rPr>
        <w:t>We have been able to innovate how we work with brands to grow our customer base and continue to efficiently acquire products. Over time, we have built durable and profitable partner models with brands to bring new styles into our existing assortment. Today, we acquire our products through three channels: Wholesale, Share by RTR and Exclusive Designs</w:t>
      </w:r>
      <w:r>
        <w:rPr>
          <w:rFonts w:ascii="Arial" w:cs="Arial" w:eastAsia="Arial" w:hAnsi="Arial"/>
          <w:sz w:val="18"/>
          <w:szCs w:val="18"/>
          <w:i w:val="1"/>
          <w:iCs w:val="1"/>
          <w:color w:val="auto"/>
        </w:rPr>
        <w:t>.</w:t>
      </w:r>
      <w:r>
        <w:rPr>
          <w:rFonts w:ascii="Arial" w:cs="Arial" w:eastAsia="Arial" w:hAnsi="Arial"/>
          <w:sz w:val="18"/>
          <w:szCs w:val="18"/>
          <w:color w:val="auto"/>
        </w:rPr>
        <w:t xml:space="preserve"> The portion of our products sourced through Share by RTR and Exclusive Designs - our more asset-light sources - has grown from approximately 26% in fiscal year 2019 to approximately 54% in fiscal year 2020. Due to the strength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320" w:top="456" w:right="5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660"/>
        <w:spacing w:after="0" w:line="239" w:lineRule="auto"/>
        <w:rPr>
          <w:sz w:val="20"/>
          <w:szCs w:val="20"/>
          <w:color w:val="auto"/>
        </w:rPr>
      </w:pPr>
      <w:r>
        <w:rPr>
          <w:rFonts w:ascii="Arial" w:cs="Arial" w:eastAsia="Arial" w:hAnsi="Arial"/>
          <w:sz w:val="18"/>
          <w:szCs w:val="18"/>
          <w:color w:val="auto"/>
        </w:rPr>
        <w:t>our partnerships we are able to customize some of the styles we acquire, whether it is changing fabrics used or the way an item is manufactured to extend its longevity. Customization represents 28% of all styles acquired in fiscal year 2020.</w:t>
      </w:r>
    </w:p>
    <w:p>
      <w:pPr>
        <w:spacing w:after="0" w:line="176" w:lineRule="exact"/>
        <w:rPr>
          <w:sz w:val="20"/>
          <w:szCs w:val="20"/>
          <w:color w:val="auto"/>
        </w:rPr>
      </w:pPr>
    </w:p>
    <w:p>
      <w:pPr>
        <w:jc w:val="both"/>
        <w:ind w:left="180" w:right="320" w:firstLine="545"/>
        <w:spacing w:after="0" w:line="237" w:lineRule="auto"/>
        <w:rPr>
          <w:sz w:val="20"/>
          <w:szCs w:val="20"/>
          <w:color w:val="auto"/>
        </w:rPr>
      </w:pPr>
      <w:r>
        <w:rPr>
          <w:rFonts w:ascii="Arial" w:cs="Arial" w:eastAsia="Arial" w:hAnsi="Arial"/>
          <w:sz w:val="18"/>
          <w:szCs w:val="18"/>
          <w:color w:val="auto"/>
        </w:rPr>
        <w:t>We work closely with our brands and leverage our data and garment science expertise to maximize durability and quality, and, therefore, longevity. Our agreements with vendors give us the ability to test styles before we purchase the items for these qualities. No other retail players are performing such durability testing in advance of procuring garments from brand partners.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Wholesale</w:t>
      </w:r>
    </w:p>
    <w:p>
      <w:pPr>
        <w:spacing w:after="0" w:line="122" w:lineRule="exact"/>
        <w:rPr>
          <w:sz w:val="20"/>
          <w:szCs w:val="20"/>
          <w:color w:val="auto"/>
        </w:rPr>
      </w:pPr>
    </w:p>
    <w:p>
      <w:pPr>
        <w:ind w:left="180" w:right="260" w:firstLine="545"/>
        <w:spacing w:after="0" w:line="236" w:lineRule="auto"/>
        <w:rPr>
          <w:sz w:val="20"/>
          <w:szCs w:val="20"/>
          <w:color w:val="auto"/>
        </w:rPr>
      </w:pPr>
      <w:r>
        <w:rPr>
          <w:rFonts w:ascii="Arial" w:cs="Arial" w:eastAsia="Arial" w:hAnsi="Arial"/>
          <w:sz w:val="18"/>
          <w:szCs w:val="18"/>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46% of our product acquisition in fiscal year 2020.</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 by RTR</w:t>
      </w:r>
    </w:p>
    <w:p>
      <w:pPr>
        <w:spacing w:after="0" w:line="122"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Share by RTR aligns incentives between brands and RTR and alleviates product risk as it is a pay-for-performance model. Share by RTR represented 36% of our product acquisition in fiscal year 2020, and of the over 130 brands we partner with through this channel, 35% also work with us via Wholesale.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Exclusive Designs</w:t>
      </w:r>
    </w:p>
    <w:p>
      <w:pPr>
        <w:spacing w:after="0" w:line="122" w:lineRule="exact"/>
        <w:rPr>
          <w:sz w:val="20"/>
          <w:szCs w:val="20"/>
          <w:color w:val="auto"/>
        </w:rPr>
      </w:pPr>
    </w:p>
    <w:p>
      <w:pPr>
        <w:jc w:val="both"/>
        <w:ind w:left="180" w:right="60" w:firstLine="545"/>
        <w:spacing w:after="0" w:line="236" w:lineRule="auto"/>
        <w:rPr>
          <w:sz w:val="20"/>
          <w:szCs w:val="20"/>
          <w:color w:val="auto"/>
        </w:rPr>
      </w:pPr>
      <w:r>
        <w:rPr>
          <w:rFonts w:ascii="Arial" w:cs="Arial" w:eastAsia="Arial" w:hAnsi="Arial"/>
          <w:sz w:val="18"/>
          <w:szCs w:val="18"/>
          <w:color w:val="auto"/>
        </w:rPr>
        <w:t>We leverage our data to create highly desirable Exclusive Designs in collaboration with select brand partners that we manufacture through third-party partners to be more durable and at significantly lower cost. Similar to Netflix’s custom content, this model allows us to scale our acquisition of prestigious designer products in a highly efficient way. We provide a data blueprint to brands and they design new collections for us based on this data that carry their brand name.</w:t>
      </w:r>
    </w:p>
    <w:p>
      <w:pPr>
        <w:spacing w:after="0" w:line="201" w:lineRule="exact"/>
        <w:rPr>
          <w:sz w:val="20"/>
          <w:szCs w:val="20"/>
          <w:color w:val="auto"/>
        </w:rPr>
      </w:pPr>
    </w:p>
    <w:p>
      <w:pPr>
        <w:ind w:left="180" w:firstLine="545"/>
        <w:spacing w:after="0" w:line="248" w:lineRule="auto"/>
        <w:rPr>
          <w:sz w:val="20"/>
          <w:szCs w:val="20"/>
          <w:color w:val="auto"/>
        </w:rPr>
      </w:pPr>
      <w:r>
        <w:rPr>
          <w:rFonts w:ascii="Arial" w:cs="Arial" w:eastAsia="Arial" w:hAnsi="Arial"/>
          <w:sz w:val="17"/>
          <w:szCs w:val="17"/>
          <w:color w:val="auto"/>
        </w:rPr>
        <w:t>We currently have Exclusive Designs with eleven designers and three influencers. Four new designers and one influencer have signed with us for future collections. For our brand partners, these exclusive collections enable them to innovate their businesses into new product lines at little cost to them. All of the styles are exclusive to RTR for a period of time, after which brands may monetize these exclusive designs through other channels, typically subject to a royalty fee payment to Rent the 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See “Management’s Discussion and Analysis of Financial Condition and Results of Operations— Our Business Model—Our Product Acquisition Strategy.” We also have a small number of products bearing our trademarks, which are non-exclusive designs produced by third party partners at a significantly lower average cost than Wholesale to strategically fill assortment gaps, or our owned brands. Exclusive Designs accounted for 18% of our product acquisition in fiscal year 2020.</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Rent the Runway Virality and Marketing Strategy</w:t>
      </w:r>
    </w:p>
    <w:p>
      <w:pPr>
        <w:spacing w:after="0" w:line="189" w:lineRule="exact"/>
        <w:rPr>
          <w:sz w:val="20"/>
          <w:szCs w:val="20"/>
          <w:color w:val="auto"/>
        </w:rPr>
      </w:pPr>
    </w:p>
    <w:p>
      <w:pPr>
        <w:ind w:left="180" w:right="260" w:firstLine="545"/>
        <w:spacing w:after="0" w:line="236" w:lineRule="auto"/>
        <w:rPr>
          <w:sz w:val="20"/>
          <w:szCs w:val="20"/>
          <w:color w:val="auto"/>
        </w:rPr>
      </w:pPr>
      <w:r>
        <w:rPr>
          <w:rFonts w:ascii="Arial" w:cs="Arial" w:eastAsia="Arial" w:hAnsi="Arial"/>
          <w:sz w:val="18"/>
          <w:szCs w:val="18"/>
          <w:color w:val="auto"/>
        </w:rPr>
        <w:t>Our brand and deeply engaged consumer base have allowed us to acquire customers efficiently. Since our founding, we have spent less than 10% of total revenue on marketing, and our growth has been mostly organic. More than 88% of our customers over the last 12 years have been acquired via word of mouth. As of June 2021, we have had close to 3 trillion earned media impressions since 2018.</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6" w:right="5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
        <w:spacing w:after="0" w:line="237" w:lineRule="auto"/>
        <w:rPr>
          <w:sz w:val="20"/>
          <w:szCs w:val="20"/>
          <w:color w:val="auto"/>
        </w:rPr>
      </w:pPr>
      <w:r>
        <w:rPr>
          <w:rFonts w:ascii="Arial" w:cs="Arial" w:eastAsia="Arial" w:hAnsi="Arial"/>
          <w:sz w:val="18"/>
          <w:szCs w:val="18"/>
          <w:color w:val="auto"/>
        </w:rPr>
        <w:t>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202" w:lineRule="exact"/>
        <w:rPr>
          <w:sz w:val="20"/>
          <w:szCs w:val="20"/>
          <w:color w:val="auto"/>
        </w:rPr>
      </w:pPr>
    </w:p>
    <w:p>
      <w:pPr>
        <w:ind w:left="180" w:firstLine="545"/>
        <w:spacing w:after="0" w:line="249" w:lineRule="auto"/>
        <w:rPr>
          <w:sz w:val="20"/>
          <w:szCs w:val="20"/>
          <w:color w:val="auto"/>
        </w:rPr>
      </w:pPr>
      <w:r>
        <w:rPr>
          <w:rFonts w:ascii="Arial" w:cs="Arial" w:eastAsia="Arial" w:hAnsi="Arial"/>
          <w:sz w:val="17"/>
          <w:szCs w:val="17"/>
          <w:color w:val="auto"/>
        </w:rPr>
        <w:t>Many of our customers share a love of the Rent the Runway experience and value proposition, which starts conversations both online and offline and leads to word of mouth adoption. Because of how customers use Rent the Runway, renting bold dynamic pieces, our clothing becomes a visual billboard and advertisement for our platform. When women wear Rent the Runway, they feel confident and often want to share their experience on social media and in their personal lives, which drives brand awareness. This means that when our customers are wearing RTR and someone compliments them or asks about what they are wearing, 96% of our customers share that it’s Rent the Runway as opposed to the designer brand name. The majority of our subscribers have posted themselves wearing RTR on their social media over five times. Renting from us is an inherently social behavior: 86% of our subscribers rent along with a friend or colleague. Our high level of continued organic growth has also been driven by the strong press coverage that we have generated.</w:t>
      </w:r>
    </w:p>
    <w:p>
      <w:pPr>
        <w:spacing w:after="0" w:line="194" w:lineRule="exact"/>
        <w:rPr>
          <w:sz w:val="20"/>
          <w:szCs w:val="20"/>
          <w:color w:val="auto"/>
        </w:rPr>
      </w:pPr>
    </w:p>
    <w:p>
      <w:pPr>
        <w:ind w:left="180" w:right="100" w:firstLine="545"/>
        <w:spacing w:after="0" w:line="235" w:lineRule="auto"/>
        <w:rPr>
          <w:sz w:val="20"/>
          <w:szCs w:val="20"/>
          <w:color w:val="auto"/>
        </w:rPr>
      </w:pPr>
      <w:r>
        <w:rPr>
          <w:rFonts w:ascii="Arial" w:cs="Arial" w:eastAsia="Arial" w:hAnsi="Arial"/>
          <w:sz w:val="18"/>
          <w:szCs w:val="18"/>
          <w:color w:val="auto"/>
        </w:rPr>
        <w:t>While a majority of our new customers have historically come to Rent the Runway organically, we view paid marketing as a way to supplement our organic growth. Our paid efforts have included both middle-of-the funnel prospecting and bottom-of-the 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Data Advantage</w:t>
      </w:r>
    </w:p>
    <w:p>
      <w:pPr>
        <w:spacing w:after="0" w:line="229"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202"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We capture more than 6,200 unique data points per subscriber per year and up to 27 unique data points per item each time it is rented across four channels including site data, post-wear data, operations data and customer data. We also identify and tag over 60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gather insights from the following:</w:t>
      </w:r>
    </w:p>
    <w:p>
      <w:pPr>
        <w:spacing w:after="0" w:line="92" w:lineRule="exact"/>
        <w:rPr>
          <w:sz w:val="20"/>
          <w:szCs w:val="20"/>
          <w:color w:val="auto"/>
        </w:rPr>
      </w:pPr>
    </w:p>
    <w:p>
      <w:pPr>
        <w:ind w:left="920" w:hanging="212"/>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Site Data: </w:t>
      </w:r>
      <w:r>
        <w:rPr>
          <w:rFonts w:ascii="Arial" w:cs="Arial" w:eastAsia="Arial" w:hAnsi="Arial"/>
          <w:sz w:val="18"/>
          <w:szCs w:val="18"/>
          <w:color w:val="auto"/>
        </w:rPr>
        <w:t>Site activity, including hearts and dislikes, shortlists, clicks, browse time, and add to carts.</w:t>
      </w:r>
    </w:p>
    <w:p>
      <w:pPr>
        <w:spacing w:after="0" w:line="113" w:lineRule="exact"/>
        <w:rPr>
          <w:rFonts w:ascii="Arial" w:cs="Arial" w:eastAsia="Arial" w:hAnsi="Arial"/>
          <w:sz w:val="18"/>
          <w:szCs w:val="18"/>
          <w:color w:val="auto"/>
        </w:rPr>
      </w:pPr>
    </w:p>
    <w:p>
      <w:pPr>
        <w:jc w:val="both"/>
        <w:ind w:left="920" w:right="60" w:hanging="212"/>
        <w:spacing w:after="0" w:line="294" w:lineRule="auto"/>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Post-Rental Feedback Loop</w:t>
      </w:r>
      <w:r>
        <w:rPr>
          <w:rFonts w:ascii="Arial" w:cs="Arial" w:eastAsia="Arial" w:hAnsi="Arial"/>
          <w:sz w:val="17"/>
          <w:szCs w:val="17"/>
          <w:color w:val="auto"/>
        </w:rPr>
        <w:t>: Overall happiness with experience, single-SKU usage including how many times she wears each</w:t>
      </w:r>
      <w:r>
        <w:rPr>
          <w:rFonts w:ascii="Arial" w:cs="Arial" w:eastAsia="Arial" w:hAnsi="Arial"/>
          <w:sz w:val="17"/>
          <w:szCs w:val="17"/>
          <w:b w:val="1"/>
          <w:bCs w:val="1"/>
          <w:color w:val="auto"/>
        </w:rPr>
        <w:t xml:space="preserve"> </w:t>
      </w:r>
      <w:r>
        <w:rPr>
          <w:rFonts w:ascii="Arial" w:cs="Arial" w:eastAsia="Arial" w:hAnsi="Arial"/>
          <w:sz w:val="17"/>
          <w:szCs w:val="17"/>
          <w:color w:val="auto"/>
        </w:rPr>
        <w:t>item, fit across many dimensions (for example, if the item is too small in her waist), quality of the item, and occasion she wore it.</w:t>
      </w:r>
    </w:p>
    <w:p>
      <w:pPr>
        <w:spacing w:after="0" w:line="42" w:lineRule="exact"/>
        <w:rPr>
          <w:rFonts w:ascii="Arial" w:cs="Arial" w:eastAsia="Arial" w:hAnsi="Arial"/>
          <w:sz w:val="17"/>
          <w:szCs w:val="17"/>
          <w:color w:val="auto"/>
        </w:rPr>
      </w:pPr>
    </w:p>
    <w:p>
      <w:pPr>
        <w:ind w:left="920" w:hanging="212"/>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Operations</w:t>
      </w:r>
      <w:r>
        <w:rPr>
          <w:rFonts w:ascii="Arial" w:cs="Arial" w:eastAsia="Arial" w:hAnsi="Arial"/>
          <w:sz w:val="18"/>
          <w:szCs w:val="18"/>
          <w:color w:val="auto"/>
        </w:rPr>
        <w:t>: Unit-level wears, cleans, repairs and customer damage data, and insight on fabrics and garment specs.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Customer Data</w:t>
      </w:r>
      <w:r>
        <w:rPr>
          <w:rFonts w:ascii="Arial" w:cs="Arial" w:eastAsia="Arial" w:hAnsi="Arial"/>
          <w:sz w:val="18"/>
          <w:szCs w:val="18"/>
          <w:color w:val="auto"/>
        </w:rPr>
        <w:t>: Photo reviews, events, preferences, size and body dimensions, life stage, and profession.</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40"/>
          </w:cols>
          <w:pgMar w:left="320" w:top="456" w:right="5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way we collect data also differentiates us:</w:t>
      </w:r>
    </w:p>
    <w:p>
      <w:pPr>
        <w:spacing w:after="0" w:line="92" w:lineRule="exact"/>
        <w:rPr>
          <w:sz w:val="20"/>
          <w:szCs w:val="20"/>
          <w:color w:val="auto"/>
        </w:rPr>
      </w:pPr>
    </w:p>
    <w:p>
      <w:pPr>
        <w:ind w:left="920" w:right="360" w:hanging="212"/>
        <w:spacing w:after="0" w:line="248" w:lineRule="auto"/>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Depth of Data: </w:t>
      </w:r>
      <w:r>
        <w:rPr>
          <w:rFonts w:ascii="Arial" w:cs="Arial" w:eastAsia="Arial" w:hAnsi="Arial"/>
          <w:sz w:val="18"/>
          <w:szCs w:val="18"/>
          <w:color w:val="auto"/>
        </w:rPr>
        <w:t>Given the frequency of subscriber engagement with RTR (our average subscribers visit our app 20 times per</w:t>
      </w:r>
      <w:r>
        <w:rPr>
          <w:rFonts w:ascii="Arial" w:cs="Arial" w:eastAsia="Arial" w:hAnsi="Arial"/>
          <w:sz w:val="18"/>
          <w:szCs w:val="18"/>
          <w:b w:val="1"/>
          <w:bCs w:val="1"/>
          <w:color w:val="auto"/>
        </w:rPr>
        <w:t xml:space="preserve"> </w:t>
      </w:r>
      <w:r>
        <w:rPr>
          <w:rFonts w:ascii="Arial" w:cs="Arial" w:eastAsia="Arial" w:hAnsi="Arial"/>
          <w:sz w:val="18"/>
          <w:szCs w:val="18"/>
          <w:color w:val="auto"/>
        </w:rPr>
        <w:t>month and wear RTR 83 days per year), we have a deeper understanding of the fashion preferences and lifestyles of our subscribers and how they evolve over time compared to our peers.</w:t>
      </w:r>
      <w:r>
        <w:rPr>
          <w:rFonts w:ascii="Arial" w:cs="Arial" w:eastAsia="Arial" w:hAnsi="Arial"/>
          <w:sz w:val="15"/>
          <w:szCs w:val="15"/>
          <w:color w:val="auto"/>
        </w:rPr>
        <w:t>26</w:t>
      </w:r>
      <w:r>
        <w:rPr>
          <w:rFonts w:ascii="Arial" w:cs="Arial" w:eastAsia="Arial" w:hAnsi="Arial"/>
          <w:sz w:val="18"/>
          <w:szCs w:val="18"/>
          <w:color w:val="auto"/>
        </w:rPr>
        <w:t xml:space="preserve"> We also have 12 years of aggregating this data.</w:t>
      </w:r>
    </w:p>
    <w:p>
      <w:pPr>
        <w:spacing w:after="0" w:line="79" w:lineRule="exact"/>
        <w:rPr>
          <w:rFonts w:ascii="Arial" w:cs="Arial" w:eastAsia="Arial" w:hAnsi="Arial"/>
          <w:sz w:val="18"/>
          <w:szCs w:val="18"/>
          <w:color w:val="auto"/>
        </w:rPr>
      </w:pPr>
    </w:p>
    <w:p>
      <w:pPr>
        <w:ind w:left="920" w:right="40" w:hanging="212"/>
        <w:spacing w:after="0" w:line="270" w:lineRule="auto"/>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 xml:space="preserve">Speed of Data: </w:t>
      </w:r>
      <w:r>
        <w:rPr>
          <w:rFonts w:ascii="Arial" w:cs="Arial" w:eastAsia="Arial" w:hAnsi="Arial"/>
          <w:sz w:val="17"/>
          <w:szCs w:val="17"/>
          <w:color w:val="auto"/>
        </w:rPr>
        <w:t>Our real-time feedback from customers enables faster feedback for our brand partners, our buying team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way we manage our overall business. The same is true in our fulfillment centers operations - we track every interaction through an item’s lifecycle including cleaning, quality inspection and repairs, and we use this data to improve each item’s longevity.</w:t>
      </w:r>
    </w:p>
    <w:p>
      <w:pPr>
        <w:spacing w:after="0" w:line="61" w:lineRule="exact"/>
        <w:rPr>
          <w:rFonts w:ascii="Arial" w:cs="Arial" w:eastAsia="Arial" w:hAnsi="Arial"/>
          <w:sz w:val="17"/>
          <w:szCs w:val="17"/>
          <w:color w:val="auto"/>
        </w:rPr>
      </w:pPr>
    </w:p>
    <w:p>
      <w:pPr>
        <w:ind w:left="920" w:right="20" w:hanging="212"/>
        <w:spacing w:after="0" w:line="243" w:lineRule="auto"/>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Explicit Data: </w:t>
      </w:r>
      <w:r>
        <w:rPr>
          <w:rFonts w:ascii="Arial" w:cs="Arial" w:eastAsia="Arial" w:hAnsi="Arial"/>
          <w:sz w:val="18"/>
          <w:szCs w:val="18"/>
          <w:color w:val="auto"/>
        </w:rPr>
        <w:t>The vast majority of our data is voluntarily provided by our customers in the form of structured post-rental surveys,</w:t>
      </w:r>
      <w:r>
        <w:rPr>
          <w:rFonts w:ascii="Arial" w:cs="Arial" w:eastAsia="Arial" w:hAnsi="Arial"/>
          <w:sz w:val="18"/>
          <w:szCs w:val="18"/>
          <w:b w:val="1"/>
          <w:bCs w:val="1"/>
          <w:color w:val="auto"/>
        </w:rPr>
        <w:t xml:space="preserve"> </w:t>
      </w:r>
      <w:r>
        <w:rPr>
          <w:rFonts w:ascii="Arial" w:cs="Arial" w:eastAsia="Arial" w:hAnsi="Arial"/>
          <w:sz w:val="18"/>
          <w:szCs w:val="18"/>
          <w:color w:val="auto"/>
        </w:rPr>
        <w:t>free form photos and text reviews. While all feedback is optional, customer engagement is very high (94% response rate on post-rental surveys and 71% of subscribers provide free-form reviews of their experience, which are visible and valuable to other customers) given that our customers trust that the data they provide improves their experience over time.</w:t>
      </w:r>
    </w:p>
    <w:p>
      <w:pPr>
        <w:spacing w:after="0" w:line="83" w:lineRule="exact"/>
        <w:rPr>
          <w:rFonts w:ascii="Arial" w:cs="Arial" w:eastAsia="Arial" w:hAnsi="Arial"/>
          <w:sz w:val="18"/>
          <w:szCs w:val="18"/>
          <w:color w:val="auto"/>
        </w:rPr>
      </w:pPr>
    </w:p>
    <w:p>
      <w:pPr>
        <w:ind w:left="920" w:right="220" w:hanging="212"/>
        <w:spacing w:after="0" w:line="248" w:lineRule="auto"/>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SKU-level: </w:t>
      </w:r>
      <w:r>
        <w:rPr>
          <w:rFonts w:ascii="Arial" w:cs="Arial" w:eastAsia="Arial" w:hAnsi="Arial"/>
          <w:sz w:val="18"/>
          <w:szCs w:val="18"/>
          <w:color w:val="auto"/>
        </w:rPr>
        <w:t>We track our items at the SKU level, mapping every interaction with customers and our operations over its lifetime.</w:t>
      </w:r>
      <w:r>
        <w:rPr>
          <w:rFonts w:ascii="Arial" w:cs="Arial" w:eastAsia="Arial" w:hAnsi="Arial"/>
          <w:sz w:val="18"/>
          <w:szCs w:val="18"/>
          <w:b w:val="1"/>
          <w:bCs w:val="1"/>
          <w:color w:val="auto"/>
        </w:rPr>
        <w:t xml:space="preserve"> </w:t>
      </w:r>
      <w:r>
        <w:rPr>
          <w:rFonts w:ascii="Arial" w:cs="Arial" w:eastAsia="Arial" w:hAnsi="Arial"/>
          <w:sz w:val="18"/>
          <w:szCs w:val="18"/>
          <w:color w:val="auto"/>
        </w:rPr>
        <w:t>This enables us to note any issues at the item level, and perform specific garment restoration to maximize product return on investment.</w:t>
      </w:r>
    </w:p>
    <w:p>
      <w:pPr>
        <w:spacing w:after="0" w:line="195" w:lineRule="exact"/>
        <w:rPr>
          <w:sz w:val="20"/>
          <w:szCs w:val="20"/>
          <w:color w:val="auto"/>
        </w:rPr>
      </w:pPr>
    </w:p>
    <w:p>
      <w:pPr>
        <w:ind w:left="180" w:right="40" w:firstLine="545"/>
        <w:spacing w:after="0" w:line="256" w:lineRule="auto"/>
        <w:rPr>
          <w:sz w:val="20"/>
          <w:szCs w:val="20"/>
          <w:color w:val="auto"/>
        </w:rPr>
      </w:pPr>
      <w:r>
        <w:rPr>
          <w:rFonts w:ascii="Arial" w:cs="Arial" w:eastAsia="Arial" w:hAnsi="Arial"/>
          <w:sz w:val="17"/>
          <w:szCs w:val="17"/>
          <w:color w:val="auto"/>
        </w:rPr>
        <w:t>We use our data to create what we believe are the most relevant assortment and personalized experience for our customers, which in turn drives loyalty. As we learn more about a customer, our personalized features give us greater ability to direct her towards the items that optimize both customer lifetime value and rental product return on investment for us. Our differentiated capabilities include:</w:t>
      </w:r>
    </w:p>
    <w:p>
      <w:pPr>
        <w:spacing w:after="0" w:line="74" w:lineRule="exact"/>
        <w:rPr>
          <w:sz w:val="20"/>
          <w:szCs w:val="20"/>
          <w:color w:val="auto"/>
        </w:rPr>
      </w:pPr>
    </w:p>
    <w:p>
      <w:pPr>
        <w:ind w:left="920" w:right="100" w:hanging="212"/>
        <w:spacing w:after="0" w:line="238" w:lineRule="auto"/>
        <w:tabs>
          <w:tab w:leader="none" w:pos="92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Relevant Assortment: </w:t>
      </w:r>
      <w:r>
        <w:rPr>
          <w:rFonts w:ascii="Arial" w:cs="Arial" w:eastAsia="Arial" w:hAnsi="Arial"/>
          <w:sz w:val="18"/>
          <w:szCs w:val="18"/>
          <w:color w:val="auto"/>
        </w:rPr>
        <w:t>Our goal is to create the most relevant assortment of products for each customer so that we can retain</w:t>
      </w:r>
      <w:r>
        <w:rPr>
          <w:rFonts w:ascii="Arial" w:cs="Arial" w:eastAsia="Arial" w:hAnsi="Arial"/>
          <w:sz w:val="18"/>
          <w:szCs w:val="18"/>
          <w:b w:val="1"/>
          <w:bCs w:val="1"/>
          <w:color w:val="auto"/>
        </w:rPr>
        <w:t xml:space="preserve"> </w:t>
      </w:r>
      <w:r>
        <w:rPr>
          <w:rFonts w:ascii="Arial" w:cs="Arial" w:eastAsia="Arial" w:hAnsi="Arial"/>
          <w:sz w:val="18"/>
          <w:szCs w:val="18"/>
          <w:color w:val="auto"/>
        </w:rPr>
        <w:t>her as long as possible. By leveraging our knowledge of an individual customer’s preferences, we calculate “relevancy scores” for each possible combination of items and customers, which is a composite metric to quantify how well suited our assortment is for a given customer. These scores and our retention predictive model allow us to understand for which customers we already have the right product selection, for which customers we could improve, and which types of styles and at what depth we would have to acquire these styles to increase the probability of customer retention. Our ability to leverage this data improves dramatically as we scale.</w:t>
      </w:r>
    </w:p>
    <w:p>
      <w:pPr>
        <w:spacing w:after="0" w:line="86" w:lineRule="exact"/>
        <w:rPr>
          <w:rFonts w:ascii="Arial" w:cs="Arial" w:eastAsia="Arial" w:hAnsi="Arial"/>
          <w:sz w:val="18"/>
          <w:szCs w:val="18"/>
          <w:color w:val="auto"/>
        </w:rPr>
      </w:pPr>
    </w:p>
    <w:p>
      <w:pPr>
        <w:ind w:left="920" w:hanging="212"/>
        <w:spacing w:after="0" w:line="238" w:lineRule="auto"/>
        <w:tabs>
          <w:tab w:leader="none" w:pos="92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Personalized Storefront: </w:t>
      </w:r>
      <w:r>
        <w:rPr>
          <w:rFonts w:ascii="Arial" w:cs="Arial" w:eastAsia="Arial" w:hAnsi="Arial"/>
          <w:sz w:val="18"/>
          <w:szCs w:val="18"/>
          <w:color w:val="auto"/>
        </w:rPr>
        <w:t>We personalize the storefront for each of our subscribers; no two subscribers see the same storefront.</w:t>
      </w:r>
      <w:r>
        <w:rPr>
          <w:rFonts w:ascii="Arial" w:cs="Arial" w:eastAsia="Arial" w:hAnsi="Arial"/>
          <w:sz w:val="18"/>
          <w:szCs w:val="18"/>
          <w:b w:val="1"/>
          <w:bCs w:val="1"/>
          <w:color w:val="auto"/>
        </w:rPr>
        <w:t xml:space="preserve"> </w:t>
      </w:r>
      <w:r>
        <w:rPr>
          <w:rFonts w:ascii="Arial" w:cs="Arial" w:eastAsia="Arial" w:hAnsi="Arial"/>
          <w:sz w:val="18"/>
          <w:szCs w:val="18"/>
          <w:color w:val="auto"/>
        </w:rPr>
        <w:t>We make data actionable for our subscribers by showing them the items that are most relevant for their life, body and style. Our personalized storefront is updated daily as we gather more information on each of our customers. 30% of units rented in fiscal year to date through June 2021 were a result of our personalized recommendations. In fiscal year 2019, customers who used our personalized recommendations had 2.7x longer tenure. We use personalization to broaden our customers’ relationship with fashion in the same way that Spotify and Netflix broadens customers’ relationship with music and entertainment, respectively. In fiscal year 2019, on average, our customers rented nine brands in their first month with us.</w:t>
      </w:r>
    </w:p>
    <w:p>
      <w:pPr>
        <w:spacing w:after="0" w:line="86" w:lineRule="exact"/>
        <w:rPr>
          <w:rFonts w:ascii="Arial" w:cs="Arial" w:eastAsia="Arial" w:hAnsi="Arial"/>
          <w:sz w:val="18"/>
          <w:szCs w:val="18"/>
          <w:color w:val="auto"/>
        </w:rPr>
      </w:pPr>
    </w:p>
    <w:p>
      <w:pPr>
        <w:ind w:left="920" w:right="20" w:hanging="212"/>
        <w:spacing w:after="0" w:line="248" w:lineRule="auto"/>
        <w:tabs>
          <w:tab w:leader="none" w:pos="92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Fit: </w:t>
      </w:r>
      <w:r>
        <w:rPr>
          <w:rFonts w:ascii="Arial" w:cs="Arial" w:eastAsia="Arial" w:hAnsi="Arial"/>
          <w:sz w:val="18"/>
          <w:szCs w:val="18"/>
          <w:color w:val="auto"/>
        </w:rPr>
        <w:t>We make personalized size recommendations to each customer at the item level. Since we launched our fit recommendation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tool nearly two years ago, we have improved customer fit rate by 24%. We also leverage fit scores at the style level in our personalization algorithms so every customer is more likely to see styles that are a great fit for her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73660</wp:posOffset>
            </wp:positionV>
            <wp:extent cx="7550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49" w:lineRule="exact"/>
        <w:rPr>
          <w:sz w:val="20"/>
          <w:szCs w:val="20"/>
          <w:color w:val="auto"/>
        </w:rPr>
      </w:pPr>
    </w:p>
    <w:p>
      <w:pPr>
        <w:ind w:left="700" w:hanging="526"/>
        <w:spacing w:after="0"/>
        <w:tabs>
          <w:tab w:leader="none" w:pos="70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Average subscriber wears calculated based on subscriber engagement in calendar year 2019 on an annualized basis.</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6"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0" w:right="280" w:hanging="212"/>
        <w:spacing w:after="0" w:line="248" w:lineRule="auto"/>
        <w:tabs>
          <w:tab w:leader="none" w:pos="92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Review Data: </w:t>
      </w:r>
      <w:r>
        <w:rPr>
          <w:rFonts w:ascii="Arial" w:cs="Arial" w:eastAsia="Arial" w:hAnsi="Arial"/>
          <w:sz w:val="18"/>
          <w:szCs w:val="18"/>
          <w:color w:val="auto"/>
        </w:rPr>
        <w:t>We surface the most relevant product reviews to each customer so she sees how women with similar height,</w:t>
      </w:r>
      <w:r>
        <w:rPr>
          <w:rFonts w:ascii="Arial" w:cs="Arial" w:eastAsia="Arial" w:hAnsi="Arial"/>
          <w:sz w:val="18"/>
          <w:szCs w:val="18"/>
          <w:b w:val="1"/>
          <w:bCs w:val="1"/>
          <w:color w:val="auto"/>
        </w:rPr>
        <w:t xml:space="preserve"> </w:t>
      </w:r>
      <w:r>
        <w:rPr>
          <w:rFonts w:ascii="Arial" w:cs="Arial" w:eastAsia="Arial" w:hAnsi="Arial"/>
          <w:sz w:val="18"/>
          <w:szCs w:val="18"/>
          <w:color w:val="auto"/>
        </w:rPr>
        <w:t>weight and body dimensions to her look in each style. Conversion on items with eight or more reviews is 264% higher than on items with less than eight reviews.</w:t>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data advantage benefits brand partners in numerous ways:</w:t>
      </w:r>
    </w:p>
    <w:p>
      <w:pPr>
        <w:spacing w:after="0" w:line="92" w:lineRule="exact"/>
        <w:rPr>
          <w:sz w:val="20"/>
          <w:szCs w:val="20"/>
          <w:color w:val="auto"/>
        </w:rPr>
      </w:pPr>
    </w:p>
    <w:p>
      <w:pPr>
        <w:ind w:left="920" w:right="440" w:hanging="212"/>
        <w:spacing w:after="0" w:line="243" w:lineRule="auto"/>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Understanding the Garment Life Cycle: </w:t>
      </w:r>
      <w:r>
        <w:rPr>
          <w:rFonts w:ascii="Arial" w:cs="Arial" w:eastAsia="Arial" w:hAnsi="Arial"/>
          <w:sz w:val="18"/>
          <w:szCs w:val="18"/>
          <w:color w:val="auto"/>
        </w:rPr>
        <w:t>We help partners grow their business through the data we provide. Every brand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gets a detailed and personalized dashboard, including deep aggregate insights that help them improve their product offering in terms of quality, fit, fashion trends, product longevity and assortment gaps. Product longevity data often help our brands increase the life of their garments, which can support their sustainability goals.</w:t>
      </w:r>
    </w:p>
    <w:p>
      <w:pPr>
        <w:spacing w:after="0" w:line="83" w:lineRule="exact"/>
        <w:rPr>
          <w:rFonts w:ascii="Arial" w:cs="Arial" w:eastAsia="Arial" w:hAnsi="Arial"/>
          <w:sz w:val="18"/>
          <w:szCs w:val="18"/>
          <w:color w:val="auto"/>
        </w:rPr>
      </w:pPr>
    </w:p>
    <w:p>
      <w:pPr>
        <w:ind w:left="920" w:right="180" w:hanging="212"/>
        <w:spacing w:after="0"/>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Understanding Customer Demand: </w:t>
      </w:r>
      <w:r>
        <w:rPr>
          <w:rFonts w:ascii="Arial" w:cs="Arial" w:eastAsia="Arial" w:hAnsi="Arial"/>
          <w:sz w:val="18"/>
          <w:szCs w:val="18"/>
          <w:color w:val="auto"/>
        </w:rPr>
        <w:t>As our customers wear (or don’t wear) and review items, we can determine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trend, category, season, style, color, size, etc. due to our robust attribution of products (over 60 attributes) paired with customer interaction data. This data highlights growth opportunities for brands as well as areas for improvement. Brands also get a clear picture of who their true customer is versus their perceived or desired customer, which in turn allows them to design the most relevant offering.</w:t>
      </w:r>
    </w:p>
    <w:p>
      <w:pPr>
        <w:spacing w:after="0" w:line="203" w:lineRule="exact"/>
        <w:rPr>
          <w:sz w:val="20"/>
          <w:szCs w:val="20"/>
          <w:color w:val="auto"/>
        </w:rPr>
      </w:pPr>
    </w:p>
    <w:p>
      <w:pPr>
        <w:ind w:left="180" w:right="680" w:firstLine="545"/>
        <w:spacing w:after="0" w:line="239" w:lineRule="auto"/>
        <w:rPr>
          <w:sz w:val="20"/>
          <w:szCs w:val="20"/>
          <w:color w:val="auto"/>
        </w:rPr>
      </w:pPr>
      <w:r>
        <w:rPr>
          <w:rFonts w:ascii="Arial" w:cs="Arial" w:eastAsia="Arial" w:hAnsi="Arial"/>
          <w:sz w:val="18"/>
          <w:szCs w:val="18"/>
          <w:color w:val="auto"/>
        </w:rPr>
        <w:t>Our data also allows us to continually optimize the return on investment on products and customer lifetime value, which are dependent on the following inputs, all of which continuously improve as our business scales.</w:t>
      </w:r>
    </w:p>
    <w:p>
      <w:pPr>
        <w:spacing w:after="0" w:line="87" w:lineRule="exact"/>
        <w:rPr>
          <w:sz w:val="20"/>
          <w:szCs w:val="20"/>
          <w:color w:val="auto"/>
        </w:rPr>
      </w:pPr>
    </w:p>
    <w:p>
      <w:pPr>
        <w:ind w:left="920" w:right="160" w:hanging="212"/>
        <w:spacing w:after="0" w:line="238" w:lineRule="auto"/>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Scientific Product Acquisition: </w:t>
      </w:r>
      <w:r>
        <w:rPr>
          <w:rFonts w:ascii="Arial" w:cs="Arial" w:eastAsia="Arial" w:hAnsi="Arial"/>
          <w:sz w:val="18"/>
          <w:szCs w:val="18"/>
          <w:color w:val="auto"/>
        </w:rPr>
        <w:t>Our data provides a comprehensive picture of our products by bringing together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operations data and inherent product attributes. Our analytics teams utilize this data to optimize the styles we need and the quantity per style. In addition, we are able to strategically select which acquisition structure is best suited to which product type - Wholesale, Share by RTR or Exclusive Designs. We have improved at selecting our assortment over time, evidenced by the fact that the utilization of our seasonally-relevant products has increased from 55% utilized in fiscal year 2015 to 70% utilized in fiscal year 2019. We track the demand arc of styles over time and have disproved the misconception that fashion quickly goes out of style. Over 40% of our styles continue to turn for three or more years.</w:t>
      </w:r>
    </w:p>
    <w:p>
      <w:pPr>
        <w:spacing w:after="0" w:line="86" w:lineRule="exact"/>
        <w:rPr>
          <w:rFonts w:ascii="Arial" w:cs="Arial" w:eastAsia="Arial" w:hAnsi="Arial"/>
          <w:sz w:val="18"/>
          <w:szCs w:val="18"/>
          <w:color w:val="auto"/>
        </w:rPr>
      </w:pPr>
    </w:p>
    <w:p>
      <w:pPr>
        <w:ind w:left="920" w:right="360" w:hanging="212"/>
        <w:spacing w:after="0" w:line="248" w:lineRule="auto"/>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Price Optimization: </w:t>
      </w:r>
      <w:r>
        <w:rPr>
          <w:rFonts w:ascii="Arial" w:cs="Arial" w:eastAsia="Arial" w:hAnsi="Arial"/>
          <w:sz w:val="18"/>
          <w:szCs w:val="18"/>
          <w:color w:val="auto"/>
        </w:rPr>
        <w:t>Our dynamic pricing algorithm optimizes how our products are consumed across Subscription,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rentals and Resale by taking into account demand signals and the expected useful life and turns of each item. We have the flexibility to optimize prices for revenue, margin and product return on investment based on the business needs.</w:t>
      </w:r>
    </w:p>
    <w:p>
      <w:pPr>
        <w:spacing w:after="0" w:line="79" w:lineRule="exact"/>
        <w:rPr>
          <w:rFonts w:ascii="Arial" w:cs="Arial" w:eastAsia="Arial" w:hAnsi="Arial"/>
          <w:sz w:val="18"/>
          <w:szCs w:val="18"/>
          <w:color w:val="auto"/>
        </w:rPr>
      </w:pPr>
    </w:p>
    <w:p>
      <w:pPr>
        <w:ind w:left="920" w:hanging="212"/>
        <w:spacing w:after="0" w:line="264" w:lineRule="auto"/>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Lower Cost Product: </w:t>
      </w:r>
      <w:r>
        <w:rPr>
          <w:rFonts w:ascii="Arial" w:cs="Arial" w:eastAsia="Arial" w:hAnsi="Arial"/>
          <w:sz w:val="18"/>
          <w:szCs w:val="18"/>
          <w:color w:val="auto"/>
        </w:rPr>
        <w:t>We leverage our data to create highly desirable Exclusive Designs in collaboration with our brand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manufacture to be more durable at significantly lower cost.</w:t>
      </w:r>
    </w:p>
    <w:p>
      <w:pPr>
        <w:spacing w:after="0" w:line="65" w:lineRule="exact"/>
        <w:rPr>
          <w:rFonts w:ascii="Arial" w:cs="Arial" w:eastAsia="Arial" w:hAnsi="Arial"/>
          <w:sz w:val="18"/>
          <w:szCs w:val="18"/>
          <w:color w:val="auto"/>
        </w:rPr>
      </w:pPr>
    </w:p>
    <w:p>
      <w:pPr>
        <w:ind w:left="920" w:right="240" w:hanging="212"/>
        <w:spacing w:after="0" w:line="264" w:lineRule="auto"/>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Longer Product Life: </w:t>
      </w:r>
      <w:r>
        <w:rPr>
          <w:rFonts w:ascii="Arial" w:cs="Arial" w:eastAsia="Arial" w:hAnsi="Arial"/>
          <w:sz w:val="18"/>
          <w:szCs w:val="18"/>
          <w:color w:val="auto"/>
        </w:rPr>
        <w:t>Our feedback to brands helps us customize for higher longevity of our products - we understand how to</w:t>
      </w:r>
      <w:r>
        <w:rPr>
          <w:rFonts w:ascii="Arial" w:cs="Arial" w:eastAsia="Arial" w:hAnsi="Arial"/>
          <w:sz w:val="18"/>
          <w:szCs w:val="18"/>
          <w:b w:val="1"/>
          <w:bCs w:val="1"/>
          <w:color w:val="auto"/>
        </w:rPr>
        <w:t xml:space="preserve"> </w:t>
      </w:r>
      <w:r>
        <w:rPr>
          <w:rFonts w:ascii="Arial" w:cs="Arial" w:eastAsia="Arial" w:hAnsi="Arial"/>
          <w:sz w:val="18"/>
          <w:szCs w:val="18"/>
          <w:color w:val="auto"/>
        </w:rPr>
        <w:t>clean and care for garments to maximize multi-year monetization and incremental turns per unit.</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Data Science Capabilities and Algorithms</w:t>
      </w:r>
    </w:p>
    <w:p>
      <w:pPr>
        <w:spacing w:after="0" w:line="122" w:lineRule="exact"/>
        <w:rPr>
          <w:sz w:val="20"/>
          <w:szCs w:val="20"/>
          <w:color w:val="auto"/>
        </w:rPr>
      </w:pPr>
    </w:p>
    <w:p>
      <w:pPr>
        <w:jc w:val="both"/>
        <w:ind w:left="180" w:right="20" w:firstLine="545"/>
        <w:spacing w:after="0" w:line="237" w:lineRule="auto"/>
        <w:rPr>
          <w:sz w:val="20"/>
          <w:szCs w:val="20"/>
          <w:color w:val="auto"/>
        </w:rPr>
      </w:pPr>
      <w:r>
        <w:rPr>
          <w:rFonts w:ascii="Arial" w:cs="Arial" w:eastAsia="Arial" w:hAnsi="Arial"/>
          <w:sz w:val="18"/>
          <w:szCs w:val="18"/>
          <w:color w:val="auto"/>
        </w:rPr>
        <w:t>Data is the fabric of Rent the Runway and powers our technology, logistics and data science efforts across all parts of our business, from recommender systems to pricing algorithms and forecasting. Experimentation and algorithm development are deeply embedded in all parts of our business. As our data sets grow, our algorithms become more powerful and gain leverage.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Some of our most impactful proprietary algorithms include:</w:t>
      </w:r>
    </w:p>
    <w:p>
      <w:pPr>
        <w:spacing w:after="0" w:line="92" w:lineRule="exact"/>
        <w:rPr>
          <w:sz w:val="20"/>
          <w:szCs w:val="20"/>
          <w:color w:val="auto"/>
        </w:rPr>
      </w:pPr>
    </w:p>
    <w:p>
      <w:pPr>
        <w:ind w:left="920" w:right="160" w:hanging="212"/>
        <w:spacing w:after="0"/>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Deep 1:1 Personalization</w:t>
      </w:r>
      <w:r>
        <w:rPr>
          <w:rFonts w:ascii="Arial" w:cs="Arial" w:eastAsia="Arial" w:hAnsi="Arial"/>
          <w:sz w:val="18"/>
          <w:szCs w:val="18"/>
          <w:color w:val="auto"/>
        </w:rPr>
        <w:t>: For each customer and item, we compute several scores that measure the affinity of item 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87" w:lineRule="exact"/>
        <w:rPr>
          <w:rFonts w:ascii="Arial" w:cs="Arial" w:eastAsia="Arial" w:hAnsi="Arial"/>
          <w:sz w:val="18"/>
          <w:szCs w:val="18"/>
          <w:color w:val="auto"/>
        </w:rPr>
      </w:pPr>
    </w:p>
    <w:p>
      <w:pPr>
        <w:ind w:left="920" w:right="20" w:hanging="212"/>
        <w:spacing w:after="0" w:line="243" w:lineRule="auto"/>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Retention Predictive Model</w:t>
      </w:r>
      <w:r>
        <w:rPr>
          <w:rFonts w:ascii="Arial" w:cs="Arial" w:eastAsia="Arial" w:hAnsi="Arial"/>
          <w:sz w:val="18"/>
          <w:szCs w:val="18"/>
          <w:color w:val="auto"/>
        </w:rPr>
        <w:t>: We leverage a retention predictive model to understand the relative importance of more than 180</w:t>
      </w:r>
      <w:r>
        <w:rPr>
          <w:rFonts w:ascii="Arial" w:cs="Arial" w:eastAsia="Arial" w:hAnsi="Arial"/>
          <w:sz w:val="18"/>
          <w:szCs w:val="18"/>
          <w:b w:val="1"/>
          <w:bCs w:val="1"/>
          <w:color w:val="auto"/>
        </w:rPr>
        <w:t xml:space="preserve"> </w:t>
      </w:r>
      <w:r>
        <w:rPr>
          <w:rFonts w:ascii="Arial" w:cs="Arial" w:eastAsia="Arial" w:hAnsi="Arial"/>
          <w:sz w:val="18"/>
          <w:szCs w:val="18"/>
          <w:color w:val="auto"/>
        </w:rPr>
        <w:t>drivers of loyalty and LTV,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83" w:lineRule="exact"/>
        <w:rPr>
          <w:rFonts w:ascii="Arial" w:cs="Arial" w:eastAsia="Arial" w:hAnsi="Arial"/>
          <w:sz w:val="18"/>
          <w:szCs w:val="18"/>
          <w:color w:val="auto"/>
        </w:rPr>
      </w:pPr>
    </w:p>
    <w:p>
      <w:pPr>
        <w:ind w:left="920" w:hanging="212"/>
        <w:spacing w:after="0" w:line="248" w:lineRule="auto"/>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Computer Vision for Products</w:t>
      </w:r>
      <w:r>
        <w:rPr>
          <w:rFonts w:ascii="Arial" w:cs="Arial" w:eastAsia="Arial" w:hAnsi="Arial"/>
          <w:sz w:val="18"/>
          <w:szCs w:val="18"/>
          <w:color w:val="auto"/>
        </w:rPr>
        <w:t>: For each style in our assortment, we generate over 2,000 visual style embeddings using deep</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that capture color, pattern shape, sleeve length, etc. We leverage this data as a feature in our recommender systems, to cluster styles to inform product acquisition and provide product attributes in our product catalog amongst other uses.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Technology and Logistics Advantage</w:t>
      </w:r>
    </w:p>
    <w:p>
      <w:pPr>
        <w:spacing w:after="0" w:line="229" w:lineRule="exact"/>
        <w:rPr>
          <w:sz w:val="20"/>
          <w:szCs w:val="20"/>
          <w:color w:val="auto"/>
        </w:rPr>
      </w:pPr>
    </w:p>
    <w:p>
      <w:pPr>
        <w:ind w:left="180" w:right="380" w:firstLine="545"/>
        <w:spacing w:after="0" w:line="237" w:lineRule="auto"/>
        <w:rPr>
          <w:sz w:val="20"/>
          <w:szCs w:val="20"/>
          <w:color w:val="auto"/>
        </w:rPr>
      </w:pPr>
      <w:r>
        <w:rPr>
          <w:rFonts w:ascii="Arial" w:cs="Arial" w:eastAsia="Arial" w:hAnsi="Arial"/>
          <w:sz w:val="18"/>
          <w:szCs w:val="18"/>
          <w:color w:val="auto"/>
        </w:rPr>
        <w:t>We have built a cohesive platform that pairs proprietary and third-party intelligent software with differentiated infrastructure and hardware all tailored to the sharing economy of physical goods. Our proprietary software leverages our vast and unique dataset to optimize key outcomes for RTR.</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Proprietary Software and Systems</w:t>
      </w:r>
    </w:p>
    <w:p>
      <w:pPr>
        <w:spacing w:after="0" w:line="122" w:lineRule="exact"/>
        <w:rPr>
          <w:sz w:val="20"/>
          <w:szCs w:val="20"/>
          <w:color w:val="auto"/>
        </w:rPr>
      </w:pPr>
    </w:p>
    <w:p>
      <w:pPr>
        <w:ind w:left="180" w:right="500" w:firstLine="545"/>
        <w:spacing w:after="0" w:line="239" w:lineRule="auto"/>
        <w:rPr>
          <w:sz w:val="20"/>
          <w:szCs w:val="20"/>
          <w:color w:val="auto"/>
        </w:rPr>
      </w:pPr>
      <w:r>
        <w:rPr>
          <w:rFonts w:ascii="Arial" w:cs="Arial" w:eastAsia="Arial" w:hAnsi="Arial"/>
          <w:sz w:val="18"/>
          <w:szCs w:val="18"/>
          <w:color w:val="auto"/>
        </w:rPr>
        <w:t>Because our product offering is highly innovative, we have purpose-built a technology stack to support three key areas of our business:</w:t>
      </w:r>
    </w:p>
    <w:p>
      <w:pPr>
        <w:spacing w:after="0" w:line="109" w:lineRule="exact"/>
        <w:rPr>
          <w:sz w:val="20"/>
          <w:szCs w:val="20"/>
          <w:color w:val="auto"/>
        </w:rPr>
      </w:pPr>
    </w:p>
    <w:p>
      <w:pPr>
        <w:ind w:left="920" w:hanging="212"/>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2-Way e-Commerce</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Rental Reverse Logistics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Merchandising &amp; Products Control</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2-Way e-Commerce</w:t>
      </w:r>
    </w:p>
    <w:p>
      <w:pPr>
        <w:spacing w:after="0" w:line="118" w:lineRule="exact"/>
        <w:rPr>
          <w:sz w:val="20"/>
          <w:szCs w:val="20"/>
          <w:color w:val="auto"/>
        </w:rPr>
      </w:pPr>
    </w:p>
    <w:p>
      <w:pPr>
        <w:ind w:left="180" w:right="100" w:firstLine="545"/>
        <w:spacing w:after="0" w:line="237" w:lineRule="auto"/>
        <w:rPr>
          <w:sz w:val="20"/>
          <w:szCs w:val="20"/>
          <w:color w:val="auto"/>
        </w:rPr>
      </w:pPr>
      <w:r>
        <w:rPr>
          <w:rFonts w:ascii="Arial" w:cs="Arial" w:eastAsia="Arial" w:hAnsi="Arial"/>
          <w:sz w:val="18"/>
          <w:szCs w:val="18"/>
          <w:color w:val="auto"/>
        </w:rPr>
        <w:t>We have a 2-way relationship with our customers — in that nearly every item is returned and the customer provides feedback. We have built a custom frontend platform that supports Subscription, Reserve and Resale in one easy experience for the customer. This allows us to optimize the product offering for the customer based on her needs.</w:t>
      </w:r>
    </w:p>
    <w:p>
      <w:pPr>
        <w:spacing w:after="0" w:line="86" w:lineRule="exact"/>
        <w:rPr>
          <w:sz w:val="20"/>
          <w:szCs w:val="20"/>
          <w:color w:val="auto"/>
        </w:rPr>
      </w:pPr>
    </w:p>
    <w:p>
      <w:pPr>
        <w:ind w:left="1360" w:right="100" w:hanging="425"/>
        <w:spacing w:after="0" w:line="248" w:lineRule="auto"/>
        <w:tabs>
          <w:tab w:leader="none" w:pos="13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Membership Platform</w:t>
      </w:r>
      <w:r>
        <w:rPr>
          <w:rFonts w:ascii="Arial" w:cs="Arial" w:eastAsia="Arial" w:hAnsi="Arial"/>
          <w:sz w:val="18"/>
          <w:szCs w:val="18"/>
          <w:color w:val="auto"/>
        </w:rPr>
        <w:t>: Provides flexibility of creating new subscription offerings and collects detailed feedback from</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subscribers during every action. Subscribers control their membership and can customize based on their current needs or schedule changes in advance.</w:t>
      </w:r>
    </w:p>
    <w:p>
      <w:pPr>
        <w:spacing w:after="0" w:line="79" w:lineRule="exact"/>
        <w:rPr>
          <w:rFonts w:ascii="Arial" w:cs="Arial" w:eastAsia="Arial" w:hAnsi="Arial"/>
          <w:sz w:val="18"/>
          <w:szCs w:val="18"/>
          <w:color w:val="auto"/>
        </w:rPr>
      </w:pPr>
    </w:p>
    <w:p>
      <w:pPr>
        <w:ind w:left="1360" w:right="180" w:hanging="425"/>
        <w:spacing w:after="0" w:line="248" w:lineRule="auto"/>
        <w:tabs>
          <w:tab w:leader="none" w:pos="13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Rapid Iteration and Experimentation: </w:t>
      </w:r>
      <w:r>
        <w:rPr>
          <w:rFonts w:ascii="Arial" w:cs="Arial" w:eastAsia="Arial" w:hAnsi="Arial"/>
          <w:sz w:val="18"/>
          <w:szCs w:val="18"/>
          <w:color w:val="auto"/>
        </w:rPr>
        <w:t>Our custom frontend platform is built from the ground up to enable rapid iteration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experimentation across all components, from site layout to product placement, product recommendations and conversion funnel.</w:t>
      </w:r>
    </w:p>
    <w:p>
      <w:pPr>
        <w:spacing w:after="0" w:line="79" w:lineRule="exact"/>
        <w:rPr>
          <w:rFonts w:ascii="Arial" w:cs="Arial" w:eastAsia="Arial" w:hAnsi="Arial"/>
          <w:sz w:val="18"/>
          <w:szCs w:val="18"/>
          <w:color w:val="auto"/>
        </w:rPr>
      </w:pPr>
    </w:p>
    <w:p>
      <w:pPr>
        <w:ind w:left="1360" w:right="120" w:hanging="425"/>
        <w:spacing w:after="0" w:line="264" w:lineRule="auto"/>
        <w:tabs>
          <w:tab w:leader="none" w:pos="13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Reservation Calendar: </w:t>
      </w:r>
      <w:r>
        <w:rPr>
          <w:rFonts w:ascii="Arial" w:cs="Arial" w:eastAsia="Arial" w:hAnsi="Arial"/>
          <w:sz w:val="18"/>
          <w:szCs w:val="18"/>
          <w:color w:val="auto"/>
        </w:rPr>
        <w:t>Our booking engine manages a single pool of products across our three offerings and maximizes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availability utilization by calculating current and projected product needs.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40"/>
          </w:cols>
          <w:pgMar w:left="320" w:top="456"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360" w:right="260" w:hanging="425"/>
        <w:spacing w:after="0" w:line="264" w:lineRule="auto"/>
        <w:tabs>
          <w:tab w:leader="none" w:pos="13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Flexible Referrals and Promotions</w:t>
      </w:r>
      <w:r>
        <w:rPr>
          <w:rFonts w:ascii="Arial" w:cs="Arial" w:eastAsia="Arial" w:hAnsi="Arial"/>
          <w:sz w:val="18"/>
          <w:szCs w:val="18"/>
          <w:color w:val="auto"/>
        </w:rPr>
        <w:t>: We utilize dynamic and highly targeted marketing incentives to stimulate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and conversion.</w:t>
      </w:r>
    </w:p>
    <w:p>
      <w:pPr>
        <w:spacing w:after="0" w:line="65" w:lineRule="exact"/>
        <w:rPr>
          <w:rFonts w:ascii="Arial" w:cs="Arial" w:eastAsia="Arial" w:hAnsi="Arial"/>
          <w:sz w:val="18"/>
          <w:szCs w:val="18"/>
          <w:color w:val="auto"/>
        </w:rPr>
      </w:pPr>
    </w:p>
    <w:p>
      <w:pPr>
        <w:ind w:left="1360" w:right="200" w:hanging="425"/>
        <w:spacing w:after="0" w:line="248" w:lineRule="auto"/>
        <w:tabs>
          <w:tab w:leader="none" w:pos="13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Customer Service: </w:t>
      </w:r>
      <w:r>
        <w:rPr>
          <w:rFonts w:ascii="Arial" w:cs="Arial" w:eastAsia="Arial" w:hAnsi="Arial"/>
          <w:sz w:val="18"/>
          <w:szCs w:val="18"/>
          <w:color w:val="auto"/>
        </w:rPr>
        <w:t>We service our customers through both self-service tools as well as live support via chat, email and</w:t>
      </w:r>
      <w:r>
        <w:rPr>
          <w:rFonts w:ascii="Arial" w:cs="Arial" w:eastAsia="Arial" w:hAnsi="Arial"/>
          <w:sz w:val="18"/>
          <w:szCs w:val="18"/>
          <w:b w:val="1"/>
          <w:bCs w:val="1"/>
          <w:color w:val="auto"/>
        </w:rPr>
        <w:t xml:space="preserve"> </w:t>
      </w:r>
      <w:r>
        <w:rPr>
          <w:rFonts w:ascii="Arial" w:cs="Arial" w:eastAsia="Arial" w:hAnsi="Arial"/>
          <w:sz w:val="18"/>
          <w:szCs w:val="18"/>
          <w:color w:val="auto"/>
        </w:rPr>
        <w:t>phone. Our customer service team is powered by an internally built platform that manages all elements of our customers’ experience, and connects to best-in-class third party software.</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Rental Reverse Logistics</w:t>
      </w:r>
    </w:p>
    <w:p>
      <w:pPr>
        <w:spacing w:after="0" w:line="122" w:lineRule="exact"/>
        <w:rPr>
          <w:sz w:val="20"/>
          <w:szCs w:val="20"/>
          <w:color w:val="auto"/>
        </w:rPr>
      </w:pPr>
    </w:p>
    <w:p>
      <w:pPr>
        <w:ind w:left="180" w:right="320" w:firstLine="545"/>
        <w:spacing w:after="0" w:line="239" w:lineRule="auto"/>
        <w:rPr>
          <w:sz w:val="20"/>
          <w:szCs w:val="20"/>
          <w:color w:val="auto"/>
        </w:rPr>
      </w:pPr>
      <w:r>
        <w:rPr>
          <w:rFonts w:ascii="Arial" w:cs="Arial" w:eastAsia="Arial" w:hAnsi="Arial"/>
          <w:sz w:val="18"/>
          <w:szCs w:val="18"/>
          <w:color w:val="auto"/>
        </w:rPr>
        <w:t>We designed our patented technology to support the processes in our fulfilment centers and ensure that we can process orders efficiently and extend the useful life of our products.</w:t>
      </w:r>
    </w:p>
    <w:p>
      <w:pPr>
        <w:spacing w:after="0" w:line="87" w:lineRule="exact"/>
        <w:rPr>
          <w:sz w:val="20"/>
          <w:szCs w:val="20"/>
          <w:color w:val="auto"/>
        </w:rPr>
      </w:pPr>
    </w:p>
    <w:p>
      <w:pPr>
        <w:ind w:left="920" w:hanging="212"/>
        <w:spacing w:after="0"/>
        <w:tabs>
          <w:tab w:leader="none" w:pos="9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Garment Science:</w:t>
      </w:r>
    </w:p>
    <w:p>
      <w:pPr>
        <w:spacing w:after="0" w:line="135" w:lineRule="exact"/>
        <w:rPr>
          <w:rFonts w:ascii="Arial" w:cs="Arial" w:eastAsia="Arial" w:hAnsi="Arial"/>
          <w:sz w:val="18"/>
          <w:szCs w:val="18"/>
          <w:b w:val="1"/>
          <w:bCs w:val="1"/>
          <w:color w:val="auto"/>
        </w:rPr>
      </w:pPr>
    </w:p>
    <w:p>
      <w:pPr>
        <w:ind w:left="1360" w:right="100" w:hanging="425"/>
        <w:spacing w:after="0" w:line="237" w:lineRule="auto"/>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Cleaning Intelligence: We have over a decade of data and expertise in optimizing the life of a garment by leveraging different cleaning and care methods. Our cleaning equipment is fully networked, allowing us to monitor water temperature, cycle time and cleaning programs to maximize usage of our machines.</w:t>
      </w:r>
    </w:p>
    <w:p>
      <w:pPr>
        <w:spacing w:after="0" w:line="108" w:lineRule="exact"/>
        <w:rPr>
          <w:rFonts w:ascii="Arial" w:cs="Arial" w:eastAsia="Arial" w:hAnsi="Arial"/>
          <w:sz w:val="18"/>
          <w:szCs w:val="18"/>
          <w:color w:val="auto"/>
        </w:rPr>
      </w:pPr>
    </w:p>
    <w:p>
      <w:pPr>
        <w:ind w:left="1360" w:hanging="425"/>
        <w:spacing w:after="0"/>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Cleaning Automation: Automation supports dynamic sorting of items into as many as 26 different cleaning programs.</w:t>
      </w:r>
    </w:p>
    <w:p>
      <w:pPr>
        <w:spacing w:after="0" w:line="113" w:lineRule="exact"/>
        <w:rPr>
          <w:rFonts w:ascii="Arial" w:cs="Arial" w:eastAsia="Arial" w:hAnsi="Arial"/>
          <w:sz w:val="18"/>
          <w:szCs w:val="18"/>
          <w:color w:val="auto"/>
        </w:rPr>
      </w:pPr>
    </w:p>
    <w:p>
      <w:pPr>
        <w:ind w:left="1360" w:right="20" w:hanging="425"/>
        <w:spacing w:after="0" w:line="237" w:lineRule="auto"/>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Garment Care and Restoration: All units undergo one or more quality audits before being available to rent for the next customer. We surface customer feedback data to our associates to ensure units are properly treated. Units that need repair are tracked through every step in the restoration process.</w:t>
      </w:r>
    </w:p>
    <w:p>
      <w:pPr>
        <w:spacing w:after="0" w:line="86" w:lineRule="exact"/>
        <w:rPr>
          <w:rFonts w:ascii="Arial" w:cs="Arial" w:eastAsia="Arial" w:hAnsi="Arial"/>
          <w:sz w:val="18"/>
          <w:szCs w:val="18"/>
          <w:color w:val="auto"/>
        </w:rPr>
      </w:pPr>
    </w:p>
    <w:p>
      <w:pPr>
        <w:ind w:left="920" w:right="300" w:hanging="212"/>
        <w:spacing w:after="0" w:line="243" w:lineRule="auto"/>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Intelligent Fulfillment Network: </w:t>
      </w:r>
      <w:r>
        <w:rPr>
          <w:rFonts w:ascii="Arial" w:cs="Arial" w:eastAsia="Arial" w:hAnsi="Arial"/>
          <w:sz w:val="18"/>
          <w:szCs w:val="18"/>
          <w:color w:val="auto"/>
        </w:rPr>
        <w:t>Our unified booking engine, the “brain” of our distribution capabilities, dynamically manages</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such as which fulfillment center to ship a unit from or which transportation type to select to reduce cost. We are therefore able to maintain uptime throughout the year, such as during snowstorms or power outages by moving demand to another facility.</w:t>
      </w:r>
    </w:p>
    <w:p>
      <w:pPr>
        <w:spacing w:after="0" w:line="83" w:lineRule="exact"/>
        <w:rPr>
          <w:rFonts w:ascii="Arial" w:cs="Arial" w:eastAsia="Arial" w:hAnsi="Arial"/>
          <w:sz w:val="18"/>
          <w:szCs w:val="18"/>
          <w:color w:val="auto"/>
        </w:rPr>
      </w:pPr>
    </w:p>
    <w:p>
      <w:pPr>
        <w:ind w:left="920" w:right="180" w:hanging="212"/>
        <w:spacing w:after="0" w:line="248" w:lineRule="auto"/>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Optimized Storage: </w:t>
      </w:r>
      <w:r>
        <w:rPr>
          <w:rFonts w:ascii="Arial" w:cs="Arial" w:eastAsia="Arial" w:hAnsi="Arial"/>
          <w:sz w:val="18"/>
          <w:szCs w:val="18"/>
          <w:color w:val="auto"/>
        </w:rPr>
        <w:t>Garments and accessories are stored in multi-story pick modules that utilize both on-hanger and flat pack</w:t>
      </w:r>
      <w:r>
        <w:rPr>
          <w:rFonts w:ascii="Arial" w:cs="Arial" w:eastAsia="Arial" w:hAnsi="Arial"/>
          <w:sz w:val="18"/>
          <w:szCs w:val="18"/>
          <w:b w:val="1"/>
          <w:bCs w:val="1"/>
          <w:color w:val="auto"/>
        </w:rPr>
        <w:t xml:space="preserve"> </w:t>
      </w:r>
      <w:r>
        <w:rPr>
          <w:rFonts w:ascii="Arial" w:cs="Arial" w:eastAsia="Arial" w:hAnsi="Arial"/>
          <w:sz w:val="18"/>
          <w:szCs w:val="18"/>
          <w:color w:val="auto"/>
        </w:rPr>
        <w:t>storage solutions. All items are stored randomly, maximizing the utilization of cubic storage space. Random storage allows for efficient putaway of garments and dynamically created pick paths that save labor cost.</w:t>
      </w:r>
    </w:p>
    <w:p>
      <w:pPr>
        <w:spacing w:after="0" w:line="79" w:lineRule="exact"/>
        <w:rPr>
          <w:rFonts w:ascii="Arial" w:cs="Arial" w:eastAsia="Arial" w:hAnsi="Arial"/>
          <w:sz w:val="18"/>
          <w:szCs w:val="18"/>
          <w:color w:val="auto"/>
        </w:rPr>
      </w:pPr>
    </w:p>
    <w:p>
      <w:pPr>
        <w:ind w:left="920" w:right="440" w:hanging="212"/>
        <w:spacing w:after="0" w:line="264" w:lineRule="auto"/>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RFID</w:t>
      </w:r>
      <w:r>
        <w:rPr>
          <w:rFonts w:ascii="Arial" w:cs="Arial" w:eastAsia="Arial" w:hAnsi="Arial"/>
          <w:sz w:val="18"/>
          <w:szCs w:val="18"/>
          <w:color w:val="auto"/>
        </w:rPr>
        <w:t>: We tag each unit and all reusable garment bags with RFID tags, which increases throughput, reduces cost, improves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control and enables new forms of automation.</w:t>
      </w:r>
    </w:p>
    <w:p>
      <w:pPr>
        <w:spacing w:after="0" w:line="65" w:lineRule="exact"/>
        <w:rPr>
          <w:rFonts w:ascii="Arial" w:cs="Arial" w:eastAsia="Arial" w:hAnsi="Arial"/>
          <w:sz w:val="18"/>
          <w:szCs w:val="18"/>
          <w:color w:val="auto"/>
        </w:rPr>
      </w:pPr>
    </w:p>
    <w:p>
      <w:pPr>
        <w:ind w:left="920" w:right="40" w:hanging="212"/>
        <w:spacing w:after="0" w:line="248" w:lineRule="auto"/>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Fulfilment Efficiency: </w:t>
      </w:r>
      <w:r>
        <w:rPr>
          <w:rFonts w:ascii="Arial" w:cs="Arial" w:eastAsia="Arial" w:hAnsi="Arial"/>
          <w:sz w:val="18"/>
          <w:szCs w:val="18"/>
          <w:color w:val="auto"/>
        </w:rPr>
        <w:t>We have automated various parts of the fulfilment process including picking, order consolidation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packing. Our fulfilment engine dynamically prioritizes customer orders based on promised delivery date, transportation departure schedules and available capacity.</w:t>
      </w:r>
    </w:p>
    <w:p>
      <w:pPr>
        <w:spacing w:after="0" w:line="79" w:lineRule="exact"/>
        <w:rPr>
          <w:rFonts w:ascii="Arial" w:cs="Arial" w:eastAsia="Arial" w:hAnsi="Arial"/>
          <w:sz w:val="18"/>
          <w:szCs w:val="18"/>
          <w:color w:val="auto"/>
        </w:rPr>
      </w:pPr>
    </w:p>
    <w:p>
      <w:pPr>
        <w:ind w:left="920" w:hanging="212"/>
        <w:spacing w:after="0" w:line="243" w:lineRule="auto"/>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Transportation Innovation: </w:t>
      </w:r>
      <w:r>
        <w:rPr>
          <w:rFonts w:ascii="Arial" w:cs="Arial" w:eastAsia="Arial" w:hAnsi="Arial"/>
          <w:sz w:val="18"/>
          <w:szCs w:val="18"/>
          <w:color w:val="auto"/>
        </w:rPr>
        <w:t>Convenient places to return your rental are an important part of our customer experience.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invested in an inbound network that allows our customers to select from national returns logistics providers and Rent the Runway designed and managed return methods including physical drop-off points, mobile trucks and RTR drop-off boxes strategically positioned in retail stores or corporate offices.</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Merchandising and Product Control</w:t>
      </w:r>
    </w:p>
    <w:p>
      <w:pPr>
        <w:spacing w:after="0" w:line="122" w:lineRule="exact"/>
        <w:rPr>
          <w:sz w:val="20"/>
          <w:szCs w:val="20"/>
          <w:color w:val="auto"/>
        </w:rPr>
      </w:pPr>
    </w:p>
    <w:p>
      <w:pPr>
        <w:ind w:left="180" w:right="160" w:firstLine="545"/>
        <w:spacing w:after="0" w:line="239" w:lineRule="auto"/>
        <w:rPr>
          <w:sz w:val="20"/>
          <w:szCs w:val="20"/>
          <w:color w:val="auto"/>
        </w:rPr>
      </w:pPr>
      <w:r>
        <w:rPr>
          <w:rFonts w:ascii="Arial" w:cs="Arial" w:eastAsia="Arial" w:hAnsi="Arial"/>
          <w:sz w:val="18"/>
          <w:szCs w:val="18"/>
          <w:color w:val="auto"/>
        </w:rPr>
        <w:t>Our proprietary product catalog system is the backbone of our inventory management. A flexible taxonomy supports myriad types of products which goes well beyond women’s fashion, and allows us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6"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4" w:lineRule="auto"/>
        <w:rPr>
          <w:sz w:val="20"/>
          <w:szCs w:val="20"/>
          <w:color w:val="auto"/>
        </w:rPr>
      </w:pPr>
      <w:r>
        <w:rPr>
          <w:rFonts w:ascii="Arial" w:cs="Arial" w:eastAsia="Arial" w:hAnsi="Arial"/>
          <w:sz w:val="18"/>
          <w:szCs w:val="18"/>
          <w:color w:val="auto"/>
        </w:rPr>
        <w:t>to ingest and manage items at the SKU level, functionality that does not typically exist in off-the-shelf inventory management systems. This system uses a combination of manual and dynamic image algorithm driven attribution to assign over 60 product attributes per style, making the ingestion of new styles into the Rent the Runway catalog fast and easy without sacrificing valuable data collection. This system supports the many ways we acquire products, including Wholesale, Share by RTR and Exclusive Designs. The catalog serves as the starting point for products at RTR, and drives many areas of the Rent the Runway site and operation including quality control, search, navigation, and filtering.</w:t>
      </w:r>
    </w:p>
    <w:p>
      <w:pPr>
        <w:spacing w:after="0" w:line="205" w:lineRule="exact"/>
        <w:rPr>
          <w:sz w:val="20"/>
          <w:szCs w:val="20"/>
          <w:color w:val="auto"/>
        </w:rPr>
      </w:pPr>
    </w:p>
    <w:p>
      <w:pPr>
        <w:ind w:left="180" w:right="240" w:firstLine="545"/>
        <w:spacing w:after="0" w:line="267" w:lineRule="auto"/>
        <w:rPr>
          <w:sz w:val="20"/>
          <w:szCs w:val="20"/>
          <w:color w:val="auto"/>
        </w:rPr>
      </w:pPr>
      <w:r>
        <w:rPr>
          <w:rFonts w:ascii="Arial" w:cs="Arial" w:eastAsia="Arial" w:hAnsi="Arial"/>
          <w:sz w:val="17"/>
          <w:szCs w:val="17"/>
          <w:color w:val="auto"/>
        </w:rPr>
        <w:t>While we have built the majority of our circular platform, we strategically leverage third-party software for commodity functionality where our problems are not unique. These include pieces of the customer experience, customer service tools and ERP capabilities.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Logistics Infrastructure</w:t>
      </w:r>
    </w:p>
    <w:p>
      <w:pPr>
        <w:spacing w:after="0" w:line="122" w:lineRule="exact"/>
        <w:rPr>
          <w:sz w:val="20"/>
          <w:szCs w:val="20"/>
          <w:color w:val="auto"/>
        </w:rPr>
      </w:pPr>
    </w:p>
    <w:p>
      <w:pPr>
        <w:ind w:left="180" w:right="60" w:firstLine="545"/>
        <w:spacing w:after="0" w:line="234" w:lineRule="auto"/>
        <w:rPr>
          <w:sz w:val="20"/>
          <w:szCs w:val="20"/>
          <w:color w:val="auto"/>
        </w:rPr>
      </w:pPr>
      <w:r>
        <w:rPr>
          <w:rFonts w:ascii="Arial" w:cs="Arial" w:eastAsia="Arial" w:hAnsi="Arial"/>
          <w:sz w:val="18"/>
          <w:szCs w:val="18"/>
          <w:color w:val="auto"/>
        </w:rPr>
        <w:t>Our warehouses are more than just facilities - they are Dream Fulfillment Centers, or DFCs, that aim to deliver a Cinderella experience to every customer every time. Within these facilities, we have integrated best-in-class garment care equipment, internally and externally developed fulfillment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90" w:lineRule="exact"/>
        <w:rPr>
          <w:sz w:val="20"/>
          <w:szCs w:val="20"/>
          <w:color w:val="auto"/>
        </w:rPr>
      </w:pPr>
    </w:p>
    <w:p>
      <w:pPr>
        <w:ind w:left="920" w:right="60" w:hanging="212"/>
        <w:spacing w:after="0" w:line="254" w:lineRule="auto"/>
        <w:tabs>
          <w:tab w:leader="none" w:pos="92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Strategic Distribution: </w:t>
      </w:r>
      <w:r>
        <w:rPr>
          <w:rFonts w:ascii="Arial" w:cs="Arial" w:eastAsia="Arial" w:hAnsi="Arial"/>
          <w:sz w:val="17"/>
          <w:szCs w:val="17"/>
          <w:color w:val="auto"/>
        </w:rPr>
        <w:t>We have two fulfilment centers, in Arlington, Texas and Secaucus, New Jersey totaling 540,000 square</w:t>
      </w:r>
      <w:r>
        <w:rPr>
          <w:rFonts w:ascii="Arial" w:cs="Arial" w:eastAsia="Arial" w:hAnsi="Arial"/>
          <w:sz w:val="17"/>
          <w:szCs w:val="17"/>
          <w:b w:val="1"/>
          <w:bCs w:val="1"/>
          <w:color w:val="auto"/>
        </w:rPr>
        <w:t xml:space="preserve"> </w:t>
      </w:r>
      <w:r>
        <w:rPr>
          <w:rFonts w:ascii="Arial" w:cs="Arial" w:eastAsia="Arial" w:hAnsi="Arial"/>
          <w:sz w:val="17"/>
          <w:szCs w:val="17"/>
          <w:color w:val="auto"/>
        </w:rPr>
        <w:t>feet. We have the capacity to store more than two million garments and accessories on multiple floors across our fulfillment centers. These strategically located fulfillment centers cover 67% of our subscriber base as of June 2021 within two days of ground transportation. Customers view selection in their closest distribution center allowing for minimum transit time and the lowest shipping costs. We aim to deliver industry leading fulfillment promises with a goal of delivering orders within two business days in most markets. For 50% of subscribers that reside in the geographies near our fulfillment centers, such as Manhattan, we aim to deliver within one business day. Since inception, we have shipped over 40 million units ($15.8 billion GMV).</w:t>
      </w:r>
    </w:p>
    <w:p>
      <w:pPr>
        <w:spacing w:after="0" w:line="74" w:lineRule="exact"/>
        <w:rPr>
          <w:rFonts w:ascii="Arial" w:cs="Arial" w:eastAsia="Arial" w:hAnsi="Arial"/>
          <w:sz w:val="17"/>
          <w:szCs w:val="17"/>
          <w:color w:val="auto"/>
        </w:rPr>
      </w:pPr>
    </w:p>
    <w:p>
      <w:pPr>
        <w:ind w:left="920" w:right="240" w:hanging="212"/>
        <w:spacing w:after="0" w:line="248" w:lineRule="auto"/>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Garment Care Hardware: </w:t>
      </w:r>
      <w:r>
        <w:rPr>
          <w:rFonts w:ascii="Arial" w:cs="Arial" w:eastAsia="Arial" w:hAnsi="Arial"/>
          <w:sz w:val="18"/>
          <w:szCs w:val="18"/>
          <w:color w:val="auto"/>
        </w:rPr>
        <w:t>Our facilities are equipped with a curated set of 470 pieces of digitally integrated garment care</w:t>
      </w:r>
      <w:r>
        <w:rPr>
          <w:rFonts w:ascii="Arial" w:cs="Arial" w:eastAsia="Arial" w:hAnsi="Arial"/>
          <w:sz w:val="18"/>
          <w:szCs w:val="18"/>
          <w:b w:val="1"/>
          <w:bCs w:val="1"/>
          <w:color w:val="auto"/>
        </w:rPr>
        <w:t xml:space="preserve"> </w:t>
      </w:r>
      <w:r>
        <w:rPr>
          <w:rFonts w:ascii="Arial" w:cs="Arial" w:eastAsia="Arial" w:hAnsi="Arial"/>
          <w:sz w:val="18"/>
          <w:szCs w:val="18"/>
          <w:color w:val="auto"/>
        </w:rPr>
        <w:t>hardware including wet cleaning, dry cleaning and spray cleaning machines; dryers, steam tunnels, pressers, spotting boards, auto-baggers and commercial sewing machines.</w:t>
      </w:r>
    </w:p>
    <w:p>
      <w:pPr>
        <w:spacing w:after="0" w:line="79" w:lineRule="exact"/>
        <w:rPr>
          <w:rFonts w:ascii="Arial" w:cs="Arial" w:eastAsia="Arial" w:hAnsi="Arial"/>
          <w:sz w:val="18"/>
          <w:szCs w:val="18"/>
          <w:color w:val="auto"/>
        </w:rPr>
      </w:pPr>
    </w:p>
    <w:p>
      <w:pPr>
        <w:ind w:left="920" w:right="40" w:hanging="212"/>
        <w:spacing w:after="0" w:line="243" w:lineRule="auto"/>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Processing: </w:t>
      </w:r>
      <w:r>
        <w:rPr>
          <w:rFonts w:ascii="Arial" w:cs="Arial" w:eastAsia="Arial" w:hAnsi="Arial"/>
          <w:sz w:val="18"/>
          <w:szCs w:val="18"/>
          <w:color w:val="auto"/>
        </w:rPr>
        <w:t>Garments flow through the facility on both rail and belt-driven conveyance guided by RFID tags linked to a massive</w:t>
      </w:r>
      <w:r>
        <w:rPr>
          <w:rFonts w:ascii="Arial" w:cs="Arial" w:eastAsia="Arial" w:hAnsi="Arial"/>
          <w:sz w:val="18"/>
          <w:szCs w:val="18"/>
          <w:b w:val="1"/>
          <w:bCs w:val="1"/>
          <w:color w:val="auto"/>
        </w:rPr>
        <w:t xml:space="preserve"> </w:t>
      </w:r>
      <w:r>
        <w:rPr>
          <w:rFonts w:ascii="Arial" w:cs="Arial" w:eastAsia="Arial" w:hAnsi="Arial"/>
          <w:sz w:val="18"/>
          <w:szCs w:val="18"/>
          <w:color w:val="auto"/>
        </w:rPr>
        <w:t>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 in our DFCs.</w:t>
      </w:r>
    </w:p>
    <w:p>
      <w:pPr>
        <w:spacing w:after="0" w:line="83" w:lineRule="exact"/>
        <w:rPr>
          <w:rFonts w:ascii="Arial" w:cs="Arial" w:eastAsia="Arial" w:hAnsi="Arial"/>
          <w:sz w:val="18"/>
          <w:szCs w:val="18"/>
          <w:color w:val="auto"/>
        </w:rPr>
      </w:pPr>
    </w:p>
    <w:p>
      <w:pPr>
        <w:ind w:left="920" w:right="260" w:hanging="212"/>
        <w:spacing w:after="0" w:line="243" w:lineRule="auto"/>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Proven Scalability: </w:t>
      </w:r>
      <w:r>
        <w:rPr>
          <w:rFonts w:ascii="Arial" w:cs="Arial" w:eastAsia="Arial" w:hAnsi="Arial"/>
          <w:sz w:val="18"/>
          <w:szCs w:val="18"/>
          <w:color w:val="auto"/>
        </w:rPr>
        <w:t>Our infrastructure is highly scalable. Our existing facilities have the physical capacity to process over two</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units per week and we expect our weekly processing capacity to increase over time. We believe that the process improvements we made over COVID-19 enable us to expand our capacity to handle approximately 4x what our maximum subscriber count was in fiscal year 2019 in our two current facilities.</w:t>
      </w:r>
    </w:p>
    <w:p>
      <w:pPr>
        <w:spacing w:after="0" w:line="83" w:lineRule="exact"/>
        <w:rPr>
          <w:rFonts w:ascii="Arial" w:cs="Arial" w:eastAsia="Arial" w:hAnsi="Arial"/>
          <w:sz w:val="18"/>
          <w:szCs w:val="18"/>
          <w:color w:val="auto"/>
        </w:rPr>
      </w:pPr>
    </w:p>
    <w:p>
      <w:pPr>
        <w:ind w:left="920" w:right="140" w:hanging="212"/>
        <w:spacing w:after="0" w:line="264" w:lineRule="auto"/>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Transportation Management: </w:t>
      </w:r>
      <w:r>
        <w:rPr>
          <w:rFonts w:ascii="Arial" w:cs="Arial" w:eastAsia="Arial" w:hAnsi="Arial"/>
          <w:sz w:val="18"/>
          <w:szCs w:val="18"/>
          <w:color w:val="auto"/>
        </w:rPr>
        <w:t>We partner with a wide variety of national, regional and local last mile service providers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close the loop between our Dream Fulfillment Centers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6"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40" w:right="140"/>
        <w:spacing w:after="0" w:line="239" w:lineRule="auto"/>
        <w:rPr>
          <w:sz w:val="20"/>
          <w:szCs w:val="20"/>
          <w:color w:val="auto"/>
        </w:rPr>
      </w:pPr>
      <w:r>
        <w:rPr>
          <w:rFonts w:ascii="Arial" w:cs="Arial" w:eastAsia="Arial" w:hAnsi="Arial"/>
          <w:sz w:val="18"/>
          <w:szCs w:val="18"/>
          <w:color w:val="auto"/>
        </w:rPr>
        <w:t>and our customers. Our transportation management system allows us to rate shop across these providers and opt into the best shipping method based upon cost and capacity.</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Total Addressable Market</w:t>
      </w:r>
    </w:p>
    <w:p>
      <w:pPr>
        <w:spacing w:after="0" w:line="229" w:lineRule="exact"/>
        <w:rPr>
          <w:sz w:val="20"/>
          <w:szCs w:val="20"/>
          <w:color w:val="auto"/>
        </w:rPr>
      </w:pPr>
    </w:p>
    <w:p>
      <w:pPr>
        <w:ind w:left="180" w:right="100" w:firstLine="545"/>
        <w:spacing w:after="0" w:line="236" w:lineRule="auto"/>
        <w:rPr>
          <w:sz w:val="20"/>
          <w:szCs w:val="20"/>
          <w:color w:val="auto"/>
        </w:rPr>
      </w:pPr>
      <w:r>
        <w:rPr>
          <w:rFonts w:ascii="Arial" w:cs="Arial" w:eastAsia="Arial" w:hAnsi="Arial"/>
          <w:sz w:val="18"/>
          <w:szCs w:val="18"/>
          <w:color w:val="auto"/>
        </w:rPr>
        <w:t>Apparel is a large market that is rapidly shifting online. According to Euromonitor, the U.S. apparel market was $286 billion in 2020 of which 37% or $107 billion is online. The online U.S. apparel market is expected to grow at a 12% CAGR compared to the overall apparel market, which is expected to grow at a 3% CAGR between 2020 and 2025. In 2025, the U.S. apparel market is expected to be $395 billion of which 49% or $192 billion is expected to be online.</w:t>
      </w:r>
      <w:r>
        <w:rPr>
          <w:rFonts w:ascii="Arial" w:cs="Arial" w:eastAsia="Arial" w:hAnsi="Arial"/>
          <w:sz w:val="15"/>
          <w:szCs w:val="15"/>
          <w:color w:val="auto"/>
        </w:rPr>
        <w:t>27</w:t>
      </w:r>
    </w:p>
    <w:p>
      <w:pPr>
        <w:spacing w:after="0" w:line="201"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color w:val="auto"/>
        </w:rPr>
        <w:t>We address the secondhand market, which is the fastest growing portion of the apparel market today. According to GlobalData, this market is at $27 billion in 2020 and is expected to increase to $ 77 billion in 2025, growing at a 23% CAGR. We are changing consumer purchasing behavior by creating a sharing economy for fashion and believe we will contribute to the growth of this market.</w:t>
      </w:r>
    </w:p>
    <w:p>
      <w:pPr>
        <w:spacing w:after="0" w:line="202" w:lineRule="exact"/>
        <w:rPr>
          <w:sz w:val="20"/>
          <w:szCs w:val="20"/>
          <w:color w:val="auto"/>
        </w:rPr>
      </w:pPr>
    </w:p>
    <w:p>
      <w:pPr>
        <w:ind w:left="180" w:right="160" w:firstLine="545"/>
        <w:spacing w:after="0" w:line="246" w:lineRule="auto"/>
        <w:rPr>
          <w:sz w:val="20"/>
          <w:szCs w:val="20"/>
          <w:color w:val="auto"/>
        </w:rPr>
      </w:pPr>
      <w:r>
        <w:rPr>
          <w:rFonts w:ascii="Arial" w:cs="Arial" w:eastAsia="Arial" w:hAnsi="Arial"/>
          <w:sz w:val="17"/>
          <w:szCs w:val="17"/>
          <w:color w:val="auto"/>
        </w:rPr>
        <w:t>We believe we are in the early innings of this opportunity. As of the end of fiscal year 2019 and 2020, we had 147,866 and 95,245 total subscribers (which includes both active and paused), respectively. Since 2009, we have had over 2.5 million lifetime customers</w:t>
      </w:r>
    </w:p>
    <w:p>
      <w:pPr>
        <w:ind w:left="180" w:right="120"/>
        <w:spacing w:after="0" w:line="239" w:lineRule="auto"/>
        <w:rPr>
          <w:sz w:val="20"/>
          <w:szCs w:val="20"/>
          <w:color w:val="auto"/>
        </w:rPr>
      </w:pPr>
      <w:r>
        <w:rPr>
          <w:rFonts w:ascii="Arial" w:cs="Arial" w:eastAsia="Arial" w:hAnsi="Arial"/>
          <w:sz w:val="18"/>
          <w:szCs w:val="18"/>
          <w:color w:val="auto"/>
        </w:rPr>
        <w:t>across all of our offerings, and as of July 31, 2021, we had over total subscribers, representing less than % of the total population of women aged 18 and above in the U.S.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key elements of our growth strategy are:</w:t>
      </w:r>
    </w:p>
    <w:p>
      <w:pPr>
        <w:spacing w:after="0" w:line="92" w:lineRule="exact"/>
        <w:rPr>
          <w:sz w:val="20"/>
          <w:szCs w:val="20"/>
          <w:color w:val="auto"/>
        </w:rPr>
      </w:pPr>
    </w:p>
    <w:p>
      <w:pPr>
        <w:ind w:left="920" w:right="20" w:hanging="212"/>
        <w:spacing w:after="0" w:line="243"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Subscribers: </w:t>
      </w:r>
      <w:r>
        <w:rPr>
          <w:rFonts w:ascii="Arial" w:cs="Arial" w:eastAsia="Arial" w:hAnsi="Arial"/>
          <w:sz w:val="18"/>
          <w:szCs w:val="18"/>
          <w:color w:val="auto"/>
        </w:rPr>
        <w:t>We have experienced success growing our subscriber base and as of July 31, 2021, we had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We believe we have significant runway ahead of us given our customers span broad geographic and age ranges. With our differentiated brand and organic virality, strong funnel of new customers through Reserve and Resale and our continued focus on marketing efficiency, we are focused on growing our subscriber base.</w:t>
      </w:r>
    </w:p>
    <w:p>
      <w:pPr>
        <w:spacing w:after="0" w:line="83" w:lineRule="exact"/>
        <w:rPr>
          <w:rFonts w:ascii="Arial" w:cs="Arial" w:eastAsia="Arial" w:hAnsi="Arial"/>
          <w:sz w:val="18"/>
          <w:szCs w:val="18"/>
          <w:color w:val="auto"/>
        </w:rPr>
      </w:pPr>
    </w:p>
    <w:p>
      <w:pPr>
        <w:ind w:left="920" w:hanging="212"/>
        <w:spacing w:after="0" w:line="239"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Assortment by Adding New Brand Partners and Deepening Existing Brand Partner Relationships: </w:t>
      </w:r>
      <w:r>
        <w:rPr>
          <w:rFonts w:ascii="Arial" w:cs="Arial" w:eastAsia="Arial" w:hAnsi="Arial"/>
          <w:sz w:val="18"/>
          <w:szCs w:val="18"/>
          <w:color w:val="auto"/>
        </w:rPr>
        <w:t>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expanding our product assortment and in particular, we intend to accelerate our capex-light partnerships via Share by RTR and Exclusive Designs. Having a broader assortment choice for our customers has the potential to increase both the engagement and loyalty of our current subscribers and accelerate growth of new subscribers. We also have the opportunity to carry broader assortments from the more than 750 brand partners on our platform as we typically bring in less than 10% of a brand partner’s total available styles initially.</w:t>
      </w:r>
    </w:p>
    <w:p>
      <w:pPr>
        <w:spacing w:after="0" w:line="85" w:lineRule="exact"/>
        <w:rPr>
          <w:rFonts w:ascii="Arial" w:cs="Arial" w:eastAsia="Arial" w:hAnsi="Arial"/>
          <w:sz w:val="18"/>
          <w:szCs w:val="18"/>
          <w:color w:val="auto"/>
        </w:rPr>
      </w:pPr>
    </w:p>
    <w:p>
      <w:pPr>
        <w:ind w:left="920" w:right="40" w:hanging="212"/>
        <w:spacing w:after="0" w:line="243"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the Customer Experience: </w:t>
      </w:r>
      <w:r>
        <w:rPr>
          <w:rFonts w:ascii="Arial" w:cs="Arial" w:eastAsia="Arial" w:hAnsi="Arial"/>
          <w:sz w:val="18"/>
          <w:szCs w:val="18"/>
          <w:color w:val="auto"/>
        </w:rPr>
        <w:t>By continuing to improve our customer experience, we aim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83" w:lineRule="exact"/>
        <w:rPr>
          <w:rFonts w:ascii="Arial" w:cs="Arial" w:eastAsia="Arial" w:hAnsi="Arial"/>
          <w:sz w:val="18"/>
          <w:szCs w:val="18"/>
          <w:color w:val="auto"/>
        </w:rPr>
      </w:pPr>
    </w:p>
    <w:p>
      <w:pPr>
        <w:ind w:left="920" w:right="120" w:hanging="212"/>
        <w:spacing w:after="0" w:line="248"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Launch New Categories and Offerings: </w:t>
      </w:r>
      <w:r>
        <w:rPr>
          <w:rFonts w:ascii="Arial" w:cs="Arial" w:eastAsia="Arial" w:hAnsi="Arial"/>
          <w:sz w:val="18"/>
          <w:szCs w:val="18"/>
          <w:color w:val="auto"/>
        </w:rPr>
        <w:t>Our flexible membership platform and physical logistical infrastructure means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launch new categories and offerings that resonate with our customers and their lifestyles. For example, over 30% of our customers have children or are pregnant. In fiscal year 2019, our test launch for our kids category was successful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73660</wp:posOffset>
            </wp:positionV>
            <wp:extent cx="755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49" w:lineRule="exact"/>
        <w:rPr>
          <w:sz w:val="20"/>
          <w:szCs w:val="20"/>
          <w:color w:val="auto"/>
        </w:rPr>
      </w:pPr>
    </w:p>
    <w:p>
      <w:pPr>
        <w:ind w:left="700" w:hanging="526"/>
        <w:spacing w:after="0"/>
        <w:tabs>
          <w:tab w:leader="none" w:pos="700" w:val="left"/>
        </w:tabs>
        <w:numPr>
          <w:ilvl w:val="0"/>
          <w:numId w:val="124"/>
        </w:numPr>
        <w:rPr>
          <w:rFonts w:ascii="Arial" w:cs="Arial" w:eastAsia="Arial" w:hAnsi="Arial"/>
          <w:sz w:val="24"/>
          <w:szCs w:val="24"/>
          <w:color w:val="auto"/>
          <w:vertAlign w:val="superscript"/>
        </w:rPr>
      </w:pPr>
      <w:r>
        <w:rPr>
          <w:rFonts w:ascii="Arial" w:cs="Arial" w:eastAsia="Arial" w:hAnsi="Arial"/>
          <w:sz w:val="14"/>
          <w:szCs w:val="14"/>
          <w:color w:val="auto"/>
        </w:rPr>
        <w:t>Euromonitor Apparel &amp; Footwear 2021.</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6"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40"/>
        <w:spacing w:after="0" w:line="236" w:lineRule="auto"/>
        <w:rPr>
          <w:sz w:val="20"/>
          <w:szCs w:val="20"/>
          <w:color w:val="auto"/>
        </w:rPr>
      </w:pPr>
      <w:r>
        <w:rPr>
          <w:rFonts w:ascii="Arial" w:cs="Arial" w:eastAsia="Arial" w:hAnsi="Arial"/>
          <w:sz w:val="18"/>
          <w:szCs w:val="18"/>
          <w:color w:val="auto"/>
        </w:rPr>
        <w:t>we continue to carry kids products on our platform. Having a broader selection of categories for our customers increases both the engagement and loyalty of our current subscribers and accelerates growth of new subscribers. We plan to continue to invest in these categories, expanding with existing and new brand partners, and growing our offerings within rental and resale. We may also choose to expand our platform through partnerships, joint ventures or acquisitions.</w:t>
      </w:r>
    </w:p>
    <w:p>
      <w:pPr>
        <w:spacing w:after="0" w:line="86" w:lineRule="exact"/>
        <w:rPr>
          <w:sz w:val="20"/>
          <w:szCs w:val="20"/>
          <w:color w:val="auto"/>
        </w:rPr>
      </w:pPr>
    </w:p>
    <w:p>
      <w:pPr>
        <w:ind w:left="920" w:right="40" w:hanging="212"/>
        <w:spacing w:after="0" w:line="239" w:lineRule="auto"/>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our Brand Partner Marketplace Enablement Tools: </w:t>
      </w:r>
      <w:r>
        <w:rPr>
          <w:rFonts w:ascii="Arial" w:cs="Arial" w:eastAsia="Arial" w:hAnsi="Arial"/>
          <w:sz w:val="18"/>
          <w:szCs w:val="18"/>
          <w:color w:val="auto"/>
        </w:rPr>
        <w:t>Our goal is to help our brands build bigger businesses both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off our platform. We intend to continue to expand Share by RTR and provide more tools to our brand partners to grow their businesses and assortments across subscription, rental and resale. This includes building upon the quarterly data packs already provided to each brand partner. Additionally, as consumers and brands become more comfortable with our platform, the opportunity exists to leverage the operating system we have built to power rental, resale and subscription for our brand partners in their own DTC channels.</w:t>
      </w:r>
    </w:p>
    <w:p>
      <w:pPr>
        <w:spacing w:after="0" w:line="85" w:lineRule="exact"/>
        <w:rPr>
          <w:rFonts w:ascii="Arial" w:cs="Arial" w:eastAsia="Arial" w:hAnsi="Arial"/>
          <w:sz w:val="18"/>
          <w:szCs w:val="18"/>
          <w:color w:val="auto"/>
        </w:rPr>
      </w:pPr>
    </w:p>
    <w:p>
      <w:pPr>
        <w:ind w:left="920" w:right="40" w:hanging="212"/>
        <w:spacing w:after="0" w:line="248" w:lineRule="auto"/>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Drive Leverage in Operational Efficiency</w:t>
      </w:r>
      <w:r>
        <w:rPr>
          <w:rFonts w:ascii="Arial" w:cs="Arial" w:eastAsia="Arial" w:hAnsi="Arial"/>
          <w:sz w:val="18"/>
          <w:szCs w:val="18"/>
          <w:color w:val="auto"/>
        </w:rPr>
        <w:t>: We plan to continue to leverage our treasure trove of data through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automation of our operations. We are focused on using our data to drive actionable insights and improve key operations such as item longevity, fulfillment and garment science while optimizing our return on investment for each individual SKU.</w:t>
      </w:r>
    </w:p>
    <w:p>
      <w:pPr>
        <w:spacing w:after="0" w:line="79" w:lineRule="exact"/>
        <w:rPr>
          <w:rFonts w:ascii="Arial" w:cs="Arial" w:eastAsia="Arial" w:hAnsi="Arial"/>
          <w:sz w:val="18"/>
          <w:szCs w:val="18"/>
          <w:color w:val="auto"/>
        </w:rPr>
      </w:pPr>
    </w:p>
    <w:p>
      <w:pPr>
        <w:ind w:left="920" w:right="360" w:hanging="212"/>
        <w:spacing w:after="0" w:line="243" w:lineRule="auto"/>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Our brand partners are focused on ways to grow with us and continue to approach us to help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 their customer bases internationally. Similarly, our research indicates there are large potential customer segments internationally. We may invest in creating a sharing economy of physical goods around the world. We may choose to do this organically or through partnerships and acquisitions.</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ESG (Environmental, Social, and Governance) Impact Summary</w:t>
      </w:r>
    </w:p>
    <w:p>
      <w:pPr>
        <w:spacing w:after="0" w:line="229" w:lineRule="exact"/>
        <w:rPr>
          <w:sz w:val="20"/>
          <w:szCs w:val="20"/>
          <w:color w:val="auto"/>
        </w:rPr>
      </w:pPr>
    </w:p>
    <w:p>
      <w:pPr>
        <w:ind w:left="180" w:right="60" w:firstLine="545"/>
        <w:spacing w:after="0" w:line="237" w:lineRule="auto"/>
        <w:rPr>
          <w:sz w:val="20"/>
          <w:szCs w:val="20"/>
          <w:color w:val="auto"/>
        </w:rPr>
      </w:pPr>
      <w:r>
        <w:rPr>
          <w:rFonts w:ascii="Arial" w:cs="Arial" w:eastAsia="Arial" w:hAnsi="Arial"/>
          <w:sz w:val="18"/>
          <w:szCs w:val="18"/>
          <w:color w:val="auto"/>
        </w:rPr>
        <w:t>Our mission has remained the same since our founding: powering women to feel their best every day. We believe our platform is powering a new frontier for fashion, one in which women buy less and wear more, disrupting a centuries old industry and contributing to a more sustainable future.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Environmental Impact</w:t>
      </w:r>
    </w:p>
    <w:p>
      <w:pPr>
        <w:spacing w:after="0" w:line="100" w:lineRule="exact"/>
        <w:rPr>
          <w:sz w:val="20"/>
          <w:szCs w:val="20"/>
          <w:color w:val="auto"/>
        </w:rPr>
      </w:pPr>
    </w:p>
    <w:p>
      <w:pPr>
        <w:jc w:val="both"/>
        <w:ind w:left="180" w:right="220" w:firstLine="545"/>
        <w:spacing w:after="0" w:line="248" w:lineRule="auto"/>
        <w:rPr>
          <w:sz w:val="20"/>
          <w:szCs w:val="20"/>
          <w:color w:val="auto"/>
        </w:rPr>
      </w:pPr>
      <w:r>
        <w:rPr>
          <w:rFonts w:ascii="Arial" w:cs="Arial" w:eastAsia="Arial" w:hAnsi="Arial"/>
          <w:sz w:val="18"/>
          <w:szCs w:val="18"/>
          <w:b w:val="1"/>
          <w:bCs w:val="1"/>
          <w:i w:val="1"/>
          <w:iCs w:val="1"/>
          <w:color w:val="auto"/>
        </w:rPr>
        <w:t>Driving A Paradigm Shift in Consumption to Protect Our Planet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negative environmental impacts of the fashion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well documented and raise concerns that business-as-usual linear models, which generate significant waste and require substantial natural resources, cannot be sustained.</w:t>
      </w:r>
    </w:p>
    <w:p>
      <w:pPr>
        <w:spacing w:after="0" w:line="195"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According to the Ellen MacArthur Foundation, or EMF, from 2002 to 2017, global clothing production approximately doubled but utilization decreased by 36%.</w:t>
      </w:r>
      <w:r>
        <w:rPr>
          <w:rFonts w:ascii="Arial" w:cs="Arial" w:eastAsia="Arial" w:hAnsi="Arial"/>
          <w:sz w:val="15"/>
          <w:szCs w:val="15"/>
          <w:color w:val="auto"/>
        </w:rPr>
        <w:t>28</w:t>
      </w:r>
      <w:r>
        <w:rPr>
          <w:rFonts w:ascii="Arial" w:cs="Arial" w:eastAsia="Arial" w:hAnsi="Arial"/>
          <w:sz w:val="18"/>
          <w:szCs w:val="18"/>
          <w:color w:val="auto"/>
        </w:rPr>
        <w:t xml:space="preserve"> EMF estimates that in a business-as-usual scenario, more than 150 million tons of clothing would be landfilled or burned in 2050 - with the weight of clothing produced between 2015 and 2050 accumulating to more than ten times that of the aggregate weight of the world’s population in 2017.</w:t>
      </w:r>
      <w:r>
        <w:rPr>
          <w:rFonts w:ascii="Arial" w:cs="Arial" w:eastAsia="Arial" w:hAnsi="Arial"/>
          <w:sz w:val="15"/>
          <w:szCs w:val="15"/>
          <w:color w:val="auto"/>
        </w:rPr>
        <w:t>29</w:t>
      </w:r>
    </w:p>
    <w:p>
      <w:pPr>
        <w:spacing w:after="0" w:line="201" w:lineRule="exact"/>
        <w:rPr>
          <w:sz w:val="20"/>
          <w:szCs w:val="20"/>
          <w:color w:val="auto"/>
        </w:rPr>
      </w:pPr>
    </w:p>
    <w:p>
      <w:pPr>
        <w:jc w:val="both"/>
        <w:ind w:left="180" w:right="280" w:firstLine="545"/>
        <w:spacing w:after="0" w:line="237" w:lineRule="auto"/>
        <w:rPr>
          <w:sz w:val="20"/>
          <w:szCs w:val="20"/>
          <w:color w:val="auto"/>
        </w:rPr>
      </w:pPr>
      <w:r>
        <w:rPr>
          <w:rFonts w:ascii="Arial" w:cs="Arial" w:eastAsia="Arial" w:hAnsi="Arial"/>
          <w:sz w:val="18"/>
          <w:szCs w:val="18"/>
          <w:color w:val="auto"/>
        </w:rPr>
        <w:t>Textile production is energy- and water-intensive, and EMF estimates that textile production resulted in 1.2 billion tons of carbon dioxide (CO2) equivalent in 2015, more than the emissions from all international flights and maritime shipping combined that year, and uses around 93 billion cubic meters of water annually, contributing to water scarcity in many regions of the world.</w:t>
      </w: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45" w:lineRule="exact"/>
        <w:rPr>
          <w:sz w:val="20"/>
          <w:szCs w:val="20"/>
          <w:color w:val="auto"/>
        </w:rPr>
      </w:pPr>
    </w:p>
    <w:p>
      <w:pPr>
        <w:ind w:left="700" w:hanging="526"/>
        <w:spacing w:after="0"/>
        <w:tabs>
          <w:tab w:leader="none" w:pos="700" w:val="left"/>
        </w:tabs>
        <w:numPr>
          <w:ilvl w:val="0"/>
          <w:numId w:val="126"/>
        </w:numPr>
        <w:rPr>
          <w:rFonts w:ascii="Arial" w:cs="Arial" w:eastAsia="Arial" w:hAnsi="Arial"/>
          <w:sz w:val="24"/>
          <w:szCs w:val="24"/>
          <w:color w:val="auto"/>
          <w:vertAlign w:val="superscript"/>
        </w:rPr>
      </w:pPr>
      <w:r>
        <w:rPr>
          <w:rFonts w:ascii="Arial" w:cs="Arial" w:eastAsia="Arial" w:hAnsi="Arial"/>
          <w:sz w:val="14"/>
          <w:szCs w:val="14"/>
          <w:color w:val="auto"/>
        </w:rPr>
        <w:t>Ellen MacArthur Foundation, A New Textiles Economy: Redesigning Fashion’s Future, 2017.</w:t>
      </w:r>
    </w:p>
    <w:p>
      <w:pPr>
        <w:ind w:left="700" w:hanging="526"/>
        <w:spacing w:after="0" w:line="185" w:lineRule="auto"/>
        <w:tabs>
          <w:tab w:leader="none" w:pos="700" w:val="left"/>
        </w:tabs>
        <w:numPr>
          <w:ilvl w:val="0"/>
          <w:numId w:val="126"/>
        </w:numPr>
        <w:rPr>
          <w:rFonts w:ascii="Arial" w:cs="Arial" w:eastAsia="Arial" w:hAnsi="Arial"/>
          <w:sz w:val="18"/>
          <w:szCs w:val="18"/>
          <w:color w:val="auto"/>
          <w:vertAlign w:val="superscript"/>
        </w:rPr>
      </w:pPr>
      <w:r>
        <w:rPr>
          <w:rFonts w:ascii="Arial" w:cs="Arial" w:eastAsia="Arial" w:hAnsi="Arial"/>
          <w:sz w:val="11"/>
          <w:szCs w:val="11"/>
          <w:color w:val="auto"/>
        </w:rPr>
        <w:t>Based on an estimated weight of the 2017 world’s population of 300 million tons.</w:t>
      </w:r>
    </w:p>
    <w:p>
      <w:pPr>
        <w:ind w:left="700" w:hanging="526"/>
        <w:spacing w:after="0" w:line="187" w:lineRule="auto"/>
        <w:tabs>
          <w:tab w:leader="none" w:pos="700" w:val="left"/>
        </w:tabs>
        <w:numPr>
          <w:ilvl w:val="0"/>
          <w:numId w:val="126"/>
        </w:numPr>
        <w:rPr>
          <w:rFonts w:ascii="Arial" w:cs="Arial" w:eastAsia="Arial" w:hAnsi="Arial"/>
          <w:sz w:val="19"/>
          <w:szCs w:val="19"/>
          <w:color w:val="auto"/>
          <w:vertAlign w:val="superscript"/>
        </w:rPr>
      </w:pPr>
      <w:r>
        <w:rPr>
          <w:rFonts w:ascii="Arial" w:cs="Arial" w:eastAsia="Arial" w:hAnsi="Arial"/>
          <w:sz w:val="12"/>
          <w:szCs w:val="12"/>
          <w:color w:val="auto"/>
        </w:rPr>
        <w:t>EMF estimate includes cotton farming.</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40"/>
          </w:cols>
          <w:pgMar w:left="320" w:top="456" w:right="5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00" w:firstLine="545"/>
        <w:spacing w:after="0" w:line="234" w:lineRule="auto"/>
        <w:rPr>
          <w:sz w:val="20"/>
          <w:szCs w:val="20"/>
          <w:color w:val="auto"/>
        </w:rPr>
      </w:pPr>
      <w:r>
        <w:rPr>
          <w:rFonts w:ascii="Arial" w:cs="Arial" w:eastAsia="Arial" w:hAnsi="Arial"/>
          <w:sz w:val="18"/>
          <w:szCs w:val="18"/>
          <w:color w:val="auto"/>
        </w:rPr>
        <w:t>These realities have accelerated the need for change, and specifically for innovative business models that curb the environmental impacts of the industry. According to a 2020 study published by McKinsey &amp; Co. and the Global Fashion Agenda (GFA), circular business models including rental, re-commerce, repair and refurbishment could enable the industry to cut approximately 143 million tons of Greenhouse Gas (GHG) emissions by 2030 (out of the estimated 2.1 billion tons the industry generates).</w:t>
      </w:r>
      <w:r>
        <w:rPr>
          <w:rFonts w:ascii="Arial" w:cs="Arial" w:eastAsia="Arial" w:hAnsi="Arial"/>
          <w:sz w:val="15"/>
          <w:szCs w:val="15"/>
          <w:color w:val="auto"/>
        </w:rPr>
        <w:t>31</w:t>
      </w:r>
      <w:r>
        <w:rPr>
          <w:rFonts w:ascii="Arial" w:cs="Arial" w:eastAsia="Arial" w:hAnsi="Arial"/>
          <w:sz w:val="18"/>
          <w:szCs w:val="18"/>
          <w:color w:val="auto"/>
        </w:rPr>
        <w:t xml:space="preserve"> Their analysis also found that one in five garments will need to be traded through circular business models in order for the industry to achieve a 1.5 degree pathway by 2030 (limiting global warming to less than 1.5 degrees Celsius above pre-industrial levels), a goal set forth by the United Nations Paris Climate Accord.</w:t>
      </w:r>
      <w:r>
        <w:rPr>
          <w:rFonts w:ascii="Arial" w:cs="Arial" w:eastAsia="Arial" w:hAnsi="Arial"/>
          <w:sz w:val="15"/>
          <w:szCs w:val="15"/>
          <w:color w:val="auto"/>
        </w:rPr>
        <w:t>32</w:t>
      </w:r>
    </w:p>
    <w:p>
      <w:pPr>
        <w:spacing w:after="0" w:line="204"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believe that our scalable platform, which distinctly offers the options to rent a-la-carte, subscribe and purchase resale, holds significant potential as a key contributor to reducing waste and natural resource consumption. Our ultimate goal is displacement of new clothing, meaning that rental and purchase of “pre-loved” clothing ultimately replaces production of new clothing. We have seen that renting through our shared Closet in the Cloud creates less overall clothing consumption amongst our customer base. Our subscribers consistently indicate that they purchase less new clothing because of our business; as of June 2021, 89% of our subscribers said they buy fewer clothes than they used to prior to joining RTR, with close to one-third of our subscribers saying they buy six to over 20 fewer items of clothing per month since signing up for RTR. Our subscribers also spend less on buying clothes: approximately 60% of our subscribers report spending between $100 and $500 less per month on clothes and at least $25 less on dry cleaning per month when they have a subscription to RTR.</w:t>
      </w:r>
    </w:p>
    <w:p>
      <w:pPr>
        <w:spacing w:after="0" w:line="209"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Our business model aims to teach customers a rent versus buy mindset when it comes to building and maximizing their wardrobes: that they should invest in purchasing high-quality pieces that they will wear with frequency over many years, and that they should rent pieces they will wear less. Notably, 83% of our subscribers have bought less fast fashion since using RTR. We believe the substitution of Rent the Runway for fast fashion has positive sustainability impact as it is estimated that more than half of fast fashion produced is disposed of each year.</w:t>
      </w:r>
      <w:r>
        <w:rPr>
          <w:rFonts w:ascii="Arial" w:cs="Arial" w:eastAsia="Arial" w:hAnsi="Arial"/>
          <w:sz w:val="15"/>
          <w:szCs w:val="15"/>
          <w:color w:val="auto"/>
        </w:rPr>
        <w:t>33</w:t>
      </w:r>
    </w:p>
    <w:p>
      <w:pPr>
        <w:spacing w:after="0" w:line="202" w:lineRule="exact"/>
        <w:rPr>
          <w:sz w:val="20"/>
          <w:szCs w:val="20"/>
          <w:color w:val="auto"/>
        </w:rPr>
      </w:pPr>
    </w:p>
    <w:p>
      <w:pPr>
        <w:jc w:val="both"/>
        <w:ind w:left="180" w:right="120" w:firstLine="545"/>
        <w:spacing w:after="0" w:line="237" w:lineRule="auto"/>
        <w:rPr>
          <w:sz w:val="20"/>
          <w:szCs w:val="20"/>
          <w:color w:val="auto"/>
        </w:rPr>
      </w:pPr>
      <w:r>
        <w:rPr>
          <w:rFonts w:ascii="Arial" w:cs="Arial" w:eastAsia="Arial" w:hAnsi="Arial"/>
          <w:sz w:val="18"/>
          <w:szCs w:val="18"/>
          <w:color w:val="auto"/>
        </w:rPr>
        <w:t>Additionally, we commissioned a first of its kind study in the U.S. with Green Story and SgT, third-party consultants specializing in apparel Life Cycle Assessments, or LCA Study, to assess the environmental impacts of business-as-usual linear models compared to the Rent the Runway rental platform.</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Displacement of New Garment Production</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Using our data provided for the LCA Study, we estimate that our rental model has displaced production of new garments.</w:t>
      </w:r>
    </w:p>
    <w:p>
      <w:pPr>
        <w:ind w:left="180"/>
        <w:spacing w:after="0"/>
        <w:rPr>
          <w:sz w:val="20"/>
          <w:szCs w:val="20"/>
          <w:color w:val="auto"/>
        </w:rPr>
      </w:pPr>
      <w:r>
        <w:rPr>
          <w:rFonts w:ascii="Arial" w:cs="Arial" w:eastAsia="Arial" w:hAnsi="Arial"/>
          <w:sz w:val="18"/>
          <w:szCs w:val="18"/>
          <w:color w:val="auto"/>
        </w:rPr>
        <w:t>Specifically:</w:t>
      </w:r>
    </w:p>
    <w:p>
      <w:pPr>
        <w:spacing w:after="0" w:line="114" w:lineRule="exact"/>
        <w:rPr>
          <w:sz w:val="20"/>
          <w:szCs w:val="20"/>
          <w:color w:val="auto"/>
        </w:rPr>
      </w:pPr>
    </w:p>
    <w:p>
      <w:pPr>
        <w:ind w:left="920" w:right="540" w:hanging="212"/>
        <w:spacing w:after="0" w:line="239" w:lineRule="auto"/>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estimate that approximately 1.3 million total new garments have been displaced since 2010, resulting in the savings of 67.0 million gallons of water, 98.6 million kWh of energy and 44.2 million pounds of CO2 emissions.</w:t>
      </w: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78105</wp:posOffset>
            </wp:positionV>
            <wp:extent cx="755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45" w:lineRule="exact"/>
        <w:rPr>
          <w:sz w:val="20"/>
          <w:szCs w:val="20"/>
          <w:color w:val="auto"/>
        </w:rPr>
      </w:pPr>
    </w:p>
    <w:p>
      <w:pPr>
        <w:ind w:left="700" w:hanging="526"/>
        <w:spacing w:after="0"/>
        <w:tabs>
          <w:tab w:leader="none" w:pos="700" w:val="left"/>
        </w:tabs>
        <w:numPr>
          <w:ilvl w:val="0"/>
          <w:numId w:val="128"/>
        </w:numPr>
        <w:rPr>
          <w:rFonts w:ascii="Arial" w:cs="Arial" w:eastAsia="Arial" w:hAnsi="Arial"/>
          <w:sz w:val="24"/>
          <w:szCs w:val="24"/>
          <w:color w:val="auto"/>
          <w:vertAlign w:val="superscript"/>
        </w:rPr>
      </w:pPr>
      <w:r>
        <w:rPr>
          <w:rFonts w:ascii="Arial" w:cs="Arial" w:eastAsia="Arial" w:hAnsi="Arial"/>
          <w:sz w:val="14"/>
          <w:szCs w:val="14"/>
          <w:color w:val="auto"/>
        </w:rPr>
        <w:t>McKinsey &amp; Co. in partnership with the Global Fashion Agenda, Fashion On Climate, 2020.</w:t>
      </w:r>
    </w:p>
    <w:p>
      <w:pPr>
        <w:ind w:left="700" w:right="80" w:hanging="526"/>
        <w:spacing w:after="0" w:line="180" w:lineRule="auto"/>
        <w:tabs>
          <w:tab w:leader="none" w:pos="700" w:val="left"/>
        </w:tabs>
        <w:numPr>
          <w:ilvl w:val="0"/>
          <w:numId w:val="128"/>
        </w:numPr>
        <w:rPr>
          <w:rFonts w:ascii="Arial" w:cs="Arial" w:eastAsia="Arial" w:hAnsi="Arial"/>
          <w:sz w:val="23"/>
          <w:szCs w:val="23"/>
          <w:color w:val="auto"/>
          <w:vertAlign w:val="superscript"/>
        </w:rPr>
      </w:pPr>
      <w:r>
        <w:rPr>
          <w:rFonts w:ascii="Arial" w:cs="Arial" w:eastAsia="Arial" w:hAnsi="Arial"/>
          <w:sz w:val="14"/>
          <w:szCs w:val="14"/>
          <w:color w:val="auto"/>
        </w:rPr>
        <w:t>An agreement within the United Nations Framework Convention on Climate Change (UNFCCC) developed in 2015. The goal of the agreement is to keep the global average temperature from rising 2°C and preferably to 1.5°C (compared to temperatures pre-industrial revolution) by the end of the century.</w:t>
      </w:r>
    </w:p>
    <w:p>
      <w:pPr>
        <w:spacing w:after="0" w:line="1" w:lineRule="exact"/>
        <w:rPr>
          <w:rFonts w:ascii="Arial" w:cs="Arial" w:eastAsia="Arial" w:hAnsi="Arial"/>
          <w:sz w:val="23"/>
          <w:szCs w:val="23"/>
          <w:color w:val="auto"/>
          <w:vertAlign w:val="superscript"/>
        </w:rPr>
      </w:pPr>
    </w:p>
    <w:p>
      <w:pPr>
        <w:ind w:left="700" w:hanging="526"/>
        <w:spacing w:after="0" w:line="185" w:lineRule="auto"/>
        <w:tabs>
          <w:tab w:leader="none" w:pos="700" w:val="left"/>
        </w:tabs>
        <w:numPr>
          <w:ilvl w:val="0"/>
          <w:numId w:val="128"/>
        </w:numPr>
        <w:rPr>
          <w:rFonts w:ascii="Arial" w:cs="Arial" w:eastAsia="Arial" w:hAnsi="Arial"/>
          <w:sz w:val="18"/>
          <w:szCs w:val="18"/>
          <w:color w:val="auto"/>
          <w:vertAlign w:val="superscript"/>
        </w:rPr>
      </w:pPr>
      <w:r>
        <w:rPr>
          <w:rFonts w:ascii="Arial" w:cs="Arial" w:eastAsia="Arial" w:hAnsi="Arial"/>
          <w:sz w:val="11"/>
          <w:szCs w:val="11"/>
          <w:color w:val="auto"/>
        </w:rPr>
        <w:t>McKinsey &amp; Co., Style That’s Sustainable: A New Fast-Fashion Formula, October 2016.</w:t>
      </w:r>
    </w:p>
    <w:p>
      <w:pPr>
        <w:ind w:left="700" w:right="60" w:hanging="526"/>
        <w:spacing w:after="0" w:line="223" w:lineRule="auto"/>
        <w:tabs>
          <w:tab w:leader="none" w:pos="700" w:val="left"/>
        </w:tabs>
        <w:numPr>
          <w:ilvl w:val="0"/>
          <w:numId w:val="128"/>
        </w:numPr>
        <w:rPr>
          <w:rFonts w:ascii="Arial" w:cs="Arial" w:eastAsia="Arial" w:hAnsi="Arial"/>
          <w:sz w:val="24"/>
          <w:szCs w:val="24"/>
          <w:color w:val="auto"/>
          <w:vertAlign w:val="superscript"/>
        </w:rPr>
      </w:pPr>
      <w:r>
        <w:rPr>
          <w:rFonts w:ascii="Arial" w:cs="Arial" w:eastAsia="Arial" w:hAnsi="Arial"/>
          <w:sz w:val="14"/>
          <w:szCs w:val="14"/>
          <w:color w:val="auto"/>
        </w:rPr>
        <w:t>Displacement by category was calculated by the total amount of wears of RTR products, or Rental Wears, then estimating how many garments otherwise would have been bought and worn in the traditional manner (which is not a rental model, known here as “Linear Wears”) had the RTR Rental Wears not taken place. Specifically, this displacement is calculated by (Rental Wears - Linear Wears) / Linear Wears. The displacement per category was then multiplied by the estimated number of units across all product categories from 2010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 while the savings referenced below under “Environmental Savings”, reflect the difference in environmental savings between purchasing under a rental model as opposed to a linear model.</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320" w:top="456"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340" w:hanging="212"/>
        <w:spacing w:after="0" w:line="239" w:lineRule="auto"/>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estimate that these environmental savings are the equivalent of approximately 134 million days of drinking water, 12,697 U.S. households’ annual electricity usage and 47,737 round trip flights between Newark and Dallas, respectively.</w:t>
      </w:r>
      <w:r>
        <w:rPr>
          <w:rFonts w:ascii="Arial" w:cs="Arial" w:eastAsia="Arial" w:hAnsi="Arial"/>
          <w:sz w:val="15"/>
          <w:szCs w:val="15"/>
          <w:color w:val="auto"/>
        </w:rPr>
        <w:t>35</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Savings</w:t>
      </w:r>
    </w:p>
    <w:p>
      <w:pPr>
        <w:spacing w:after="0" w:line="118" w:lineRule="exact"/>
        <w:rPr>
          <w:sz w:val="20"/>
          <w:szCs w:val="20"/>
          <w:color w:val="auto"/>
        </w:rPr>
      </w:pPr>
    </w:p>
    <w:p>
      <w:pPr>
        <w:ind w:left="180" w:right="720" w:firstLine="545"/>
        <w:spacing w:after="0" w:line="239" w:lineRule="auto"/>
        <w:rPr>
          <w:sz w:val="20"/>
          <w:szCs w:val="20"/>
          <w:color w:val="auto"/>
        </w:rPr>
      </w:pPr>
      <w:r>
        <w:rPr>
          <w:rFonts w:ascii="Arial" w:cs="Arial" w:eastAsia="Arial" w:hAnsi="Arial"/>
          <w:sz w:val="18"/>
          <w:szCs w:val="18"/>
          <w:color w:val="auto"/>
        </w:rPr>
        <w:t>When a customer rents a garment from our Closet in the Cloud, the result is net environmental savings when compared to purchasing as follows:</w:t>
      </w:r>
      <w:r>
        <w:rPr>
          <w:rFonts w:ascii="Arial" w:cs="Arial" w:eastAsia="Arial" w:hAnsi="Arial"/>
          <w:sz w:val="15"/>
          <w:szCs w:val="15"/>
          <w:color w:val="auto"/>
        </w:rPr>
        <w:t>36</w:t>
      </w:r>
    </w:p>
    <w:p>
      <w:pPr>
        <w:spacing w:after="0" w:line="109" w:lineRule="exact"/>
        <w:rPr>
          <w:sz w:val="20"/>
          <w:szCs w:val="20"/>
          <w:color w:val="auto"/>
        </w:rPr>
      </w:pPr>
    </w:p>
    <w:p>
      <w:pPr>
        <w:ind w:left="920" w:right="40" w:hanging="212"/>
        <w:spacing w:after="0" w:line="237" w:lineRule="auto"/>
        <w:tabs>
          <w:tab w:leader="none" w:pos="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LCA Study found environmental savings on a per wear basis when compared to purchasing a new garment. Overall, across all 12 categories studied, we estimate net environmental savings of a 24% reduction in water usage, a 6% reduction in kWh of energy usage, and 3% reduction in pounds of CO2 emissions for one rental garment.</w:t>
      </w:r>
      <w:r>
        <w:rPr>
          <w:rFonts w:ascii="Arial" w:cs="Arial" w:eastAsia="Arial" w:hAnsi="Arial"/>
          <w:sz w:val="15"/>
          <w:szCs w:val="15"/>
          <w:color w:val="auto"/>
        </w:rPr>
        <w:t>37</w:t>
      </w:r>
    </w:p>
    <w:p>
      <w:pPr>
        <w:spacing w:after="0" w:line="108" w:lineRule="exact"/>
        <w:rPr>
          <w:rFonts w:ascii="Arial" w:cs="Arial" w:eastAsia="Arial" w:hAnsi="Arial"/>
          <w:sz w:val="18"/>
          <w:szCs w:val="18"/>
          <w:color w:val="auto"/>
        </w:rPr>
      </w:pPr>
    </w:p>
    <w:p>
      <w:pPr>
        <w:jc w:val="both"/>
        <w:ind w:left="1360" w:right="320" w:hanging="425"/>
        <w:spacing w:after="0" w:line="256" w:lineRule="auto"/>
        <w:tabs>
          <w:tab w:leader="none" w:pos="136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estimated environmental savings for water, energy, and emissions varied across different categories. For example, renting from certain product categories such as cocktail dresses and sweaters yields significant environmental savings, whereas renting from certain product categories such as jeans and pants does not yield environmental savings.</w:t>
      </w:r>
    </w:p>
    <w:p>
      <w:pPr>
        <w:spacing w:after="0" w:line="95" w:lineRule="exact"/>
        <w:rPr>
          <w:rFonts w:ascii="Arial" w:cs="Arial" w:eastAsia="Arial" w:hAnsi="Arial"/>
          <w:sz w:val="17"/>
          <w:szCs w:val="17"/>
          <w:color w:val="auto"/>
        </w:rPr>
      </w:pPr>
    </w:p>
    <w:p>
      <w:pPr>
        <w:ind w:left="1360" w:right="100" w:hanging="425"/>
        <w:spacing w:after="0" w:line="239" w:lineRule="auto"/>
        <w:tabs>
          <w:tab w:leader="none" w:pos="13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Understanding the nuances between our product categories is key in our efforts to improve the overall number of wears of our products and increase the positive environmental impact of our platform.</w:t>
      </w:r>
    </w:p>
    <w:p>
      <w:pPr>
        <w:spacing w:after="0" w:line="108" w:lineRule="exact"/>
        <w:rPr>
          <w:rFonts w:ascii="Arial" w:cs="Arial" w:eastAsia="Arial" w:hAnsi="Arial"/>
          <w:sz w:val="18"/>
          <w:szCs w:val="18"/>
          <w:color w:val="auto"/>
        </w:rPr>
      </w:pPr>
    </w:p>
    <w:p>
      <w:pPr>
        <w:ind w:left="920" w:right="840" w:hanging="212"/>
        <w:spacing w:after="0" w:line="232" w:lineRule="auto"/>
        <w:tabs>
          <w:tab w:leader="none" w:pos="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approximately 27.1 million wears estimated across all 12 categories since 2010, we estimate that we have saved 54.7 million gallons of water, 33.0 million kWh of energy and</w:t>
      </w:r>
    </w:p>
    <w:p>
      <w:pPr>
        <w:ind w:left="940" w:right="380"/>
        <w:spacing w:after="0" w:line="237" w:lineRule="auto"/>
        <w:rPr>
          <w:rFonts w:ascii="Arial" w:cs="Arial" w:eastAsia="Arial" w:hAnsi="Arial"/>
          <w:sz w:val="18"/>
          <w:szCs w:val="18"/>
          <w:color w:val="auto"/>
        </w:rPr>
      </w:pPr>
      <w:r>
        <w:rPr>
          <w:rFonts w:ascii="Arial" w:cs="Arial" w:eastAsia="Arial" w:hAnsi="Arial"/>
          <w:sz w:val="18"/>
          <w:szCs w:val="18"/>
          <w:color w:val="auto"/>
        </w:rPr>
        <w:t>13.3 million pounds of CO2 emissions.</w:t>
      </w:r>
      <w:r>
        <w:rPr>
          <w:rFonts w:ascii="Arial" w:cs="Arial" w:eastAsia="Arial" w:hAnsi="Arial"/>
          <w:sz w:val="15"/>
          <w:szCs w:val="15"/>
          <w:color w:val="auto"/>
        </w:rPr>
        <w:t>38</w:t>
      </w:r>
      <w:r>
        <w:rPr>
          <w:rFonts w:ascii="Arial" w:cs="Arial" w:eastAsia="Arial" w:hAnsi="Arial"/>
          <w:sz w:val="18"/>
          <w:szCs w:val="18"/>
          <w:color w:val="auto"/>
        </w:rPr>
        <w:t xml:space="preserve"> We estimate that these environmental savings are the equivalent of approximately 109.4 million days of drinking water, 4,250 U.S. households’ annual electricity usage and 14,329 round trip flights between Newark and Dallas.</w:t>
      </w:r>
      <w:r>
        <w:rPr>
          <w:rFonts w:ascii="Arial" w:cs="Arial" w:eastAsia="Arial" w:hAnsi="Arial"/>
          <w:sz w:val="15"/>
          <w:szCs w:val="15"/>
          <w:color w:val="auto"/>
        </w:rPr>
        <w:t>39</w:t>
      </w:r>
    </w:p>
    <w:p>
      <w:pPr>
        <w:spacing w:after="0" w:line="202" w:lineRule="exact"/>
        <w:rPr>
          <w:sz w:val="20"/>
          <w:szCs w:val="20"/>
          <w:color w:val="auto"/>
        </w:rPr>
      </w:pPr>
    </w:p>
    <w:p>
      <w:pPr>
        <w:ind w:left="180" w:right="380" w:firstLine="545"/>
        <w:spacing w:after="0" w:line="237" w:lineRule="auto"/>
        <w:rPr>
          <w:sz w:val="20"/>
          <w:szCs w:val="20"/>
          <w:color w:val="auto"/>
        </w:rPr>
      </w:pPr>
      <w:r>
        <w:rPr>
          <w:rFonts w:ascii="Arial" w:cs="Arial" w:eastAsia="Arial" w:hAnsi="Arial"/>
          <w:sz w:val="18"/>
          <w:szCs w:val="18"/>
          <w:color w:val="auto"/>
        </w:rPr>
        <w:t>While there is no silver bullet to solving the numerous environmental challenges facing the fashion industry, we believe we can harness our platform to fundamentally shift mindsets and behaviors, ultimately leading to higher wears per garment and less overall clothing production.</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Social Impact</w:t>
      </w:r>
    </w:p>
    <w:p>
      <w:pPr>
        <w:spacing w:after="0" w:line="100" w:lineRule="exact"/>
        <w:rPr>
          <w:sz w:val="20"/>
          <w:szCs w:val="20"/>
          <w:color w:val="auto"/>
        </w:rPr>
      </w:pPr>
    </w:p>
    <w:p>
      <w:pPr>
        <w:ind w:left="180" w:firstLine="545"/>
        <w:spacing w:after="0" w:line="243" w:lineRule="auto"/>
        <w:rPr>
          <w:sz w:val="20"/>
          <w:szCs w:val="20"/>
          <w:color w:val="auto"/>
        </w:rPr>
      </w:pPr>
      <w:r>
        <w:rPr>
          <w:rFonts w:ascii="Arial" w:cs="Arial" w:eastAsia="Arial" w:hAnsi="Arial"/>
          <w:sz w:val="18"/>
          <w:szCs w:val="18"/>
          <w:b w:val="1"/>
          <w:bCs w:val="1"/>
          <w:i w:val="1"/>
          <w:iCs w:val="1"/>
          <w:color w:val="auto"/>
        </w:rPr>
        <w:t>Equalizing the Playing Field, While Powering Women to Feel Their Best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it’s commanding a meeting 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performing center-stage or completing a carpool pickup, women have busy and demanding lives that require versatile clothing. Yet despite the significant role women play in driving the global economy, they are disproportionately challenged to dress and feel their best when compared to men.</w:t>
      </w:r>
    </w:p>
    <w:p>
      <w:pPr>
        <w:spacing w:after="0" w:line="199" w:lineRule="exact"/>
        <w:rPr>
          <w:sz w:val="20"/>
          <w:szCs w:val="20"/>
          <w:color w:val="auto"/>
        </w:rPr>
      </w:pPr>
    </w:p>
    <w:p>
      <w:pPr>
        <w:ind w:left="180" w:right="660" w:firstLine="545"/>
        <w:spacing w:after="0" w:line="239" w:lineRule="auto"/>
        <w:rPr>
          <w:sz w:val="20"/>
          <w:szCs w:val="20"/>
          <w:color w:val="auto"/>
        </w:rPr>
      </w:pPr>
      <w:r>
        <w:rPr>
          <w:rFonts w:ascii="Arial" w:cs="Arial" w:eastAsia="Arial" w:hAnsi="Arial"/>
          <w:sz w:val="18"/>
          <w:szCs w:val="18"/>
          <w:color w:val="auto"/>
        </w:rPr>
        <w:t>Consider the “appearance expectation gap.” In many industries, women face greater cultural expectations for their physical appearance at work. There are many unspoken (and sometimes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78105</wp:posOffset>
            </wp:positionV>
            <wp:extent cx="7550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45" w:lineRule="exact"/>
        <w:rPr>
          <w:sz w:val="20"/>
          <w:szCs w:val="20"/>
          <w:color w:val="auto"/>
        </w:rPr>
      </w:pPr>
    </w:p>
    <w:p>
      <w:pPr>
        <w:ind w:left="700" w:hanging="526"/>
        <w:spacing w:after="0"/>
        <w:tabs>
          <w:tab w:leader="none" w:pos="700" w:val="left"/>
        </w:tabs>
        <w:numPr>
          <w:ilvl w:val="0"/>
          <w:numId w:val="131"/>
        </w:numPr>
        <w:rPr>
          <w:rFonts w:ascii="Arial" w:cs="Arial" w:eastAsia="Arial" w:hAnsi="Arial"/>
          <w:sz w:val="24"/>
          <w:szCs w:val="24"/>
          <w:color w:val="auto"/>
          <w:vertAlign w:val="superscript"/>
        </w:rPr>
      </w:pPr>
      <w:r>
        <w:rPr>
          <w:rFonts w:ascii="Arial" w:cs="Arial" w:eastAsia="Arial" w:hAnsi="Arial"/>
          <w:sz w:val="14"/>
          <w:szCs w:val="14"/>
          <w:color w:val="auto"/>
        </w:rPr>
        <w:t>Equivalency estimates were calculated using EPA’s Greenhouse Gas Equivalencies Calculator and data from ICAO.</w:t>
      </w:r>
    </w:p>
    <w:p>
      <w:pPr>
        <w:ind w:left="700" w:right="180" w:hanging="526"/>
        <w:spacing w:after="0" w:line="180" w:lineRule="auto"/>
        <w:tabs>
          <w:tab w:leader="none" w:pos="700" w:val="left"/>
        </w:tabs>
        <w:numPr>
          <w:ilvl w:val="0"/>
          <w:numId w:val="131"/>
        </w:numPr>
        <w:rPr>
          <w:rFonts w:ascii="Arial" w:cs="Arial" w:eastAsia="Arial" w:hAnsi="Arial"/>
          <w:sz w:val="23"/>
          <w:szCs w:val="23"/>
          <w:color w:val="auto"/>
          <w:vertAlign w:val="superscript"/>
        </w:rPr>
      </w:pPr>
      <w:r>
        <w:rPr>
          <w:rFonts w:ascii="Arial" w:cs="Arial" w:eastAsia="Arial" w:hAnsi="Arial"/>
          <w:sz w:val="14"/>
          <w:szCs w:val="14"/>
          <w:color w:val="auto"/>
        </w:rPr>
        <w:t>A garment means one item in the following 12 product categories assessed in the LCA Study: blouses, sweaters, pants, jeans, skirts, jumpsuits, daytime dresses, maxi dresses, gowns, cocktail dresses, jackets and coats.</w:t>
      </w:r>
    </w:p>
    <w:p>
      <w:pPr>
        <w:spacing w:after="0" w:line="1" w:lineRule="exact"/>
        <w:rPr>
          <w:rFonts w:ascii="Arial" w:cs="Arial" w:eastAsia="Arial" w:hAnsi="Arial"/>
          <w:sz w:val="23"/>
          <w:szCs w:val="23"/>
          <w:color w:val="auto"/>
          <w:vertAlign w:val="superscript"/>
        </w:rPr>
      </w:pPr>
    </w:p>
    <w:p>
      <w:pPr>
        <w:ind w:left="700" w:hanging="526"/>
        <w:spacing w:after="0" w:line="180" w:lineRule="auto"/>
        <w:tabs>
          <w:tab w:leader="none" w:pos="700" w:val="left"/>
        </w:tabs>
        <w:numPr>
          <w:ilvl w:val="0"/>
          <w:numId w:val="131"/>
        </w:numPr>
        <w:rPr>
          <w:rFonts w:ascii="Arial" w:cs="Arial" w:eastAsia="Arial" w:hAnsi="Arial"/>
          <w:sz w:val="23"/>
          <w:szCs w:val="23"/>
          <w:color w:val="auto"/>
          <w:vertAlign w:val="superscript"/>
        </w:rPr>
      </w:pPr>
      <w:r>
        <w:rPr>
          <w:rFonts w:ascii="Arial" w:cs="Arial" w:eastAsia="Arial" w:hAnsi="Arial"/>
          <w:sz w:val="14"/>
          <w:szCs w:val="14"/>
          <w:color w:val="auto"/>
        </w:rPr>
        <w:t>Percentage of savings are based on (a) the calculation of individual environmental impact of each category as presented in the LCA, weighted by (b) the percentage of estimated total wears for each of the 12 categories, as measured from 2010 through 2021.</w:t>
      </w:r>
    </w:p>
    <w:p>
      <w:pPr>
        <w:spacing w:after="0" w:line="1" w:lineRule="exact"/>
        <w:rPr>
          <w:rFonts w:ascii="Arial" w:cs="Arial" w:eastAsia="Arial" w:hAnsi="Arial"/>
          <w:sz w:val="23"/>
          <w:szCs w:val="23"/>
          <w:color w:val="auto"/>
          <w:vertAlign w:val="superscript"/>
        </w:rPr>
      </w:pPr>
    </w:p>
    <w:p>
      <w:pPr>
        <w:ind w:left="700" w:hanging="526"/>
        <w:spacing w:after="0" w:line="185" w:lineRule="auto"/>
        <w:tabs>
          <w:tab w:leader="none" w:pos="700" w:val="left"/>
        </w:tabs>
        <w:numPr>
          <w:ilvl w:val="0"/>
          <w:numId w:val="131"/>
        </w:numPr>
        <w:rPr>
          <w:rFonts w:ascii="Arial" w:cs="Arial" w:eastAsia="Arial" w:hAnsi="Arial"/>
          <w:sz w:val="18"/>
          <w:szCs w:val="18"/>
          <w:color w:val="auto"/>
          <w:vertAlign w:val="superscript"/>
        </w:rPr>
      </w:pPr>
      <w:r>
        <w:rPr>
          <w:rFonts w:ascii="Arial" w:cs="Arial" w:eastAsia="Arial" w:hAnsi="Arial"/>
          <w:sz w:val="11"/>
          <w:szCs w:val="11"/>
          <w:color w:val="auto"/>
        </w:rPr>
        <w:t>Based on total number of wears in the 12 product categories measured from 2010 to 2021.</w:t>
      </w:r>
    </w:p>
    <w:p>
      <w:pPr>
        <w:ind w:left="700" w:hanging="526"/>
        <w:spacing w:after="0" w:line="206" w:lineRule="auto"/>
        <w:tabs>
          <w:tab w:leader="none" w:pos="700" w:val="left"/>
        </w:tabs>
        <w:numPr>
          <w:ilvl w:val="0"/>
          <w:numId w:val="131"/>
        </w:numPr>
        <w:rPr>
          <w:rFonts w:ascii="Arial" w:cs="Arial" w:eastAsia="Arial" w:hAnsi="Arial"/>
          <w:sz w:val="24"/>
          <w:szCs w:val="24"/>
          <w:color w:val="auto"/>
          <w:vertAlign w:val="superscript"/>
        </w:rPr>
      </w:pPr>
      <w:r>
        <w:rPr>
          <w:rFonts w:ascii="Arial" w:cs="Arial" w:eastAsia="Arial" w:hAnsi="Arial"/>
          <w:sz w:val="14"/>
          <w:szCs w:val="14"/>
          <w:color w:val="auto"/>
        </w:rPr>
        <w:t>Data extrapolated using results of LCA Study, which used 2019 company data, and total wears for each of the 12 categories measured from 2010 through 2021. These savings calculations reflect the difference in environmental savings between purchasing under a rental model as opposed to a linear model, while the savings referenced above under “Displacement of New Garment Production”, reflect the difference between the rental model and the full environmental cost of purchasing under the linear model. Equivalency estimates were calculated using EPA’s Greenhouse Gas Equivalencies Calculator and data from ICAO.</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5" w:right="5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7" w:lineRule="auto"/>
        <w:rPr>
          <w:sz w:val="20"/>
          <w:szCs w:val="20"/>
          <w:color w:val="auto"/>
        </w:rPr>
      </w:pPr>
      <w:r>
        <w:rPr>
          <w:rFonts w:ascii="Arial" w:cs="Arial" w:eastAsia="Arial" w:hAnsi="Arial"/>
          <w:sz w:val="18"/>
          <w:szCs w:val="18"/>
          <w:color w:val="auto"/>
        </w:rPr>
        <w:t>spoken) rules around how professional women should dress including what items are appropriate, what designers are preferred, and what styles are suitable for the office. These expectations are not limited to only certain job levels; interns to entry-level employees through management often encounter barriers of both affordability and access when trying to fit into these environments.</w:t>
      </w:r>
    </w:p>
    <w:p>
      <w:pPr>
        <w:spacing w:after="0" w:line="202" w:lineRule="exact"/>
        <w:rPr>
          <w:sz w:val="20"/>
          <w:szCs w:val="20"/>
          <w:color w:val="auto"/>
        </w:rPr>
      </w:pPr>
    </w:p>
    <w:p>
      <w:pPr>
        <w:jc w:val="both"/>
        <w:ind w:left="180" w:right="280" w:firstLine="545"/>
        <w:spacing w:after="0" w:line="237" w:lineRule="auto"/>
        <w:rPr>
          <w:sz w:val="20"/>
          <w:szCs w:val="20"/>
          <w:color w:val="auto"/>
        </w:rPr>
      </w:pPr>
      <w:r>
        <w:rPr>
          <w:rFonts w:ascii="Arial" w:cs="Arial" w:eastAsia="Arial" w:hAnsi="Arial"/>
          <w:sz w:val="18"/>
          <w:szCs w:val="18"/>
          <w:color w:val="auto"/>
        </w:rPr>
        <w:t>In a 2018 survey conducted by The Business of Fashion in partnership with Thrive Global, 49% of women reported feeling self-conscious about repeating outfits at work, 50% of women reported feeling pressure to be “put together” at work and 41% said that how they dress impacts how they are viewed as leaders.</w:t>
      </w:r>
      <w:r>
        <w:rPr>
          <w:rFonts w:ascii="Arial" w:cs="Arial" w:eastAsia="Arial" w:hAnsi="Arial"/>
          <w:sz w:val="15"/>
          <w:szCs w:val="15"/>
          <w:color w:val="auto"/>
        </w:rPr>
        <w:t>40</w:t>
      </w:r>
    </w:p>
    <w:p>
      <w:pPr>
        <w:spacing w:after="0" w:line="202" w:lineRule="exact"/>
        <w:rPr>
          <w:sz w:val="20"/>
          <w:szCs w:val="20"/>
          <w:color w:val="auto"/>
        </w:rPr>
      </w:pPr>
    </w:p>
    <w:p>
      <w:pPr>
        <w:jc w:val="both"/>
        <w:ind w:left="180" w:right="240" w:firstLine="545"/>
        <w:spacing w:after="0" w:line="237" w:lineRule="auto"/>
        <w:rPr>
          <w:sz w:val="20"/>
          <w:szCs w:val="20"/>
          <w:color w:val="auto"/>
        </w:rPr>
      </w:pPr>
      <w:r>
        <w:rPr>
          <w:rFonts w:ascii="Arial" w:cs="Arial" w:eastAsia="Arial" w:hAnsi="Arial"/>
          <w:sz w:val="18"/>
          <w:szCs w:val="18"/>
          <w:color w:val="auto"/>
        </w:rPr>
        <w:t>These cultural and economic disparities are compounded by the fact that women earn less than their male counterparts. Per the latest U.S. Census Bureau data as of 2019, the average full-time working American woman makes 82 cents for every dollar earned by their male counterpart.</w:t>
      </w:r>
      <w:r>
        <w:rPr>
          <w:rFonts w:ascii="Arial" w:cs="Arial" w:eastAsia="Arial" w:hAnsi="Arial"/>
          <w:sz w:val="15"/>
          <w:szCs w:val="15"/>
          <w:color w:val="auto"/>
        </w:rPr>
        <w:t>41</w:t>
      </w:r>
    </w:p>
    <w:p>
      <w:pPr>
        <w:spacing w:after="0" w:line="202" w:lineRule="exact"/>
        <w:rPr>
          <w:sz w:val="20"/>
          <w:szCs w:val="20"/>
          <w:color w:val="auto"/>
        </w:rPr>
      </w:pPr>
    </w:p>
    <w:p>
      <w:pPr>
        <w:ind w:left="180" w:right="320" w:firstLine="545"/>
        <w:spacing w:after="0" w:line="239" w:lineRule="auto"/>
        <w:rPr>
          <w:sz w:val="20"/>
          <w:szCs w:val="20"/>
          <w:color w:val="auto"/>
        </w:rPr>
      </w:pPr>
      <w:r>
        <w:rPr>
          <w:rFonts w:ascii="Arial" w:cs="Arial" w:eastAsia="Arial" w:hAnsi="Arial"/>
          <w:sz w:val="18"/>
          <w:szCs w:val="18"/>
          <w:color w:val="auto"/>
        </w:rPr>
        <w:t>We believe that our Closet in the Cloud powers women to unlock their confidence and therefore their greatest potential through access to versatile and affordable designer clothing and accessories.</w:t>
      </w:r>
    </w:p>
    <w:p>
      <w:pPr>
        <w:spacing w:after="0" w:line="202"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Rent the Runway offers customers access to aspirational clothing that is often —consciously or subconsciously—expected in the workforce. We help reduce the barriers to entry of being a professional working woman, which make up the majority of our customers. We deliver significant financial value to customers, with our average subscriber wearing clothes worth more than 20 times what she pays for a monthly RTR subscription on an annualized basis (approximately $47,000 in designer retail value in fiscal year 2019 and more than $37,000 annualized for the first five months of fiscal year 2021).</w:t>
      </w:r>
      <w:r>
        <w:rPr>
          <w:rFonts w:ascii="Arial" w:cs="Arial" w:eastAsia="Arial" w:hAnsi="Arial"/>
          <w:sz w:val="15"/>
          <w:szCs w:val="15"/>
          <w:color w:val="auto"/>
        </w:rPr>
        <w:t>42</w:t>
      </w:r>
    </w:p>
    <w:p>
      <w:pPr>
        <w:spacing w:after="0" w:line="202"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Furthermore, the convenience of a Rent the Runway subscription saves women on average three hours a week on getting dressed giving our subscribers time back so that they can spend it on the things that matter most.</w:t>
      </w:r>
    </w:p>
    <w:p>
      <w:pPr>
        <w:spacing w:after="0" w:line="202" w:lineRule="exact"/>
        <w:rPr>
          <w:sz w:val="20"/>
          <w:szCs w:val="20"/>
          <w:color w:val="auto"/>
        </w:rPr>
      </w:pPr>
    </w:p>
    <w:p>
      <w:pPr>
        <w:ind w:left="180" w:right="20" w:firstLine="545"/>
        <w:spacing w:after="0" w:line="233" w:lineRule="auto"/>
        <w:rPr>
          <w:sz w:val="20"/>
          <w:szCs w:val="20"/>
          <w:color w:val="auto"/>
        </w:rPr>
      </w:pPr>
      <w:r>
        <w:rPr>
          <w:rFonts w:ascii="Arial" w:cs="Arial" w:eastAsia="Arial" w:hAnsi="Arial"/>
          <w:sz w:val="18"/>
          <w:szCs w:val="18"/>
          <w:color w:val="auto"/>
        </w:rPr>
        <w:t>Lastly, we are democratizing fashion by making products available at a price point that is more widely accessible. Fashion is at the center of many of life’s most important traditions and moments, but the cost of fashion can be restrictive. For instance, families with a household income of less than $25,000 plan to spend $1,393 for the prom, compared to those making more than $ 50,000, who plan to spend an average of $799.</w:t>
      </w:r>
      <w:r>
        <w:rPr>
          <w:rFonts w:ascii="Arial" w:cs="Arial" w:eastAsia="Arial" w:hAnsi="Arial"/>
          <w:sz w:val="15"/>
          <w:szCs w:val="15"/>
          <w:color w:val="auto"/>
        </w:rPr>
        <w:t>43</w:t>
      </w:r>
      <w:r>
        <w:rPr>
          <w:rFonts w:ascii="Arial" w:cs="Arial" w:eastAsia="Arial" w:hAnsi="Arial"/>
          <w:sz w:val="18"/>
          <w:szCs w:val="18"/>
          <w:color w:val="auto"/>
        </w:rPr>
        <w:t xml:space="preserve"> Our business provides the experience of wearing the “real thing” to everyone and we make it possible to “feel your best,” regardless of your household income. We believe everyone deserves to celebrate special occasions with confidence. Approximately 87% of our customers say that RTR gives them more access to brands that they cannot afford, based on our June 2021 Customer Survey. Since our founding we have been deliberate about partnering directly with designers to transform the fashion industry, by providing widespread access to high-end and designer products and removing barriers around price, all while maintaining brand equity for our partners and helping them to grow their businesses.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ESG Actions Taken</w:t>
      </w:r>
    </w:p>
    <w:p>
      <w:pPr>
        <w:spacing w:after="0" w:line="122" w:lineRule="exact"/>
        <w:rPr>
          <w:sz w:val="20"/>
          <w:szCs w:val="20"/>
          <w:color w:val="auto"/>
        </w:rPr>
      </w:pPr>
    </w:p>
    <w:p>
      <w:pPr>
        <w:ind w:left="180" w:right="700" w:firstLine="545"/>
        <w:spacing w:after="0" w:line="239" w:lineRule="auto"/>
        <w:rPr>
          <w:sz w:val="20"/>
          <w:szCs w:val="20"/>
          <w:color w:val="auto"/>
        </w:rPr>
      </w:pPr>
      <w:r>
        <w:rPr>
          <w:rFonts w:ascii="Arial" w:cs="Arial" w:eastAsia="Arial" w:hAnsi="Arial"/>
          <w:sz w:val="18"/>
          <w:szCs w:val="18"/>
          <w:color w:val="auto"/>
        </w:rPr>
        <w:t>We aim to use our platform to set the standard for sustainable practices for our unique business model as well as catalyze transformation within the fashion industry. We lead with our mission and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78105</wp:posOffset>
            </wp:positionV>
            <wp:extent cx="7550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45" w:lineRule="exact"/>
        <w:rPr>
          <w:sz w:val="20"/>
          <w:szCs w:val="20"/>
          <w:color w:val="auto"/>
        </w:rPr>
      </w:pPr>
    </w:p>
    <w:p>
      <w:pPr>
        <w:ind w:left="700" w:hanging="526"/>
        <w:spacing w:after="0"/>
        <w:tabs>
          <w:tab w:leader="none" w:pos="70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Business of Fashion, Women Need Work Clothes. These Brands Want to Give Them More Options, October 10, 2018.</w:t>
      </w:r>
    </w:p>
    <w:p>
      <w:pPr>
        <w:ind w:left="700" w:hanging="526"/>
        <w:spacing w:after="0" w:line="185" w:lineRule="auto"/>
        <w:tabs>
          <w:tab w:leader="none" w:pos="700" w:val="left"/>
        </w:tabs>
        <w:numPr>
          <w:ilvl w:val="0"/>
          <w:numId w:val="132"/>
        </w:numPr>
        <w:rPr>
          <w:rFonts w:ascii="Arial" w:cs="Arial" w:eastAsia="Arial" w:hAnsi="Arial"/>
          <w:sz w:val="18"/>
          <w:szCs w:val="18"/>
          <w:color w:val="auto"/>
          <w:vertAlign w:val="superscript"/>
        </w:rPr>
      </w:pPr>
      <w:r>
        <w:rPr>
          <w:rFonts w:ascii="Arial" w:cs="Arial" w:eastAsia="Arial" w:hAnsi="Arial"/>
          <w:sz w:val="11"/>
          <w:szCs w:val="11"/>
          <w:color w:val="auto"/>
        </w:rPr>
        <w:t>The U.S. Census Bureau, Income, Poverty and Health Insurance Coverage in the United States: 2019, September 15, 2020.</w:t>
      </w:r>
    </w:p>
    <w:p>
      <w:pPr>
        <w:ind w:left="700" w:right="40" w:hanging="526"/>
        <w:spacing w:after="0" w:line="193" w:lineRule="auto"/>
        <w:tabs>
          <w:tab w:leader="none" w:pos="70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ind w:left="700" w:hanging="526"/>
        <w:spacing w:after="0" w:line="187" w:lineRule="auto"/>
        <w:tabs>
          <w:tab w:leader="none" w:pos="700" w:val="left"/>
        </w:tabs>
        <w:numPr>
          <w:ilvl w:val="0"/>
          <w:numId w:val="132"/>
        </w:numPr>
        <w:rPr>
          <w:rFonts w:ascii="Arial" w:cs="Arial" w:eastAsia="Arial" w:hAnsi="Arial"/>
          <w:sz w:val="19"/>
          <w:szCs w:val="19"/>
          <w:color w:val="auto"/>
          <w:vertAlign w:val="superscript"/>
        </w:rPr>
      </w:pPr>
      <w:r>
        <w:rPr>
          <w:rFonts w:ascii="Arial" w:cs="Arial" w:eastAsia="Arial" w:hAnsi="Arial"/>
          <w:sz w:val="12"/>
          <w:szCs w:val="12"/>
          <w:color w:val="auto"/>
        </w:rPr>
        <w:t>CNN Money, Poor Families Spend $600 More On Prom than Wealthier Ones, March 2015.</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320" w:top="456" w:right="5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40"/>
        <w:spacing w:after="0" w:line="239" w:lineRule="auto"/>
        <w:rPr>
          <w:sz w:val="20"/>
          <w:szCs w:val="20"/>
          <w:color w:val="auto"/>
        </w:rPr>
      </w:pPr>
      <w:r>
        <w:rPr>
          <w:rFonts w:ascii="Arial" w:cs="Arial" w:eastAsia="Arial" w:hAnsi="Arial"/>
          <w:sz w:val="18"/>
          <w:szCs w:val="18"/>
          <w:color w:val="auto"/>
        </w:rPr>
        <w:t>actions aimed to accelerate the environmental and social wellbeing of our customers, employees, brand partners and the communities in which we operate.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Actions</w:t>
      </w:r>
    </w:p>
    <w:p>
      <w:pPr>
        <w:spacing w:after="0" w:line="122" w:lineRule="exact"/>
        <w:rPr>
          <w:sz w:val="20"/>
          <w:szCs w:val="20"/>
          <w:color w:val="auto"/>
        </w:rPr>
      </w:pPr>
    </w:p>
    <w:p>
      <w:pPr>
        <w:ind w:left="180" w:right="100" w:firstLine="545"/>
        <w:spacing w:after="0" w:line="234" w:lineRule="auto"/>
        <w:rPr>
          <w:sz w:val="20"/>
          <w:szCs w:val="20"/>
          <w:color w:val="auto"/>
        </w:rPr>
      </w:pPr>
      <w:r>
        <w:rPr>
          <w:rFonts w:ascii="Arial" w:cs="Arial" w:eastAsia="Arial" w:hAnsi="Arial"/>
          <w:sz w:val="18"/>
          <w:szCs w:val="18"/>
          <w:color w:val="auto"/>
        </w:rPr>
        <w:t>We actively measure the use of resources in our operations using third-party software that streamlines data collection across our facilities. In July 2021, we completed our first Scope 1 (direct emissions from our owned and controlled sources) and Scope 2 (indirect emissions from our generation of purchased energy) greenhouse gas emissions footprint for fiscal year 2019, in accordance with the Greenhouse Gas Protocol Corporate Accounting and Reporting Standard. We will continue to measure these emissions so that we may begin to set targets to reduce them, and we also intend to measure our Scope 3 emissions (all indirect emissions not included in Scope 2 that occur in our value chain) in the future.</w:t>
      </w:r>
    </w:p>
    <w:p>
      <w:pPr>
        <w:spacing w:after="0" w:line="205"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Additionally, we continue to implement solutions aimed at lowering the environmental impact of our operations, while also improving efficiencies and reducing costs, including:</w:t>
      </w:r>
    </w:p>
    <w:p>
      <w:pPr>
        <w:spacing w:after="0" w:line="109" w:lineRule="exact"/>
        <w:rPr>
          <w:sz w:val="20"/>
          <w:szCs w:val="20"/>
          <w:color w:val="auto"/>
        </w:rPr>
      </w:pPr>
    </w:p>
    <w:p>
      <w:pPr>
        <w:ind w:left="920" w:right="620" w:hanging="212"/>
        <w:spacing w:after="0" w:line="232" w:lineRule="auto"/>
        <w:tabs>
          <w:tab w:leader="none" w:pos="9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lifecycle of our products does not end with our operations and we recognize the importance of responsible end of life practices; we resell, donate, or recycle all products when</w:t>
      </w:r>
    </w:p>
    <w:p>
      <w:pPr>
        <w:ind w:left="940"/>
        <w:spacing w:after="0" w:line="234" w:lineRule="auto"/>
        <w:rPr>
          <w:rFonts w:ascii="Arial" w:cs="Arial" w:eastAsia="Arial" w:hAnsi="Arial"/>
          <w:sz w:val="18"/>
          <w:szCs w:val="18"/>
          <w:color w:val="auto"/>
        </w:rPr>
      </w:pPr>
      <w:r>
        <w:rPr>
          <w:rFonts w:ascii="Arial" w:cs="Arial" w:eastAsia="Arial" w:hAnsi="Arial"/>
          <w:sz w:val="18"/>
          <w:szCs w:val="18"/>
          <w:color w:val="auto"/>
        </w:rPr>
        <w:t>they are no longer able to cycle through the Closet in the Cloud to approved third-party organizations. Our Revive program resells products through our own sample sales or in collaboration with partners like ThredUp. Additionally, as of June 2021 we have donated over 30,000 units of clothing, accessories, and reusable packaging and recycled over 28,000 units through our partner organizations.</w:t>
      </w:r>
      <w:r>
        <w:rPr>
          <w:rFonts w:ascii="Arial" w:cs="Arial" w:eastAsia="Arial" w:hAnsi="Arial"/>
          <w:sz w:val="15"/>
          <w:szCs w:val="15"/>
          <w:color w:val="auto"/>
        </w:rPr>
        <w:t>44</w:t>
      </w:r>
      <w:r>
        <w:rPr>
          <w:rFonts w:ascii="Arial" w:cs="Arial" w:eastAsia="Arial" w:hAnsi="Arial"/>
          <w:sz w:val="18"/>
          <w:szCs w:val="18"/>
          <w:color w:val="auto"/>
        </w:rPr>
        <w:t xml:space="preserve"> Key donation partners include Dress for Success, Materials for the Arts and Henry Street Settlement while key recycling partners include Looptworks and FabScrap. In total, we estimate that approximately 1.1 million products weighing approximately 900,000 lbs have been either resold, donated or recycled and diverted from landfill. This equates to approximately 330,000 lbs of CO2 emissions (carbon dioxide equivalence) avoided when compared to linear, or the equivalent of approximately 167,000 pounds of coal burned.</w:t>
      </w:r>
      <w:r>
        <w:rPr>
          <w:rFonts w:ascii="Arial" w:cs="Arial" w:eastAsia="Arial" w:hAnsi="Arial"/>
          <w:sz w:val="15"/>
          <w:szCs w:val="15"/>
          <w:color w:val="auto"/>
        </w:rPr>
        <w:t>45</w:t>
      </w:r>
    </w:p>
    <w:p>
      <w:pPr>
        <w:spacing w:after="0" w:line="108" w:lineRule="exact"/>
        <w:rPr>
          <w:rFonts w:ascii="Arial" w:cs="Arial" w:eastAsia="Arial" w:hAnsi="Arial"/>
          <w:sz w:val="18"/>
          <w:szCs w:val="18"/>
          <w:color w:val="auto"/>
        </w:rPr>
      </w:pPr>
    </w:p>
    <w:p>
      <w:pPr>
        <w:ind w:left="920" w:right="360" w:hanging="212"/>
        <w:spacing w:after="0" w:line="235" w:lineRule="auto"/>
        <w:tabs>
          <w:tab w:leader="none" w:pos="9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We keep our plastic packaging out of landfills by encouraging customers to send back the plastic polybags that protect our garments as well as our two-way poly mailers (made of up to 50% post-industrial recycled materials, which were launched in 2020) so we can recycle them through our third-party partner, Trex Company, Inc., who recycles these items into wood-alternative building and decking materials. Approximately 408 tons have been recycled since 2017 through this program, the equivalent weight of 68 elephants.</w:t>
      </w:r>
    </w:p>
    <w:p>
      <w:pPr>
        <w:spacing w:after="0" w:line="108" w:lineRule="exact"/>
        <w:rPr>
          <w:rFonts w:ascii="Arial" w:cs="Arial" w:eastAsia="Arial" w:hAnsi="Arial"/>
          <w:sz w:val="18"/>
          <w:szCs w:val="18"/>
          <w:color w:val="auto"/>
        </w:rPr>
      </w:pPr>
    </w:p>
    <w:p>
      <w:pPr>
        <w:ind w:left="920" w:right="20" w:hanging="212"/>
        <w:spacing w:after="0" w:line="234" w:lineRule="auto"/>
        <w:tabs>
          <w:tab w:leader="none" w:pos="9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We set a new standard for reusable packaging with the launch of our patented garment bag in 2014, transforming the way customers receive and send products. In the fall of 2021, we are excited to launch the latest version of our reusable garment bag made from 25% post-industrial recycled materials which we believe will reduce costs, improve our operational efficiency and reduce water usage by 1.25 gallons per bag use, as compared to our prior garment bag. With a planned usage of approximately 20% of shipments in fiscal year 2022, the next version of our garment bag is expected to save an estimated 6.7 million gallons of water through fiscal year 2024.</w:t>
      </w:r>
    </w:p>
    <w:p>
      <w:pPr>
        <w:spacing w:after="0" w:line="111" w:lineRule="exact"/>
        <w:rPr>
          <w:rFonts w:ascii="Arial" w:cs="Arial" w:eastAsia="Arial" w:hAnsi="Arial"/>
          <w:sz w:val="18"/>
          <w:szCs w:val="18"/>
          <w:color w:val="auto"/>
        </w:rPr>
      </w:pPr>
    </w:p>
    <w:p>
      <w:pPr>
        <w:jc w:val="both"/>
        <w:ind w:left="920" w:right="120" w:hanging="212"/>
        <w:spacing w:after="0" w:line="237" w:lineRule="auto"/>
        <w:tabs>
          <w:tab w:leader="none" w:pos="9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staff of experts provide the utmost care and skill in assessing, cleaning and repairing products (as necessary). Their goal is to keep our items in excellent condition and in circulation as long as possible. Since the beginning of calendar year 2018, we’ve completed approximately 4.1 million repairs, successfully extending the useful rental life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45" w:lineRule="exact"/>
        <w:rPr>
          <w:sz w:val="20"/>
          <w:szCs w:val="20"/>
          <w:color w:val="auto"/>
        </w:rPr>
      </w:pPr>
    </w:p>
    <w:p>
      <w:pPr>
        <w:ind w:left="700" w:hanging="526"/>
        <w:spacing w:after="0"/>
        <w:tabs>
          <w:tab w:leader="none" w:pos="70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Donated and recycled quantities from January 2018 through June 2021.</w:t>
      </w:r>
    </w:p>
    <w:p>
      <w:pPr>
        <w:ind w:left="700" w:hanging="526"/>
        <w:spacing w:after="0" w:line="187" w:lineRule="auto"/>
        <w:tabs>
          <w:tab w:leader="none" w:pos="700" w:val="left"/>
        </w:tabs>
        <w:numPr>
          <w:ilvl w:val="0"/>
          <w:numId w:val="134"/>
        </w:numPr>
        <w:rPr>
          <w:rFonts w:ascii="Arial" w:cs="Arial" w:eastAsia="Arial" w:hAnsi="Arial"/>
          <w:sz w:val="19"/>
          <w:szCs w:val="19"/>
          <w:color w:val="auto"/>
          <w:vertAlign w:val="superscript"/>
        </w:rPr>
      </w:pPr>
      <w:r>
        <w:rPr>
          <w:rFonts w:ascii="Arial" w:cs="Arial" w:eastAsia="Arial" w:hAnsi="Arial"/>
          <w:sz w:val="12"/>
          <w:szCs w:val="12"/>
          <w:color w:val="auto"/>
        </w:rPr>
        <w:t>Environmental savings were calculated as a part of the LCA Study and are based on end of life impact for a linear business model.</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6"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60" w:hanging="212"/>
        <w:spacing w:after="0" w:line="236" w:lineRule="auto"/>
        <w:tabs>
          <w:tab w:leader="none" w:pos="9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Through Exclusive Designs, we partner with brands to co-manufacture products using the powerful customer insights we maintain. With real time analytics coupling customer preferences and product wear and tear, we are able to drive design decisions to improve the durability of the products manufactured. Exclusive Designs accounted for 18% of our product acquisition in fiscal year 2020.</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Social Actions</w:t>
      </w:r>
    </w:p>
    <w:p>
      <w:pPr>
        <w:spacing w:after="0" w:line="122" w:lineRule="exact"/>
        <w:rPr>
          <w:sz w:val="20"/>
          <w:szCs w:val="20"/>
          <w:color w:val="auto"/>
        </w:rPr>
      </w:pPr>
    </w:p>
    <w:p>
      <w:pPr>
        <w:jc w:val="both"/>
        <w:ind w:left="180" w:right="760" w:firstLine="545"/>
        <w:spacing w:after="0" w:line="237" w:lineRule="auto"/>
        <w:rPr>
          <w:sz w:val="20"/>
          <w:szCs w:val="20"/>
          <w:color w:val="auto"/>
        </w:rPr>
      </w:pPr>
      <w:r>
        <w:rPr>
          <w:rFonts w:ascii="Arial" w:cs="Arial" w:eastAsia="Arial" w:hAnsi="Arial"/>
          <w:sz w:val="18"/>
          <w:szCs w:val="18"/>
          <w:color w:val="auto"/>
        </w:rPr>
        <w:t>Our business impacts the lives of a wide number of stakeholders, from the suppliers that manufacture our products to our employees. We believe that businesses have a moral obligation to create positive change in the communities they build and hold ourselves and our partners to high standards in order to do so.</w:t>
      </w:r>
    </w:p>
    <w:p>
      <w:pPr>
        <w:spacing w:after="0" w:line="180" w:lineRule="exact"/>
        <w:rPr>
          <w:sz w:val="20"/>
          <w:szCs w:val="20"/>
          <w:color w:val="auto"/>
        </w:rPr>
      </w:pPr>
    </w:p>
    <w:p>
      <w:pPr>
        <w:ind w:left="180" w:firstLine="545"/>
        <w:spacing w:after="0"/>
        <w:rPr>
          <w:sz w:val="20"/>
          <w:szCs w:val="20"/>
          <w:color w:val="auto"/>
        </w:rPr>
      </w:pPr>
      <w:r>
        <w:rPr>
          <w:rFonts w:ascii="Arial" w:cs="Arial" w:eastAsia="Arial" w:hAnsi="Arial"/>
          <w:sz w:val="18"/>
          <w:szCs w:val="18"/>
          <w:b w:val="1"/>
          <w:bCs w:val="1"/>
          <w:i w:val="1"/>
          <w:iCs w:val="1"/>
          <w:color w:val="auto"/>
        </w:rPr>
        <w:t>Our Employee 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recognize that our employees have and always will be paramount to the success of our company.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aim to build and empower the best teams in the world. We are a values-led organization, and our commitment to the Core Values we created as a Founding Team in 2010 underpins our culture by guiding how we interact and collaborate. Our culture is fast-paced, entrepreneurial, and rooted in passion, kindness, and positivity. Employees are passionate about our mission and committed to our customers. Core Values that have guided our culture include:</w:t>
      </w:r>
    </w:p>
    <w:p>
      <w:pPr>
        <w:spacing w:after="0" w:line="109" w:lineRule="exact"/>
        <w:rPr>
          <w:sz w:val="20"/>
          <w:szCs w:val="20"/>
          <w:color w:val="auto"/>
        </w:rPr>
      </w:pPr>
    </w:p>
    <w:p>
      <w:pPr>
        <w:ind w:left="920" w:hanging="212"/>
        <w:spacing w:after="0"/>
        <w:tabs>
          <w:tab w:leader="none" w:pos="9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We are all Founders of Rent the Runway</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Dream BIG and go after it</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Adapt and learn from everything you do</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Debating, honest conversations and collaborating make the company stronger</w:t>
      </w:r>
    </w:p>
    <w:p>
      <w:pPr>
        <w:spacing w:after="0" w:line="207"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In line with our values, in 2018, we equalized leave benefits across all hourly and salaried U.S. employees on our Corporate, Customer Experience and Warehouse teams. Regardless of gender, all U.S. employees are eligible to take the same parental leave (up to 12 weeks fully paid and up to an additional 8 weeks unpaid). In addition, all U.S. employees receive the same family sick leave (up to 10 days), bereavement (up to 20 days), and sabbatical benefits (6 weeks). We prioritize the health and wellbeing of all employees across our organization</w:t>
      </w:r>
      <w:r>
        <w:rPr>
          <w:rFonts w:ascii="Arial" w:cs="Arial" w:eastAsia="Arial" w:hAnsi="Arial"/>
          <w:sz w:val="18"/>
          <w:szCs w:val="18"/>
          <w:i w:val="1"/>
          <w:iCs w:val="1"/>
          <w:color w:val="auto"/>
        </w:rPr>
        <w:t>.</w:t>
      </w:r>
    </w:p>
    <w:p>
      <w:pPr>
        <w:spacing w:after="0" w:line="180" w:lineRule="exact"/>
        <w:rPr>
          <w:sz w:val="20"/>
          <w:szCs w:val="20"/>
          <w:color w:val="auto"/>
        </w:rPr>
      </w:pPr>
    </w:p>
    <w:p>
      <w:pPr>
        <w:ind w:left="180" w:right="20" w:firstLine="545"/>
        <w:spacing w:after="0" w:line="259" w:lineRule="auto"/>
        <w:rPr>
          <w:sz w:val="20"/>
          <w:szCs w:val="20"/>
          <w:color w:val="auto"/>
        </w:rPr>
      </w:pPr>
      <w:r>
        <w:rPr>
          <w:rFonts w:ascii="Arial" w:cs="Arial" w:eastAsia="Arial" w:hAnsi="Arial"/>
          <w:sz w:val="17"/>
          <w:szCs w:val="17"/>
          <w:b w:val="1"/>
          <w:bCs w:val="1"/>
          <w:i w:val="1"/>
          <w:iCs w:val="1"/>
          <w:color w:val="auto"/>
        </w:rPr>
        <w:t>Diversity, Equity &amp; Inclusion</w:t>
      </w:r>
      <w:r>
        <w:rPr>
          <w:rFonts w:ascii="Arial" w:cs="Arial" w:eastAsia="Arial" w:hAnsi="Arial"/>
          <w:sz w:val="17"/>
          <w:szCs w:val="17"/>
          <w:color w:val="auto"/>
        </w:rPr>
        <w:t>: As a business founded by and for women, Diversity, Equity and Inclusion, or DE&amp;I, has always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and will continue to be a priority for our organization. We are proud of the progress we have made across our four key areas of focus</w:t>
      </w:r>
    </w:p>
    <w:p>
      <w:pPr>
        <w:spacing w:after="0" w:line="1" w:lineRule="exact"/>
        <w:rPr>
          <w:sz w:val="20"/>
          <w:szCs w:val="20"/>
          <w:color w:val="auto"/>
        </w:rPr>
      </w:pPr>
    </w:p>
    <w:p>
      <w:pPr>
        <w:ind w:left="180" w:right="280"/>
        <w:spacing w:after="0" w:line="267" w:lineRule="auto"/>
        <w:rPr>
          <w:sz w:val="20"/>
          <w:szCs w:val="20"/>
          <w:color w:val="auto"/>
        </w:rPr>
      </w:pPr>
      <w:r>
        <w:rPr>
          <w:rFonts w:ascii="Arial" w:cs="Arial" w:eastAsia="Arial" w:hAnsi="Arial"/>
          <w:sz w:val="17"/>
          <w:szCs w:val="17"/>
          <w:color w:val="auto"/>
        </w:rPr>
        <w:t>— Representation, Belonging, Behaviors and Accountability, and are committed to building on our progress by establishing a long-term strategy to fight systemic inequities in order to make Rent the Runway, and the wider fashion community, more diverse and inclusive.</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RTR team, as of June 2021:</w:t>
      </w:r>
      <w:r>
        <w:rPr>
          <w:rFonts w:ascii="Arial" w:cs="Arial" w:eastAsia="Arial" w:hAnsi="Arial"/>
          <w:sz w:val="15"/>
          <w:szCs w:val="15"/>
          <w:color w:val="auto"/>
        </w:rPr>
        <w:t>46</w:t>
      </w:r>
    </w:p>
    <w:p>
      <w:pPr>
        <w:spacing w:after="0" w:line="110" w:lineRule="exact"/>
        <w:rPr>
          <w:sz w:val="20"/>
          <w:szCs w:val="20"/>
          <w:color w:val="auto"/>
        </w:rPr>
      </w:pPr>
    </w:p>
    <w:p>
      <w:pPr>
        <w:ind w:left="920" w:hanging="212"/>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70% of our employees identify as women and 57% of our employees identify as a Black, Indigenous or Person of Color, or</w:t>
      </w:r>
    </w:p>
    <w:p>
      <w:pPr>
        <w:ind w:left="920"/>
        <w:spacing w:after="0"/>
        <w:rPr>
          <w:rFonts w:ascii="Arial" w:cs="Arial" w:eastAsia="Arial" w:hAnsi="Arial"/>
          <w:sz w:val="18"/>
          <w:szCs w:val="18"/>
          <w:color w:val="auto"/>
        </w:rPr>
      </w:pPr>
      <w:r>
        <w:rPr>
          <w:rFonts w:ascii="Arial" w:cs="Arial" w:eastAsia="Arial" w:hAnsi="Arial"/>
          <w:sz w:val="18"/>
          <w:szCs w:val="18"/>
          <w:color w:val="auto"/>
        </w:rPr>
        <w:t>BIPOC;</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75% of the members of our executive team identify as women and 50% identify as BIPOC;</w:t>
      </w:r>
    </w:p>
    <w:p>
      <w:pPr>
        <w:spacing w:after="0" w:line="111" w:lineRule="exact"/>
        <w:rPr>
          <w:rFonts w:ascii="Arial" w:cs="Arial" w:eastAsia="Arial" w:hAnsi="Arial"/>
          <w:sz w:val="18"/>
          <w:szCs w:val="18"/>
          <w:color w:val="auto"/>
        </w:rPr>
      </w:pPr>
    </w:p>
    <w:p>
      <w:pPr>
        <w:ind w:left="920" w:hanging="212"/>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55% of our senior leadership identifies as women and 45% identifies as BIPOC;</w:t>
      </w:r>
      <w:r>
        <w:rPr>
          <w:rFonts w:ascii="Arial" w:cs="Arial" w:eastAsia="Arial" w:hAnsi="Arial"/>
          <w:sz w:val="15"/>
          <w:szCs w:val="15"/>
          <w:color w:val="auto"/>
        </w:rPr>
        <w:t>47</w:t>
      </w:r>
    </w:p>
    <w:p>
      <w:pPr>
        <w:spacing w:after="0" w:line="116" w:lineRule="exact"/>
        <w:rPr>
          <w:rFonts w:ascii="Arial" w:cs="Arial" w:eastAsia="Arial" w:hAnsi="Arial"/>
          <w:sz w:val="18"/>
          <w:szCs w:val="18"/>
          <w:color w:val="auto"/>
        </w:rPr>
      </w:pPr>
    </w:p>
    <w:p>
      <w:pPr>
        <w:ind w:left="920" w:hanging="212"/>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50% of the members of our board of directors identify as women;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81280</wp:posOffset>
            </wp:positionV>
            <wp:extent cx="755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50" w:lineRule="exact"/>
        <w:rPr>
          <w:sz w:val="20"/>
          <w:szCs w:val="20"/>
          <w:color w:val="auto"/>
        </w:rPr>
      </w:pPr>
    </w:p>
    <w:p>
      <w:pPr>
        <w:ind w:left="700" w:hanging="526"/>
        <w:spacing w:after="0"/>
        <w:tabs>
          <w:tab w:leader="none" w:pos="700" w:val="left"/>
        </w:tabs>
        <w:numPr>
          <w:ilvl w:val="0"/>
          <w:numId w:val="139"/>
        </w:numPr>
        <w:rPr>
          <w:rFonts w:ascii="Arial" w:cs="Arial" w:eastAsia="Arial" w:hAnsi="Arial"/>
          <w:sz w:val="24"/>
          <w:szCs w:val="24"/>
          <w:color w:val="auto"/>
          <w:vertAlign w:val="superscript"/>
        </w:rPr>
      </w:pPr>
      <w:r>
        <w:rPr>
          <w:rFonts w:ascii="Arial" w:cs="Arial" w:eastAsia="Arial" w:hAnsi="Arial"/>
          <w:sz w:val="14"/>
          <w:szCs w:val="14"/>
          <w:color w:val="auto"/>
        </w:rPr>
        <w:t>Includes U.S. employees only.</w:t>
      </w:r>
    </w:p>
    <w:p>
      <w:pPr>
        <w:ind w:left="700" w:hanging="526"/>
        <w:spacing w:after="0" w:line="187" w:lineRule="auto"/>
        <w:tabs>
          <w:tab w:leader="none" w:pos="700" w:val="left"/>
        </w:tabs>
        <w:numPr>
          <w:ilvl w:val="0"/>
          <w:numId w:val="139"/>
        </w:numPr>
        <w:rPr>
          <w:rFonts w:ascii="Arial" w:cs="Arial" w:eastAsia="Arial" w:hAnsi="Arial"/>
          <w:sz w:val="19"/>
          <w:szCs w:val="19"/>
          <w:color w:val="auto"/>
          <w:vertAlign w:val="superscript"/>
        </w:rPr>
      </w:pPr>
      <w:r>
        <w:rPr>
          <w:rFonts w:ascii="Arial" w:cs="Arial" w:eastAsia="Arial" w:hAnsi="Arial"/>
          <w:sz w:val="12"/>
          <w:szCs w:val="12"/>
          <w:color w:val="auto"/>
        </w:rPr>
        <w:t>C-suite executives, and members of our senior leadership team which consists of senior vice presidents, vice presidents and some senior directors.</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6"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2"/>
        <w:spacing w:after="0" w:line="239" w:lineRule="auto"/>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41% of our technology team (including engineers, data scientists and product managers) identifies as women and 45% identifies as BIPOC.</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partners:</w:t>
      </w:r>
    </w:p>
    <w:p>
      <w:pPr>
        <w:spacing w:after="0" w:line="114" w:lineRule="exact"/>
        <w:rPr>
          <w:sz w:val="20"/>
          <w:szCs w:val="20"/>
          <w:color w:val="auto"/>
        </w:rPr>
      </w:pPr>
    </w:p>
    <w:p>
      <w:pPr>
        <w:ind w:left="920" w:right="140" w:hanging="212"/>
        <w:spacing w:after="0" w:line="239" w:lineRule="auto"/>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increased the penetration of BIPOC designers featured on our platform from 4% of brands on RTR in fall of 2020 to 10% in spring 2021;</w:t>
      </w:r>
    </w:p>
    <w:p>
      <w:pPr>
        <w:spacing w:after="0" w:line="108" w:lineRule="exact"/>
        <w:rPr>
          <w:rFonts w:ascii="Arial" w:cs="Arial" w:eastAsia="Arial" w:hAnsi="Arial"/>
          <w:sz w:val="18"/>
          <w:szCs w:val="18"/>
          <w:color w:val="auto"/>
        </w:rPr>
      </w:pPr>
    </w:p>
    <w:p>
      <w:pPr>
        <w:ind w:left="920" w:right="220" w:hanging="212"/>
        <w:spacing w:after="0" w:line="239" w:lineRule="auto"/>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increased the representation of BIPOC models featured on our platform from 40% in fiscal year 2019 to 54% in fiscal year 2020; and</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Current and new partnership spend with BIPOC vendors is up 37% between fall of 2020 and fall of 2021.</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notable actions we have taken over the past 12 months in our key areas of focus include:</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Representation</w:t>
      </w:r>
    </w:p>
    <w:p>
      <w:pPr>
        <w:spacing w:after="0" w:line="136" w:lineRule="exact"/>
        <w:rPr>
          <w:sz w:val="20"/>
          <w:szCs w:val="20"/>
          <w:color w:val="auto"/>
        </w:rPr>
      </w:pPr>
    </w:p>
    <w:p>
      <w:pPr>
        <w:ind w:left="920" w:right="140" w:hanging="212"/>
        <w:spacing w:after="0" w:line="236" w:lineRule="auto"/>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committed to meaningful, lasting change by becoming one of the first brands to sign Aurora James’ 15 Percent Pledge. While James called on brands to earmark 15% of shelf space to Black-owned businesses, we approached the effort holistically across the Rent the Runway ecosystem, pledging to increase fashion talent represented on our platform, as well as in our marketing and editorial content.</w:t>
      </w:r>
    </w:p>
    <w:p>
      <w:pPr>
        <w:spacing w:after="0" w:line="107" w:lineRule="exact"/>
        <w:rPr>
          <w:rFonts w:ascii="Arial" w:cs="Arial" w:eastAsia="Arial" w:hAnsi="Arial"/>
          <w:sz w:val="18"/>
          <w:szCs w:val="18"/>
          <w:color w:val="auto"/>
        </w:rPr>
      </w:pPr>
    </w:p>
    <w:p>
      <w:pPr>
        <w:ind w:left="920" w:right="220" w:hanging="212"/>
        <w:spacing w:after="0" w:line="237" w:lineRule="auto"/>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of spring of 2021, we have exceeded our commitment of $1 million to support Black-owned businesses through our Wholesale, Share by RTR and Exclusive Designs initiatives. We are proud that since making this commitment we have tripled the number of Black-owned brands offered on our site.</w:t>
      </w:r>
    </w:p>
    <w:p>
      <w:pPr>
        <w:spacing w:after="0" w:line="108" w:lineRule="exact"/>
        <w:rPr>
          <w:rFonts w:ascii="Arial" w:cs="Arial" w:eastAsia="Arial" w:hAnsi="Arial"/>
          <w:sz w:val="18"/>
          <w:szCs w:val="18"/>
          <w:color w:val="auto"/>
        </w:rPr>
      </w:pPr>
    </w:p>
    <w:p>
      <w:pPr>
        <w:jc w:val="both"/>
        <w:ind w:left="920" w:right="60" w:hanging="212"/>
        <w:spacing w:after="0" w:line="237" w:lineRule="auto"/>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implemented a recruiting initiative that encourages applicants to self-identify and provide their demographic data so we can better understand our recruiting funnel, measure progress, and explore new recruiting strategies, helping to ensure that a wider, more diverse pool of candidates has access to career opportunities and that we recruit top talent.</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Belonging</w:t>
      </w:r>
    </w:p>
    <w:p>
      <w:pPr>
        <w:spacing w:after="0" w:line="136" w:lineRule="exact"/>
        <w:rPr>
          <w:sz w:val="20"/>
          <w:szCs w:val="20"/>
          <w:color w:val="auto"/>
        </w:rPr>
      </w:pPr>
    </w:p>
    <w:p>
      <w:pPr>
        <w:ind w:left="920" w:right="260" w:hanging="212"/>
        <w:spacing w:after="0" w:line="239" w:lineRule="auto"/>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We engaged a third-party consultant to advise on best practices and make recommendations on how we can further prioritize DE&amp;I within our workplace.</w:t>
      </w:r>
    </w:p>
    <w:p>
      <w:pPr>
        <w:spacing w:after="0" w:line="108" w:lineRule="exact"/>
        <w:rPr>
          <w:rFonts w:ascii="Arial" w:cs="Arial" w:eastAsia="Arial" w:hAnsi="Arial"/>
          <w:sz w:val="18"/>
          <w:szCs w:val="18"/>
          <w:color w:val="auto"/>
        </w:rPr>
      </w:pPr>
    </w:p>
    <w:p>
      <w:pPr>
        <w:ind w:left="920" w:right="220" w:hanging="212"/>
        <w:spacing w:after="0" w:line="239" w:lineRule="auto"/>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We have debuted four Employee Resource Groups to unite team members across the organization and provide a platform for thought leadership and community building.</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Behaviors</w:t>
      </w:r>
    </w:p>
    <w:p>
      <w:pPr>
        <w:spacing w:after="0" w:line="136" w:lineRule="exact"/>
        <w:rPr>
          <w:sz w:val="20"/>
          <w:szCs w:val="20"/>
          <w:color w:val="auto"/>
        </w:rPr>
      </w:pPr>
    </w:p>
    <w:p>
      <w:pPr>
        <w:ind w:left="920" w:right="100" w:hanging="212"/>
        <w:spacing w:after="0" w:line="237" w:lineRule="auto"/>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We introduced training regarding inclusive hiring, anti-harrasment and discrimination and unconscious bias, including additional resources for people managers, that include regular reminders for our employees about our anti-retaliation and employee reporting procedures.</w:t>
      </w:r>
    </w:p>
    <w:p>
      <w:pPr>
        <w:spacing w:after="0" w:line="108" w:lineRule="exact"/>
        <w:rPr>
          <w:rFonts w:ascii="Arial" w:cs="Arial" w:eastAsia="Arial" w:hAnsi="Arial"/>
          <w:sz w:val="18"/>
          <w:szCs w:val="18"/>
          <w:color w:val="auto"/>
        </w:rPr>
      </w:pPr>
    </w:p>
    <w:p>
      <w:pPr>
        <w:ind w:left="920" w:right="280" w:hanging="212"/>
        <w:spacing w:after="0" w:line="235" w:lineRule="auto"/>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Our employees launched two inclusion-based tools: one detects non-inclusive language in our software development source code and another translates our fulfillment centers software into multiple languages. The purpose of first tool is to point out places where improvements to coding language can be made by removing non-inclusive language and replacing it with more inclusive alternatives. We use this tool internally and provided it to the development community as open source (i.e. free of charge).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0"/>
          </w:cols>
          <w:pgMar w:left="320" w:top="456" w:right="5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Accountability</w:t>
      </w:r>
    </w:p>
    <w:p>
      <w:pPr>
        <w:spacing w:after="0" w:line="136"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shared employee demographic data with our organization and plan to publish this data publicly.</w:t>
      </w:r>
    </w:p>
    <w:p>
      <w:pPr>
        <w:spacing w:after="0" w:line="185" w:lineRule="exact"/>
        <w:rPr>
          <w:sz w:val="20"/>
          <w:szCs w:val="20"/>
          <w:color w:val="auto"/>
        </w:rPr>
      </w:pPr>
    </w:p>
    <w:p>
      <w:pPr>
        <w:ind w:left="180" w:firstLine="545"/>
        <w:spacing w:after="0" w:line="243" w:lineRule="auto"/>
        <w:rPr>
          <w:sz w:val="20"/>
          <w:szCs w:val="20"/>
          <w:color w:val="auto"/>
        </w:rPr>
      </w:pPr>
      <w:r>
        <w:rPr>
          <w:rFonts w:ascii="Arial" w:cs="Arial" w:eastAsia="Arial" w:hAnsi="Arial"/>
          <w:sz w:val="18"/>
          <w:szCs w:val="18"/>
          <w:b w:val="1"/>
          <w:bCs w:val="1"/>
          <w:i w:val="1"/>
          <w:iCs w:val="1"/>
          <w:color w:val="auto"/>
        </w:rPr>
        <w:t>Responsible 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responsible manufacturing in our supply chain and we believe our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 legal and ethical business practices. We update our Vendor Code of Conduct on an annual basis. This code requires vendors to comply with all applicable laws and embrace RTR’s high standards of ethical behavior, treat workers fairly and safely, commit to protecting the environment, maintain accurate records and be an ethical partner to RTR.</w:t>
      </w:r>
    </w:p>
    <w:p>
      <w:pPr>
        <w:spacing w:after="0" w:line="177" w:lineRule="exact"/>
        <w:rPr>
          <w:sz w:val="20"/>
          <w:szCs w:val="20"/>
          <w:color w:val="auto"/>
        </w:rPr>
      </w:pPr>
    </w:p>
    <w:p>
      <w:pPr>
        <w:ind w:left="180" w:right="60" w:firstLine="545"/>
        <w:spacing w:after="0"/>
        <w:rPr>
          <w:sz w:val="20"/>
          <w:szCs w:val="20"/>
          <w:color w:val="auto"/>
        </w:rPr>
      </w:pPr>
      <w:r>
        <w:rPr>
          <w:rFonts w:ascii="Arial" w:cs="Arial" w:eastAsia="Arial" w:hAnsi="Arial"/>
          <w:sz w:val="18"/>
          <w:szCs w:val="18"/>
          <w:b w:val="1"/>
          <w:bCs w:val="1"/>
          <w:i w:val="1"/>
          <w:iCs w:val="1"/>
          <w:color w:val="auto"/>
        </w:rPr>
        <w:t xml:space="preserve">Project Entrepreneur: </w:t>
      </w:r>
      <w:r>
        <w:rPr>
          <w:rFonts w:ascii="Arial" w:cs="Arial" w:eastAsia="Arial" w:hAnsi="Arial"/>
          <w:sz w:val="18"/>
          <w:szCs w:val="18"/>
          <w:color w:val="auto"/>
        </w:rPr>
        <w:t>In 2015, in partnership with UBS, Rent the Runway’s Co-Founders, Jennifer Y. Hyman and Jennifer Fleiss,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launched Project Entrepreneur, an accelerator for startups founded by women. The aim of Project Entrepreneur was to provide these founders with the networks, tools and training needed to successfully raise capital and scale their companies. In the nearly five years that Ms. Hyman and Mrs. Fleiss ran Project Entrepreneur, they mentored thousands of women and helped them collectively raise nearly $60 million in funding. In 2019, Ms. Hyman and Mrs. Fleiss successfully transitioned the program to UBS.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Governance Highlights</w:t>
      </w:r>
    </w:p>
    <w:p>
      <w:pPr>
        <w:spacing w:after="0" w:line="229" w:lineRule="exact"/>
        <w:rPr>
          <w:sz w:val="20"/>
          <w:szCs w:val="20"/>
          <w:color w:val="auto"/>
        </w:rPr>
      </w:pPr>
    </w:p>
    <w:p>
      <w:pPr>
        <w:ind w:left="180" w:right="40" w:firstLine="545"/>
        <w:spacing w:after="0" w:line="237" w:lineRule="auto"/>
        <w:rPr>
          <w:sz w:val="20"/>
          <w:szCs w:val="20"/>
          <w:color w:val="auto"/>
        </w:rPr>
      </w:pPr>
      <w:r>
        <w:rPr>
          <w:rFonts w:ascii="Arial" w:cs="Arial" w:eastAsia="Arial" w:hAnsi="Arial"/>
          <w:sz w:val="18"/>
          <w:szCs w:val="18"/>
          <w:color w:val="auto"/>
        </w:rPr>
        <w:t>As sustainability is at the core of our business, accountability for ESG matters starts at the highest level. The Nominating and ESG Committee of the Board of Directors will be responsible for overseeing our ESG strategy and progress and will receive regular updates from management.</w:t>
      </w:r>
    </w:p>
    <w:p>
      <w:pPr>
        <w:spacing w:after="0" w:line="202" w:lineRule="exact"/>
        <w:rPr>
          <w:sz w:val="20"/>
          <w:szCs w:val="20"/>
          <w:color w:val="auto"/>
        </w:rPr>
      </w:pPr>
    </w:p>
    <w:p>
      <w:pPr>
        <w:ind w:left="180" w:right="60" w:firstLine="545"/>
        <w:spacing w:after="0" w:line="236" w:lineRule="auto"/>
        <w:rPr>
          <w:sz w:val="20"/>
          <w:szCs w:val="20"/>
          <w:color w:val="auto"/>
        </w:rPr>
      </w:pPr>
      <w:r>
        <w:rPr>
          <w:rFonts w:ascii="Arial" w:cs="Arial" w:eastAsia="Arial" w:hAnsi="Arial"/>
          <w:sz w:val="18"/>
          <w:szCs w:val="18"/>
          <w:color w:val="auto"/>
        </w:rPr>
        <w:t>Our President and Chief Operating Officer directs the development and implementation of our sustainability strategy and initiatives and is supported by our Senior Director of Sustainability, who manages the program. We additionally have a Sustainability Alliance, with participation from senior leaders across our operations, finance, marketing, merchandising, people and legal teams. The Sustainability Alliance meets regularly and helps to drive performance of sustainability initiatives throughout our company.</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201"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See the section titled “Risk Factors—Risks Relating To Our Business and Industry—The global fashion industry is highly competitive and rapidly changing, and we may not be able to compete effectively.”</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180" w:right="140" w:firstLine="545"/>
        <w:spacing w:after="0" w:line="237" w:lineRule="auto"/>
        <w:rPr>
          <w:sz w:val="20"/>
          <w:szCs w:val="20"/>
          <w:color w:val="auto"/>
        </w:rPr>
      </w:pPr>
      <w:r>
        <w:rPr>
          <w:rFonts w:ascii="Arial" w:cs="Arial" w:eastAsia="Arial" w:hAnsi="Arial"/>
          <w:sz w:val="18"/>
          <w:szCs w:val="18"/>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0"/>
          </w:cols>
          <w:pgMar w:left="320" w:top="456" w:right="5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40"/>
        <w:spacing w:after="0" w:line="236" w:lineRule="auto"/>
        <w:rPr>
          <w:sz w:val="20"/>
          <w:szCs w:val="20"/>
          <w:color w:val="auto"/>
        </w:rPr>
      </w:pPr>
      <w:r>
        <w:rPr>
          <w:rFonts w:ascii="Arial" w:cs="Arial" w:eastAsia="Arial" w:hAnsi="Arial"/>
          <w:sz w:val="18"/>
          <w:szCs w:val="18"/>
          <w:color w:val="auto"/>
        </w:rPr>
        <w:t>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201"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202"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Data Security Standard.</w:t>
      </w:r>
    </w:p>
    <w:p>
      <w:pPr>
        <w:spacing w:after="0" w:line="204"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80" w:right="160" w:firstLine="545"/>
        <w:spacing w:after="0" w:line="236" w:lineRule="auto"/>
        <w:rPr>
          <w:sz w:val="20"/>
          <w:szCs w:val="20"/>
          <w:color w:val="auto"/>
        </w:rPr>
      </w:pPr>
      <w:r>
        <w:rPr>
          <w:rFonts w:ascii="Arial" w:cs="Arial" w:eastAsia="Arial" w:hAnsi="Arial"/>
          <w:sz w:val="18"/>
          <w:szCs w:val="18"/>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201" w:lineRule="exact"/>
        <w:rPr>
          <w:sz w:val="20"/>
          <w:szCs w:val="20"/>
          <w:color w:val="auto"/>
        </w:rPr>
      </w:pPr>
    </w:p>
    <w:p>
      <w:pPr>
        <w:ind w:left="180" w:right="60" w:firstLine="545"/>
        <w:spacing w:after="0" w:line="236" w:lineRule="auto"/>
        <w:rPr>
          <w:sz w:val="20"/>
          <w:szCs w:val="20"/>
          <w:color w:val="auto"/>
        </w:rPr>
      </w:pPr>
      <w:r>
        <w:rPr>
          <w:rFonts w:ascii="Arial" w:cs="Arial" w:eastAsia="Arial" w:hAnsi="Arial"/>
          <w:sz w:val="18"/>
          <w:szCs w:val="18"/>
          <w:color w:val="auto"/>
        </w:rPr>
        <w:t>As of June 30, 2021,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201" w:lineRule="exact"/>
        <w:rPr>
          <w:sz w:val="20"/>
          <w:szCs w:val="20"/>
          <w:color w:val="auto"/>
        </w:rPr>
      </w:pPr>
    </w:p>
    <w:p>
      <w:pPr>
        <w:ind w:left="180" w:right="60" w:firstLine="545"/>
        <w:spacing w:after="0" w:line="235" w:lineRule="auto"/>
        <w:rPr>
          <w:sz w:val="20"/>
          <w:szCs w:val="20"/>
          <w:color w:val="auto"/>
        </w:rPr>
      </w:pPr>
      <w:r>
        <w:rPr>
          <w:rFonts w:ascii="Arial" w:cs="Arial" w:eastAsia="Arial" w:hAnsi="Arial"/>
          <w:sz w:val="18"/>
          <w:szCs w:val="18"/>
          <w:color w:val="auto"/>
        </w:rPr>
        <w:t>We register our brand names and product names, taglines and logos in the United States to the extent we determine appropriate and cost-effective. As of June 30, 2021, we had a total of 19 registered trademarks in the United States and six registered trademarks in non-U.S. jurisdiction. As of June 30, 2021, we had also registered a total of four copyrights. We also register domain names for certain websites that we use in our business, such as www.renttherunway.com, as well as similar variations to protect our brands and marks from cybersquatters.</w:t>
      </w:r>
    </w:p>
    <w:p>
      <w:pPr>
        <w:spacing w:after="0" w:line="202" w:lineRule="exact"/>
        <w:rPr>
          <w:sz w:val="20"/>
          <w:szCs w:val="20"/>
          <w:color w:val="auto"/>
        </w:rPr>
      </w:pPr>
    </w:p>
    <w:p>
      <w:pPr>
        <w:ind w:left="180" w:right="540" w:firstLine="545"/>
        <w:spacing w:after="0" w:line="239" w:lineRule="auto"/>
        <w:rPr>
          <w:sz w:val="20"/>
          <w:szCs w:val="20"/>
          <w:color w:val="auto"/>
        </w:rPr>
      </w:pPr>
      <w:r>
        <w:rPr>
          <w:rFonts w:ascii="Arial" w:cs="Arial" w:eastAsia="Arial" w:hAnsi="Arial"/>
          <w:sz w:val="18"/>
          <w:szCs w:val="18"/>
          <w:color w:val="auto"/>
        </w:rPr>
        <w:t>We control access to and use of our proprietary technology and other confidential information through the use of internal and external controls, including contractual protections with employees,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6"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60"/>
        <w:spacing w:after="0" w:line="234" w:lineRule="auto"/>
        <w:rPr>
          <w:sz w:val="20"/>
          <w:szCs w:val="20"/>
          <w:color w:val="auto"/>
        </w:rPr>
      </w:pPr>
      <w:r>
        <w:rPr>
          <w:rFonts w:ascii="Arial" w:cs="Arial" w:eastAsia="Arial" w:hAnsi="Arial"/>
          <w:sz w:val="18"/>
          <w:szCs w:val="18"/>
          <w:color w:val="auto"/>
        </w:rPr>
        <w:t>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Facilities</w:t>
      </w:r>
    </w:p>
    <w:p>
      <w:pPr>
        <w:spacing w:after="0" w:line="229"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Our corporate headquarters is located in Brooklyn, New York, which consists of approximately 59,430 square feet of space under a lease that expires in November 2032. We also lease a corporate space and photo studio in New York, New York and lease and operate fulfillment centers in Secaucus, New Jersey and Arlington, Texas totaling 540,000 square feet, under leases that expire in August 2024 and May 2030, respectively. We also lease a corporate space in Galway, Ireland.</w:t>
      </w:r>
    </w:p>
    <w:p>
      <w:pPr>
        <w:spacing w:after="0" w:line="201" w:lineRule="exact"/>
        <w:rPr>
          <w:sz w:val="20"/>
          <w:szCs w:val="20"/>
          <w:color w:val="auto"/>
        </w:rPr>
      </w:pPr>
    </w:p>
    <w:p>
      <w:pPr>
        <w:ind w:left="180" w:right="140" w:firstLine="545"/>
        <w:spacing w:after="0" w:line="239" w:lineRule="auto"/>
        <w:rPr>
          <w:sz w:val="20"/>
          <w:szCs w:val="20"/>
          <w:color w:val="auto"/>
        </w:rPr>
      </w:pPr>
      <w:r>
        <w:rPr>
          <w:rFonts w:ascii="Arial" w:cs="Arial" w:eastAsia="Arial" w:hAnsi="Arial"/>
          <w:sz w:val="18"/>
          <w:szCs w:val="18"/>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As of January 31, 2021, we had a total of 806 full-time employees and 15 part-time employees in the United States and Ireland. As of January 31, 2021, our talented technology team consisted of 183 employees, across engineering, data analytics, IT, product, software quality assurance, user experience and design, including a team of 32 in Galway, Ireland, primarily in engineering and data analytics. None of our employees are represented by a labor union or covered by collective bargaining agreements and we have not experienced any work stoppages.</w:t>
      </w:r>
    </w:p>
    <w:p>
      <w:pPr>
        <w:spacing w:after="0" w:line="202" w:lineRule="exact"/>
        <w:rPr>
          <w:sz w:val="20"/>
          <w:szCs w:val="20"/>
          <w:color w:val="auto"/>
        </w:rPr>
      </w:pPr>
    </w:p>
    <w:p>
      <w:pPr>
        <w:ind w:left="180" w:right="140" w:firstLine="545"/>
        <w:spacing w:after="0" w:line="236" w:lineRule="auto"/>
        <w:rPr>
          <w:sz w:val="20"/>
          <w:szCs w:val="20"/>
          <w:color w:val="auto"/>
        </w:rPr>
      </w:pPr>
      <w:r>
        <w:rPr>
          <w:rFonts w:ascii="Arial" w:cs="Arial" w:eastAsia="Arial" w:hAnsi="Arial"/>
          <w:sz w:val="18"/>
          <w:szCs w:val="18"/>
          <w:color w:val="auto"/>
        </w:rPr>
        <w:t>We strive to make Rent the Runway a diverse, inclusive, and safe workplace, with opportunities for our employees to grow and develop in their careers, supported by strong compensation and benefits programs. Our culture is underpinned by our Core Values, including that we are all Founders of Rent the Runway, Dream BIG and go after it, adapt and learn from everything you do and debating, honest conversations and collaborating make the company stronger.</w:t>
      </w:r>
    </w:p>
    <w:p>
      <w:pPr>
        <w:spacing w:after="0" w:line="201" w:lineRule="exact"/>
        <w:rPr>
          <w:sz w:val="20"/>
          <w:szCs w:val="20"/>
          <w:color w:val="auto"/>
        </w:rPr>
      </w:pPr>
    </w:p>
    <w:p>
      <w:pPr>
        <w:ind w:left="180" w:right="140" w:firstLine="545"/>
        <w:spacing w:after="0" w:line="237" w:lineRule="auto"/>
        <w:rPr>
          <w:sz w:val="20"/>
          <w:szCs w:val="20"/>
          <w:color w:val="auto"/>
        </w:rPr>
      </w:pPr>
      <w:r>
        <w:rPr>
          <w:rFonts w:ascii="Arial" w:cs="Arial" w:eastAsia="Arial" w:hAnsi="Arial"/>
          <w:sz w:val="18"/>
          <w:szCs w:val="18"/>
          <w:color w:val="auto"/>
        </w:rPr>
        <w:t>The core objective of our compensation program is to provide competitive compensation packages to attract and retain the best employees. See the section titled “Business—Our ESG (Environmental, Social and Governance) Impact Summary” for more information about our values, commitments and human capital measures and objectives.</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80" w:right="400" w:firstLine="545"/>
        <w:spacing w:after="0" w:line="237" w:lineRule="auto"/>
        <w:rPr>
          <w:sz w:val="20"/>
          <w:szCs w:val="20"/>
          <w:color w:val="auto"/>
        </w:rPr>
      </w:pPr>
      <w:r>
        <w:rPr>
          <w:rFonts w:ascii="Arial" w:cs="Arial" w:eastAsia="Arial" w:hAnsi="Arial"/>
          <w:sz w:val="18"/>
          <w:szCs w:val="18"/>
          <w:color w:val="auto"/>
        </w:rPr>
        <w:t>We are subject to routine legal proceedings in the normal course of operating our business. We are not involved in any legal proceedings which reasonably could be expected to have a material adverse effect on our business, results of operations or financial condition.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320" w:top="456" w:right="5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for our executive officers and directors as of July 31, 2021:</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24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193"/>
        </w:trPr>
        <w:tc>
          <w:tcPr>
            <w:tcW w:w="20" w:type="dxa"/>
            <w:vAlign w:val="bottom"/>
          </w:tcPr>
          <w:p>
            <w:pPr>
              <w:spacing w:after="0"/>
              <w:rPr>
                <w:sz w:val="16"/>
                <w:szCs w:val="16"/>
                <w:color w:val="auto"/>
              </w:rPr>
            </w:pPr>
          </w:p>
        </w:tc>
        <w:tc>
          <w:tcPr>
            <w:tcW w:w="51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b w:val="1"/>
                <w:bCs w:val="1"/>
                <w:i w:val="1"/>
                <w:iCs w:val="1"/>
                <w:color w:val="auto"/>
              </w:rPr>
              <w:t>Executive Officers</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960" w:type="dxa"/>
            <w:vAlign w:val="bottom"/>
            <w:tcBorders>
              <w:top w:val="single" w:sz="8" w:color="auto"/>
            </w:tcBorders>
          </w:tcPr>
          <w:p>
            <w:pPr>
              <w:spacing w:after="0"/>
              <w:rPr>
                <w:sz w:val="16"/>
                <w:szCs w:val="16"/>
                <w:color w:val="auto"/>
              </w:rPr>
            </w:pP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Jennifer Y. Hyman</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40</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Co-Founder; Chief Executive Officer; Chair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Scarlett O’Sullivan</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Chief Financial Officer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Anushka Salinas</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39</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President; Chief Operating Officer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Brian Donato</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Chief Supply Chain Officer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Andrea Alexander</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39</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Chief People Officer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Cara Schembri</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44</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General Counsel; Secretary</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Larry Steinberg</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53</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Chief Technology Officer</w:t>
            </w:r>
          </w:p>
        </w:tc>
      </w:tr>
      <w:tr>
        <w:trPr>
          <w:trHeight w:val="213"/>
        </w:trPr>
        <w:tc>
          <w:tcPr>
            <w:tcW w:w="5180" w:type="dxa"/>
            <w:vAlign w:val="bottom"/>
            <w:gridSpan w:val="2"/>
          </w:tcPr>
          <w:p>
            <w:pPr>
              <w:spacing w:after="0"/>
              <w:rPr>
                <w:sz w:val="20"/>
                <w:szCs w:val="20"/>
                <w:color w:val="auto"/>
              </w:rPr>
            </w:pPr>
            <w:r>
              <w:rPr>
                <w:rFonts w:ascii="Arial" w:cs="Arial" w:eastAsia="Arial" w:hAnsi="Arial"/>
                <w:sz w:val="18"/>
                <w:szCs w:val="18"/>
                <w:color w:val="auto"/>
              </w:rPr>
              <w:t>Sarah Tam</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5240" w:type="dxa"/>
            <w:vAlign w:val="bottom"/>
            <w:gridSpan w:val="2"/>
          </w:tcPr>
          <w:p>
            <w:pPr>
              <w:ind w:left="260"/>
              <w:spacing w:after="0"/>
              <w:rPr>
                <w:sz w:val="20"/>
                <w:szCs w:val="20"/>
                <w:color w:val="auto"/>
              </w:rPr>
            </w:pPr>
            <w:r>
              <w:rPr>
                <w:rFonts w:ascii="Arial" w:cs="Arial" w:eastAsia="Arial" w:hAnsi="Arial"/>
                <w:sz w:val="18"/>
                <w:szCs w:val="18"/>
                <w:color w:val="auto"/>
              </w:rPr>
              <w:t>Chief Merchant Officer</w:t>
            </w:r>
          </w:p>
        </w:tc>
      </w:tr>
      <w:tr>
        <w:trPr>
          <w:trHeight w:val="294"/>
        </w:trPr>
        <w:tc>
          <w:tcPr>
            <w:tcW w:w="5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Tim Bixby</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56</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Director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Jennifer Fleiss</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Co-Founder; Director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Scott Friend</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55</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Director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Melanie Harris</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42</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Director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Beth Kaplan</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63</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Director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Dan Nova</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59</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Director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Gwyneth Paltrow</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48</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Director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Carley Roney</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53</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Director</w:t>
            </w:r>
          </w:p>
        </w:tc>
      </w:tr>
      <w:tr>
        <w:trPr>
          <w:trHeight w:val="200"/>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Dan Rosensweig</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60</w:t>
            </w:r>
          </w:p>
        </w:tc>
        <w:tc>
          <w:tcPr>
            <w:tcW w:w="52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Director</w:t>
            </w:r>
          </w:p>
        </w:tc>
      </w:tr>
      <w:tr>
        <w:trPr>
          <w:trHeight w:val="213"/>
        </w:trPr>
        <w:tc>
          <w:tcPr>
            <w:tcW w:w="5180" w:type="dxa"/>
            <w:vAlign w:val="bottom"/>
            <w:gridSpan w:val="2"/>
          </w:tcPr>
          <w:p>
            <w:pPr>
              <w:spacing w:after="0"/>
              <w:rPr>
                <w:sz w:val="20"/>
                <w:szCs w:val="20"/>
                <w:color w:val="auto"/>
              </w:rPr>
            </w:pPr>
            <w:r>
              <w:rPr>
                <w:rFonts w:ascii="Arial" w:cs="Arial" w:eastAsia="Arial" w:hAnsi="Arial"/>
                <w:sz w:val="18"/>
                <w:szCs w:val="18"/>
                <w:color w:val="auto"/>
              </w:rPr>
              <w:t>Mike Roth</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2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9" w:lineRule="exact"/>
        <w:rPr>
          <w:sz w:val="20"/>
          <w:szCs w:val="20"/>
          <w:color w:val="auto"/>
        </w:rPr>
      </w:pPr>
    </w:p>
    <w:p>
      <w:pPr>
        <w:ind w:left="600" w:hanging="426"/>
        <w:spacing w:after="0"/>
        <w:tabs>
          <w:tab w:leader="none" w:pos="60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600" w:hanging="426"/>
        <w:spacing w:after="0"/>
        <w:tabs>
          <w:tab w:leader="none" w:pos="60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600" w:hanging="426"/>
        <w:spacing w:after="0"/>
        <w:tabs>
          <w:tab w:leader="none" w:pos="60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Member of the nominating and ESG committee.</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w:t>
      </w:r>
    </w:p>
    <w:p>
      <w:pPr>
        <w:spacing w:after="0" w:line="207" w:lineRule="exact"/>
        <w:rPr>
          <w:sz w:val="20"/>
          <w:szCs w:val="20"/>
          <w:color w:val="auto"/>
        </w:rPr>
      </w:pPr>
    </w:p>
    <w:p>
      <w:pPr>
        <w:ind w:left="180" w:right="360" w:firstLine="545"/>
        <w:spacing w:after="0" w:line="237" w:lineRule="auto"/>
        <w:rPr>
          <w:sz w:val="20"/>
          <w:szCs w:val="20"/>
          <w:color w:val="auto"/>
        </w:rPr>
      </w:pPr>
      <w:r>
        <w:rPr>
          <w:rFonts w:ascii="Arial" w:cs="Arial" w:eastAsia="Arial" w:hAnsi="Arial"/>
          <w:sz w:val="18"/>
          <w:szCs w:val="18"/>
          <w:b w:val="1"/>
          <w:bCs w:val="1"/>
          <w:i w:val="1"/>
          <w:iCs w:val="1"/>
          <w:color w:val="auto"/>
        </w:rPr>
        <w:t xml:space="preserve">Jennifer Y. Hyman </w:t>
      </w:r>
      <w:r>
        <w:rPr>
          <w:rFonts w:ascii="Arial" w:cs="Arial" w:eastAsia="Arial" w:hAnsi="Arial"/>
          <w:sz w:val="18"/>
          <w:szCs w:val="18"/>
          <w:color w:val="auto"/>
        </w:rPr>
        <w:t>has served as our Co-Founder since November 2008 and our Chief Executive Officer and the Chair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82" w:lineRule="exact"/>
        <w:rPr>
          <w:sz w:val="20"/>
          <w:szCs w:val="20"/>
          <w:color w:val="auto"/>
        </w:rPr>
      </w:pPr>
    </w:p>
    <w:p>
      <w:pPr>
        <w:ind w:left="180" w:right="140" w:firstLine="545"/>
        <w:spacing w:after="0" w:line="255" w:lineRule="auto"/>
        <w:rPr>
          <w:sz w:val="20"/>
          <w:szCs w:val="20"/>
          <w:color w:val="auto"/>
        </w:rPr>
      </w:pPr>
      <w:r>
        <w:rPr>
          <w:rFonts w:ascii="Arial" w:cs="Arial" w:eastAsia="Arial" w:hAnsi="Arial"/>
          <w:sz w:val="17"/>
          <w:szCs w:val="17"/>
          <w:b w:val="1"/>
          <w:bCs w:val="1"/>
          <w:i w:val="1"/>
          <w:iCs w:val="1"/>
          <w:color w:val="auto"/>
        </w:rPr>
        <w:t xml:space="preserve">Scarlett O’Sullivan </w:t>
      </w:r>
      <w:r>
        <w:rPr>
          <w:rFonts w:ascii="Arial" w:cs="Arial" w:eastAsia="Arial" w:hAnsi="Arial"/>
          <w:sz w:val="17"/>
          <w:szCs w:val="17"/>
          <w:color w:val="auto"/>
        </w:rPr>
        <w:t>has served as our Chief Financial Officer since September 2015. Prior to joining us, Ms. O’Sullivan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at Softbank Capital and Softbank China &amp; India Holdings, leading early-stage and growth-stage venture capital investments in consumer Internet, for nine years from 2007 to 2015. Prior to that, Ms. O’Sullivan spent 10 years as an investment banker at Robertson Stephens and Morgan Stanley, primarily focused on the technology sector. Ms. O’Sullivan also serves on the board of directors of Olivela Inc., an innovative luxury shopping and philanthropy e-Commerce platform, and Simon Property Group Acquisition Holdings, Inc., a special purpose acquisition company targeting innovative businesses that operate in the “Live, Work, Play, Stay, Shop” ecosystem.</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320"/>
        <w:spacing w:after="0" w:line="239" w:lineRule="auto"/>
        <w:rPr>
          <w:sz w:val="20"/>
          <w:szCs w:val="20"/>
          <w:color w:val="auto"/>
        </w:rPr>
      </w:pPr>
      <w:r>
        <w:rPr>
          <w:rFonts w:ascii="Arial" w:cs="Arial" w:eastAsia="Arial" w:hAnsi="Arial"/>
          <w:sz w:val="18"/>
          <w:szCs w:val="18"/>
          <w:color w:val="auto"/>
        </w:rPr>
        <w:t>Ms. O’Sullivan holds a B.S. in Economics from Yale University and an M.B.A. from the Wharton School of Business at the University of Pennsylvania.</w:t>
      </w:r>
    </w:p>
    <w:p>
      <w:pPr>
        <w:spacing w:after="0" w:line="180" w:lineRule="exact"/>
        <w:rPr>
          <w:sz w:val="20"/>
          <w:szCs w:val="20"/>
          <w:color w:val="auto"/>
        </w:rPr>
      </w:pPr>
    </w:p>
    <w:p>
      <w:pPr>
        <w:ind w:left="180" w:right="320" w:firstLine="545"/>
        <w:spacing w:after="0" w:line="245" w:lineRule="auto"/>
        <w:rPr>
          <w:sz w:val="20"/>
          <w:szCs w:val="20"/>
          <w:color w:val="auto"/>
        </w:rPr>
      </w:pPr>
      <w:r>
        <w:rPr>
          <w:rFonts w:ascii="Arial" w:cs="Arial" w:eastAsia="Arial" w:hAnsi="Arial"/>
          <w:sz w:val="18"/>
          <w:szCs w:val="18"/>
          <w:b w:val="1"/>
          <w:bCs w:val="1"/>
          <w:i w:val="1"/>
          <w:iCs w:val="1"/>
          <w:color w:val="auto"/>
        </w:rPr>
        <w:t xml:space="preserve">Anushka Salinas </w:t>
      </w:r>
      <w:r>
        <w:rPr>
          <w:rFonts w:ascii="Arial" w:cs="Arial" w:eastAsia="Arial" w:hAnsi="Arial"/>
          <w:sz w:val="18"/>
          <w:szCs w:val="18"/>
          <w:color w:val="auto"/>
        </w:rPr>
        <w:t>has served as our President and Chief Operating Officer since October 2019. Prior to that, she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Revenue Officer from May 2018 to October 2019 and General Manager of Subscription from February 2017 to May 2018.</w:t>
      </w:r>
    </w:p>
    <w:p>
      <w:pPr>
        <w:ind w:left="180" w:right="120"/>
        <w:spacing w:after="0" w:line="234" w:lineRule="auto"/>
        <w:rPr>
          <w:sz w:val="20"/>
          <w:szCs w:val="20"/>
          <w:color w:val="auto"/>
        </w:rPr>
      </w:pPr>
      <w:r>
        <w:rPr>
          <w:rFonts w:ascii="Arial" w:cs="Arial" w:eastAsia="Arial" w:hAnsi="Arial"/>
          <w:sz w:val="18"/>
          <w:szCs w:val="18"/>
          <w:color w:val="auto"/>
        </w:rPr>
        <w:t>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 Bay’s Company where she oversaw lordandtaylor.com and thebay.com from 2013 to 2015. Ms. Salinas holds a B.A. in Economics from the University of Pennsylvania and an M.B.A. from Columbia Business School.</w:t>
      </w:r>
    </w:p>
    <w:p>
      <w:pPr>
        <w:spacing w:after="0" w:line="183" w:lineRule="exact"/>
        <w:rPr>
          <w:sz w:val="20"/>
          <w:szCs w:val="20"/>
          <w:color w:val="auto"/>
        </w:rPr>
      </w:pPr>
    </w:p>
    <w:p>
      <w:pPr>
        <w:ind w:left="180" w:right="20" w:firstLine="545"/>
        <w:spacing w:after="0" w:line="259" w:lineRule="auto"/>
        <w:rPr>
          <w:sz w:val="20"/>
          <w:szCs w:val="20"/>
          <w:color w:val="auto"/>
        </w:rPr>
      </w:pPr>
      <w:r>
        <w:rPr>
          <w:rFonts w:ascii="Arial" w:cs="Arial" w:eastAsia="Arial" w:hAnsi="Arial"/>
          <w:sz w:val="17"/>
          <w:szCs w:val="17"/>
          <w:b w:val="1"/>
          <w:bCs w:val="1"/>
          <w:i w:val="1"/>
          <w:iCs w:val="1"/>
          <w:color w:val="auto"/>
        </w:rPr>
        <w:t xml:space="preserve">Brian Donato </w:t>
      </w:r>
      <w:r>
        <w:rPr>
          <w:rFonts w:ascii="Arial" w:cs="Arial" w:eastAsia="Arial" w:hAnsi="Arial"/>
          <w:sz w:val="17"/>
          <w:szCs w:val="17"/>
          <w:color w:val="auto"/>
        </w:rPr>
        <w:t>has served as our Chief Supply Chain Officer since March 2020. Before joining us, he was the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Operations for Bowery Farming, a vertical farming company, from March 2018 to March 2020. From January 2012 to May 2018,</w:t>
      </w:r>
    </w:p>
    <w:p>
      <w:pPr>
        <w:spacing w:after="0" w:line="1" w:lineRule="exact"/>
        <w:rPr>
          <w:sz w:val="20"/>
          <w:szCs w:val="20"/>
          <w:color w:val="auto"/>
        </w:rPr>
      </w:pPr>
    </w:p>
    <w:p>
      <w:pPr>
        <w:ind w:left="180" w:right="160"/>
        <w:spacing w:after="0" w:line="235" w:lineRule="auto"/>
        <w:rPr>
          <w:sz w:val="20"/>
          <w:szCs w:val="20"/>
          <w:color w:val="auto"/>
        </w:rPr>
      </w:pPr>
      <w:r>
        <w:rPr>
          <w:rFonts w:ascii="Arial" w:cs="Arial" w:eastAsia="Arial" w:hAnsi="Arial"/>
          <w:sz w:val="18"/>
          <w:szCs w:val="18"/>
          <w:color w:val="auto"/>
        </w:rPr>
        <w:t>Mr. Donato served in various capacities at Amazon.com, an e-commerce 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80" w:lineRule="exact"/>
        <w:rPr>
          <w:sz w:val="20"/>
          <w:szCs w:val="20"/>
          <w:color w:val="auto"/>
        </w:rPr>
      </w:pPr>
    </w:p>
    <w:p>
      <w:pPr>
        <w:ind w:left="180" w:right="280" w:firstLine="545"/>
        <w:spacing w:after="0"/>
        <w:rPr>
          <w:sz w:val="20"/>
          <w:szCs w:val="20"/>
          <w:color w:val="auto"/>
        </w:rPr>
      </w:pPr>
      <w:r>
        <w:rPr>
          <w:rFonts w:ascii="Arial" w:cs="Arial" w:eastAsia="Arial" w:hAnsi="Arial"/>
          <w:sz w:val="18"/>
          <w:szCs w:val="18"/>
          <w:b w:val="1"/>
          <w:bCs w:val="1"/>
          <w:i w:val="1"/>
          <w:iCs w:val="1"/>
          <w:color w:val="auto"/>
        </w:rPr>
        <w:t xml:space="preserve">Andrea Alexander </w:t>
      </w:r>
      <w:r>
        <w:rPr>
          <w:rFonts w:ascii="Arial" w:cs="Arial" w:eastAsia="Arial" w:hAnsi="Arial"/>
          <w:sz w:val="18"/>
          <w:szCs w:val="18"/>
          <w:color w:val="auto"/>
        </w:rPr>
        <w:t>has served as our Chief People Officer since June 2021. Prior to joining us, Ms. Alexander served in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of Business at the University of Pennsylvania and an M.B.A. from Harvard Business School.</w:t>
      </w:r>
    </w:p>
    <w:p>
      <w:pPr>
        <w:spacing w:after="0" w:line="181" w:lineRule="exact"/>
        <w:rPr>
          <w:sz w:val="20"/>
          <w:szCs w:val="20"/>
          <w:color w:val="auto"/>
        </w:rPr>
      </w:pPr>
    </w:p>
    <w:p>
      <w:pPr>
        <w:ind w:left="180" w:right="60" w:firstLine="545"/>
        <w:spacing w:after="0" w:line="237" w:lineRule="auto"/>
        <w:rPr>
          <w:sz w:val="20"/>
          <w:szCs w:val="20"/>
          <w:color w:val="auto"/>
        </w:rPr>
      </w:pPr>
      <w:r>
        <w:rPr>
          <w:rFonts w:ascii="Arial" w:cs="Arial" w:eastAsia="Arial" w:hAnsi="Arial"/>
          <w:sz w:val="18"/>
          <w:szCs w:val="18"/>
          <w:b w:val="1"/>
          <w:bCs w:val="1"/>
          <w:i w:val="1"/>
          <w:iCs w:val="1"/>
          <w:color w:val="auto"/>
        </w:rPr>
        <w:t xml:space="preserve">Cara Schembri </w:t>
      </w:r>
      <w:r>
        <w:rPr>
          <w:rFonts w:ascii="Arial" w:cs="Arial" w:eastAsia="Arial" w:hAnsi="Arial"/>
          <w:sz w:val="18"/>
          <w:szCs w:val="18"/>
          <w:color w:val="auto"/>
        </w:rPr>
        <w:t>has served as our General Counsel and Corporate Secretary since December 2019 and prior to that, she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82"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b w:val="1"/>
          <w:bCs w:val="1"/>
          <w:i w:val="1"/>
          <w:iCs w:val="1"/>
          <w:color w:val="auto"/>
        </w:rPr>
        <w:t xml:space="preserve">Larry Steinberg </w:t>
      </w:r>
      <w:r>
        <w:rPr>
          <w:rFonts w:ascii="Arial" w:cs="Arial" w:eastAsia="Arial" w:hAnsi="Arial"/>
          <w:sz w:val="18"/>
          <w:szCs w:val="18"/>
          <w:color w:val="auto"/>
        </w:rPr>
        <w:t>has served as our Chief Technology Officer since July 2020. Before joining us, Mr. Steinberg was a partner at AKF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60"/>
          </w:cols>
          <w:pgMar w:left="320" w:top="456"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firstLine="545"/>
        <w:spacing w:after="0" w:line="238" w:lineRule="auto"/>
        <w:rPr>
          <w:sz w:val="20"/>
          <w:szCs w:val="20"/>
          <w:color w:val="auto"/>
        </w:rPr>
      </w:pPr>
      <w:r>
        <w:rPr>
          <w:rFonts w:ascii="Arial" w:cs="Arial" w:eastAsia="Arial" w:hAnsi="Arial"/>
          <w:sz w:val="18"/>
          <w:szCs w:val="18"/>
          <w:b w:val="1"/>
          <w:bCs w:val="1"/>
          <w:i w:val="1"/>
          <w:iCs w:val="1"/>
          <w:color w:val="auto"/>
        </w:rPr>
        <w:t xml:space="preserve">Sarah Tam </w:t>
      </w:r>
      <w:r>
        <w:rPr>
          <w:rFonts w:ascii="Arial" w:cs="Arial" w:eastAsia="Arial" w:hAnsi="Arial"/>
          <w:sz w:val="18"/>
          <w:szCs w:val="18"/>
          <w:color w:val="auto"/>
        </w:rPr>
        <w:t>has served as our Chief Merchant Officer since August 2017. Prior to that, she served as our Senior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Merchandising and Planning from February 2015 to August 2017. Before joining us, Ms. Tam spent 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Non-Employee Directors</w:t>
      </w:r>
    </w:p>
    <w:p>
      <w:pPr>
        <w:spacing w:after="0" w:line="207" w:lineRule="exact"/>
        <w:rPr>
          <w:sz w:val="20"/>
          <w:szCs w:val="20"/>
          <w:color w:val="auto"/>
        </w:rPr>
      </w:pPr>
    </w:p>
    <w:p>
      <w:pPr>
        <w:ind w:left="180" w:right="100" w:firstLine="545"/>
        <w:spacing w:after="0" w:line="255" w:lineRule="auto"/>
        <w:rPr>
          <w:sz w:val="20"/>
          <w:szCs w:val="20"/>
          <w:color w:val="auto"/>
        </w:rPr>
      </w:pPr>
      <w:r>
        <w:rPr>
          <w:rFonts w:ascii="Arial" w:cs="Arial" w:eastAsia="Arial" w:hAnsi="Arial"/>
          <w:sz w:val="17"/>
          <w:szCs w:val="17"/>
          <w:b w:val="1"/>
          <w:bCs w:val="1"/>
          <w:i w:val="1"/>
          <w:iCs w:val="1"/>
          <w:color w:val="auto"/>
        </w:rPr>
        <w:t xml:space="preserve">Tim Bixby </w:t>
      </w:r>
      <w:r>
        <w:rPr>
          <w:rFonts w:ascii="Arial" w:cs="Arial" w:eastAsia="Arial" w:hAnsi="Arial"/>
          <w:sz w:val="17"/>
          <w:szCs w:val="17"/>
          <w:color w:val="auto"/>
        </w:rPr>
        <w:t>has served as a member of our board of directors since February 2021. Mr. Bixby has been the Chief Financial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Lemonade, Inc., a homeowners and renters insurance provider, since June 2017. From 2016 to 2020, Mr. Bixby has served as a member of the board of advisors for Sightworthy, an on-demand video marketing company. Prior to that, he served as the Chief Financial Officer of Shutterstock, Inc., a digital content licensing marketplace, from 2011 to 2015.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170"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b w:val="1"/>
          <w:bCs w:val="1"/>
          <w:i w:val="1"/>
          <w:iCs w:val="1"/>
          <w:color w:val="auto"/>
        </w:rPr>
        <w:t xml:space="preserve">Jennifer Fleiss </w:t>
      </w:r>
      <w:r>
        <w:rPr>
          <w:rFonts w:ascii="Arial" w:cs="Arial" w:eastAsia="Arial" w:hAnsi="Arial"/>
          <w:sz w:val="18"/>
          <w:szCs w:val="18"/>
          <w:color w:val="auto"/>
        </w:rPr>
        <w:t>has served as our Co-Founder since November 2008 and as a member of our board of directors since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Ms. Fleiss currently serves on the board of Apollo Strategic Growth Capital, a publicly-traded special purpose acquisition company; Party City, a publicly traded retail chain of party stores; and Shutterfly, Inc., a manufacturer and digital retailer of personalized products and services.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85" w:lineRule="exact"/>
        <w:rPr>
          <w:sz w:val="20"/>
          <w:szCs w:val="20"/>
          <w:color w:val="auto"/>
        </w:rPr>
      </w:pPr>
    </w:p>
    <w:p>
      <w:pPr>
        <w:ind w:left="180" w:right="20" w:firstLine="545"/>
        <w:spacing w:after="0" w:line="254" w:lineRule="auto"/>
        <w:rPr>
          <w:sz w:val="20"/>
          <w:szCs w:val="20"/>
          <w:color w:val="auto"/>
        </w:rPr>
      </w:pPr>
      <w:r>
        <w:rPr>
          <w:rFonts w:ascii="Arial" w:cs="Arial" w:eastAsia="Arial" w:hAnsi="Arial"/>
          <w:sz w:val="17"/>
          <w:szCs w:val="17"/>
          <w:b w:val="1"/>
          <w:bCs w:val="1"/>
          <w:i w:val="1"/>
          <w:iCs w:val="1"/>
          <w:color w:val="auto"/>
        </w:rPr>
        <w:t xml:space="preserve">Scott Friend </w:t>
      </w:r>
      <w:r>
        <w:rPr>
          <w:rFonts w:ascii="Arial" w:cs="Arial" w:eastAsia="Arial" w:hAnsi="Arial"/>
          <w:sz w:val="17"/>
          <w:szCs w:val="17"/>
          <w:color w:val="auto"/>
        </w:rPr>
        <w:t>has served as a member of our board of directors since July 2009. Mr. Friend has been a partner at Bain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Ventures, the venture capital division of Bain Capital, a multi-asset alternative investment firm, since September 2006. Mr. Friend currently serves on the board of directors of Persado, an AI-generated language platform; Attentive, a mobile marketing platform; Flow Commerce, Inc., a platform expanding e-commerce companies’ global reach; Mirakl, a French cloud-based e-commerce company which provides online marketplace software to retailers, manufacturers and wholesalers; and mParticle, a customer data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68" w:lineRule="exact"/>
        <w:rPr>
          <w:sz w:val="20"/>
          <w:szCs w:val="20"/>
          <w:color w:val="auto"/>
        </w:rPr>
      </w:pPr>
    </w:p>
    <w:p>
      <w:pPr>
        <w:ind w:left="180" w:right="20" w:firstLine="545"/>
        <w:spacing w:after="0"/>
        <w:rPr>
          <w:sz w:val="20"/>
          <w:szCs w:val="20"/>
          <w:color w:val="auto"/>
        </w:rPr>
      </w:pPr>
      <w:r>
        <w:rPr>
          <w:rFonts w:ascii="Arial" w:cs="Arial" w:eastAsia="Arial" w:hAnsi="Arial"/>
          <w:sz w:val="18"/>
          <w:szCs w:val="18"/>
          <w:b w:val="1"/>
          <w:bCs w:val="1"/>
          <w:i w:val="1"/>
          <w:iCs w:val="1"/>
          <w:color w:val="auto"/>
        </w:rPr>
        <w:t xml:space="preserve">Melanie Harris </w:t>
      </w:r>
      <w:r>
        <w:rPr>
          <w:rFonts w:ascii="Arial" w:cs="Arial" w:eastAsia="Arial" w:hAnsi="Arial"/>
          <w:sz w:val="18"/>
          <w:szCs w:val="18"/>
          <w:color w:val="auto"/>
        </w:rPr>
        <w:t>has served as a member of our board of directors since July 2021. Ms. Harris has been the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&amp; Development at Nike, Inc. since May 2019. She previously served in various capacities at Bain &amp; Company from January 2010 to May 2019, most recently as a Partner. Ms. Harris holds a B.A. in Political Science from Yale University and an M.B.A. from Harvard Business School. We believe Ms. Harris is qualified to serve on our board of directors because of her extensive leadership experience with e-commerce and consumer products companies and her financial background.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40"/>
          </w:cols>
          <w:pgMar w:left="320" w:top="456"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right="60" w:firstLine="545"/>
        <w:spacing w:after="0" w:line="236" w:lineRule="auto"/>
        <w:rPr>
          <w:sz w:val="20"/>
          <w:szCs w:val="20"/>
          <w:color w:val="auto"/>
        </w:rPr>
      </w:pPr>
      <w:r>
        <w:rPr>
          <w:rFonts w:ascii="Arial" w:cs="Arial" w:eastAsia="Arial" w:hAnsi="Arial"/>
          <w:sz w:val="18"/>
          <w:szCs w:val="18"/>
          <w:b w:val="1"/>
          <w:bCs w:val="1"/>
          <w:i w:val="1"/>
          <w:iCs w:val="1"/>
          <w:color w:val="auto"/>
        </w:rPr>
        <w:t xml:space="preserve">Beth Kaplan </w:t>
      </w:r>
      <w:r>
        <w:rPr>
          <w:rFonts w:ascii="Arial" w:cs="Arial" w:eastAsia="Arial" w:hAnsi="Arial"/>
          <w:sz w:val="18"/>
          <w:szCs w:val="18"/>
          <w:color w:val="auto"/>
        </w:rPr>
        <w:t>has served as a member of our board of directors since February 2014 and formerly served as our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Operating Officer from 2012 to 2015. Ms. Kaplan is the managing member of Axcel Partners, LLC, a venture capital firm investing in early stage and growth companies founded and led by women, and previously served as the President and Chief Operating Officer of GNC. Ms. Kaplan currently serves on the board of directors of a number of companies, including public companies Howard Hughes Corporation, a real estate development and management company; Crocs, a manufacturer of foam clogs; Meredith Corporation, a media conglomerate; and private companies Cooper’s Hawk, a full-service restaurant and winery chain, and Brilliant Earth, a jewelry company. Ms. Kaplan holds a B.S. in Marketing, Finance and Economics and an M.B.A. from the Wharton School of Business at the University of Pennsylvania. We believe Ms. Kaplan is qualified to serve on our board of directors because of her strategic, operational and management and directorship experience in public and private companies.</w:t>
      </w:r>
    </w:p>
    <w:p>
      <w:pPr>
        <w:spacing w:after="0" w:line="185" w:lineRule="exact"/>
        <w:rPr>
          <w:sz w:val="20"/>
          <w:szCs w:val="20"/>
          <w:color w:val="auto"/>
        </w:rPr>
      </w:pPr>
    </w:p>
    <w:p>
      <w:pPr>
        <w:ind w:left="180" w:firstLine="545"/>
        <w:spacing w:after="0" w:line="252" w:lineRule="auto"/>
        <w:rPr>
          <w:sz w:val="20"/>
          <w:szCs w:val="20"/>
          <w:color w:val="auto"/>
        </w:rPr>
      </w:pPr>
      <w:r>
        <w:rPr>
          <w:rFonts w:ascii="Arial" w:cs="Arial" w:eastAsia="Arial" w:hAnsi="Arial"/>
          <w:sz w:val="17"/>
          <w:szCs w:val="17"/>
          <w:b w:val="1"/>
          <w:bCs w:val="1"/>
          <w:i w:val="1"/>
          <w:iCs w:val="1"/>
          <w:color w:val="auto"/>
        </w:rPr>
        <w:t xml:space="preserve">Dan Nova </w:t>
      </w:r>
      <w:r>
        <w:rPr>
          <w:rFonts w:ascii="Arial" w:cs="Arial" w:eastAsia="Arial" w:hAnsi="Arial"/>
          <w:sz w:val="17"/>
          <w:szCs w:val="17"/>
          <w:color w:val="auto"/>
        </w:rPr>
        <w:t>has served as a member of our board of directors since February 2010. Mr. Nova has been a General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Highland Capital Partners, a global venture capital firm with offices in Cambridge and Silicon Valley, since 1996. Since October 2020, Mr. Nova has also served as the Chief Investment Officer and a director of Highland Transcend Partners I Corp., a publicly-traded special purpose acquisition company. Mr. Nova also serves on the board of directors and compensation committee of ThredUp Inc., a publicly-traded online resale platform, and serves on the board of directors of a number of privately held companies, including Catalant, Clearbanc, Kyruus, RapidSOS and YipitData.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175" w:lineRule="exact"/>
        <w:rPr>
          <w:sz w:val="20"/>
          <w:szCs w:val="20"/>
          <w:color w:val="auto"/>
        </w:rPr>
      </w:pPr>
    </w:p>
    <w:p>
      <w:pPr>
        <w:ind w:left="180" w:right="80" w:firstLine="545"/>
        <w:spacing w:after="0" w:line="250" w:lineRule="auto"/>
        <w:rPr>
          <w:sz w:val="20"/>
          <w:szCs w:val="20"/>
          <w:color w:val="auto"/>
        </w:rPr>
      </w:pPr>
      <w:r>
        <w:rPr>
          <w:rFonts w:ascii="Arial" w:cs="Arial" w:eastAsia="Arial" w:hAnsi="Arial"/>
          <w:sz w:val="17"/>
          <w:szCs w:val="17"/>
          <w:b w:val="1"/>
          <w:bCs w:val="1"/>
          <w:i w:val="1"/>
          <w:iCs w:val="1"/>
          <w:color w:val="auto"/>
        </w:rPr>
        <w:t xml:space="preserve">Gwyneth Paltrow </w:t>
      </w:r>
      <w:r>
        <w:rPr>
          <w:rFonts w:ascii="Arial" w:cs="Arial" w:eastAsia="Arial" w:hAnsi="Arial"/>
          <w:sz w:val="17"/>
          <w:szCs w:val="17"/>
          <w:color w:val="auto"/>
        </w:rPr>
        <w:t>has served as a member of our board of directors since May 2021. Ms. Paltrow is an entrepreneur, an Oscar-and Emmy-winning actress, and a New York Times–bestselling author. She founded Goop, Inc., or goop—a global lifestyle brand and contextual commerce business—in 2008 and has served as the chief executive officer since 2016, having previously served as the chief creative officer since 2008.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w:t>
      </w:r>
    </w:p>
    <w:p>
      <w:pPr>
        <w:spacing w:after="0" w:line="3" w:lineRule="exact"/>
        <w:rPr>
          <w:sz w:val="20"/>
          <w:szCs w:val="20"/>
          <w:color w:val="auto"/>
        </w:rPr>
      </w:pPr>
    </w:p>
    <w:p>
      <w:pPr>
        <w:ind w:left="180" w:right="140"/>
        <w:spacing w:after="0" w:line="239" w:lineRule="auto"/>
        <w:rPr>
          <w:sz w:val="20"/>
          <w:szCs w:val="20"/>
          <w:color w:val="auto"/>
        </w:rPr>
      </w:pPr>
      <w:r>
        <w:rPr>
          <w:rFonts w:ascii="Arial" w:cs="Arial" w:eastAsia="Arial" w:hAnsi="Arial"/>
          <w:sz w:val="18"/>
          <w:szCs w:val="18"/>
          <w:color w:val="auto"/>
        </w:rPr>
        <w:t>Ms. Paltrow is qualified to serve on our board of directors because of her entrepreneurial expertise, her deep understanding of consumer marketing, and her experience leading an e-commerce company.</w:t>
      </w:r>
    </w:p>
    <w:p>
      <w:pPr>
        <w:spacing w:after="0" w:line="180" w:lineRule="exact"/>
        <w:rPr>
          <w:sz w:val="20"/>
          <w:szCs w:val="20"/>
          <w:color w:val="auto"/>
        </w:rPr>
      </w:pPr>
    </w:p>
    <w:p>
      <w:pPr>
        <w:ind w:left="180" w:right="100" w:firstLine="545"/>
        <w:spacing w:after="0" w:line="237" w:lineRule="auto"/>
        <w:rPr>
          <w:sz w:val="20"/>
          <w:szCs w:val="20"/>
          <w:color w:val="auto"/>
        </w:rPr>
      </w:pPr>
      <w:r>
        <w:rPr>
          <w:rFonts w:ascii="Arial" w:cs="Arial" w:eastAsia="Arial" w:hAnsi="Arial"/>
          <w:sz w:val="18"/>
          <w:szCs w:val="18"/>
          <w:b w:val="1"/>
          <w:bCs w:val="1"/>
          <w:i w:val="1"/>
          <w:iCs w:val="1"/>
          <w:color w:val="auto"/>
        </w:rPr>
        <w:t xml:space="preserve">Carley Roney </w:t>
      </w:r>
      <w:r>
        <w:rPr>
          <w:rFonts w:ascii="Arial" w:cs="Arial" w:eastAsia="Arial" w:hAnsi="Arial"/>
          <w:sz w:val="18"/>
          <w:szCs w:val="18"/>
          <w:color w:val="auto"/>
        </w:rPr>
        <w:t>has served as a member of our board of directors since May 2011. Ms. Roney is the co-founder and Chief Creative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182" w:lineRule="exact"/>
        <w:rPr>
          <w:sz w:val="20"/>
          <w:szCs w:val="20"/>
          <w:color w:val="auto"/>
        </w:rPr>
      </w:pPr>
    </w:p>
    <w:p>
      <w:pPr>
        <w:ind w:left="180" w:right="60" w:firstLine="545"/>
        <w:spacing w:after="0" w:line="255" w:lineRule="auto"/>
        <w:rPr>
          <w:sz w:val="20"/>
          <w:szCs w:val="20"/>
          <w:color w:val="auto"/>
        </w:rPr>
      </w:pPr>
      <w:r>
        <w:rPr>
          <w:rFonts w:ascii="Arial" w:cs="Arial" w:eastAsia="Arial" w:hAnsi="Arial"/>
          <w:sz w:val="17"/>
          <w:szCs w:val="17"/>
          <w:b w:val="1"/>
          <w:bCs w:val="1"/>
          <w:i w:val="1"/>
          <w:iCs w:val="1"/>
          <w:color w:val="auto"/>
        </w:rPr>
        <w:t xml:space="preserve">Dan Rosensweig </w:t>
      </w:r>
      <w:r>
        <w:rPr>
          <w:rFonts w:ascii="Arial" w:cs="Arial" w:eastAsia="Arial" w:hAnsi="Arial"/>
          <w:sz w:val="17"/>
          <w:szCs w:val="17"/>
          <w:color w:val="auto"/>
        </w:rPr>
        <w:t>has served as a member of our board of directors since November 2012. Mr. Rosensweig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of Chegg, Inc., an education technology company, since February 2010 and as the Chairman of the board of directors since March 2010. Prior to that, Mr. Rosensweig served as Chief Operating Officer of Yahoo and developer, publisher and distributor of Guitar Hero. Mr. Rosensweig also currently serves on the board of directors of Adobe System. Mr. Rosensweig holds a B.A. in Political Science from Hobart and William Smith Colleges. We believe Mr. Rosensweig is qualified to serve on our board of directors because of his extensive experience as a public company chief executive officer and his knowledge of technology companies.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right="220" w:firstLine="545"/>
        <w:spacing w:after="0" w:line="239" w:lineRule="auto"/>
        <w:rPr>
          <w:sz w:val="20"/>
          <w:szCs w:val="20"/>
          <w:color w:val="auto"/>
        </w:rPr>
      </w:pPr>
      <w:r>
        <w:rPr>
          <w:rFonts w:ascii="Arial" w:cs="Arial" w:eastAsia="Arial" w:hAnsi="Arial"/>
          <w:sz w:val="18"/>
          <w:szCs w:val="18"/>
          <w:b w:val="1"/>
          <w:bCs w:val="1"/>
          <w:i w:val="1"/>
          <w:iCs w:val="1"/>
          <w:color w:val="auto"/>
        </w:rPr>
        <w:t xml:space="preserve">Mike Roth </w:t>
      </w:r>
      <w:r>
        <w:rPr>
          <w:rFonts w:ascii="Arial" w:cs="Arial" w:eastAsia="Arial" w:hAnsi="Arial"/>
          <w:sz w:val="18"/>
          <w:szCs w:val="18"/>
          <w:color w:val="auto"/>
        </w:rPr>
        <w:t>has served as a member of our board of directors since January 2020. From 1999 to 2019, Mr. Roth has served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capacities at Amazon.com, Inc.,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9" w:lineRule="exact"/>
        <w:rPr>
          <w:sz w:val="20"/>
          <w:szCs w:val="20"/>
          <w:color w:val="auto"/>
        </w:rPr>
      </w:pPr>
    </w:p>
    <w:p>
      <w:pPr>
        <w:ind w:left="180" w:right="140" w:firstLine="545"/>
        <w:spacing w:after="0" w:line="253" w:lineRule="auto"/>
        <w:rPr>
          <w:sz w:val="20"/>
          <w:szCs w:val="20"/>
          <w:color w:val="auto"/>
        </w:rPr>
      </w:pPr>
      <w:r>
        <w:rPr>
          <w:rFonts w:ascii="Arial" w:cs="Arial" w:eastAsia="Arial" w:hAnsi="Arial"/>
          <w:sz w:val="17"/>
          <w:szCs w:val="17"/>
          <w:color w:val="auto"/>
        </w:rPr>
        <w:t>In accordance with our Amended Charter that will be in effect immediately following the effectiveness of the registration statement of which this prospectus forms a part, our board of directors will be divided into three classes with staggered three-year terms. At each annual meeting of stockholders, only one class of directors will be elected to serve until the third annual meeting following election and until such directors’ successors are duly elected and qualified. Our directors will be divided among the three classes as follows:</w:t>
      </w:r>
    </w:p>
    <w:p>
      <w:pPr>
        <w:sectPr>
          <w:pgSz w:w="11900" w:h="16838" w:orient="portrait"/>
          <w:cols w:equalWidth="0" w:num="1">
            <w:col w:w="11040"/>
          </w:cols>
          <w:pgMar w:left="320" w:top="456" w:right="539" w:bottom="1440" w:gutter="0" w:footer="0" w:header="0"/>
        </w:sectPr>
      </w:pPr>
    </w:p>
    <w:p>
      <w:pPr>
        <w:spacing w:after="0" w:line="97" w:lineRule="exact"/>
        <w:rPr>
          <w:sz w:val="20"/>
          <w:szCs w:val="20"/>
          <w:color w:val="auto"/>
        </w:rPr>
      </w:pPr>
    </w:p>
    <w:p>
      <w:pPr>
        <w:ind w:left="920" w:right="80" w:hanging="219"/>
        <w:spacing w:after="0" w:line="239" w:lineRule="auto"/>
        <w:tabs>
          <w:tab w:leader="none" w:pos="900" w:val="left"/>
        </w:tabs>
        <w:rPr>
          <w:sz w:val="20"/>
          <w:szCs w:val="20"/>
          <w:color w:val="auto"/>
        </w:rPr>
      </w:pPr>
      <w:r>
        <w:rPr>
          <w:rFonts w:ascii="Arial" w:cs="Arial" w:eastAsia="Arial" w:hAnsi="Arial"/>
          <w:sz w:val="18"/>
          <w:szCs w:val="18"/>
          <w:color w:val="auto"/>
        </w:rPr>
        <w:t>•</w:t>
        <w:tab/>
        <w:t>the Class I directors will be of this offering;</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our first annual meeting of stockholders upon the completion</w:t>
      </w:r>
    </w:p>
    <w:p>
      <w:pPr>
        <w:spacing w:after="0" w:line="325" w:lineRule="exact"/>
        <w:rPr>
          <w:sz w:val="20"/>
          <w:szCs w:val="20"/>
          <w:color w:val="auto"/>
        </w:rPr>
      </w:pPr>
    </w:p>
    <w:p>
      <w:pPr>
        <w:sectPr>
          <w:pgSz w:w="11900" w:h="16838" w:orient="portrait"/>
          <w:cols w:equalWidth="0" w:num="2">
            <w:col w:w="3120" w:space="720"/>
            <w:col w:w="7200"/>
          </w:cols>
          <w:pgMar w:left="320" w:top="456" w:right="539" w:bottom="1440" w:gutter="0" w:footer="0" w:header="0"/>
          <w:type w:val="continuous"/>
        </w:sectPr>
      </w:pPr>
    </w:p>
    <w:p>
      <w:pPr>
        <w:ind w:left="920" w:hanging="219"/>
        <w:spacing w:after="0" w:line="267" w:lineRule="auto"/>
        <w:tabs>
          <w:tab w:leader="none" w:pos="900" w:val="left"/>
        </w:tabs>
        <w:rPr>
          <w:sz w:val="20"/>
          <w:szCs w:val="20"/>
          <w:color w:val="auto"/>
        </w:rPr>
      </w:pPr>
      <w:r>
        <w:rPr>
          <w:rFonts w:ascii="Arial" w:cs="Arial" w:eastAsia="Arial" w:hAnsi="Arial"/>
          <w:sz w:val="17"/>
          <w:szCs w:val="17"/>
          <w:color w:val="auto"/>
        </w:rPr>
        <w:t>•</w:t>
        <w:tab/>
        <w:t>the Class II directors will be completion of this offering;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and their terms will expire at our second annual meeting of stockholders upon the</w:t>
      </w:r>
    </w:p>
    <w:p>
      <w:pPr>
        <w:spacing w:after="0" w:line="325" w:lineRule="exact"/>
        <w:rPr>
          <w:sz w:val="20"/>
          <w:szCs w:val="20"/>
          <w:color w:val="auto"/>
        </w:rPr>
      </w:pPr>
    </w:p>
    <w:p>
      <w:pPr>
        <w:sectPr>
          <w:pgSz w:w="11900" w:h="16838" w:orient="portrait"/>
          <w:cols w:equalWidth="0" w:num="2">
            <w:col w:w="3340" w:space="540"/>
            <w:col w:w="7160"/>
          </w:cols>
          <w:pgMar w:left="320" w:top="456" w:right="539" w:bottom="1440" w:gutter="0" w:footer="0" w:header="0"/>
          <w:type w:val="continuous"/>
        </w:sectPr>
      </w:pPr>
    </w:p>
    <w:p>
      <w:pPr>
        <w:ind w:left="920" w:right="60" w:hanging="219"/>
        <w:spacing w:after="0" w:line="267" w:lineRule="auto"/>
        <w:tabs>
          <w:tab w:leader="none" w:pos="900" w:val="left"/>
        </w:tabs>
        <w:rPr>
          <w:sz w:val="20"/>
          <w:szCs w:val="20"/>
          <w:color w:val="auto"/>
        </w:rPr>
      </w:pPr>
      <w:r>
        <w:rPr>
          <w:rFonts w:ascii="Arial" w:cs="Arial" w:eastAsia="Arial" w:hAnsi="Arial"/>
          <w:sz w:val="17"/>
          <w:szCs w:val="17"/>
          <w:color w:val="auto"/>
        </w:rPr>
        <w:t>•</w:t>
        <w:tab/>
        <w:t>the Class III directors will be completion of this offering.</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Arial" w:cs="Arial" w:eastAsia="Arial" w:hAnsi="Arial"/>
          <w:sz w:val="17"/>
          <w:szCs w:val="17"/>
          <w:color w:val="auto"/>
        </w:rPr>
        <w:t>, and their terms will expire at our third annual meeting of stockholders upon the</w:t>
      </w:r>
    </w:p>
    <w:p>
      <w:pPr>
        <w:spacing w:after="0" w:line="419" w:lineRule="exact"/>
        <w:rPr>
          <w:sz w:val="20"/>
          <w:szCs w:val="20"/>
          <w:color w:val="auto"/>
        </w:rPr>
      </w:pPr>
    </w:p>
    <w:p>
      <w:pPr>
        <w:sectPr>
          <w:pgSz w:w="11900" w:h="16838" w:orient="portrait"/>
          <w:cols w:equalWidth="0" w:num="2">
            <w:col w:w="3200" w:space="720"/>
            <w:col w:w="7120"/>
          </w:cols>
          <w:pgMar w:left="320" w:top="456" w:right="539" w:bottom="1440" w:gutter="0" w:footer="0" w:header="0"/>
          <w:type w:val="continuous"/>
        </w:sectPr>
      </w:pPr>
    </w:p>
    <w:p>
      <w:pPr>
        <w:ind w:left="180" w:firstLine="545"/>
        <w:spacing w:after="0" w:line="237"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board of directors has reviewed the independence of each director. Based on information provided by each director concerning</w:t>
      </w:r>
    </w:p>
    <w:p>
      <w:pPr>
        <w:spacing w:after="0" w:line="5" w:lineRule="exact"/>
        <w:rPr>
          <w:sz w:val="20"/>
          <w:szCs w:val="20"/>
          <w:color w:val="auto"/>
        </w:rPr>
      </w:pPr>
    </w:p>
    <w:p>
      <w:pPr>
        <w:ind w:left="180" w:right="40"/>
        <w:spacing w:after="0" w:line="232" w:lineRule="auto"/>
        <w:rPr>
          <w:sz w:val="20"/>
          <w:szCs w:val="20"/>
          <w:color w:val="auto"/>
        </w:rPr>
      </w:pPr>
      <w:r>
        <w:rPr>
          <w:rFonts w:ascii="Arial" w:cs="Arial" w:eastAsia="Arial" w:hAnsi="Arial"/>
          <w:sz w:val="18"/>
          <w:szCs w:val="18"/>
          <w:color w:val="auto"/>
        </w:rPr>
        <w:t>his or her background, employment, and affiliations, our board of directors has determined that we do not have relationships that would interfere with the exercise of independent judgment in carrying out the responsibilities of a director and that each of these directors</w:t>
      </w:r>
    </w:p>
    <w:p>
      <w:pPr>
        <w:spacing w:after="0" w:line="1" w:lineRule="exact"/>
        <w:rPr>
          <w:sz w:val="20"/>
          <w:szCs w:val="20"/>
          <w:color w:val="auto"/>
        </w:rPr>
      </w:pPr>
    </w:p>
    <w:p>
      <w:pPr>
        <w:ind w:left="180" w:right="20"/>
        <w:spacing w:after="0"/>
        <w:rPr>
          <w:sz w:val="20"/>
          <w:szCs w:val="20"/>
          <w:color w:val="auto"/>
        </w:rPr>
      </w:pPr>
      <w:r>
        <w:rPr>
          <w:rFonts w:ascii="Arial" w:cs="Arial" w:eastAsia="Arial" w:hAnsi="Arial"/>
          <w:sz w:val="18"/>
          <w:szCs w:val="18"/>
          <w:color w:val="auto"/>
        </w:rPr>
        <w:t>is “independent” as that term is defined under the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29"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ESG committee. The composition and responsibilities of each of the committees of our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40"/>
          </w:cols>
          <w:pgMar w:left="320" w:top="456" w:right="5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20"/>
        <w:spacing w:after="0" w:line="239" w:lineRule="auto"/>
        <w:rPr>
          <w:sz w:val="20"/>
          <w:szCs w:val="20"/>
          <w:color w:val="auto"/>
        </w:rPr>
      </w:pPr>
      <w:r>
        <w:rPr>
          <w:rFonts w:ascii="Arial" w:cs="Arial" w:eastAsia="Arial" w:hAnsi="Arial"/>
          <w:sz w:val="18"/>
          <w:szCs w:val="18"/>
          <w:color w:val="auto"/>
        </w:rPr>
        <w:t>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2" w:lineRule="exact"/>
        <w:rPr>
          <w:sz w:val="20"/>
          <w:szCs w:val="20"/>
          <w:color w:val="auto"/>
        </w:rPr>
      </w:pPr>
    </w:p>
    <w:p>
      <w:pPr>
        <w:ind w:left="180" w:firstLine="545"/>
        <w:spacing w:after="0" w:line="232" w:lineRule="auto"/>
        <w:rPr>
          <w:sz w:val="20"/>
          <w:szCs w:val="20"/>
          <w:color w:val="auto"/>
        </w:rPr>
      </w:pPr>
      <w:r>
        <w:rPr>
          <w:rFonts w:ascii="Arial" w:cs="Arial" w:eastAsia="Arial" w:hAnsi="Arial"/>
          <w:sz w:val="18"/>
          <w:szCs w:val="18"/>
          <w:color w:val="auto"/>
        </w:rPr>
        <w:t>Our audit committee consists of . Our board of directors has determined that each member of our audit committee satisfies the independence requirements under the listing standards of the and Rule 10A-3(b)(1) of the Exchange Act. The chair of our audit committee is . Our board of directors has determined that is an “audit committee financial expert” within the</w:t>
      </w:r>
    </w:p>
    <w:p>
      <w:pPr>
        <w:spacing w:after="0" w:line="1" w:lineRule="exact"/>
        <w:rPr>
          <w:sz w:val="20"/>
          <w:szCs w:val="20"/>
          <w:color w:val="auto"/>
        </w:rPr>
      </w:pPr>
    </w:p>
    <w:p>
      <w:pPr>
        <w:ind w:left="180" w:right="120"/>
        <w:spacing w:after="0" w:line="237" w:lineRule="auto"/>
        <w:rPr>
          <w:sz w:val="20"/>
          <w:szCs w:val="20"/>
          <w:color w:val="auto"/>
        </w:rPr>
      </w:pPr>
      <w:r>
        <w:rPr>
          <w:rFonts w:ascii="Arial" w:cs="Arial" w:eastAsia="Arial" w:hAnsi="Arial"/>
          <w:sz w:val="18"/>
          <w:szCs w:val="18"/>
          <w:color w:val="auto"/>
        </w:rPr>
        <w:t>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202" w:lineRule="exact"/>
        <w:rPr>
          <w:sz w:val="20"/>
          <w:szCs w:val="20"/>
          <w:color w:val="auto"/>
        </w:rPr>
      </w:pPr>
    </w:p>
    <w:p>
      <w:pPr>
        <w:ind w:left="180" w:right="340" w:firstLine="545"/>
        <w:spacing w:after="0" w:line="237" w:lineRule="auto"/>
        <w:rPr>
          <w:sz w:val="20"/>
          <w:szCs w:val="20"/>
          <w:color w:val="auto"/>
        </w:rPr>
      </w:pPr>
      <w:r>
        <w:rPr>
          <w:rFonts w:ascii="Arial" w:cs="Arial" w:eastAsia="Arial" w:hAnsi="Arial"/>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responsibilities of our audit committee include:</w:t>
      </w:r>
    </w:p>
    <w:p>
      <w:pPr>
        <w:spacing w:after="0" w:line="114" w:lineRule="exact"/>
        <w:rPr>
          <w:sz w:val="20"/>
          <w:szCs w:val="20"/>
          <w:color w:val="auto"/>
        </w:rPr>
      </w:pPr>
    </w:p>
    <w:p>
      <w:pPr>
        <w:ind w:left="1360" w:hanging="425"/>
        <w:spacing w:after="0"/>
        <w:tabs>
          <w:tab w:leader="none" w:pos="1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3" w:lineRule="exact"/>
        <w:rPr>
          <w:rFonts w:ascii="Arial" w:cs="Arial" w:eastAsia="Arial" w:hAnsi="Arial"/>
          <w:sz w:val="18"/>
          <w:szCs w:val="18"/>
          <w:color w:val="auto"/>
        </w:rPr>
      </w:pPr>
    </w:p>
    <w:p>
      <w:pPr>
        <w:ind w:left="1360" w:right="40" w:hanging="425"/>
        <w:spacing w:after="0" w:line="237" w:lineRule="auto"/>
        <w:tabs>
          <w:tab w:leader="none" w:pos="1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108" w:lineRule="exact"/>
        <w:rPr>
          <w:rFonts w:ascii="Arial" w:cs="Arial" w:eastAsia="Arial" w:hAnsi="Arial"/>
          <w:sz w:val="18"/>
          <w:szCs w:val="18"/>
          <w:color w:val="auto"/>
        </w:rPr>
      </w:pPr>
    </w:p>
    <w:p>
      <w:pPr>
        <w:ind w:left="1360" w:right="260" w:hanging="425"/>
        <w:spacing w:after="0" w:line="267" w:lineRule="auto"/>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86" w:lineRule="exact"/>
        <w:rPr>
          <w:rFonts w:ascii="Arial" w:cs="Arial" w:eastAsia="Arial" w:hAnsi="Arial"/>
          <w:sz w:val="17"/>
          <w:szCs w:val="17"/>
          <w:color w:val="auto"/>
        </w:rPr>
      </w:pPr>
    </w:p>
    <w:p>
      <w:pPr>
        <w:ind w:left="1360" w:hanging="425"/>
        <w:spacing w:after="0"/>
        <w:tabs>
          <w:tab w:leader="none" w:pos="1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3" w:lineRule="exact"/>
        <w:rPr>
          <w:rFonts w:ascii="Arial" w:cs="Arial" w:eastAsia="Arial" w:hAnsi="Arial"/>
          <w:sz w:val="18"/>
          <w:szCs w:val="18"/>
          <w:color w:val="auto"/>
        </w:rPr>
      </w:pPr>
    </w:p>
    <w:p>
      <w:pPr>
        <w:ind w:left="1360" w:hanging="425"/>
        <w:spacing w:after="0"/>
        <w:tabs>
          <w:tab w:leader="none" w:pos="1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13" w:lineRule="exact"/>
        <w:rPr>
          <w:rFonts w:ascii="Arial" w:cs="Arial" w:eastAsia="Arial" w:hAnsi="Arial"/>
          <w:sz w:val="18"/>
          <w:szCs w:val="18"/>
          <w:color w:val="auto"/>
        </w:rPr>
      </w:pPr>
    </w:p>
    <w:p>
      <w:pPr>
        <w:ind w:left="1360" w:right="240" w:hanging="425"/>
        <w:spacing w:after="0" w:line="239" w:lineRule="auto"/>
        <w:tabs>
          <w:tab w:leader="none" w:pos="1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 and</w:t>
      </w:r>
    </w:p>
    <w:p>
      <w:pPr>
        <w:spacing w:after="0" w:line="108" w:lineRule="exact"/>
        <w:rPr>
          <w:rFonts w:ascii="Arial" w:cs="Arial" w:eastAsia="Arial" w:hAnsi="Arial"/>
          <w:sz w:val="18"/>
          <w:szCs w:val="18"/>
          <w:color w:val="auto"/>
        </w:rPr>
      </w:pPr>
    </w:p>
    <w:p>
      <w:pPr>
        <w:ind w:left="1360" w:hanging="425"/>
        <w:spacing w:after="0"/>
        <w:tabs>
          <w:tab w:leader="none" w:pos="1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audit committee will operate under a written charter, to be effective upon the completion of this offering , that satisfies the</w:t>
      </w:r>
    </w:p>
    <w:p>
      <w:pPr>
        <w:ind w:left="180"/>
        <w:spacing w:after="0"/>
        <w:tabs>
          <w:tab w:leader="none" w:pos="3780" w:val="left"/>
        </w:tabs>
        <w:rPr>
          <w:sz w:val="20"/>
          <w:szCs w:val="20"/>
          <w:color w:val="auto"/>
        </w:rPr>
      </w:pPr>
      <w:r>
        <w:rPr>
          <w:rFonts w:ascii="Arial" w:cs="Arial" w:eastAsia="Arial" w:hAnsi="Arial"/>
          <w:sz w:val="18"/>
          <w:szCs w:val="18"/>
          <w:color w:val="auto"/>
        </w:rPr>
        <w:t>applicable listing standards of the</w:t>
      </w:r>
      <w:r>
        <w:rPr>
          <w:sz w:val="20"/>
          <w:szCs w:val="20"/>
          <w:color w:val="auto"/>
        </w:rPr>
        <w:tab/>
      </w:r>
      <w:r>
        <w:rPr>
          <w:rFonts w:ascii="Arial" w:cs="Arial" w:eastAsia="Arial" w:hAnsi="Arial"/>
          <w:sz w:val="14"/>
          <w:szCs w:val="14"/>
          <w:color w:val="auto"/>
        </w:rPr>
        <w:t>.</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2" w:lineRule="exact"/>
        <w:rPr>
          <w:sz w:val="20"/>
          <w:szCs w:val="20"/>
          <w:color w:val="auto"/>
        </w:rPr>
      </w:pPr>
    </w:p>
    <w:p>
      <w:pPr>
        <w:ind w:left="180" w:right="100" w:firstLine="545"/>
        <w:spacing w:after="0" w:line="237" w:lineRule="auto"/>
        <w:rPr>
          <w:sz w:val="20"/>
          <w:szCs w:val="20"/>
          <w:color w:val="auto"/>
        </w:rPr>
      </w:pPr>
      <w:r>
        <w:rPr>
          <w:rFonts w:ascii="Arial" w:cs="Arial" w:eastAsia="Arial" w:hAnsi="Arial"/>
          <w:sz w:val="18"/>
          <w:szCs w:val="18"/>
          <w:color w:val="auto"/>
        </w:rPr>
        <w:t>Our compensation committee consists of . The chair of our compensation committee is . Our board of directors has determined that each member of our compensation committee is independent under the listing standards of the and a “non-employee director” as defined in Rule 16b-3 promulgated under the Exchange Act.</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0"/>
          </w:cols>
          <w:pgMar w:left="320" w:top="456" w:right="5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80" w:right="40" w:firstLine="545"/>
        <w:spacing w:after="0" w:line="237"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14" w:lineRule="exact"/>
        <w:rPr>
          <w:sz w:val="20"/>
          <w:szCs w:val="20"/>
          <w:color w:val="auto"/>
        </w:rPr>
      </w:pPr>
    </w:p>
    <w:p>
      <w:pPr>
        <w:ind w:left="1360" w:right="140" w:hanging="425"/>
        <w:spacing w:after="0" w:line="239" w:lineRule="auto"/>
        <w:tabs>
          <w:tab w:leader="none" w:pos="1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spacing w:after="0" w:line="108" w:lineRule="exact"/>
        <w:rPr>
          <w:rFonts w:ascii="Arial" w:cs="Arial" w:eastAsia="Arial" w:hAnsi="Arial"/>
          <w:sz w:val="18"/>
          <w:szCs w:val="18"/>
          <w:color w:val="auto"/>
        </w:rPr>
      </w:pPr>
    </w:p>
    <w:p>
      <w:pPr>
        <w:ind w:left="1360" w:hanging="425"/>
        <w:spacing w:after="0"/>
        <w:tabs>
          <w:tab w:leader="none" w:pos="1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13" w:lineRule="exact"/>
        <w:rPr>
          <w:rFonts w:ascii="Arial" w:cs="Arial" w:eastAsia="Arial" w:hAnsi="Arial"/>
          <w:sz w:val="18"/>
          <w:szCs w:val="18"/>
          <w:color w:val="auto"/>
        </w:rPr>
      </w:pPr>
    </w:p>
    <w:p>
      <w:pPr>
        <w:ind w:left="1360" w:hanging="425"/>
        <w:spacing w:after="0"/>
        <w:tabs>
          <w:tab w:leader="none" w:pos="1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3" w:lineRule="exact"/>
        <w:rPr>
          <w:rFonts w:ascii="Arial" w:cs="Arial" w:eastAsia="Arial" w:hAnsi="Arial"/>
          <w:sz w:val="18"/>
          <w:szCs w:val="18"/>
          <w:color w:val="auto"/>
        </w:rPr>
      </w:pPr>
    </w:p>
    <w:p>
      <w:pPr>
        <w:jc w:val="both"/>
        <w:ind w:left="1360" w:right="320" w:hanging="425"/>
        <w:spacing w:after="0" w:line="237" w:lineRule="auto"/>
        <w:tabs>
          <w:tab w:leader="none" w:pos="1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108" w:lineRule="exact"/>
        <w:rPr>
          <w:rFonts w:ascii="Arial" w:cs="Arial" w:eastAsia="Arial" w:hAnsi="Arial"/>
          <w:sz w:val="18"/>
          <w:szCs w:val="18"/>
          <w:color w:val="auto"/>
        </w:rPr>
      </w:pPr>
    </w:p>
    <w:p>
      <w:pPr>
        <w:ind w:left="1360" w:right="240" w:hanging="425"/>
        <w:spacing w:after="0" w:line="239" w:lineRule="auto"/>
        <w:tabs>
          <w:tab w:leader="none" w:pos="1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 and</w:t>
      </w:r>
    </w:p>
    <w:p>
      <w:pPr>
        <w:spacing w:after="0" w:line="108" w:lineRule="exact"/>
        <w:rPr>
          <w:rFonts w:ascii="Arial" w:cs="Arial" w:eastAsia="Arial" w:hAnsi="Arial"/>
          <w:sz w:val="18"/>
          <w:szCs w:val="18"/>
          <w:color w:val="auto"/>
        </w:rPr>
      </w:pPr>
    </w:p>
    <w:p>
      <w:pPr>
        <w:ind w:left="1360" w:hanging="425"/>
        <w:spacing w:after="0"/>
        <w:tabs>
          <w:tab w:leader="none" w:pos="1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reviewing succession planning for our executive leadership team.</w:t>
      </w:r>
    </w:p>
    <w:p>
      <w:pPr>
        <w:spacing w:after="0" w:line="207" w:lineRule="exact"/>
        <w:rPr>
          <w:sz w:val="20"/>
          <w:szCs w:val="20"/>
          <w:color w:val="auto"/>
        </w:rPr>
      </w:pPr>
    </w:p>
    <w:p>
      <w:pPr>
        <w:ind w:left="180" w:right="160" w:firstLine="545"/>
        <w:spacing w:after="0" w:line="239" w:lineRule="auto"/>
        <w:rPr>
          <w:sz w:val="20"/>
          <w:szCs w:val="20"/>
          <w:color w:val="auto"/>
        </w:rPr>
      </w:pPr>
      <w:r>
        <w:rPr>
          <w:rFonts w:ascii="Arial" w:cs="Arial" w:eastAsia="Arial" w:hAnsi="Arial"/>
          <w:sz w:val="18"/>
          <w:szCs w:val="18"/>
          <w:color w:val="auto"/>
        </w:rPr>
        <w:t>Our compensation committee will operate under a written charter, to be effective upon the completion of this offering, that satisfies the applicable listing standards of the .</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Nominating and ESG Committee</w:t>
      </w:r>
    </w:p>
    <w:p>
      <w:pPr>
        <w:spacing w:after="0" w:line="122" w:lineRule="exact"/>
        <w:rPr>
          <w:sz w:val="20"/>
          <w:szCs w:val="20"/>
          <w:color w:val="auto"/>
        </w:rPr>
      </w:pPr>
    </w:p>
    <w:p>
      <w:pPr>
        <w:ind w:left="180" w:right="40" w:firstLine="545"/>
        <w:spacing w:after="0"/>
        <w:rPr>
          <w:sz w:val="20"/>
          <w:szCs w:val="20"/>
          <w:color w:val="auto"/>
        </w:rPr>
      </w:pPr>
      <w:r>
        <w:rPr>
          <w:rFonts w:ascii="Arial" w:cs="Arial" w:eastAsia="Arial" w:hAnsi="Arial"/>
          <w:sz w:val="18"/>
          <w:szCs w:val="18"/>
          <w:color w:val="auto"/>
        </w:rPr>
        <w:t>Our nominating and ESG committee consists of . The chair of our nominating and ESG committee is . Our board of directors has determined that each member of our nominating and ESG committee is independent under the listing standards of the .</w:t>
      </w: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responsibilities of our nominating and ESG committee include:</w:t>
      </w:r>
    </w:p>
    <w:p>
      <w:pPr>
        <w:spacing w:after="0" w:line="114" w:lineRule="exact"/>
        <w:rPr>
          <w:sz w:val="20"/>
          <w:szCs w:val="20"/>
          <w:color w:val="auto"/>
        </w:rPr>
      </w:pPr>
    </w:p>
    <w:p>
      <w:pPr>
        <w:ind w:left="1360" w:right="740" w:hanging="425"/>
        <w:spacing w:after="0" w:line="239" w:lineRule="auto"/>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08" w:lineRule="exact"/>
        <w:rPr>
          <w:rFonts w:ascii="Arial" w:cs="Arial" w:eastAsia="Arial" w:hAnsi="Arial"/>
          <w:sz w:val="18"/>
          <w:szCs w:val="18"/>
          <w:color w:val="auto"/>
        </w:rPr>
      </w:pPr>
    </w:p>
    <w:p>
      <w:pPr>
        <w:ind w:left="1360" w:right="380" w:hanging="425"/>
        <w:spacing w:after="0" w:line="239" w:lineRule="auto"/>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08" w:lineRule="exact"/>
        <w:rPr>
          <w:rFonts w:ascii="Arial" w:cs="Arial" w:eastAsia="Arial" w:hAnsi="Arial"/>
          <w:sz w:val="18"/>
          <w:szCs w:val="18"/>
          <w:color w:val="auto"/>
        </w:rPr>
      </w:pPr>
    </w:p>
    <w:p>
      <w:pPr>
        <w:ind w:left="1360" w:hanging="425"/>
        <w:spacing w:after="0"/>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w:t>
      </w:r>
    </w:p>
    <w:p>
      <w:pPr>
        <w:spacing w:after="0" w:line="125" w:lineRule="exact"/>
        <w:rPr>
          <w:rFonts w:ascii="Arial" w:cs="Arial" w:eastAsia="Arial" w:hAnsi="Arial"/>
          <w:sz w:val="17"/>
          <w:szCs w:val="17"/>
          <w:color w:val="auto"/>
        </w:rPr>
      </w:pPr>
    </w:p>
    <w:p>
      <w:pPr>
        <w:ind w:left="1360" w:hanging="425"/>
        <w:spacing w:after="0"/>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 and</w:t>
      </w:r>
    </w:p>
    <w:p>
      <w:pPr>
        <w:spacing w:after="0" w:line="113" w:lineRule="exact"/>
        <w:rPr>
          <w:rFonts w:ascii="Arial" w:cs="Arial" w:eastAsia="Arial" w:hAnsi="Arial"/>
          <w:sz w:val="18"/>
          <w:szCs w:val="18"/>
          <w:color w:val="auto"/>
        </w:rPr>
      </w:pPr>
    </w:p>
    <w:p>
      <w:pPr>
        <w:ind w:left="1360" w:hanging="425"/>
        <w:spacing w:after="0"/>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overseeing and evaluating our environmental, social and governance and impact initiatives.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nominating and ESG committee will operate under a written charter, to be effective upon the completion of this offering, that</w:t>
      </w:r>
    </w:p>
    <w:p>
      <w:pPr>
        <w:ind w:left="180"/>
        <w:spacing w:after="0"/>
        <w:tabs>
          <w:tab w:leader="none" w:pos="4560" w:val="left"/>
        </w:tabs>
        <w:rPr>
          <w:sz w:val="20"/>
          <w:szCs w:val="20"/>
          <w:color w:val="auto"/>
        </w:rPr>
      </w:pPr>
      <w:r>
        <w:rPr>
          <w:rFonts w:ascii="Arial" w:cs="Arial" w:eastAsia="Arial" w:hAnsi="Arial"/>
          <w:sz w:val="18"/>
          <w:szCs w:val="18"/>
          <w:color w:val="auto"/>
        </w:rPr>
        <w:t>satisfies the applicable listing standards of the</w:t>
      </w:r>
      <w:r>
        <w:rPr>
          <w:sz w:val="20"/>
          <w:szCs w:val="20"/>
          <w:color w:val="auto"/>
        </w:rPr>
        <w:tab/>
      </w:r>
      <w:r>
        <w:rPr>
          <w:rFonts w:ascii="Arial" w:cs="Arial" w:eastAsia="Arial" w:hAnsi="Arial"/>
          <w:sz w:val="18"/>
          <w:szCs w:val="18"/>
          <w:color w:val="auto"/>
        </w:rPr>
        <w:t>.</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80" w:right="760" w:firstLine="545"/>
        <w:spacing w:after="0" w:line="239" w:lineRule="auto"/>
        <w:rPr>
          <w:sz w:val="20"/>
          <w:szCs w:val="20"/>
          <w:color w:val="auto"/>
        </w:rPr>
      </w:pPr>
      <w:r>
        <w:rPr>
          <w:rFonts w:ascii="Arial" w:cs="Arial" w:eastAsia="Arial" w:hAnsi="Arial"/>
          <w:sz w:val="18"/>
          <w:szCs w:val="18"/>
          <w:color w:val="auto"/>
        </w:rPr>
        <w:t>We have adopted a Code of Business Conduct and Ethics applicable to all of our directors, officers (including our principal executive officer, principal financial officer, and principal accounting</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6"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0"/>
        <w:spacing w:after="0" w:line="237" w:lineRule="auto"/>
        <w:rPr>
          <w:sz w:val="20"/>
          <w:szCs w:val="20"/>
          <w:color w:val="auto"/>
        </w:rPr>
      </w:pPr>
      <w:r>
        <w:rPr>
          <w:rFonts w:ascii="Arial" w:cs="Arial" w:eastAsia="Arial" w:hAnsi="Arial"/>
          <w:sz w:val="18"/>
          <w:szCs w:val="18"/>
          <w:color w:val="auto"/>
        </w:rPr>
        <w:t xml:space="preserve">officer) and all global employees. Upon the completion of this offering, our Code of Business Conduct and Ethics will be available on our website at </w:t>
      </w:r>
      <w:r>
        <w:rPr>
          <w:rFonts w:ascii="Arial" w:cs="Arial" w:eastAsia="Arial" w:hAnsi="Arial"/>
          <w:sz w:val="18"/>
          <w:szCs w:val="18"/>
          <w:i w:val="1"/>
          <w:iCs w:val="1"/>
          <w:color w:val="auto"/>
        </w:rPr>
        <w:t>www.renttherunway.com</w:t>
      </w:r>
      <w:r>
        <w:rPr>
          <w:rFonts w:ascii="Arial" w:cs="Arial" w:eastAsia="Arial" w:hAnsi="Arial"/>
          <w:sz w:val="18"/>
          <w:szCs w:val="18"/>
          <w:color w:val="auto"/>
        </w:rPr>
        <w:t>. We expect that amendments to the Code of Business Conduct and Ethics, or waivers of its requirements, will, if required, be disclosed on our website or in filings under the Exchange Act.</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180" w:right="140" w:firstLine="545"/>
        <w:spacing w:after="0" w:line="236" w:lineRule="auto"/>
        <w:rPr>
          <w:sz w:val="20"/>
          <w:szCs w:val="20"/>
          <w:color w:val="auto"/>
        </w:rPr>
      </w:pPr>
      <w:r>
        <w:rPr>
          <w:rFonts w:ascii="Arial" w:cs="Arial" w:eastAsia="Arial" w:hAnsi="Arial"/>
          <w:sz w:val="18"/>
          <w:szCs w:val="18"/>
          <w:color w:val="auto"/>
        </w:rPr>
        <w:t>None of the members of our compensation committee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administers its oversight function directly through our board of directors as a whole, and, following the completion of the offering, through various our standing committees that address risks inherent in their respective areas of oversight. Following completion of the offering, our audit committee will review legal, regulatory, and compliance matters that could have a significant impact on our financial statements. Our compensation committee will assess and monitor risks relating to our compensation plans, policies, and practices. Our nominating and ESG committee and will monitor the effectiveness of our corporate governance practices and will be responsible for overseeing our ESG strategy and progress. While each committee will be responsible for evaluating certain risks and overseeing the management of such risks, our entire board of directors will be regularly informed through committee reports about such risks.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ind w:left="180" w:right="140" w:firstLine="545"/>
        <w:spacing w:after="0" w:line="234" w:lineRule="auto"/>
        <w:rPr>
          <w:sz w:val="20"/>
          <w:szCs w:val="20"/>
          <w:color w:val="auto"/>
        </w:rPr>
      </w:pPr>
      <w:r>
        <w:rPr>
          <w:rFonts w:ascii="Arial" w:cs="Arial" w:eastAsia="Arial" w:hAnsi="Arial"/>
          <w:sz w:val="18"/>
          <w:szCs w:val="18"/>
          <w:color w:val="auto"/>
        </w:rPr>
        <w:t>Our nominating and ESG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ESG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6"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180" w:right="160" w:firstLine="545"/>
        <w:spacing w:after="0" w:line="237"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fiscal year 2020, which ended on January 31, 2021, our “named executive officers” and their positions were as follows:</w:t>
      </w:r>
    </w:p>
    <w:p>
      <w:pPr>
        <w:spacing w:after="0" w:line="108" w:lineRule="exact"/>
        <w:rPr>
          <w:sz w:val="20"/>
          <w:szCs w:val="20"/>
          <w:color w:val="auto"/>
        </w:rPr>
      </w:pPr>
    </w:p>
    <w:p>
      <w:pPr>
        <w:ind w:left="920" w:hanging="212"/>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Jennifer Y. Hyman, Co-Founder, Chief Executive Officer and Chair;</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Scarlett O’Sullivan, Chief Financial Officer;</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Anushka Salinas, President and Chief Operating Officer;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Brian Donato, Chief Supply Chain Officer.</w:t>
      </w:r>
    </w:p>
    <w:p>
      <w:pPr>
        <w:spacing w:after="0" w:line="207" w:lineRule="exact"/>
        <w:rPr>
          <w:sz w:val="20"/>
          <w:szCs w:val="20"/>
          <w:color w:val="auto"/>
        </w:rPr>
      </w:pPr>
    </w:p>
    <w:p>
      <w:pPr>
        <w:ind w:left="180" w:right="420" w:firstLine="545"/>
        <w:spacing w:after="0" w:line="267" w:lineRule="auto"/>
        <w:rPr>
          <w:sz w:val="20"/>
          <w:szCs w:val="20"/>
          <w:color w:val="auto"/>
        </w:rPr>
      </w:pPr>
      <w:r>
        <w:rPr>
          <w:rFonts w:ascii="Arial" w:cs="Arial" w:eastAsia="Arial" w:hAnsi="Arial"/>
          <w:sz w:val="17"/>
          <w:szCs w:val="17"/>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80" w:right="380" w:firstLine="545"/>
        <w:spacing w:after="0" w:line="239"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year ended January 31, 2021.</w:t>
      </w: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Salary</w:t>
            </w: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Bonus</w:t>
            </w:r>
          </w:p>
        </w:tc>
        <w:tc>
          <w:tcPr>
            <w:tcW w:w="1020" w:type="dxa"/>
            <w:vAlign w:val="bottom"/>
            <w:gridSpan w:val="3"/>
          </w:tcPr>
          <w:p>
            <w:pPr>
              <w:jc w:val="right"/>
              <w:ind w:right="260"/>
              <w:spacing w:after="0" w:line="147" w:lineRule="exact"/>
              <w:rPr>
                <w:sz w:val="20"/>
                <w:szCs w:val="20"/>
                <w:color w:val="auto"/>
              </w:rPr>
            </w:pPr>
            <w:r>
              <w:rPr>
                <w:rFonts w:ascii="Arial" w:cs="Arial" w:eastAsia="Arial" w:hAnsi="Arial"/>
                <w:sz w:val="14"/>
                <w:szCs w:val="14"/>
                <w:b w:val="1"/>
                <w:bCs w:val="1"/>
                <w:color w:val="auto"/>
              </w:rPr>
              <w:t>Awards</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Awards</w:t>
            </w:r>
          </w:p>
        </w:tc>
        <w:tc>
          <w:tcPr>
            <w:tcW w:w="170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rPr>
              <w:t>Compensation($)</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7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($)(2)</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gridSpan w:val="2"/>
          </w:tcPr>
          <w:p>
            <w:pPr>
              <w:jc w:val="center"/>
              <w:ind w:left="158"/>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16"/>
                <w:szCs w:val="16"/>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4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Jennifer Y. Hyman</w:t>
            </w:r>
          </w:p>
        </w:tc>
        <w:tc>
          <w:tcPr>
            <w:tcW w:w="440" w:type="dxa"/>
            <w:vAlign w:val="bottom"/>
            <w:tcBorders>
              <w:top w:val="single" w:sz="8" w:color="auto"/>
            </w:tcBorders>
            <w:shd w:val="clear" w:color="auto" w:fill="CCEEFF"/>
          </w:tcPr>
          <w:p>
            <w:pPr>
              <w:ind w:left="40"/>
              <w:spacing w:after="0" w:line="187" w:lineRule="exact"/>
              <w:rPr>
                <w:sz w:val="20"/>
                <w:szCs w:val="20"/>
                <w:color w:val="auto"/>
              </w:rPr>
            </w:pPr>
            <w:r>
              <w:rPr>
                <w:rFonts w:ascii="Arial" w:cs="Arial" w:eastAsia="Arial" w:hAnsi="Arial"/>
                <w:sz w:val="18"/>
                <w:szCs w:val="18"/>
                <w:color w:val="auto"/>
                <w:w w:val="94"/>
              </w:rPr>
              <w:t>2020</w:t>
            </w: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525,000</w:t>
            </w: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420"/>
              <w:spacing w:after="0" w:line="187"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1,187,582</w:t>
            </w:r>
          </w:p>
        </w:tc>
        <w:tc>
          <w:tcPr>
            <w:tcW w:w="2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16,428</w:t>
            </w: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1,729,010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Co-Founder, Chief Executive Officer and Chair</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Scarlett O’Sullivan</w:t>
            </w:r>
          </w:p>
        </w:tc>
        <w:tc>
          <w:tcPr>
            <w:tcW w:w="4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2020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555,000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27,915</w:t>
            </w:r>
          </w:p>
        </w:tc>
        <w:tc>
          <w:tcPr>
            <w:tcW w:w="1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11,400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594,315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Chief Financial Officer</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Anushka Salinas</w:t>
            </w:r>
          </w:p>
        </w:tc>
        <w:tc>
          <w:tcPr>
            <w:tcW w:w="4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2020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555,000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243,418</w:t>
            </w:r>
          </w:p>
        </w:tc>
        <w:tc>
          <w:tcPr>
            <w:tcW w:w="1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13,754</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812,172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President and Chief Operating Officer</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Brian Donato</w:t>
            </w:r>
          </w:p>
        </w:tc>
        <w:tc>
          <w:tcPr>
            <w:tcW w:w="4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2020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480,000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150,000</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638,000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Chief Supply Chain Officer</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65405</wp:posOffset>
            </wp:positionV>
            <wp:extent cx="755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41" w:lineRule="exact"/>
        <w:rPr>
          <w:sz w:val="20"/>
          <w:szCs w:val="20"/>
          <w:color w:val="auto"/>
        </w:rPr>
      </w:pPr>
    </w:p>
    <w:p>
      <w:pPr>
        <w:ind w:left="600" w:right="280" w:hanging="426"/>
        <w:spacing w:after="0" w:line="238" w:lineRule="auto"/>
        <w:tabs>
          <w:tab w:leader="none" w:pos="6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Amounts reflect the actual base salaries paid to each named executive officer in respect of fiscal 2020, which reflect the salary decreases in effect for each named executive officer during fiscal 2020. For additional information, see “Base Salaries” below.</w:t>
      </w:r>
    </w:p>
    <w:p>
      <w:pPr>
        <w:spacing w:after="0" w:line="1" w:lineRule="exact"/>
        <w:rPr>
          <w:rFonts w:ascii="Arial" w:cs="Arial" w:eastAsia="Arial" w:hAnsi="Arial"/>
          <w:sz w:val="14"/>
          <w:szCs w:val="14"/>
          <w:color w:val="auto"/>
        </w:rPr>
      </w:pPr>
    </w:p>
    <w:p>
      <w:pPr>
        <w:ind w:left="600" w:hanging="426"/>
        <w:spacing w:after="0"/>
        <w:tabs>
          <w:tab w:leader="none" w:pos="6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Amount reflects a one-time signing bonus paid to Mr. Donato in connection with his commencement of service with us in March 2020.</w:t>
      </w:r>
    </w:p>
    <w:p>
      <w:pPr>
        <w:ind w:left="600" w:hanging="426"/>
        <w:spacing w:after="0"/>
        <w:tabs>
          <w:tab w:leader="none" w:pos="6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or RSUs, granted during fiscal 2020 to each of our named executive officers, computed in accordance with ASC Topic 718, and the incremental grant-date fair value of repriced options held by Ms. Hyman, Ms. O’Sullivan and Ms. Salinas that were deemed to have been modified during fiscal 2020 (as described in further detail below under “Equity Compensation – Stock Plans and Outstanding Awards”), rather than the amounts paid to or realized by the named individual. The RSUs are subject to both service-based and liquidity event-based vesting conditions. As required pursuant to SEC disclosure rules, the grant-date fair values of these awards included in the table above were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these awards. Assuming achievement of the performance conditions, the values of these RSUs granted to each of Ms. Hyman, Ms. O’Sullivan, Ms. Salinas and Mr. Donato, as of the grant date, are $3,002,134, $1,755,841, $1,755,841, and $4,353,000, respectively. We provide information regarding the assumptions used to calculate the value of all restricted stock unit awards and option awards made to executive officers in Note 13 to our audited consolidated financial statements included elsewhere in this prospectus.</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5"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600" w:hanging="426"/>
        <w:spacing w:after="0"/>
        <w:tabs>
          <w:tab w:leader="none" w:pos="6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Amount for Ms. Hyman reflects: (i) $5,028 for a free Rent the Runway monthly subscription and Reserve rentals, and (i) $11,400 in matching contributions made by us</w:t>
      </w:r>
    </w:p>
    <w:p>
      <w:pPr>
        <w:ind w:left="600" w:right="280"/>
        <w:spacing w:after="0" w:line="246" w:lineRule="auto"/>
        <w:rPr>
          <w:rFonts w:ascii="Arial" w:cs="Arial" w:eastAsia="Arial" w:hAnsi="Arial"/>
          <w:sz w:val="14"/>
          <w:szCs w:val="14"/>
          <w:color w:val="auto"/>
        </w:rPr>
      </w:pPr>
      <w:r>
        <w:rPr>
          <w:rFonts w:ascii="Arial" w:cs="Arial" w:eastAsia="Arial" w:hAnsi="Arial"/>
          <w:sz w:val="14"/>
          <w:szCs w:val="14"/>
          <w:color w:val="auto"/>
        </w:rPr>
        <w:t>on behalf of Ms. Hyman to her 401(k) plan account. Amount for Ms. Salinas reflects: (i) $2,354 for a free Rent the Runway monthly subscription, and (i) $11,400 in matching contributions made by us on behalf of Ms. Salinas to her 401(k) plan account. Amounts reported for Ms. O’Sullivan and Mr. Donato reflect matching contributions made by us on behalf of Ms. O’Sullivan and Mr. Donato to their 401(k) plan accounts.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22"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color w:val="auto"/>
        </w:rPr>
        <w:t>For the year ended January 31, 2021, the compensation for our named executive officers generally consisted of a base salary, cash bonuses (as applicable) and equity awards. These elements (and the amounts of compensation and benefits under each element) were selected because we believe they are necessary to help us attract and retain executive talent which is fundamental to our success.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Below is a more detailed summary of the current executive compensation program as it relates to our named executive officers.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Base Salaries</w:t>
      </w:r>
    </w:p>
    <w:p>
      <w:pPr>
        <w:spacing w:after="0" w:line="122" w:lineRule="exact"/>
        <w:rPr>
          <w:sz w:val="20"/>
          <w:szCs w:val="20"/>
          <w:color w:val="auto"/>
        </w:rPr>
      </w:pPr>
    </w:p>
    <w:p>
      <w:pPr>
        <w:jc w:val="both"/>
        <w:ind w:left="180" w:right="260" w:firstLine="545"/>
        <w:spacing w:after="0" w:line="237"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202" w:lineRule="exact"/>
        <w:rPr>
          <w:sz w:val="20"/>
          <w:szCs w:val="20"/>
          <w:color w:val="auto"/>
        </w:rPr>
      </w:pPr>
    </w:p>
    <w:p>
      <w:pPr>
        <w:ind w:left="180" w:right="20" w:firstLine="545"/>
        <w:spacing w:after="0" w:line="256" w:lineRule="auto"/>
        <w:rPr>
          <w:sz w:val="20"/>
          <w:szCs w:val="20"/>
          <w:color w:val="auto"/>
        </w:rPr>
      </w:pPr>
      <w:r>
        <w:rPr>
          <w:rFonts w:ascii="Arial" w:cs="Arial" w:eastAsia="Arial" w:hAnsi="Arial"/>
          <w:sz w:val="17"/>
          <w:szCs w:val="17"/>
          <w:color w:val="auto"/>
        </w:rPr>
        <w:t>Each of our named executive officers had an initial base salary for fiscal 2020 of $600,000. In response to the COVID-19 pandemic, the base salaries paid to our named executive officers were reduced from April 1, 2020 to June 30, 2020. The base salary paid to Ms. Hyman was reduced by 50% and the base salaries paid to Ms. O’Sullivan, Ms. Salinas and Mr. Donato were reduced by 30%.</w:t>
      </w:r>
    </w:p>
    <w:p>
      <w:pPr>
        <w:spacing w:after="0" w:line="189" w:lineRule="exact"/>
        <w:rPr>
          <w:sz w:val="20"/>
          <w:szCs w:val="20"/>
          <w:color w:val="auto"/>
        </w:rPr>
      </w:pPr>
    </w:p>
    <w:p>
      <w:pPr>
        <w:ind w:left="180" w:right="140" w:firstLine="545"/>
        <w:spacing w:after="0" w:line="239" w:lineRule="auto"/>
        <w:rPr>
          <w:sz w:val="20"/>
          <w:szCs w:val="20"/>
          <w:color w:val="auto"/>
        </w:rPr>
      </w:pPr>
      <w:r>
        <w:rPr>
          <w:rFonts w:ascii="Arial" w:cs="Arial" w:eastAsia="Arial" w:hAnsi="Arial"/>
          <w:sz w:val="18"/>
          <w:szCs w:val="18"/>
          <w:color w:val="auto"/>
        </w:rPr>
        <w:t>The actual salaries paid to each named executive officer for fiscal 2020 are set forth in the “Summary Compensation Table” above in the column titled “Salary.”</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104" w:lineRule="exact"/>
        <w:rPr>
          <w:sz w:val="20"/>
          <w:szCs w:val="20"/>
          <w:color w:val="auto"/>
        </w:rPr>
      </w:pPr>
    </w:p>
    <w:p>
      <w:pPr>
        <w:ind w:left="180" w:right="40" w:firstLine="545"/>
        <w:spacing w:after="0" w:line="241" w:lineRule="auto"/>
        <w:rPr>
          <w:sz w:val="20"/>
          <w:szCs w:val="20"/>
          <w:color w:val="auto"/>
        </w:rPr>
      </w:pPr>
      <w:r>
        <w:rPr>
          <w:rFonts w:ascii="Arial" w:cs="Arial" w:eastAsia="Arial" w:hAnsi="Arial"/>
          <w:sz w:val="18"/>
          <w:szCs w:val="18"/>
          <w:i w:val="1"/>
          <w:iCs w:val="1"/>
          <w:color w:val="auto"/>
        </w:rPr>
        <w:t>Fiscal 2020 Performance-Based Bonuses</w:t>
      </w:r>
      <w:r>
        <w:rPr>
          <w:rFonts w:ascii="Arial" w:cs="Arial" w:eastAsia="Arial" w:hAnsi="Arial"/>
          <w:sz w:val="18"/>
          <w:szCs w:val="18"/>
          <w:color w:val="auto"/>
        </w:rPr>
        <w:t>. Ms. Hyman would have been eligible to earn an annual performance-based bonus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fiscal year 2020 with a target equal to 50% of her annual base salary based on the company’s achievement of specified revenue and EBITDA performance goals. However, pursuant to her employment agreement amendment, Ms. Hyman elected to waive any right to receive an annual bonus with respect to fiscal 2020.</w:t>
      </w:r>
    </w:p>
    <w:p>
      <w:pPr>
        <w:spacing w:after="0" w:line="202" w:lineRule="exact"/>
        <w:rPr>
          <w:sz w:val="20"/>
          <w:szCs w:val="20"/>
          <w:color w:val="auto"/>
        </w:rPr>
      </w:pPr>
    </w:p>
    <w:p>
      <w:pPr>
        <w:ind w:left="180" w:right="140" w:firstLine="545"/>
        <w:spacing w:after="0" w:line="237" w:lineRule="auto"/>
        <w:rPr>
          <w:sz w:val="20"/>
          <w:szCs w:val="20"/>
          <w:color w:val="auto"/>
        </w:rPr>
      </w:pPr>
      <w:r>
        <w:rPr>
          <w:rFonts w:ascii="Arial" w:cs="Arial" w:eastAsia="Arial" w:hAnsi="Arial"/>
          <w:sz w:val="18"/>
          <w:szCs w:val="18"/>
          <w:color w:val="auto"/>
        </w:rPr>
        <w:t>Pursuant to her offer letter, Ms. O’Sullivan is eligible to participate in our annual incentive bonus plan as may be in effect from time to time. However, as we did not maintain an annual incentive bonus plan for our executives in fiscal year 2020, Ms. O’Sullivan was not eligible to earn an annual bonus in respect of fiscal year 2020.</w:t>
      </w:r>
    </w:p>
    <w:p>
      <w:pPr>
        <w:spacing w:after="0" w:line="184" w:lineRule="exact"/>
        <w:rPr>
          <w:sz w:val="20"/>
          <w:szCs w:val="20"/>
          <w:color w:val="auto"/>
        </w:rPr>
      </w:pPr>
    </w:p>
    <w:p>
      <w:pPr>
        <w:ind w:left="180" w:right="100" w:firstLine="545"/>
        <w:spacing w:after="0" w:line="246" w:lineRule="auto"/>
        <w:rPr>
          <w:sz w:val="20"/>
          <w:szCs w:val="20"/>
          <w:color w:val="auto"/>
        </w:rPr>
      </w:pPr>
      <w:r>
        <w:rPr>
          <w:rFonts w:ascii="Arial" w:cs="Arial" w:eastAsia="Arial" w:hAnsi="Arial"/>
          <w:sz w:val="18"/>
          <w:szCs w:val="18"/>
          <w:i w:val="1"/>
          <w:iCs w:val="1"/>
          <w:color w:val="auto"/>
        </w:rPr>
        <w:t>Donato Sign-on Bonus</w:t>
      </w:r>
      <w:r>
        <w:rPr>
          <w:rFonts w:ascii="Arial" w:cs="Arial" w:eastAsia="Arial" w:hAnsi="Arial"/>
          <w:sz w:val="18"/>
          <w:szCs w:val="18"/>
          <w:color w:val="auto"/>
        </w:rPr>
        <w:t>. In fiscal 2020, Mr. Donato received a sign-on bonus in an aggregate amount of $ 150,000 as an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him to join the company. In the event that Mr. Donato resigns from his employment with us or is terminated for cause within eighteen months of his start date, he will be required to repay the full amount of his sign-on bonus to the company.</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amount of Mr. Donato’s sign-on bonus is set forth in the “Summary Compensation Table” above in the column titled “Bonus.”</w:t>
      </w:r>
    </w:p>
    <w:p>
      <w:pPr>
        <w:spacing w:after="0" w:line="189" w:lineRule="exact"/>
        <w:rPr>
          <w:sz w:val="20"/>
          <w:szCs w:val="20"/>
          <w:color w:val="auto"/>
        </w:rPr>
      </w:pPr>
    </w:p>
    <w:p>
      <w:pPr>
        <w:ind w:left="180" w:right="480" w:firstLine="545"/>
        <w:spacing w:after="0" w:line="260" w:lineRule="auto"/>
        <w:rPr>
          <w:sz w:val="20"/>
          <w:szCs w:val="20"/>
          <w:color w:val="auto"/>
        </w:rPr>
      </w:pPr>
      <w:r>
        <w:rPr>
          <w:rFonts w:ascii="Arial" w:cs="Arial" w:eastAsia="Arial" w:hAnsi="Arial"/>
          <w:sz w:val="18"/>
          <w:szCs w:val="18"/>
          <w:i w:val="1"/>
          <w:iCs w:val="1"/>
          <w:color w:val="auto"/>
        </w:rPr>
        <w:t>Fiscal 2021 Bonuses</w:t>
      </w:r>
      <w:r>
        <w:rPr>
          <w:rFonts w:ascii="Arial" w:cs="Arial" w:eastAsia="Arial" w:hAnsi="Arial"/>
          <w:sz w:val="18"/>
          <w:szCs w:val="18"/>
          <w:color w:val="auto"/>
        </w:rPr>
        <w:t>. Pursuant to our fiscal 2021 bonus program, our compensation committee determined that each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would be eligible to receive a cash performance</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80" w:right="200"/>
        <w:spacing w:after="0" w:line="237" w:lineRule="auto"/>
        <w:rPr>
          <w:sz w:val="20"/>
          <w:szCs w:val="20"/>
          <w:color w:val="auto"/>
        </w:rPr>
      </w:pPr>
      <w:r>
        <w:rPr>
          <w:rFonts w:ascii="Arial" w:cs="Arial" w:eastAsia="Arial" w:hAnsi="Arial"/>
          <w:sz w:val="18"/>
          <w:szCs w:val="18"/>
          <w:color w:val="auto"/>
        </w:rPr>
        <w:t>bonus in the following amounts: Ms. Hyman has a target opportunity of 100% of her base salary and a maximum opportunity of 150% of her base salary; Ms. O’Sullivan has a target opportunity of $125,000; Ms. Salinas has a target opportunity of $125,000; and Mr. Donato has a target opportunity of $100,000.</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4" w:lineRule="exact"/>
        <w:rPr>
          <w:sz w:val="20"/>
          <w:szCs w:val="20"/>
          <w:color w:val="auto"/>
        </w:rPr>
      </w:pPr>
    </w:p>
    <w:p>
      <w:pPr>
        <w:ind w:left="180" w:right="40" w:firstLine="545"/>
        <w:spacing w:after="0" w:line="238" w:lineRule="auto"/>
        <w:rPr>
          <w:sz w:val="20"/>
          <w:szCs w:val="20"/>
          <w:color w:val="auto"/>
        </w:rPr>
      </w:pPr>
      <w:r>
        <w:rPr>
          <w:rFonts w:ascii="Arial" w:cs="Arial" w:eastAsia="Arial" w:hAnsi="Arial"/>
          <w:sz w:val="18"/>
          <w:szCs w:val="18"/>
          <w:i w:val="1"/>
          <w:iCs w:val="1"/>
          <w:color w:val="auto"/>
        </w:rPr>
        <w:t>Stock Plans and Outstanding Awards</w:t>
      </w:r>
      <w:r>
        <w:rPr>
          <w:rFonts w:ascii="Arial" w:cs="Arial" w:eastAsia="Arial" w:hAnsi="Arial"/>
          <w:sz w:val="18"/>
          <w:szCs w:val="18"/>
          <w:color w:val="auto"/>
        </w:rPr>
        <w:t>. We maintain the 2009 Stock Incentive Plan, referred to as the 2009 Plan, and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Incentive Plan, referred to as the 2019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The 2009 Plan was frozen as to new grants upon the effectiveness of the 2019 Plan, though any shares underlying outstanding awards granted pursuant to the 2009 Plan remain outstanding and eligible to vest in accordance with their terms, as applicable.</w:t>
      </w:r>
    </w:p>
    <w:p>
      <w:pPr>
        <w:spacing w:after="0" w:line="202"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We have historically granted stock options, including both incentive stock options and nonstatutory stock options, and RSUs to our executives. Our stock options generally vest over four years, subject to continued service. Our RSUs have both service-based and liquidity-based vesting conditions. The service-based vesting period for these RSU awards is scheduled over four years as follows: for Ms. Hyman, Ms. O’Sullivan and Ms. Salinas, the service-based condition will be satisfied as to 6.25% of the RSUs in ratable installments on each quarterly anniversary of February 1, 2020; and for Mr. Donato, the service-based condition will be satisfied as to 25% of the RSUs on the first anniversary of February 1, 2020 and as to 6.25% of the RSUs in ratable installments on each quarterly anniversary of February 1, 2021, in each case subject to continued service. The liquidity-based vesting condition is satisfied upon (i) the six-month anniversary (or if earlier,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of an initial public offering or direct listing of our securities or (ii) a reorganization event (as defined in our 2019 Plan). In connection with this offering, and in accordance with the terms of such RSU agreements, we expect that the liquidity-based vesting condition will be deemed satisfied upon the six-month anniversary (or if earlier,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of this offering.</w:t>
      </w:r>
    </w:p>
    <w:p>
      <w:pPr>
        <w:spacing w:after="0" w:line="207" w:lineRule="exact"/>
        <w:rPr>
          <w:sz w:val="20"/>
          <w:szCs w:val="20"/>
          <w:color w:val="auto"/>
        </w:rPr>
      </w:pPr>
    </w:p>
    <w:p>
      <w:pPr>
        <w:ind w:left="180" w:right="320" w:firstLine="545"/>
        <w:spacing w:after="0" w:line="239" w:lineRule="auto"/>
        <w:rPr>
          <w:sz w:val="20"/>
          <w:szCs w:val="20"/>
          <w:color w:val="auto"/>
        </w:rPr>
      </w:pPr>
      <w:r>
        <w:rPr>
          <w:rFonts w:ascii="Arial" w:cs="Arial" w:eastAsia="Arial" w:hAnsi="Arial"/>
          <w:sz w:val="18"/>
          <w:szCs w:val="18"/>
          <w:color w:val="auto"/>
        </w:rPr>
        <w:t>On April 1, 2020, Ms. Hyman was granted 206,901 RSUs, Ms. O’Sullivan was granted 121,009 RSUs, Ms. Salinas was granted 121,009 RSUs, and Mr. Donato was granted 300,000 RSUs, in each case which vest as described above.</w:t>
      </w:r>
    </w:p>
    <w:p>
      <w:pPr>
        <w:spacing w:after="0" w:line="202" w:lineRule="exact"/>
        <w:rPr>
          <w:sz w:val="20"/>
          <w:szCs w:val="20"/>
          <w:color w:val="auto"/>
        </w:rPr>
      </w:pPr>
    </w:p>
    <w:p>
      <w:pPr>
        <w:ind w:left="180" w:right="20" w:firstLine="545"/>
        <w:spacing w:after="0" w:line="234" w:lineRule="auto"/>
        <w:rPr>
          <w:sz w:val="20"/>
          <w:szCs w:val="20"/>
          <w:color w:val="auto"/>
        </w:rPr>
      </w:pPr>
      <w:r>
        <w:rPr>
          <w:rFonts w:ascii="Arial" w:cs="Arial" w:eastAsia="Arial" w:hAnsi="Arial"/>
          <w:sz w:val="18"/>
          <w:szCs w:val="18"/>
          <w:color w:val="auto"/>
        </w:rPr>
        <w:t>In addition, effective October 26, 2020 we amended certain outstanding options held by our employees, including our named executive officers other than Mr. Donato (who did not hold options at that time), which had option exercise prices above the current fair market value of our common stock (the “Repricing”). Under the Repricing, eligible options with an exercise price of $12.43 or higher were amended to reduce such exercise price to $ 7.01/share, the fair market value of our common stock as determined by our board of directors on the date of the repricing. We believe that the Repricing was important for the growth and development of our business in order to provide appropriate retention and incentives for our employee optionholders.</w:t>
      </w:r>
    </w:p>
    <w:p>
      <w:pPr>
        <w:spacing w:after="0" w:line="187" w:lineRule="exact"/>
        <w:rPr>
          <w:sz w:val="20"/>
          <w:szCs w:val="20"/>
          <w:color w:val="auto"/>
        </w:rPr>
      </w:pPr>
    </w:p>
    <w:p>
      <w:pPr>
        <w:ind w:left="180" w:right="100" w:firstLine="545"/>
        <w:spacing w:after="0" w:line="237" w:lineRule="auto"/>
        <w:rPr>
          <w:sz w:val="20"/>
          <w:szCs w:val="20"/>
          <w:color w:val="auto"/>
        </w:rPr>
      </w:pPr>
      <w:r>
        <w:rPr>
          <w:rFonts w:ascii="Arial" w:cs="Arial" w:eastAsia="Arial" w:hAnsi="Arial"/>
          <w:sz w:val="18"/>
          <w:szCs w:val="18"/>
          <w:i w:val="1"/>
          <w:iCs w:val="1"/>
          <w:color w:val="auto"/>
        </w:rPr>
        <w:t xml:space="preserve">IPO RSU Awards. </w:t>
      </w:r>
      <w:r>
        <w:rPr>
          <w:rFonts w:ascii="Arial" w:cs="Arial" w:eastAsia="Arial" w:hAnsi="Arial"/>
          <w:sz w:val="18"/>
          <w:szCs w:val="18"/>
          <w:color w:val="auto"/>
        </w:rPr>
        <w:t>In connection with our preparation for this offering, we entered into an award letter with each of Ms. Hyman,</w:t>
      </w:r>
      <w:r>
        <w:rPr>
          <w:rFonts w:ascii="Arial" w:cs="Arial" w:eastAsia="Arial" w:hAnsi="Arial"/>
          <w:sz w:val="18"/>
          <w:szCs w:val="18"/>
          <w:i w:val="1"/>
          <w:iCs w:val="1"/>
          <w:color w:val="auto"/>
        </w:rPr>
        <w:t xml:space="preserve"> </w:t>
      </w:r>
      <w:r>
        <w:rPr>
          <w:rFonts w:ascii="Arial" w:cs="Arial" w:eastAsia="Arial" w:hAnsi="Arial"/>
          <w:sz w:val="18"/>
          <w:szCs w:val="18"/>
          <w:color w:val="auto"/>
        </w:rPr>
        <w:t>Ms. O’Sullivan and Ms. Salinas on May 4, 2021, pursuant to which each such executive would be granted 67,842 RSUs on the date of consummation of an IPO (as defined below), provided that such IPO occurred on or prior to July 31, 2022. Such awards are scheduled to vest as to 25% of the RSUs on the grant date and as to 6.25% of such RSUs in ratable installments on each quarterly anniversary thereafter such that the award will be fully vested on the fourth anniversary of the grant date, subject to the named executive officer’s continued service with us through the applicable vesting dates (the “IPO RSU Awards”). We expect that Ms. Hyman, Ms. O’Sullivan and Ms. Salinas will be granted the IPO RSU Awards upon the date of consummation of this offering.</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5"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For purposes of the IPO RSU Awards, “IPO” means: (i) the initial public offering of equity securities of the company or any subsidiary of the company (or any other successor of the company or any subsidiary of the company) for cash pursuant to an effective registration statement under the Securities Act of 1933 or the comparable statute of any applicable jurisdiction or (ii) the consummation of a merger of the company with, or the acquisition of the company (or of company securities) by, a publicly-traded special purpose acquisition company (the “SPAC”) following which the securities of the SPAC are listed on a national securities exchange.</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04" w:lineRule="exact"/>
        <w:rPr>
          <w:sz w:val="20"/>
          <w:szCs w:val="20"/>
          <w:color w:val="auto"/>
        </w:rPr>
      </w:pPr>
    </w:p>
    <w:p>
      <w:pPr>
        <w:ind w:left="180" w:right="220" w:firstLine="545"/>
        <w:spacing w:after="0" w:line="239" w:lineRule="auto"/>
        <w:rPr>
          <w:sz w:val="20"/>
          <w:szCs w:val="20"/>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We currently maintain a 401(k) retirement savings plan for our employees, including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who satisfy certain eligibility requirements. The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85" w:lineRule="exact"/>
        <w:rPr>
          <w:sz w:val="20"/>
          <w:szCs w:val="20"/>
          <w:color w:val="auto"/>
        </w:rPr>
      </w:pPr>
    </w:p>
    <w:p>
      <w:pPr>
        <w:ind w:left="180" w:right="700" w:firstLine="545"/>
        <w:spacing w:after="0" w:line="260" w:lineRule="auto"/>
        <w:rPr>
          <w:sz w:val="20"/>
          <w:szCs w:val="20"/>
          <w:color w:val="auto"/>
        </w:rPr>
      </w:pPr>
      <w:r>
        <w:rPr>
          <w:rFonts w:ascii="Arial" w:cs="Arial" w:eastAsia="Arial" w:hAnsi="Arial"/>
          <w:sz w:val="18"/>
          <w:szCs w:val="18"/>
          <w:i w:val="1"/>
          <w:iCs w:val="1"/>
          <w:color w:val="auto"/>
        </w:rPr>
        <w:t xml:space="preserve">Employee Benefits and Perquisites. </w:t>
      </w:r>
      <w:r>
        <w:rPr>
          <w:rFonts w:ascii="Arial" w:cs="Arial" w:eastAsia="Arial" w:hAnsi="Arial"/>
          <w:sz w:val="18"/>
          <w:szCs w:val="18"/>
          <w:color w:val="auto"/>
        </w:rPr>
        <w:t>All of our full-time employees, including our named executive officers, are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our health and welfare plans, including:</w:t>
      </w:r>
    </w:p>
    <w:p>
      <w:pPr>
        <w:spacing w:after="0" w:line="91" w:lineRule="exact"/>
        <w:rPr>
          <w:sz w:val="20"/>
          <w:szCs w:val="20"/>
          <w:color w:val="auto"/>
        </w:rPr>
      </w:pPr>
    </w:p>
    <w:p>
      <w:pPr>
        <w:ind w:left="920" w:hanging="212"/>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89" w:lineRule="exact"/>
        <w:rPr>
          <w:sz w:val="20"/>
          <w:szCs w:val="20"/>
          <w:color w:val="auto"/>
        </w:rPr>
      </w:pPr>
    </w:p>
    <w:p>
      <w:pPr>
        <w:ind w:left="180" w:right="760" w:firstLine="545"/>
        <w:spacing w:after="0" w:line="260" w:lineRule="auto"/>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generally do not provide tax gross-ups to our named executive officers other than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Ms. Hyman pursuant to the CEO Agreement (as defined below).</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80"/>
          </w:cols>
          <w:pgMar w:left="320" w:top="456" w:right="5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180" w:right="300" w:firstLine="545"/>
        <w:spacing w:after="0" w:line="237" w:lineRule="auto"/>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January 31, 2021. The exercise prices of certain stock options represent the post-Repricing exercise price of $7.01 that was effected in October 2020, as described further above.</w:t>
      </w: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135"/>
        </w:trPr>
        <w:tc>
          <w:tcPr>
            <w:tcW w:w="3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ind w:left="360"/>
              <w:spacing w:after="0"/>
              <w:rPr>
                <w:sz w:val="20"/>
                <w:szCs w:val="20"/>
                <w:color w:val="auto"/>
              </w:rPr>
            </w:pPr>
            <w:r>
              <w:rPr>
                <w:rFonts w:ascii="Arial" w:cs="Arial" w:eastAsia="Arial" w:hAnsi="Arial"/>
                <w:sz w:val="11"/>
                <w:szCs w:val="11"/>
                <w:b w:val="1"/>
                <w:bCs w:val="1"/>
                <w:color w:val="auto"/>
              </w:rPr>
              <w:t>Option Awards</w:t>
            </w: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1"/>
                <w:szCs w:val="11"/>
                <w:b w:val="1"/>
                <w:bCs w:val="1"/>
                <w:color w:val="auto"/>
              </w:rPr>
              <w:t>Stock Awards</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5"/>
              </w:rPr>
              <w:t>Equity</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6"/>
              </w:rPr>
              <w:t>Incentive</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4"/>
              </w:rPr>
              <w:t>Plan</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6"/>
              </w:rPr>
              <w:t>Awards:</w:t>
            </w:r>
          </w:p>
        </w:tc>
        <w:tc>
          <w:tcPr>
            <w:tcW w:w="220" w:type="dxa"/>
            <w:vAlign w:val="bottom"/>
          </w:tcPr>
          <w:p>
            <w:pPr>
              <w:spacing w:after="0"/>
              <w:rPr>
                <w:sz w:val="10"/>
                <w:szCs w:val="10"/>
                <w:color w:val="auto"/>
              </w:rPr>
            </w:pPr>
          </w:p>
        </w:tc>
        <w:tc>
          <w:tcPr>
            <w:tcW w:w="76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8"/>
              </w:rPr>
              <w:t>Number of</w:t>
            </w:r>
          </w:p>
        </w:tc>
        <w:tc>
          <w:tcPr>
            <w:tcW w:w="980" w:type="dxa"/>
            <w:vAlign w:val="bottom"/>
            <w:gridSpan w:val="3"/>
          </w:tcPr>
          <w:p>
            <w:pPr>
              <w:jc w:val="center"/>
              <w:ind w:left="113"/>
              <w:spacing w:after="0" w:line="121" w:lineRule="exact"/>
              <w:rPr>
                <w:sz w:val="20"/>
                <w:szCs w:val="20"/>
                <w:color w:val="auto"/>
              </w:rPr>
            </w:pPr>
            <w:r>
              <w:rPr>
                <w:rFonts w:ascii="Arial" w:cs="Arial" w:eastAsia="Arial" w:hAnsi="Arial"/>
                <w:sz w:val="11"/>
                <w:szCs w:val="11"/>
                <w:b w:val="1"/>
                <w:bCs w:val="1"/>
                <w:color w:val="auto"/>
                <w:w w:val="97"/>
              </w:rPr>
              <w:t>Incentive Plan</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right"/>
              <w:ind w:right="320"/>
              <w:spacing w:after="0" w:line="121" w:lineRule="exact"/>
              <w:rPr>
                <w:sz w:val="20"/>
                <w:szCs w:val="20"/>
                <w:color w:val="auto"/>
              </w:rPr>
            </w:pPr>
            <w:r>
              <w:rPr>
                <w:rFonts w:ascii="Arial" w:cs="Arial" w:eastAsia="Arial" w:hAnsi="Arial"/>
                <w:sz w:val="11"/>
                <w:szCs w:val="11"/>
                <w:b w:val="1"/>
                <w:bCs w:val="1"/>
                <w:color w:val="auto"/>
              </w:rPr>
              <w:t>Market</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8"/>
              </w:rPr>
              <w:t>Unearned</w:t>
            </w:r>
          </w:p>
        </w:tc>
        <w:tc>
          <w:tcPr>
            <w:tcW w:w="220" w:type="dxa"/>
            <w:vAlign w:val="bottom"/>
          </w:tcPr>
          <w:p>
            <w:pPr>
              <w:spacing w:after="0"/>
              <w:rPr>
                <w:sz w:val="10"/>
                <w:szCs w:val="10"/>
                <w:color w:val="auto"/>
              </w:rPr>
            </w:pPr>
          </w:p>
        </w:tc>
        <w:tc>
          <w:tcPr>
            <w:tcW w:w="76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w w:val="96"/>
              </w:rPr>
              <w:t>Awards:</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8"/>
              </w:rPr>
              <w:t>Value of</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5"/>
              </w:rPr>
              <w:t>Shares,</w:t>
            </w:r>
          </w:p>
        </w:tc>
        <w:tc>
          <w:tcPr>
            <w:tcW w:w="220" w:type="dxa"/>
            <w:vAlign w:val="bottom"/>
          </w:tcPr>
          <w:p>
            <w:pPr>
              <w:spacing w:after="0"/>
              <w:rPr>
                <w:sz w:val="10"/>
                <w:szCs w:val="10"/>
                <w:color w:val="auto"/>
              </w:rPr>
            </w:pPr>
          </w:p>
        </w:tc>
        <w:tc>
          <w:tcPr>
            <w:tcW w:w="76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center"/>
              <w:ind w:left="167"/>
              <w:spacing w:after="0" w:line="121" w:lineRule="exact"/>
              <w:rPr>
                <w:sz w:val="20"/>
                <w:szCs w:val="20"/>
                <w:color w:val="auto"/>
              </w:rPr>
            </w:pPr>
            <w:r>
              <w:rPr>
                <w:rFonts w:ascii="Arial" w:cs="Arial" w:eastAsia="Arial" w:hAnsi="Arial"/>
                <w:sz w:val="11"/>
                <w:szCs w:val="11"/>
                <w:b w:val="1"/>
                <w:bCs w:val="1"/>
                <w:color w:val="auto"/>
                <w:w w:val="98"/>
              </w:rPr>
              <w:t>Number of</w:t>
            </w:r>
          </w:p>
        </w:tc>
        <w:tc>
          <w:tcPr>
            <w:tcW w:w="96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98"/>
              </w:rPr>
              <w:t>Shares or</w:t>
            </w:r>
          </w:p>
        </w:tc>
        <w:tc>
          <w:tcPr>
            <w:tcW w:w="560" w:type="dxa"/>
            <w:vAlign w:val="bottom"/>
          </w:tcPr>
          <w:p>
            <w:pPr>
              <w:jc w:val="right"/>
              <w:ind w:right="37"/>
              <w:spacing w:after="0" w:line="121" w:lineRule="exact"/>
              <w:rPr>
                <w:sz w:val="20"/>
                <w:szCs w:val="20"/>
                <w:color w:val="auto"/>
              </w:rPr>
            </w:pPr>
            <w:r>
              <w:rPr>
                <w:rFonts w:ascii="Arial" w:cs="Arial" w:eastAsia="Arial" w:hAnsi="Arial"/>
                <w:sz w:val="11"/>
                <w:szCs w:val="11"/>
                <w:b w:val="1"/>
                <w:bCs w:val="1"/>
                <w:color w:val="auto"/>
              </w:rPr>
              <w:t>Units or</w:t>
            </w:r>
          </w:p>
        </w:tc>
        <w:tc>
          <w:tcPr>
            <w:tcW w:w="220" w:type="dxa"/>
            <w:vAlign w:val="bottom"/>
          </w:tcPr>
          <w:p>
            <w:pPr>
              <w:spacing w:after="0"/>
              <w:rPr>
                <w:sz w:val="10"/>
                <w:szCs w:val="10"/>
                <w:color w:val="auto"/>
              </w:rPr>
            </w:pPr>
          </w:p>
        </w:tc>
        <w:tc>
          <w:tcPr>
            <w:tcW w:w="76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w w:val="95"/>
              </w:rPr>
              <w:t>Payout Value</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4"/>
              </w:rPr>
              <w:t>Number of</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8"/>
              </w:rPr>
              <w:t>Number of</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8"/>
              </w:rPr>
              <w:t>Shares or</w:t>
            </w:r>
          </w:p>
        </w:tc>
        <w:tc>
          <w:tcPr>
            <w:tcW w:w="220" w:type="dxa"/>
            <w:vAlign w:val="bottom"/>
          </w:tcPr>
          <w:p>
            <w:pPr>
              <w:spacing w:after="0"/>
              <w:rPr>
                <w:sz w:val="10"/>
                <w:szCs w:val="10"/>
                <w:color w:val="auto"/>
              </w:rPr>
            </w:pPr>
          </w:p>
        </w:tc>
        <w:tc>
          <w:tcPr>
            <w:tcW w:w="74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2"/>
              </w:rPr>
              <w:t>Units of</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5"/>
              </w:rPr>
              <w:t>Other</w:t>
            </w:r>
          </w:p>
        </w:tc>
        <w:tc>
          <w:tcPr>
            <w:tcW w:w="220" w:type="dxa"/>
            <w:vAlign w:val="bottom"/>
          </w:tcPr>
          <w:p>
            <w:pPr>
              <w:spacing w:after="0"/>
              <w:rPr>
                <w:sz w:val="10"/>
                <w:szCs w:val="10"/>
                <w:color w:val="auto"/>
              </w:rPr>
            </w:pPr>
          </w:p>
        </w:tc>
        <w:tc>
          <w:tcPr>
            <w:tcW w:w="76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w w:val="96"/>
              </w:rPr>
              <w:t>of Unearned</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8"/>
              </w:rPr>
              <w:t>Securities</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4"/>
              </w:rPr>
              <w:t>Securities</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Units of</w:t>
            </w:r>
          </w:p>
        </w:tc>
        <w:tc>
          <w:tcPr>
            <w:tcW w:w="220" w:type="dxa"/>
            <w:vAlign w:val="bottom"/>
          </w:tcPr>
          <w:p>
            <w:pPr>
              <w:spacing w:after="0"/>
              <w:rPr>
                <w:sz w:val="10"/>
                <w:szCs w:val="10"/>
                <w:color w:val="auto"/>
              </w:rPr>
            </w:pPr>
          </w:p>
        </w:tc>
        <w:tc>
          <w:tcPr>
            <w:tcW w:w="74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9"/>
              </w:rPr>
              <w:t>Stock</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9"/>
              </w:rPr>
              <w:t>Rights</w:t>
            </w:r>
          </w:p>
        </w:tc>
        <w:tc>
          <w:tcPr>
            <w:tcW w:w="220" w:type="dxa"/>
            <w:vAlign w:val="bottom"/>
          </w:tcPr>
          <w:p>
            <w:pPr>
              <w:spacing w:after="0"/>
              <w:rPr>
                <w:sz w:val="10"/>
                <w:szCs w:val="10"/>
                <w:color w:val="auto"/>
              </w:rPr>
            </w:pPr>
          </w:p>
        </w:tc>
        <w:tc>
          <w:tcPr>
            <w:tcW w:w="76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96"/>
              </w:rPr>
              <w:t>Shares, Units</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7"/>
              </w:rPr>
              <w:t>Underlying</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Underlying</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9"/>
              </w:rPr>
              <w:t>Stock</w:t>
            </w:r>
          </w:p>
        </w:tc>
        <w:tc>
          <w:tcPr>
            <w:tcW w:w="220" w:type="dxa"/>
            <w:vAlign w:val="bottom"/>
          </w:tcPr>
          <w:p>
            <w:pPr>
              <w:spacing w:after="0"/>
              <w:rPr>
                <w:sz w:val="10"/>
                <w:szCs w:val="10"/>
                <w:color w:val="auto"/>
              </w:rPr>
            </w:pPr>
          </w:p>
        </w:tc>
        <w:tc>
          <w:tcPr>
            <w:tcW w:w="74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4"/>
              </w:rPr>
              <w:t>That</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8"/>
              </w:rPr>
              <w:t>That Have</w:t>
            </w:r>
          </w:p>
        </w:tc>
        <w:tc>
          <w:tcPr>
            <w:tcW w:w="220" w:type="dxa"/>
            <w:vAlign w:val="bottom"/>
          </w:tcPr>
          <w:p>
            <w:pPr>
              <w:spacing w:after="0"/>
              <w:rPr>
                <w:sz w:val="10"/>
                <w:szCs w:val="10"/>
                <w:color w:val="auto"/>
              </w:rPr>
            </w:pPr>
          </w:p>
        </w:tc>
        <w:tc>
          <w:tcPr>
            <w:tcW w:w="76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w w:val="96"/>
              </w:rPr>
              <w:t>or Other</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6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auto"/>
                <w:w w:val="97"/>
              </w:rPr>
              <w:t>Unexercised</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4"/>
              </w:rPr>
              <w:t>Unexercised</w:t>
            </w:r>
          </w:p>
        </w:tc>
        <w:tc>
          <w:tcPr>
            <w:tcW w:w="24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5"/>
              </w:rPr>
              <w:t>Option</w:t>
            </w:r>
          </w:p>
        </w:tc>
        <w:tc>
          <w:tcPr>
            <w:tcW w:w="7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5"/>
              </w:rPr>
              <w:t>Option</w:t>
            </w:r>
          </w:p>
        </w:tc>
        <w:tc>
          <w:tcPr>
            <w:tcW w:w="220" w:type="dxa"/>
            <w:vAlign w:val="bottom"/>
          </w:tcPr>
          <w:p>
            <w:pPr>
              <w:spacing w:after="0"/>
              <w:rPr>
                <w:sz w:val="10"/>
                <w:szCs w:val="10"/>
                <w:color w:val="auto"/>
              </w:rPr>
            </w:pP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5"/>
              </w:rPr>
              <w:t>That Have</w:t>
            </w:r>
          </w:p>
        </w:tc>
        <w:tc>
          <w:tcPr>
            <w:tcW w:w="220" w:type="dxa"/>
            <w:vAlign w:val="bottom"/>
          </w:tcPr>
          <w:p>
            <w:pPr>
              <w:spacing w:after="0"/>
              <w:rPr>
                <w:sz w:val="10"/>
                <w:szCs w:val="10"/>
                <w:color w:val="auto"/>
              </w:rPr>
            </w:pPr>
          </w:p>
        </w:tc>
        <w:tc>
          <w:tcPr>
            <w:tcW w:w="74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6"/>
              </w:rPr>
              <w:t>Have Not</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Not</w:t>
            </w:r>
          </w:p>
        </w:tc>
        <w:tc>
          <w:tcPr>
            <w:tcW w:w="220" w:type="dxa"/>
            <w:vAlign w:val="bottom"/>
          </w:tcPr>
          <w:p>
            <w:pPr>
              <w:spacing w:after="0"/>
              <w:rPr>
                <w:sz w:val="10"/>
                <w:szCs w:val="10"/>
                <w:color w:val="auto"/>
              </w:rPr>
            </w:pPr>
          </w:p>
        </w:tc>
        <w:tc>
          <w:tcPr>
            <w:tcW w:w="76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w w:val="95"/>
              </w:rPr>
              <w:t>Rights That</w:t>
            </w:r>
          </w:p>
        </w:tc>
        <w:tc>
          <w:tcPr>
            <w:tcW w:w="0" w:type="dxa"/>
            <w:vAlign w:val="bottom"/>
          </w:tcPr>
          <w:p>
            <w:pPr>
              <w:spacing w:after="0"/>
              <w:rPr>
                <w:sz w:val="1"/>
                <w:szCs w:val="1"/>
                <w:color w:val="auto"/>
              </w:rPr>
            </w:pPr>
          </w:p>
        </w:tc>
      </w:tr>
      <w:tr>
        <w:trPr>
          <w:trHeight w:val="120"/>
        </w:trPr>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w w:val="93"/>
              </w:rPr>
              <w:t>Name</w:t>
            </w:r>
          </w:p>
        </w:tc>
        <w:tc>
          <w:tcPr>
            <w:tcW w:w="2760" w:type="dxa"/>
            <w:vAlign w:val="bottom"/>
            <w:vMerge w:val="restart"/>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6"/>
              </w:rPr>
              <w:t>Options (#)</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Options</w:t>
            </w:r>
          </w:p>
        </w:tc>
        <w:tc>
          <w:tcPr>
            <w:tcW w:w="9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97"/>
              </w:rPr>
              <w:t>Exercise</w:t>
            </w:r>
          </w:p>
        </w:tc>
        <w:tc>
          <w:tcPr>
            <w:tcW w:w="7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6"/>
              </w:rPr>
              <w:t>Expiration</w:t>
            </w:r>
          </w:p>
        </w:tc>
        <w:tc>
          <w:tcPr>
            <w:tcW w:w="220" w:type="dxa"/>
            <w:vAlign w:val="bottom"/>
          </w:tcPr>
          <w:p>
            <w:pPr>
              <w:spacing w:after="0"/>
              <w:rPr>
                <w:sz w:val="10"/>
                <w:szCs w:val="10"/>
                <w:color w:val="auto"/>
              </w:rPr>
            </w:pP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Not</w:t>
            </w:r>
          </w:p>
        </w:tc>
        <w:tc>
          <w:tcPr>
            <w:tcW w:w="220" w:type="dxa"/>
            <w:vAlign w:val="bottom"/>
          </w:tcPr>
          <w:p>
            <w:pPr>
              <w:spacing w:after="0"/>
              <w:rPr>
                <w:sz w:val="10"/>
                <w:szCs w:val="10"/>
                <w:color w:val="auto"/>
              </w:rPr>
            </w:pPr>
          </w:p>
        </w:tc>
        <w:tc>
          <w:tcPr>
            <w:tcW w:w="740" w:type="dxa"/>
            <w:vAlign w:val="bottom"/>
            <w:gridSpan w:val="2"/>
          </w:tcPr>
          <w:p>
            <w:pPr>
              <w:jc w:val="right"/>
              <w:ind w:right="320"/>
              <w:spacing w:after="0" w:line="121" w:lineRule="exact"/>
              <w:rPr>
                <w:sz w:val="20"/>
                <w:szCs w:val="20"/>
                <w:color w:val="auto"/>
              </w:rPr>
            </w:pPr>
            <w:r>
              <w:rPr>
                <w:rFonts w:ascii="Arial" w:cs="Arial" w:eastAsia="Arial" w:hAnsi="Arial"/>
                <w:sz w:val="11"/>
                <w:szCs w:val="11"/>
                <w:b w:val="1"/>
                <w:bCs w:val="1"/>
                <w:color w:val="auto"/>
              </w:rPr>
              <w:t>Vested</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4"/>
              </w:rPr>
              <w:t>Vested</w:t>
            </w:r>
          </w:p>
        </w:tc>
        <w:tc>
          <w:tcPr>
            <w:tcW w:w="220" w:type="dxa"/>
            <w:vAlign w:val="bottom"/>
          </w:tcPr>
          <w:p>
            <w:pPr>
              <w:spacing w:after="0"/>
              <w:rPr>
                <w:sz w:val="10"/>
                <w:szCs w:val="10"/>
                <w:color w:val="auto"/>
              </w:rPr>
            </w:pPr>
          </w:p>
        </w:tc>
        <w:tc>
          <w:tcPr>
            <w:tcW w:w="76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w w:val="96"/>
              </w:rPr>
              <w:t>Have Not</w:t>
            </w:r>
          </w:p>
        </w:tc>
        <w:tc>
          <w:tcPr>
            <w:tcW w:w="0" w:type="dxa"/>
            <w:vAlign w:val="bottom"/>
          </w:tcPr>
          <w:p>
            <w:pPr>
              <w:spacing w:after="0"/>
              <w:rPr>
                <w:sz w:val="1"/>
                <w:szCs w:val="1"/>
                <w:color w:val="auto"/>
              </w:rPr>
            </w:pPr>
          </w:p>
        </w:tc>
      </w:tr>
      <w:tr>
        <w:trPr>
          <w:trHeight w:val="142"/>
        </w:trPr>
        <w:tc>
          <w:tcPr>
            <w:tcW w:w="300" w:type="dxa"/>
            <w:vAlign w:val="bottom"/>
            <w:tcBorders>
              <w:bottom w:val="single" w:sz="8" w:color="auto"/>
            </w:tcBorders>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760" w:type="dxa"/>
            <w:vAlign w:val="bottom"/>
          </w:tcPr>
          <w:p>
            <w:pPr>
              <w:jc w:val="right"/>
              <w:ind w:right="50"/>
              <w:spacing w:after="0" w:line="122" w:lineRule="exact"/>
              <w:rPr>
                <w:sz w:val="20"/>
                <w:szCs w:val="20"/>
                <w:color w:val="auto"/>
              </w:rPr>
            </w:pPr>
            <w:r>
              <w:rPr>
                <w:rFonts w:ascii="Arial" w:cs="Arial" w:eastAsia="Arial" w:hAnsi="Arial"/>
                <w:sz w:val="11"/>
                <w:szCs w:val="11"/>
                <w:b w:val="1"/>
                <w:bCs w:val="1"/>
                <w:color w:val="auto"/>
              </w:rPr>
              <w:t>Grant Date</w:t>
            </w:r>
          </w:p>
        </w:tc>
        <w:tc>
          <w:tcPr>
            <w:tcW w:w="220" w:type="dxa"/>
            <w:vAlign w:val="bottom"/>
          </w:tcPr>
          <w:p>
            <w:pPr>
              <w:spacing w:after="0"/>
              <w:rPr>
                <w:sz w:val="12"/>
                <w:szCs w:val="12"/>
                <w:color w:val="auto"/>
              </w:rPr>
            </w:pPr>
          </w:p>
        </w:tc>
        <w:tc>
          <w:tcPr>
            <w:tcW w:w="9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Exercisable</w:t>
            </w:r>
          </w:p>
        </w:tc>
        <w:tc>
          <w:tcPr>
            <w:tcW w:w="1000" w:type="dxa"/>
            <w:vAlign w:val="bottom"/>
            <w:gridSpan w:val="2"/>
          </w:tcPr>
          <w:p>
            <w:pPr>
              <w:jc w:val="center"/>
              <w:ind w:left="31"/>
              <w:spacing w:after="0" w:line="122" w:lineRule="exact"/>
              <w:rPr>
                <w:sz w:val="20"/>
                <w:szCs w:val="20"/>
                <w:color w:val="auto"/>
              </w:rPr>
            </w:pPr>
            <w:r>
              <w:rPr>
                <w:rFonts w:ascii="Arial" w:cs="Arial" w:eastAsia="Arial" w:hAnsi="Arial"/>
                <w:sz w:val="11"/>
                <w:szCs w:val="11"/>
                <w:b w:val="1"/>
                <w:bCs w:val="1"/>
                <w:color w:val="auto"/>
                <w:w w:val="98"/>
              </w:rPr>
              <w:t>(#) Unexercisable</w:t>
            </w:r>
          </w:p>
        </w:tc>
        <w:tc>
          <w:tcPr>
            <w:tcW w:w="240" w:type="dxa"/>
            <w:vAlign w:val="bottom"/>
          </w:tcPr>
          <w:p>
            <w:pPr>
              <w:spacing w:after="0"/>
              <w:rPr>
                <w:sz w:val="12"/>
                <w:szCs w:val="12"/>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6"/>
              </w:rPr>
              <w:t xml:space="preserve">Price </w:t>
            </w:r>
            <w:r>
              <w:rPr>
                <w:rFonts w:ascii="Arial" w:cs="Arial" w:eastAsia="Arial" w:hAnsi="Arial"/>
                <w:sz w:val="11"/>
                <w:szCs w:val="11"/>
                <w:b w:val="1"/>
                <w:bCs w:val="1"/>
                <w:u w:val="single" w:color="auto"/>
                <w:color w:val="auto"/>
                <w:w w:val="96"/>
              </w:rPr>
              <w:t>($</w:t>
            </w:r>
            <w:r>
              <w:rPr>
                <w:rFonts w:ascii="Arial" w:cs="Arial" w:eastAsia="Arial" w:hAnsi="Arial"/>
                <w:sz w:val="11"/>
                <w:szCs w:val="11"/>
                <w:b w:val="1"/>
                <w:bCs w:val="1"/>
                <w:color w:val="auto"/>
                <w:w w:val="96"/>
              </w:rPr>
              <w:t>)</w:t>
            </w: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Date</w:t>
            </w:r>
          </w:p>
        </w:tc>
        <w:tc>
          <w:tcPr>
            <w:tcW w:w="220" w:type="dxa"/>
            <w:vAlign w:val="bottom"/>
          </w:tcPr>
          <w:p>
            <w:pPr>
              <w:spacing w:after="0"/>
              <w:rPr>
                <w:sz w:val="12"/>
                <w:szCs w:val="12"/>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Vested (#)</w:t>
            </w:r>
          </w:p>
        </w:tc>
        <w:tc>
          <w:tcPr>
            <w:tcW w:w="720" w:type="dxa"/>
            <w:vAlign w:val="bottom"/>
            <w:gridSpan w:val="2"/>
          </w:tcPr>
          <w:p>
            <w:pPr>
              <w:jc w:val="center"/>
              <w:ind w:left="167"/>
              <w:spacing w:after="0" w:line="122" w:lineRule="exact"/>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2"/>
                <w:szCs w:val="12"/>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(#)(1)</w:t>
            </w:r>
          </w:p>
        </w:tc>
        <w:tc>
          <w:tcPr>
            <w:tcW w:w="220" w:type="dxa"/>
            <w:vAlign w:val="bottom"/>
          </w:tcPr>
          <w:p>
            <w:pPr>
              <w:spacing w:after="0"/>
              <w:rPr>
                <w:sz w:val="12"/>
                <w:szCs w:val="12"/>
                <w:color w:val="auto"/>
              </w:rPr>
            </w:pPr>
          </w:p>
        </w:tc>
        <w:tc>
          <w:tcPr>
            <w:tcW w:w="7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6"/>
              </w:rPr>
              <w:t>Vested ($)(2)</w:t>
            </w:r>
          </w:p>
        </w:tc>
        <w:tc>
          <w:tcPr>
            <w:tcW w:w="0" w:type="dxa"/>
            <w:vAlign w:val="bottom"/>
          </w:tcPr>
          <w:p>
            <w:pPr>
              <w:spacing w:after="0"/>
              <w:rPr>
                <w:sz w:val="1"/>
                <w:szCs w:val="1"/>
                <w:color w:val="auto"/>
              </w:rPr>
            </w:pPr>
          </w:p>
        </w:tc>
      </w:tr>
      <w:tr>
        <w:trPr>
          <w:trHeight w:val="147"/>
        </w:trPr>
        <w:tc>
          <w:tcPr>
            <w:tcW w:w="3060" w:type="dxa"/>
            <w:vAlign w:val="bottom"/>
            <w:tcBorders>
              <w:top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Jennifer Y. Hyman</w:t>
            </w: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04/01/2020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139"/>
              <w:spacing w:after="0" w:line="147"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16"/>
              <w:spacing w:after="0" w:line="147"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center"/>
              <w:ind w:left="35"/>
              <w:spacing w:after="0" w:line="147"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1"/>
              <w:spacing w:after="0" w:line="147"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320"/>
              <w:spacing w:after="0" w:line="147"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14"/>
              <w:spacing w:after="0" w:line="147"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206,901</w:t>
            </w: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1,398,651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12/14/2012</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327,128(3)</w:t>
            </w:r>
          </w:p>
        </w:tc>
        <w:tc>
          <w:tcPr>
            <w:tcW w:w="12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290"/>
              <w:spacing w:after="0"/>
              <w:rPr>
                <w:sz w:val="20"/>
                <w:szCs w:val="20"/>
                <w:color w:val="auto"/>
              </w:rPr>
            </w:pPr>
            <w:r>
              <w:rPr>
                <w:rFonts w:ascii="Arial" w:cs="Arial" w:eastAsia="Arial" w:hAnsi="Arial"/>
                <w:sz w:val="14"/>
                <w:szCs w:val="14"/>
                <w:color w:val="auto"/>
              </w:rPr>
              <w:t>2.86</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12/15/2022</w:t>
            </w:r>
          </w:p>
        </w:tc>
        <w:tc>
          <w:tcPr>
            <w:tcW w:w="220" w:type="dxa"/>
            <w:vAlign w:val="bottom"/>
          </w:tcPr>
          <w:p>
            <w:pPr>
              <w:spacing w:after="0"/>
              <w:rPr>
                <w:sz w:val="13"/>
                <w:szCs w:val="13"/>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01/16/2014</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191,812(3)</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290"/>
              <w:spacing w:after="0"/>
              <w:rPr>
                <w:sz w:val="20"/>
                <w:szCs w:val="20"/>
                <w:color w:val="auto"/>
              </w:rPr>
            </w:pPr>
            <w:r>
              <w:rPr>
                <w:rFonts w:ascii="Arial" w:cs="Arial" w:eastAsia="Arial" w:hAnsi="Arial"/>
                <w:sz w:val="14"/>
                <w:szCs w:val="14"/>
                <w:color w:val="auto"/>
              </w:rPr>
              <w:t>2.38</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01/15/2024</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05/24/2016</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83,121(4)</w:t>
            </w:r>
          </w:p>
        </w:tc>
        <w:tc>
          <w:tcPr>
            <w:tcW w:w="12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290"/>
              <w:spacing w:after="0"/>
              <w:rPr>
                <w:sz w:val="20"/>
                <w:szCs w:val="20"/>
                <w:color w:val="auto"/>
              </w:rPr>
            </w:pPr>
            <w:r>
              <w:rPr>
                <w:rFonts w:ascii="Arial" w:cs="Arial" w:eastAsia="Arial" w:hAnsi="Arial"/>
                <w:sz w:val="14"/>
                <w:szCs w:val="14"/>
                <w:color w:val="auto"/>
              </w:rPr>
              <w:t>7.02</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05/24/2026</w:t>
            </w:r>
          </w:p>
        </w:tc>
        <w:tc>
          <w:tcPr>
            <w:tcW w:w="220" w:type="dxa"/>
            <w:vAlign w:val="bottom"/>
          </w:tcPr>
          <w:p>
            <w:pPr>
              <w:spacing w:after="0"/>
              <w:rPr>
                <w:sz w:val="13"/>
                <w:szCs w:val="13"/>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03/02/2017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395,218(5)</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290"/>
              <w:spacing w:after="0"/>
              <w:rPr>
                <w:sz w:val="20"/>
                <w:szCs w:val="20"/>
                <w:color w:val="auto"/>
              </w:rPr>
            </w:pPr>
            <w:r>
              <w:rPr>
                <w:rFonts w:ascii="Arial" w:cs="Arial" w:eastAsia="Arial" w:hAnsi="Arial"/>
                <w:sz w:val="14"/>
                <w:szCs w:val="14"/>
                <w:color w:val="auto"/>
              </w:rPr>
              <w:t>7.66</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03/01/2027</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03/08/2018</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204,609(5)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75,997</w:t>
            </w:r>
          </w:p>
        </w:tc>
        <w:tc>
          <w:tcPr>
            <w:tcW w:w="680" w:type="dxa"/>
            <w:vAlign w:val="bottom"/>
            <w:gridSpan w:val="2"/>
          </w:tcPr>
          <w:p>
            <w:pPr>
              <w:jc w:val="center"/>
              <w:ind w:left="290"/>
              <w:spacing w:after="0"/>
              <w:rPr>
                <w:sz w:val="20"/>
                <w:szCs w:val="20"/>
                <w:color w:val="auto"/>
              </w:rPr>
            </w:pPr>
            <w:r>
              <w:rPr>
                <w:rFonts w:ascii="Arial" w:cs="Arial" w:eastAsia="Arial" w:hAnsi="Arial"/>
                <w:sz w:val="14"/>
                <w:szCs w:val="14"/>
                <w:color w:val="auto"/>
              </w:rPr>
              <w:t>9.89</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03/07/2028</w:t>
            </w:r>
          </w:p>
        </w:tc>
        <w:tc>
          <w:tcPr>
            <w:tcW w:w="220" w:type="dxa"/>
            <w:vAlign w:val="bottom"/>
          </w:tcPr>
          <w:p>
            <w:pPr>
              <w:spacing w:after="0"/>
              <w:rPr>
                <w:sz w:val="13"/>
                <w:szCs w:val="13"/>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02/08/2019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246,653(5)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268,101</w:t>
            </w:r>
          </w:p>
        </w:tc>
        <w:tc>
          <w:tcPr>
            <w:tcW w:w="680" w:type="dxa"/>
            <w:vAlign w:val="bottom"/>
            <w:gridSpan w:val="2"/>
            <w:shd w:val="clear" w:color="auto" w:fill="CCEEFF"/>
          </w:tcPr>
          <w:p>
            <w:pPr>
              <w:jc w:val="center"/>
              <w:ind w:left="290"/>
              <w:spacing w:after="0"/>
              <w:rPr>
                <w:sz w:val="20"/>
                <w:szCs w:val="20"/>
                <w:color w:val="auto"/>
              </w:rPr>
            </w:pPr>
            <w:r>
              <w:rPr>
                <w:rFonts w:ascii="Arial" w:cs="Arial" w:eastAsia="Arial" w:hAnsi="Arial"/>
                <w:sz w:val="14"/>
                <w:szCs w:val="14"/>
                <w:color w:val="auto"/>
              </w:rPr>
              <w:t>7.01</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02/07/2029</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07/03/2019</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226,352(3)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377,254</w:t>
            </w:r>
          </w:p>
        </w:tc>
        <w:tc>
          <w:tcPr>
            <w:tcW w:w="680" w:type="dxa"/>
            <w:vAlign w:val="bottom"/>
            <w:gridSpan w:val="2"/>
          </w:tcPr>
          <w:p>
            <w:pPr>
              <w:jc w:val="center"/>
              <w:ind w:left="290"/>
              <w:spacing w:after="0"/>
              <w:rPr>
                <w:sz w:val="20"/>
                <w:szCs w:val="20"/>
                <w:color w:val="auto"/>
              </w:rPr>
            </w:pPr>
            <w:r>
              <w:rPr>
                <w:rFonts w:ascii="Arial" w:cs="Arial" w:eastAsia="Arial" w:hAnsi="Arial"/>
                <w:sz w:val="14"/>
                <w:szCs w:val="14"/>
                <w:color w:val="auto"/>
              </w:rPr>
              <w:t>7.01</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07/02/2029</w:t>
            </w:r>
          </w:p>
        </w:tc>
        <w:tc>
          <w:tcPr>
            <w:tcW w:w="220" w:type="dxa"/>
            <w:vAlign w:val="bottom"/>
          </w:tcPr>
          <w:p>
            <w:pPr>
              <w:spacing w:after="0"/>
              <w:rPr>
                <w:sz w:val="13"/>
                <w:szCs w:val="13"/>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Scarlett O’Sullivan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04/01/2020</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818,021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09/28/2015</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335,552(6)</w:t>
            </w:r>
          </w:p>
        </w:tc>
        <w:tc>
          <w:tcPr>
            <w:tcW w:w="12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290"/>
              <w:spacing w:after="0"/>
              <w:rPr>
                <w:sz w:val="20"/>
                <w:szCs w:val="20"/>
                <w:color w:val="auto"/>
              </w:rPr>
            </w:pPr>
            <w:r>
              <w:rPr>
                <w:rFonts w:ascii="Arial" w:cs="Arial" w:eastAsia="Arial" w:hAnsi="Arial"/>
                <w:sz w:val="14"/>
                <w:szCs w:val="14"/>
                <w:color w:val="auto"/>
              </w:rPr>
              <w:t>5.10</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09/27/2025</w:t>
            </w:r>
          </w:p>
        </w:tc>
        <w:tc>
          <w:tcPr>
            <w:tcW w:w="220" w:type="dxa"/>
            <w:vAlign w:val="bottom"/>
          </w:tcPr>
          <w:p>
            <w:pPr>
              <w:spacing w:after="0"/>
              <w:rPr>
                <w:sz w:val="13"/>
                <w:szCs w:val="13"/>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08/21/2017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144,566(5)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28,913</w:t>
            </w:r>
          </w:p>
        </w:tc>
        <w:tc>
          <w:tcPr>
            <w:tcW w:w="680" w:type="dxa"/>
            <w:vAlign w:val="bottom"/>
            <w:gridSpan w:val="2"/>
            <w:shd w:val="clear" w:color="auto" w:fill="CCEEFF"/>
          </w:tcPr>
          <w:p>
            <w:pPr>
              <w:jc w:val="center"/>
              <w:ind w:left="290"/>
              <w:spacing w:after="0"/>
              <w:rPr>
                <w:sz w:val="20"/>
                <w:szCs w:val="20"/>
                <w:color w:val="auto"/>
              </w:rPr>
            </w:pPr>
            <w:r>
              <w:rPr>
                <w:rFonts w:ascii="Arial" w:cs="Arial" w:eastAsia="Arial" w:hAnsi="Arial"/>
                <w:sz w:val="14"/>
                <w:szCs w:val="14"/>
                <w:color w:val="auto"/>
              </w:rPr>
              <w:t>7.66</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08/20/2027</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08/17/2019</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9,375(3)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15,625</w:t>
            </w:r>
          </w:p>
        </w:tc>
        <w:tc>
          <w:tcPr>
            <w:tcW w:w="680" w:type="dxa"/>
            <w:vAlign w:val="bottom"/>
            <w:gridSpan w:val="2"/>
          </w:tcPr>
          <w:p>
            <w:pPr>
              <w:jc w:val="center"/>
              <w:ind w:left="290"/>
              <w:spacing w:after="0"/>
              <w:rPr>
                <w:sz w:val="20"/>
                <w:szCs w:val="20"/>
                <w:color w:val="auto"/>
              </w:rPr>
            </w:pPr>
            <w:r>
              <w:rPr>
                <w:rFonts w:ascii="Arial" w:cs="Arial" w:eastAsia="Arial" w:hAnsi="Arial"/>
                <w:sz w:val="14"/>
                <w:szCs w:val="14"/>
                <w:color w:val="auto"/>
              </w:rPr>
              <w:t>7.01</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08/16/2029</w:t>
            </w:r>
          </w:p>
        </w:tc>
        <w:tc>
          <w:tcPr>
            <w:tcW w:w="220" w:type="dxa"/>
            <w:vAlign w:val="bottom"/>
          </w:tcPr>
          <w:p>
            <w:pPr>
              <w:spacing w:after="0"/>
              <w:rPr>
                <w:sz w:val="13"/>
                <w:szCs w:val="13"/>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Anushka Salinas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04/01/2020</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818,021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03/02/2017</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156,666(3)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3,334</w:t>
            </w:r>
          </w:p>
        </w:tc>
        <w:tc>
          <w:tcPr>
            <w:tcW w:w="680" w:type="dxa"/>
            <w:vAlign w:val="bottom"/>
            <w:gridSpan w:val="2"/>
          </w:tcPr>
          <w:p>
            <w:pPr>
              <w:jc w:val="center"/>
              <w:ind w:left="290"/>
              <w:spacing w:after="0"/>
              <w:rPr>
                <w:sz w:val="20"/>
                <w:szCs w:val="20"/>
                <w:color w:val="auto"/>
              </w:rPr>
            </w:pPr>
            <w:r>
              <w:rPr>
                <w:rFonts w:ascii="Arial" w:cs="Arial" w:eastAsia="Arial" w:hAnsi="Arial"/>
                <w:sz w:val="14"/>
                <w:szCs w:val="14"/>
                <w:color w:val="auto"/>
              </w:rPr>
              <w:t>7.66</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03/01/2027</w:t>
            </w:r>
          </w:p>
        </w:tc>
        <w:tc>
          <w:tcPr>
            <w:tcW w:w="220" w:type="dxa"/>
            <w:vAlign w:val="bottom"/>
          </w:tcPr>
          <w:p>
            <w:pPr>
              <w:spacing w:after="0"/>
              <w:rPr>
                <w:sz w:val="13"/>
                <w:szCs w:val="13"/>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03/08/2018</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14,583(3)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5,417</w:t>
            </w:r>
          </w:p>
        </w:tc>
        <w:tc>
          <w:tcPr>
            <w:tcW w:w="680" w:type="dxa"/>
            <w:vAlign w:val="bottom"/>
            <w:gridSpan w:val="2"/>
            <w:shd w:val="clear" w:color="auto" w:fill="CCEEFF"/>
          </w:tcPr>
          <w:p>
            <w:pPr>
              <w:jc w:val="center"/>
              <w:ind w:left="290"/>
              <w:spacing w:after="0"/>
              <w:rPr>
                <w:sz w:val="20"/>
                <w:szCs w:val="20"/>
                <w:color w:val="auto"/>
              </w:rPr>
            </w:pPr>
            <w:r>
              <w:rPr>
                <w:rFonts w:ascii="Arial" w:cs="Arial" w:eastAsia="Arial" w:hAnsi="Arial"/>
                <w:sz w:val="14"/>
                <w:szCs w:val="14"/>
                <w:color w:val="auto"/>
              </w:rPr>
              <w:t>9.89</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03/07/2028</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01/14/2019</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9,583(3)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10,417</w:t>
            </w:r>
          </w:p>
        </w:tc>
        <w:tc>
          <w:tcPr>
            <w:tcW w:w="680" w:type="dxa"/>
            <w:vAlign w:val="bottom"/>
            <w:gridSpan w:val="2"/>
          </w:tcPr>
          <w:p>
            <w:pPr>
              <w:jc w:val="center"/>
              <w:ind w:left="290"/>
              <w:spacing w:after="0"/>
              <w:rPr>
                <w:sz w:val="20"/>
                <w:szCs w:val="20"/>
                <w:color w:val="auto"/>
              </w:rPr>
            </w:pPr>
            <w:r>
              <w:rPr>
                <w:rFonts w:ascii="Arial" w:cs="Arial" w:eastAsia="Arial" w:hAnsi="Arial"/>
                <w:sz w:val="14"/>
                <w:szCs w:val="14"/>
                <w:color w:val="auto"/>
              </w:rPr>
              <w:t>7.01</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01/13/2029</w:t>
            </w:r>
          </w:p>
        </w:tc>
        <w:tc>
          <w:tcPr>
            <w:tcW w:w="220" w:type="dxa"/>
            <w:vAlign w:val="bottom"/>
          </w:tcPr>
          <w:p>
            <w:pPr>
              <w:spacing w:after="0"/>
              <w:rPr>
                <w:sz w:val="13"/>
                <w:szCs w:val="13"/>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07/03/2019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75,000(3)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680" w:type="dxa"/>
            <w:vAlign w:val="bottom"/>
            <w:gridSpan w:val="2"/>
            <w:shd w:val="clear" w:color="auto" w:fill="CCEEFF"/>
          </w:tcPr>
          <w:p>
            <w:pPr>
              <w:jc w:val="center"/>
              <w:ind w:left="290"/>
              <w:spacing w:after="0"/>
              <w:rPr>
                <w:sz w:val="20"/>
                <w:szCs w:val="20"/>
                <w:color w:val="auto"/>
              </w:rPr>
            </w:pPr>
            <w:r>
              <w:rPr>
                <w:rFonts w:ascii="Arial" w:cs="Arial" w:eastAsia="Arial" w:hAnsi="Arial"/>
                <w:sz w:val="14"/>
                <w:szCs w:val="14"/>
                <w:color w:val="auto"/>
              </w:rPr>
              <w:t>7.01</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07/02/2029</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Brian Donato</w:t>
            </w:r>
          </w:p>
        </w:tc>
        <w:tc>
          <w:tcPr>
            <w:tcW w:w="760" w:type="dxa"/>
            <w:vAlign w:val="bottom"/>
          </w:tcPr>
          <w:p>
            <w:pPr>
              <w:jc w:val="right"/>
              <w:spacing w:after="0"/>
              <w:rPr>
                <w:sz w:val="20"/>
                <w:szCs w:val="20"/>
                <w:color w:val="auto"/>
              </w:rPr>
            </w:pPr>
            <w:r>
              <w:rPr>
                <w:rFonts w:ascii="Arial" w:cs="Arial" w:eastAsia="Arial" w:hAnsi="Arial"/>
                <w:sz w:val="14"/>
                <w:szCs w:val="14"/>
                <w:color w:val="auto"/>
              </w:rPr>
              <w:t>04/01/2020</w:t>
            </w:r>
          </w:p>
        </w:tc>
        <w:tc>
          <w:tcPr>
            <w:tcW w:w="2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2,028,000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74930</wp:posOffset>
            </wp:positionV>
            <wp:extent cx="755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6" w:lineRule="exact"/>
        <w:rPr>
          <w:sz w:val="20"/>
          <w:szCs w:val="20"/>
          <w:color w:val="auto"/>
        </w:rPr>
      </w:pPr>
    </w:p>
    <w:p>
      <w:pPr>
        <w:ind w:left="600" w:right="80" w:hanging="426"/>
        <w:spacing w:after="0" w:line="238" w:lineRule="auto"/>
        <w:tabs>
          <w:tab w:leader="none" w:pos="6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Represents RSUs that vest based on the satisfaction of both a service-based vesting condition and a liquidity-based vesting condition, which is satisfied as described above under “Elements of Our Executive Compensation Program — Equity Compensation.”</w:t>
      </w:r>
    </w:p>
    <w:p>
      <w:pPr>
        <w:spacing w:after="0" w:line="1" w:lineRule="exact"/>
        <w:rPr>
          <w:rFonts w:ascii="Arial" w:cs="Arial" w:eastAsia="Arial" w:hAnsi="Arial"/>
          <w:sz w:val="14"/>
          <w:szCs w:val="14"/>
          <w:color w:val="auto"/>
        </w:rPr>
      </w:pPr>
    </w:p>
    <w:p>
      <w:pPr>
        <w:ind w:left="600" w:right="480" w:hanging="426"/>
        <w:spacing w:after="0" w:line="238" w:lineRule="auto"/>
        <w:tabs>
          <w:tab w:leader="none" w:pos="6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$6.76, the fair market value of our common stock as of January 31, 2021, as determined by our board of directors.</w:t>
      </w:r>
    </w:p>
    <w:p>
      <w:pPr>
        <w:spacing w:after="0" w:line="1" w:lineRule="exact"/>
        <w:rPr>
          <w:rFonts w:ascii="Arial" w:cs="Arial" w:eastAsia="Arial" w:hAnsi="Arial"/>
          <w:sz w:val="14"/>
          <w:szCs w:val="14"/>
          <w:color w:val="auto"/>
        </w:rPr>
      </w:pPr>
    </w:p>
    <w:p>
      <w:pPr>
        <w:ind w:left="600" w:right="120" w:hanging="426"/>
        <w:spacing w:after="0" w:line="238" w:lineRule="auto"/>
        <w:tabs>
          <w:tab w:leader="none" w:pos="6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option vests or vested as to 25% of the shares subject to the option on the first anniversary of the vesting commencement date and as to ratable monthly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12/14/2012 grant – 01/01/2013; Ms. Hyman’s 01/16/2014 grant – 01/01/2014; Ms. Hyman’s 07/03/2019 grant – 07/03/2019; Ms. O’Sullivan’s 08/17/2019 grant – 07/03/2019; Ms. Salinas’ 03/02/2017 grant – 02/27/2017; Ms. Salinas’ 03/08/2018 grant –2/27/2018; Ms. Salinas’ 01/14/2019 grant – 02/27/2019; and Ms. Salinas’ 07/03/2019 grant – 07/03/2019.</w:t>
      </w:r>
    </w:p>
    <w:p>
      <w:pPr>
        <w:spacing w:after="0" w:line="3" w:lineRule="exact"/>
        <w:rPr>
          <w:rFonts w:ascii="Arial" w:cs="Arial" w:eastAsia="Arial" w:hAnsi="Arial"/>
          <w:sz w:val="14"/>
          <w:szCs w:val="14"/>
          <w:color w:val="auto"/>
        </w:rPr>
      </w:pPr>
    </w:p>
    <w:p>
      <w:pPr>
        <w:ind w:left="600" w:right="380" w:hanging="426"/>
        <w:spacing w:after="0" w:line="238" w:lineRule="auto"/>
        <w:tabs>
          <w:tab w:leader="none" w:pos="6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option vests as to 2.0833% of the shares subject to the option on each monthly anniversary of January 31, 2016 such that the option became fully vested on January 31, 2020.</w:t>
      </w:r>
    </w:p>
    <w:p>
      <w:pPr>
        <w:spacing w:after="0" w:line="1" w:lineRule="exact"/>
        <w:rPr>
          <w:rFonts w:ascii="Arial" w:cs="Arial" w:eastAsia="Arial" w:hAnsi="Arial"/>
          <w:sz w:val="14"/>
          <w:szCs w:val="14"/>
          <w:color w:val="auto"/>
        </w:rPr>
      </w:pPr>
    </w:p>
    <w:p>
      <w:pPr>
        <w:jc w:val="both"/>
        <w:ind w:left="600" w:right="160" w:hanging="426"/>
        <w:spacing w:after="0" w:line="238" w:lineRule="auto"/>
        <w:tabs>
          <w:tab w:leader="none" w:pos="6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Ms. Hyman’s 02/08/2019 grant – 02/01/2019; and Ms. O’Sullivan’s 08/21/2017 grant – 09/28/2017.</w:t>
      </w:r>
    </w:p>
    <w:p>
      <w:pPr>
        <w:spacing w:after="0" w:line="2" w:lineRule="exact"/>
        <w:rPr>
          <w:rFonts w:ascii="Arial" w:cs="Arial" w:eastAsia="Arial" w:hAnsi="Arial"/>
          <w:sz w:val="14"/>
          <w:szCs w:val="14"/>
          <w:color w:val="auto"/>
        </w:rPr>
      </w:pPr>
    </w:p>
    <w:p>
      <w:pPr>
        <w:ind w:left="600" w:right="300" w:hanging="426"/>
        <w:spacing w:after="0" w:line="253" w:lineRule="auto"/>
        <w:tabs>
          <w:tab w:leader="none" w:pos="6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option vested as to 20% of the shares subject to the option on October 5, 2016 and as to ratable monthly installments on each monthly anniversary thereafter such that the option became fully vested on October 5, 2020, subject to the executive’s continued service with us through the applicable vesting dates.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 Arrangements</w:t>
      </w:r>
    </w:p>
    <w:p>
      <w:pPr>
        <w:spacing w:after="0" w:line="229" w:lineRule="exact"/>
        <w:rPr>
          <w:sz w:val="20"/>
          <w:szCs w:val="20"/>
          <w:color w:val="auto"/>
        </w:rPr>
      </w:pPr>
    </w:p>
    <w:p>
      <w:pPr>
        <w:ind w:left="180" w:right="360" w:firstLine="545"/>
        <w:spacing w:after="0" w:line="239"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202" w:lineRule="exact"/>
        <w:rPr>
          <w:sz w:val="20"/>
          <w:szCs w:val="20"/>
          <w:color w:val="auto"/>
        </w:rPr>
      </w:pPr>
    </w:p>
    <w:p>
      <w:pPr>
        <w:ind w:left="180" w:right="400" w:firstLine="545"/>
        <w:spacing w:after="0" w:line="239" w:lineRule="auto"/>
        <w:rPr>
          <w:sz w:val="20"/>
          <w:szCs w:val="20"/>
          <w:color w:val="auto"/>
        </w:rPr>
      </w:pPr>
      <w:r>
        <w:rPr>
          <w:rFonts w:ascii="Arial" w:cs="Arial" w:eastAsia="Arial" w:hAnsi="Arial"/>
          <w:sz w:val="18"/>
          <w:szCs w:val="18"/>
          <w:color w:val="auto"/>
        </w:rPr>
        <w:t>We intend to enter into a new employment agreement with Ms. Hyman to be effective upon the completion of this offering. The material terms of her new employment agreement have not yet been determined.</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Jennifer Y. Hyman</w:t>
      </w:r>
    </w:p>
    <w:p>
      <w:pPr>
        <w:spacing w:after="0" w:line="122" w:lineRule="exact"/>
        <w:rPr>
          <w:sz w:val="20"/>
          <w:szCs w:val="20"/>
          <w:color w:val="auto"/>
        </w:rPr>
      </w:pPr>
    </w:p>
    <w:p>
      <w:pPr>
        <w:ind w:left="180" w:right="20" w:firstLine="545"/>
        <w:spacing w:after="0" w:line="239" w:lineRule="auto"/>
        <w:rPr>
          <w:sz w:val="20"/>
          <w:szCs w:val="20"/>
          <w:color w:val="auto"/>
        </w:rPr>
      </w:pPr>
      <w:r>
        <w:rPr>
          <w:rFonts w:ascii="Arial" w:cs="Arial" w:eastAsia="Arial" w:hAnsi="Arial"/>
          <w:sz w:val="18"/>
          <w:szCs w:val="18"/>
          <w:color w:val="auto"/>
        </w:rPr>
        <w:t>On July 6, 2015, we entered into an employment agreement with Ms. Hyman providing for her employment as our Co-Founder and Chief Executive Officer, which was subsequently amended on November 20, 2020 (as amended, the “CEO Agreement”).</w:t>
      </w:r>
    </w:p>
    <w:p>
      <w:pPr>
        <w:spacing w:after="0" w:line="202" w:lineRule="exact"/>
        <w:rPr>
          <w:sz w:val="20"/>
          <w:szCs w:val="20"/>
          <w:color w:val="auto"/>
        </w:rPr>
      </w:pPr>
    </w:p>
    <w:p>
      <w:pPr>
        <w:ind w:left="180" w:right="300" w:firstLine="545"/>
        <w:spacing w:after="0" w:line="253" w:lineRule="auto"/>
        <w:rPr>
          <w:sz w:val="20"/>
          <w:szCs w:val="20"/>
          <w:color w:val="auto"/>
        </w:rPr>
      </w:pPr>
      <w:r>
        <w:rPr>
          <w:rFonts w:ascii="Arial" w:cs="Arial" w:eastAsia="Arial" w:hAnsi="Arial"/>
          <w:sz w:val="17"/>
          <w:szCs w:val="17"/>
          <w:color w:val="auto"/>
        </w:rPr>
        <w:t>Pursuant to the CEO Agreement, Ms. Hyman was entitled to an initial annual base salary of $300,000, which base salary was subsequently increased to $600,000. The CEO Agreement also provides that Ms. Hyman is eligible to receive an annual performance-based cash bonus with a target bonus opportunity of 100% of her base salary and a maximum bonus opportunity of 150% of her base salary based on the achievement of performance criteria established by our board of directors or its authorized delegate.</w:t>
      </w:r>
    </w:p>
    <w:p>
      <w:pPr>
        <w:spacing w:after="0" w:line="191"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The CEO Agreement provides that Ms. Hyman would be entitled to receive an annual stock option award under the 2009 Plan in each of the 2015, 2016 and 2017 fiscal years equal to a percentage of the outstanding fully-diluted shares of the company as of the grant date, which percentage was based on the achievement of certain company financial plan performance metrics approved by our board of directors. Such stock options have been granted and are reflected in the “Outstanding Equity Awards at Fiscal Year-End” table above. 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(y) the date of Ms. Hyman’s termination of employment by the company without “cause,” by Ms. Hyman for “good reason” or due to Ms. Hyman’s death or “disability” (each as defined in the CEO Agreement).</w:t>
      </w:r>
    </w:p>
    <w:p>
      <w:pPr>
        <w:spacing w:after="0" w:line="208" w:lineRule="exact"/>
        <w:rPr>
          <w:sz w:val="20"/>
          <w:szCs w:val="20"/>
          <w:color w:val="auto"/>
        </w:rPr>
      </w:pPr>
    </w:p>
    <w:p>
      <w:pPr>
        <w:ind w:left="180" w:right="140" w:firstLine="545"/>
        <w:spacing w:after="0" w:line="233" w:lineRule="auto"/>
        <w:rPr>
          <w:sz w:val="20"/>
          <w:szCs w:val="20"/>
          <w:color w:val="auto"/>
        </w:rPr>
      </w:pPr>
      <w:r>
        <w:rPr>
          <w:rFonts w:ascii="Arial" w:cs="Arial" w:eastAsia="Arial" w:hAnsi="Arial"/>
          <w:sz w:val="18"/>
          <w:szCs w:val="18"/>
          <w:color w:val="auto"/>
        </w:rPr>
        <w:t>Pursuant to the CEO Agreement, if Ms. Hyman’s employment is terminated by us without “cause” or by Ms. Hyman for “good reason,” then, subject to her timely execution and non-revocation of a release of claims and continued compliance with the applicable restrictive covenants, she will be entitled to, in addition to accrued amounts: (i) a cash amount equal to the sum of (x) her then-current annualized base salary and (y) the greater of (1) the average of the annual bonuses paid to her over the three fiscal years immediately preceding the year in which the date of termination occurs and (2) her target annual bonus for the fiscal year in which the date of termination occurs (such sum, the “Cash Severance Payment”), payable in equal installments during the 12-month period following the date of termination, (ii) a pro rata annual bonus for the fiscal year in which termination occurs, payable in a lump sum on the 60th day following the date of termination (the “Pro-Rata Bonus”), (iii) continued group health coverage for a period of up to 18 months following termination, and (iv) an extended post-termination option exercise period in accordance with the terms of the CEO Agreement. In the event such a termination of employment occurs on or within the 24-month period following a “change of control,” in lieu of (i), Ms. Hyman will be entitled to receive two times the Cash Severance Payment,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40"/>
          </w:cols>
          <w:pgMar w:left="320" w:top="455" w:right="5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20"/>
        <w:spacing w:after="0" w:line="237" w:lineRule="auto"/>
        <w:rPr>
          <w:sz w:val="20"/>
          <w:szCs w:val="20"/>
          <w:color w:val="auto"/>
        </w:rPr>
      </w:pPr>
      <w:r>
        <w:rPr>
          <w:rFonts w:ascii="Arial" w:cs="Arial" w:eastAsia="Arial" w:hAnsi="Arial"/>
          <w:sz w:val="18"/>
          <w:szCs w:val="18"/>
          <w:color w:val="auto"/>
        </w:rPr>
        <w:t>payable in a lump sum on the 60th day following the date of termination. Additionally, in the event such a termination of employment occurs prior to or upon the “change of control,” the vesting of Ms. Hyman’s outstanding equity awards held as of July 6, 2015 or that were otherwise granted under the CEO Agreement will accelerate in full.</w:t>
      </w:r>
    </w:p>
    <w:p>
      <w:pPr>
        <w:spacing w:after="0" w:line="202"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In the event Ms. Hyman’s employment is terminated due to death or “disability,” she will be entitled to receive, subject to her timely execution and non-revocation of a release of claims and continued compliance with the applicable restrictive covenants, in addition to any accrued amounts: (i) the Pro-Rata Bonus, (ii) an extended post-termination option exercise period in accordance with the terms of the CEO Agreement, (iii) acceleration in full of the vesting of her outstanding equity awards held as of July 6, 2015 or that were otherwise granted under the CEO Agreement, and (iv) if her termination is due to “disability,” continued group health coverage for a period of up to 18 months following termination.</w:t>
      </w:r>
    </w:p>
    <w:p>
      <w:pPr>
        <w:spacing w:after="0" w:line="205"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The CEO Agreement contains a 12-month post-termination non-competition covenant (which is extended to 24 months in the event Ms. Hyman is terminated on or following a change of control) and 12-month post-termination non-solicitation of customers and employees covenants, as well as perpetual confidentiality and non-disparagement covenants. In addition, the CEO Agreement provides that, in the event of a transaction in which Ms. Hyman receives payments or benefits that are subject to the excise tax provisions of Section 280G of the Code and the company (or its applicable subsidiaries) is a publicly held company, Ms. Hyman will be entitled to receive a gross-up payment equal to 50% of the Section 280G excise taxes imposed on such payments or benefits, excluding those related to any equity awards that weren’t held by Ms. Hyman as of the effective date of the CEO Agreement or granted pursuant to the CEO Agreement (plus an additional gross-up amount covering taxes imposed on the gross-up payment(s)), if such transaction occurs during the three-year period following the company’s initial public offering. Notwithstanding the foregoing, if the value of such payments and benefits does not exceed 110% of the highest value of payments or benefits that can be made such that they would not be subject to the excise tax provisions of Section 280G of the Code, such payments and benefits will be reduced to the extent necessary to avoid the imposition of any excise tax under Section 280G of the Code and accordingly no gross-up payments would be made.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Scarlett O’Sullivan</w:t>
      </w:r>
    </w:p>
    <w:p>
      <w:pPr>
        <w:spacing w:after="0" w:line="122" w:lineRule="exact"/>
        <w:rPr>
          <w:sz w:val="20"/>
          <w:szCs w:val="20"/>
          <w:color w:val="auto"/>
        </w:rPr>
      </w:pPr>
    </w:p>
    <w:p>
      <w:pPr>
        <w:ind w:left="180" w:right="100" w:firstLine="545"/>
        <w:spacing w:after="0" w:line="234" w:lineRule="auto"/>
        <w:rPr>
          <w:sz w:val="20"/>
          <w:szCs w:val="20"/>
          <w:color w:val="auto"/>
        </w:rPr>
      </w:pPr>
      <w:r>
        <w:rPr>
          <w:rFonts w:ascii="Arial" w:cs="Arial" w:eastAsia="Arial" w:hAnsi="Arial"/>
          <w:sz w:val="18"/>
          <w:szCs w:val="18"/>
          <w:color w:val="auto"/>
        </w:rPr>
        <w:t>On September 4, 2015, we entered into an offer letter with Ms. O’Sullivan to employ her as our Chief Financial Officer (the “CFO Offer Letter”). The CFO Offer Letter provides for an initial annual base salary of $300,000, which base salary was subsequently increased to $600,000. The CFO Offer Letter also provides for Ms. O’Sullivan’s initial stock option grant and her eligibility to participate in the company’s annual incentive bonus program then in effect with a target bonus opportunity of 50% of her base salary. The CFO Offer Letter provides that upon a “change of control” (as defined in the CFO Offer Letter), the vesting schedule of such initial option will accelerate as to 25% of such option. Additionally, if Ms. O’Sullivan’s employment is terminated by us without “cause” or by Ms. O’Sullivan for “good reason” (in each case as defined in the CFO Offer Letter), following a “change of control,” then the vesting of such option will fully accelerate, subject to her timely execution and non-revocation of a release of claims.</w:t>
      </w:r>
    </w:p>
    <w:p>
      <w:pPr>
        <w:spacing w:after="0" w:line="202" w:lineRule="exact"/>
        <w:rPr>
          <w:sz w:val="20"/>
          <w:szCs w:val="20"/>
          <w:color w:val="auto"/>
        </w:rPr>
      </w:pPr>
    </w:p>
    <w:p>
      <w:pPr>
        <w:jc w:val="both"/>
        <w:ind w:left="180" w:right="320" w:firstLine="545"/>
        <w:spacing w:after="0" w:line="237" w:lineRule="auto"/>
        <w:rPr>
          <w:sz w:val="20"/>
          <w:szCs w:val="20"/>
          <w:color w:val="auto"/>
        </w:rPr>
      </w:pPr>
      <w:r>
        <w:rPr>
          <w:rFonts w:ascii="Arial" w:cs="Arial" w:eastAsia="Arial" w:hAnsi="Arial"/>
          <w:sz w:val="18"/>
          <w:szCs w:val="18"/>
          <w:color w:val="auto"/>
        </w:rPr>
        <w:t>Pursuant to the CFO Offer Letter, if Ms. O’Sullivan’s employment is terminated by us without “cause”, then, subject to her timely execution and non-revocation of a release of claims, she will be entitled to a lump sum cash payment equal to six months’ then-current base salary.</w:t>
      </w:r>
    </w:p>
    <w:p>
      <w:pPr>
        <w:spacing w:after="0" w:line="202"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color w:val="auto"/>
        </w:rPr>
        <w:t>In addition to the CFO Offer Letter, Ms. O’Sullivan entered into the company’s Invention and Non-Disclosure Agreement as well as Non-Competition and Non-Solicitation Agreement in connection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80"/>
        <w:spacing w:after="0" w:line="239" w:lineRule="auto"/>
        <w:rPr>
          <w:sz w:val="20"/>
          <w:szCs w:val="20"/>
          <w:color w:val="auto"/>
        </w:rPr>
      </w:pPr>
      <w:r>
        <w:rPr>
          <w:rFonts w:ascii="Arial" w:cs="Arial" w:eastAsia="Arial" w:hAnsi="Arial"/>
          <w:sz w:val="18"/>
          <w:szCs w:val="18"/>
          <w:color w:val="auto"/>
        </w:rPr>
        <w:t>with her employment, which provides that Ms. O’Sullivan will be subject to 12-month post-termination non-competition and non-solicitation of customers and employees covenants, as well as perpetual non-disparagement covenants.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Anushka Salinas</w:t>
      </w:r>
    </w:p>
    <w:p>
      <w:pPr>
        <w:spacing w:after="0" w:line="122"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On January 20, 2017, we entered into an offer letter with Ms. Salinas to employ her as our General Manager of Subscription, though she currently serves as our President and Chief Operating Officer (the “COO Offer Letter”). The COO Offer Letter provides for an initial annual base salary of $400,000, which base salary was subsequently increased to $600,000. The COO Offer Letter also provides for Ms. Salinas’ initial stock option grant as well as for additional stock option grants Ms. Salinas would be eligible to receive in 2018 and 2019 in the event she achieved certain goals with respect to subscriber attainment. The COO Offer Letter provides that if Ms. Salinas’ employment is terminated by us without “cause” or by Ms. Salinas for “good reason” (in each case as defined in the COO Offer Letter), within six months following a “change of control,” then, the vesting of all options held by Ms. Salinas as of the date of the “change in control” will accelerate as to 25%; provided that any option awards held by Ms. Salinas for which the one-year cliff vest has been achieved will instead fully accelerate, subject to her timely execution and non-revocation of a release of claims.</w:t>
      </w:r>
    </w:p>
    <w:p>
      <w:pPr>
        <w:spacing w:after="0" w:line="209" w:lineRule="exact"/>
        <w:rPr>
          <w:sz w:val="20"/>
          <w:szCs w:val="20"/>
          <w:color w:val="auto"/>
        </w:rPr>
      </w:pPr>
    </w:p>
    <w:p>
      <w:pPr>
        <w:ind w:left="180" w:right="80" w:firstLine="545"/>
        <w:spacing w:after="0" w:line="235" w:lineRule="auto"/>
        <w:rPr>
          <w:sz w:val="20"/>
          <w:szCs w:val="20"/>
          <w:color w:val="auto"/>
        </w:rPr>
      </w:pPr>
      <w:r>
        <w:rPr>
          <w:rFonts w:ascii="Arial" w:cs="Arial" w:eastAsia="Arial" w:hAnsi="Arial"/>
          <w:sz w:val="18"/>
          <w:szCs w:val="18"/>
          <w:color w:val="auto"/>
        </w:rPr>
        <w:t>Pursuant to the COO Offer Letter, if Ms. Salinas’ employment is terminated by us without “cause,” then, subject to her timely execution and non-revocation of a release of claims, she will be entitled to a lump sum cash payment equal to four months’ then-current base salary as well as six months of continued group health coverage. Notwithstanding the foregoing, if such termination occurs within six months following a “change in control,” then such lump sum cash payment will instead be equal to six months’ then-current base salary and Ms. Salinas will be entitled to six months of continued group health coverage.</w:t>
      </w:r>
    </w:p>
    <w:p>
      <w:pPr>
        <w:spacing w:after="0" w:line="202" w:lineRule="exact"/>
        <w:rPr>
          <w:sz w:val="20"/>
          <w:szCs w:val="20"/>
          <w:color w:val="auto"/>
        </w:rPr>
      </w:pPr>
    </w:p>
    <w:p>
      <w:pPr>
        <w:ind w:left="180" w:right="260" w:firstLine="545"/>
        <w:spacing w:after="0" w:line="236" w:lineRule="auto"/>
        <w:rPr>
          <w:sz w:val="20"/>
          <w:szCs w:val="20"/>
          <w:color w:val="auto"/>
        </w:rPr>
      </w:pPr>
      <w:r>
        <w:rPr>
          <w:rFonts w:ascii="Arial" w:cs="Arial" w:eastAsia="Arial" w:hAnsi="Arial"/>
          <w:sz w:val="18"/>
          <w:szCs w:val="18"/>
          <w:color w:val="auto"/>
        </w:rPr>
        <w:t>In addition to the COO Offer Letter, Ms. Salinas entered into the company’s Invention and Non-Disclosure Agreement as well as Non-Competition and Non-Solicitation Agreement in connection with her employment, which provides that Ms. Salinas will be subject to 12-month post-termination non-competition and non-solicitation of customers and employees covenants, as well as perpetual non-disparagement covenants.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Brian Donato</w:t>
      </w:r>
    </w:p>
    <w:p>
      <w:pPr>
        <w:spacing w:after="0" w:line="122" w:lineRule="exact"/>
        <w:rPr>
          <w:sz w:val="20"/>
          <w:szCs w:val="20"/>
          <w:color w:val="auto"/>
        </w:rPr>
      </w:pPr>
    </w:p>
    <w:p>
      <w:pPr>
        <w:ind w:left="180" w:right="160" w:firstLine="545"/>
        <w:spacing w:after="0" w:line="235" w:lineRule="auto"/>
        <w:rPr>
          <w:sz w:val="20"/>
          <w:szCs w:val="20"/>
          <w:color w:val="auto"/>
        </w:rPr>
      </w:pPr>
      <w:r>
        <w:rPr>
          <w:rFonts w:ascii="Arial" w:cs="Arial" w:eastAsia="Arial" w:hAnsi="Arial"/>
          <w:sz w:val="18"/>
          <w:szCs w:val="18"/>
          <w:color w:val="auto"/>
        </w:rPr>
        <w:t>On January 17, 2020, we entered into an offer letter with Mr. Donato to employ him as our Chief Supply Chain Officer (the “CSO Offer Letter”). The CSO Offer Letter provides for an initial annual base salary of $600,000, a one-time signing bonus of $ 150,000, as well as the right to receive an equity grant of 300,000 RSUs, subject to the approval of our board of directors. The CSO Offer Letter provides that if we do not consummate an initial public offering in 2021, we will offer certain senior executives (including Mr. Donato) the option to sell a percentage of our shares they hold in private markets in 2022.</w:t>
      </w:r>
    </w:p>
    <w:p>
      <w:pPr>
        <w:spacing w:after="0" w:line="202" w:lineRule="exact"/>
        <w:rPr>
          <w:sz w:val="20"/>
          <w:szCs w:val="20"/>
          <w:color w:val="auto"/>
        </w:rPr>
      </w:pPr>
    </w:p>
    <w:p>
      <w:pPr>
        <w:ind w:left="180" w:right="200" w:firstLine="545"/>
        <w:spacing w:after="0" w:line="239" w:lineRule="auto"/>
        <w:rPr>
          <w:sz w:val="20"/>
          <w:szCs w:val="20"/>
          <w:color w:val="auto"/>
        </w:rPr>
      </w:pPr>
      <w:r>
        <w:rPr>
          <w:rFonts w:ascii="Arial" w:cs="Arial" w:eastAsia="Arial" w:hAnsi="Arial"/>
          <w:sz w:val="18"/>
          <w:szCs w:val="18"/>
          <w:color w:val="auto"/>
        </w:rPr>
        <w:t>Pursuant to the CSO Offer Letter, in the event Mr. Donato’s employment is terminated for any reason other than for cause prior to September 16, 2021, he would be entitled to receive his full base salary through September 16, 2021.</w:t>
      </w:r>
    </w:p>
    <w:p>
      <w:pPr>
        <w:spacing w:after="0" w:line="202" w:lineRule="exact"/>
        <w:rPr>
          <w:sz w:val="20"/>
          <w:szCs w:val="20"/>
          <w:color w:val="auto"/>
        </w:rPr>
      </w:pPr>
    </w:p>
    <w:p>
      <w:pPr>
        <w:ind w:left="180" w:right="340" w:firstLine="545"/>
        <w:spacing w:after="0" w:line="236" w:lineRule="auto"/>
        <w:rPr>
          <w:sz w:val="20"/>
          <w:szCs w:val="20"/>
          <w:color w:val="auto"/>
        </w:rPr>
      </w:pPr>
      <w:r>
        <w:rPr>
          <w:rFonts w:ascii="Arial" w:cs="Arial" w:eastAsia="Arial" w:hAnsi="Arial"/>
          <w:sz w:val="18"/>
          <w:szCs w:val="18"/>
          <w:color w:val="auto"/>
        </w:rPr>
        <w:t>In addition to the CSO Offer Letter, Mr. Donato entered into the company’s Invention and Non-Disclosure Agreement as well as Non-Competition and Non-Solicitation Agreement in connection with his employment, which provides that Mr. Donato will be subject to 12-month post-termination non-competition and non-solicitation of customers and employees covenants, as well as perpetual confidentiality and non-disparagement covenants.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80" w:right="140" w:firstLine="545"/>
        <w:spacing w:after="0" w:line="236" w:lineRule="auto"/>
        <w:rPr>
          <w:sz w:val="20"/>
          <w:szCs w:val="20"/>
          <w:color w:val="auto"/>
        </w:rPr>
      </w:pPr>
      <w:r>
        <w:rPr>
          <w:rFonts w:ascii="Arial" w:cs="Arial" w:eastAsia="Arial" w:hAnsi="Arial"/>
          <w:sz w:val="18"/>
          <w:szCs w:val="18"/>
          <w:color w:val="auto"/>
        </w:rPr>
        <w:t>The following table sets forth information for individuals who served on our board of directors during fiscal year 2020 and who earned compensation for their service in respect of such fiscal year. Ms. Hyman, our Chief Executive Officer and Chair, did not receive additional compensation for her service as a director in 2020, and therefore is not included in the Director Compensation table below. All compensation paid to Ms. Hyman is reported above in the “2020 Summary Compensation Table.”</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Fees Earned</w:t>
            </w:r>
          </w:p>
        </w:tc>
        <w:tc>
          <w:tcPr>
            <w:tcW w:w="52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Stock</w:t>
            </w: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Option</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180" w:type="dxa"/>
            <w:vAlign w:val="bottom"/>
            <w:vMerge w:val="restart"/>
          </w:tcPr>
          <w:p>
            <w:pPr>
              <w:spacing w:after="0"/>
              <w:rPr>
                <w:sz w:val="13"/>
                <w:szCs w:val="13"/>
                <w:color w:val="auto"/>
              </w:rPr>
            </w:pPr>
          </w:p>
        </w:tc>
        <w:tc>
          <w:tcPr>
            <w:tcW w:w="224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or Paid in</w:t>
            </w: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Awards</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Cash ($)(1)</w:t>
            </w:r>
          </w:p>
        </w:tc>
        <w:tc>
          <w:tcPr>
            <w:tcW w:w="1040" w:type="dxa"/>
            <w:vAlign w:val="bottom"/>
            <w:gridSpan w:val="2"/>
          </w:tcPr>
          <w:p>
            <w:pPr>
              <w:jc w:val="center"/>
              <w:ind w:left="423"/>
              <w:spacing w:after="0"/>
              <w:rPr>
                <w:sz w:val="20"/>
                <w:szCs w:val="20"/>
                <w:color w:val="auto"/>
              </w:rPr>
            </w:pPr>
            <w:r>
              <w:rPr>
                <w:rFonts w:ascii="Arial" w:cs="Arial" w:eastAsia="Arial" w:hAnsi="Arial"/>
                <w:sz w:val="14"/>
                <w:szCs w:val="14"/>
                <w:b w:val="1"/>
                <w:bCs w:val="1"/>
                <w:color w:val="auto"/>
                <w:w w:val="99"/>
              </w:rPr>
              <w:t>($)(2)</w:t>
            </w:r>
          </w:p>
        </w:tc>
        <w:tc>
          <w:tcPr>
            <w:tcW w:w="5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52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8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Dan Rosensweig</w:t>
            </w:r>
          </w:p>
        </w:tc>
        <w:tc>
          <w:tcPr>
            <w:tcW w:w="2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20"/>
              <w:spacing w:after="0" w:line="187"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20"/>
              <w:spacing w:after="0" w:line="187"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17,877</w:t>
            </w:r>
          </w:p>
        </w:tc>
        <w:tc>
          <w:tcPr>
            <w:tcW w:w="5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17,877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8"/>
                <w:szCs w:val="18"/>
                <w:color w:val="auto"/>
              </w:rPr>
              <w:t>Mike Roth</w:t>
            </w:r>
          </w:p>
        </w:tc>
        <w:tc>
          <w:tcPr>
            <w:tcW w:w="224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76835</wp:posOffset>
            </wp:positionV>
            <wp:extent cx="7550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None of the non-employee directors received cash compensation for their service as a director during fiscal year 2020.</w:t>
      </w:r>
    </w:p>
    <w:p>
      <w:pPr>
        <w:ind w:left="600" w:right="40" w:hanging="426"/>
        <w:spacing w:after="0"/>
        <w:tabs>
          <w:tab w:leader="none" w:pos="60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granted to Mr. Roth during fiscal year 2020 computed in accordance with ASC Topic 718 and the incremental grant-date fair value of repriced options held by Mr. Rosensweig that were deemed to have been modified during 2020 (pursuant to the Repricing, as described in further detail above under “Equity Compensation – Stock Plans and Outstanding Awards”), rather than the amounts paid to or realized by the named individual. Mr. Roth’s restricted stock units are subject to both service-based and liquidity event-based vesting conditions. As required pursuant to SEC disclosure rules, the grant-date fair value of this award included in the table above was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this award. Assuming achievement of the performance conditions, the value of the RSUs granted to Mr. Roth, as of the grant date, is $362,750. We provide information regarding the assumptions used to calculate the value of all restricted stock unit awards and option awards made to our directors in Note 13 to our audited consolidated financial statements included elsewhere in this prospectus.</w:t>
      </w:r>
    </w:p>
    <w:p>
      <w:pPr>
        <w:spacing w:after="0" w:line="362" w:lineRule="exact"/>
        <w:rPr>
          <w:sz w:val="20"/>
          <w:szCs w:val="20"/>
          <w:color w:val="auto"/>
        </w:rPr>
      </w:pPr>
    </w:p>
    <w:p>
      <w:pPr>
        <w:jc w:val="both"/>
        <w:ind w:left="180" w:right="220" w:firstLine="545"/>
        <w:spacing w:after="0" w:line="237" w:lineRule="auto"/>
        <w:rPr>
          <w:sz w:val="20"/>
          <w:szCs w:val="20"/>
          <w:color w:val="auto"/>
        </w:rPr>
      </w:pPr>
      <w:r>
        <w:rPr>
          <w:rFonts w:ascii="Arial" w:cs="Arial" w:eastAsia="Arial" w:hAnsi="Arial"/>
          <w:sz w:val="18"/>
          <w:szCs w:val="18"/>
          <w:color w:val="auto"/>
        </w:rPr>
        <w:t>The table below shows for each non-employee director who was serving, and held outstanding equity awards, as of January 31, 2021, the aggregate number of restricted stock unit awards and option awards (vested and unvested) held by each such non-employee director as of such date.</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1000" w:type="dxa"/>
            <w:vAlign w:val="bottom"/>
          </w:tcPr>
          <w:p>
            <w:pPr>
              <w:spacing w:after="0"/>
              <w:rPr>
                <w:sz w:val="14"/>
                <w:szCs w:val="14"/>
                <w:color w:val="auto"/>
              </w:rPr>
            </w:pPr>
          </w:p>
        </w:tc>
        <w:tc>
          <w:tcPr>
            <w:tcW w:w="24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Shares Underlying</w:t>
            </w: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0" w:type="dxa"/>
            <w:vAlign w:val="bottom"/>
            <w:gridSpan w:val="2"/>
          </w:tcPr>
          <w:p>
            <w:pPr>
              <w:jc w:val="center"/>
              <w:ind w:left="1100"/>
              <w:spacing w:after="0"/>
              <w:rPr>
                <w:sz w:val="20"/>
                <w:szCs w:val="20"/>
                <w:color w:val="auto"/>
              </w:rPr>
            </w:pPr>
            <w:r>
              <w:rPr>
                <w:rFonts w:ascii="Arial" w:cs="Arial" w:eastAsia="Arial" w:hAnsi="Arial"/>
                <w:sz w:val="14"/>
                <w:szCs w:val="14"/>
                <w:b w:val="1"/>
                <w:bCs w:val="1"/>
                <w:color w:val="auto"/>
              </w:rPr>
              <w:t>Options Outstanding</w:t>
            </w:r>
          </w:p>
        </w:tc>
        <w:tc>
          <w:tcPr>
            <w:tcW w:w="3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Options Outstanding</w:t>
            </w: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Unvested Stock</w:t>
            </w: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140" w:type="dxa"/>
            <w:vAlign w:val="bottom"/>
            <w:vMerge w:val="restart"/>
          </w:tcPr>
          <w:p>
            <w:pPr>
              <w:spacing w:after="0"/>
              <w:rPr>
                <w:sz w:val="13"/>
                <w:szCs w:val="13"/>
                <w:color w:val="auto"/>
              </w:rPr>
            </w:pPr>
          </w:p>
        </w:tc>
        <w:tc>
          <w:tcPr>
            <w:tcW w:w="11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(Vested) at Fiscal</w:t>
            </w:r>
          </w:p>
        </w:tc>
        <w:tc>
          <w:tcPr>
            <w:tcW w:w="1000" w:type="dxa"/>
            <w:vAlign w:val="bottom"/>
          </w:tcPr>
          <w:p>
            <w:pPr>
              <w:spacing w:after="0"/>
              <w:rPr>
                <w:sz w:val="13"/>
                <w:szCs w:val="13"/>
                <w:color w:val="auto"/>
              </w:rPr>
            </w:pPr>
          </w:p>
        </w:tc>
        <w:tc>
          <w:tcPr>
            <w:tcW w:w="24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(Unvested) at Fiscal</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Awards Outstanding</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Year End</w:t>
            </w:r>
          </w:p>
        </w:tc>
        <w:tc>
          <w:tcPr>
            <w:tcW w:w="1000" w:type="dxa"/>
            <w:vAlign w:val="bottom"/>
          </w:tcPr>
          <w:p>
            <w:pPr>
              <w:spacing w:after="0"/>
              <w:rPr>
                <w:sz w:val="15"/>
                <w:szCs w:val="15"/>
                <w:color w:val="auto"/>
              </w:rPr>
            </w:pPr>
          </w:p>
        </w:tc>
        <w:tc>
          <w:tcPr>
            <w:tcW w:w="24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Year End</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at Fiscal Year End</w:t>
            </w:r>
          </w:p>
        </w:tc>
        <w:tc>
          <w:tcPr>
            <w:tcW w:w="0" w:type="dxa"/>
            <w:vAlign w:val="bottom"/>
          </w:tcPr>
          <w:p>
            <w:pPr>
              <w:spacing w:after="0"/>
              <w:rPr>
                <w:sz w:val="1"/>
                <w:szCs w:val="1"/>
                <w:color w:val="auto"/>
              </w:rPr>
            </w:pPr>
          </w:p>
        </w:tc>
      </w:tr>
      <w:tr>
        <w:trPr>
          <w:trHeight w:val="187"/>
        </w:trPr>
        <w:tc>
          <w:tcPr>
            <w:tcW w:w="254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Beth Kaplan</w:t>
            </w:r>
          </w:p>
        </w:tc>
        <w:tc>
          <w:tcPr>
            <w:tcW w:w="11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55,167</w:t>
            </w:r>
          </w:p>
        </w:tc>
        <w:tc>
          <w:tcPr>
            <w:tcW w:w="10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ind w:left="1140"/>
              <w:spacing w:after="0" w:line="187"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ind w:right="20"/>
              <w:spacing w:after="0" w:line="187"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rPr>
              <w:t>Dan Rosensweig</w:t>
            </w:r>
          </w:p>
        </w:tc>
        <w:tc>
          <w:tcPr>
            <w:tcW w:w="2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45,016</w:t>
            </w:r>
          </w:p>
        </w:tc>
        <w:tc>
          <w:tcPr>
            <w:tcW w:w="2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10,000</w:t>
            </w:r>
          </w:p>
        </w:tc>
        <w:tc>
          <w:tcPr>
            <w:tcW w:w="1000" w:type="dxa"/>
            <w:vAlign w:val="bottom"/>
          </w:tcPr>
          <w:p>
            <w:pPr>
              <w:spacing w:after="0"/>
              <w:rPr>
                <w:sz w:val="17"/>
                <w:szCs w:val="17"/>
                <w:color w:val="auto"/>
              </w:rPr>
            </w:pPr>
          </w:p>
        </w:tc>
        <w:tc>
          <w:tcPr>
            <w:tcW w:w="14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Mike Roth</w:t>
            </w:r>
          </w:p>
        </w:tc>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Historically, we have not had a formalized non-employee director compensation program; however, we have granted certain of our non-employee directors equity grants upon commencement of service in the form of stock options or, beginning in fiscal year 2020, restricted stock units. We also occasionally grant refresh equity awards to non-employee directors who have not recently been granted equity in recognition of their contributions on our board of directors. Our stock options awarded to directors generally vest over four years, subject to continued service. During fiscal year 2020, we granted Mr. Roth 25,000 RSUs. The RSUs granted to Mr. Roth have both service-based and liquidity-based vesting conditions. The service-based vesting period for the RSUs will be satisfied as to 25% of the RSUs on the first anniversary of February 1, 2020 and as to 6.25% of the RSUs in ratable installments on each quarterly anniversary of February 1, 2021, such that the service condition will be satisfied over four years, subject to continued service. The liquidity-based vesting condition is satisfied upon (i) the six-month anniversary (or if earlier,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of an initial public offering or direct listing of our securities or (ii) a reorganization event (as defined in our 2019 Plan).</w:t>
      </w:r>
    </w:p>
    <w:p>
      <w:pPr>
        <w:spacing w:after="0" w:line="208" w:lineRule="exact"/>
        <w:rPr>
          <w:sz w:val="20"/>
          <w:szCs w:val="20"/>
          <w:color w:val="auto"/>
        </w:rPr>
      </w:pPr>
    </w:p>
    <w:p>
      <w:pPr>
        <w:ind w:left="180" w:right="680" w:firstLine="545"/>
        <w:spacing w:after="0" w:line="239" w:lineRule="auto"/>
        <w:rPr>
          <w:sz w:val="20"/>
          <w:szCs w:val="20"/>
          <w:color w:val="auto"/>
        </w:rPr>
      </w:pPr>
      <w:r>
        <w:rPr>
          <w:rFonts w:ascii="Arial" w:cs="Arial" w:eastAsia="Arial" w:hAnsi="Arial"/>
          <w:sz w:val="18"/>
          <w:szCs w:val="18"/>
          <w:color w:val="auto"/>
        </w:rPr>
        <w:t>We also granted RSUs to certain of our non-employee directors in early fiscal year 2021 (including Ms. Kaplan, Ms. Fleiss, Ms. Roney and Mr. Roth as well as to Mr. Bixby and Ms. Paltrow</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20"/>
          </w:cols>
          <w:pgMar w:left="320" w:top="456" w:right="5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(who commenced service in fiscal year 2021)), which also have both service-based and liquidity-based vesting conditions. The service-based vesting condition for the fiscal year 2021 RSUs is generally satisfied quarterly over a period of between two to four years (other than with respect to Ms. Roney’s fiscal year 2021 grant, for which the service-based vesting condition was deemed satisfied on the date of grant) and the liquidity-based vesting condition is satisfied as described above.</w:t>
      </w:r>
    </w:p>
    <w:p>
      <w:pPr>
        <w:spacing w:after="0" w:line="201" w:lineRule="exact"/>
        <w:rPr>
          <w:sz w:val="20"/>
          <w:szCs w:val="20"/>
          <w:color w:val="auto"/>
        </w:rPr>
      </w:pPr>
    </w:p>
    <w:p>
      <w:pPr>
        <w:ind w:left="180" w:right="260" w:firstLine="545"/>
        <w:spacing w:after="0" w:line="267" w:lineRule="auto"/>
        <w:rPr>
          <w:sz w:val="20"/>
          <w:szCs w:val="20"/>
          <w:color w:val="auto"/>
        </w:rPr>
      </w:pPr>
      <w:r>
        <w:rPr>
          <w:rFonts w:ascii="Arial" w:cs="Arial" w:eastAsia="Arial" w:hAnsi="Arial"/>
          <w:sz w:val="17"/>
          <w:szCs w:val="17"/>
          <w:color w:val="auto"/>
        </w:rPr>
        <w:t>In connection with this offering, and in accordance with the terms of the RSU agreements, we expect that the liquidity-based vesting condition will be deemed satisfied upon the six-month anniversary (or if earlier, March 15</w:t>
      </w:r>
      <w:r>
        <w:rPr>
          <w:rFonts w:ascii="Arial" w:cs="Arial" w:eastAsia="Arial" w:hAnsi="Arial"/>
          <w:sz w:val="14"/>
          <w:szCs w:val="14"/>
          <w:color w:val="auto"/>
        </w:rPr>
        <w:t>th</w:t>
      </w:r>
      <w:r>
        <w:rPr>
          <w:rFonts w:ascii="Arial" w:cs="Arial" w:eastAsia="Arial" w:hAnsi="Arial"/>
          <w:sz w:val="17"/>
          <w:szCs w:val="17"/>
          <w:color w:val="auto"/>
        </w:rPr>
        <w:t xml:space="preserve"> of the year following) of this offering.</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connection with this offering, we intend to adopt a new non-employee director compensation program.</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Plans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Incentive Arrangements</w:t>
      </w:r>
    </w:p>
    <w:p>
      <w:pPr>
        <w:spacing w:after="0" w:line="207" w:lineRule="exact"/>
        <w:rPr>
          <w:sz w:val="20"/>
          <w:szCs w:val="20"/>
          <w:color w:val="auto"/>
        </w:rPr>
      </w:pPr>
    </w:p>
    <w:p>
      <w:pPr>
        <w:ind w:left="180" w:right="40" w:firstLine="545"/>
        <w:spacing w:after="0" w:line="264" w:lineRule="auto"/>
        <w:rPr>
          <w:sz w:val="20"/>
          <w:szCs w:val="20"/>
          <w:color w:val="auto"/>
        </w:rPr>
      </w:pPr>
      <w:r>
        <w:rPr>
          <w:rFonts w:ascii="Arial" w:cs="Arial" w:eastAsia="Arial" w:hAnsi="Arial"/>
          <w:sz w:val="18"/>
          <w:szCs w:val="18"/>
          <w:b w:val="1"/>
          <w:bCs w:val="1"/>
          <w:i w:val="1"/>
          <w:iCs w:val="1"/>
          <w:color w:val="auto"/>
        </w:rPr>
        <w:t xml:space="preserve">Existing Equity Plans. </w:t>
      </w:r>
      <w:r>
        <w:rPr>
          <w:rFonts w:ascii="Arial" w:cs="Arial" w:eastAsia="Arial" w:hAnsi="Arial"/>
          <w:sz w:val="18"/>
          <w:szCs w:val="18"/>
          <w:color w:val="auto"/>
        </w:rPr>
        <w:t>We currently maintain our 2009 Plan and 2019 Plan, as described above. On and after the closing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and following the effectiveness of the 2021 Plan, no further grants will be made under the 2019 Plan.</w:t>
      </w:r>
    </w:p>
    <w:p>
      <w:pPr>
        <w:spacing w:after="0" w:line="159" w:lineRule="exact"/>
        <w:rPr>
          <w:sz w:val="20"/>
          <w:szCs w:val="20"/>
          <w:color w:val="auto"/>
        </w:rPr>
      </w:pPr>
    </w:p>
    <w:p>
      <w:pPr>
        <w:ind w:left="180" w:right="300" w:firstLine="545"/>
        <w:spacing w:after="0" w:line="248" w:lineRule="auto"/>
        <w:rPr>
          <w:sz w:val="20"/>
          <w:szCs w:val="20"/>
          <w:color w:val="auto"/>
        </w:rPr>
      </w:pPr>
      <w:r>
        <w:rPr>
          <w:rFonts w:ascii="Arial" w:cs="Arial" w:eastAsia="Arial" w:hAnsi="Arial"/>
          <w:sz w:val="18"/>
          <w:szCs w:val="18"/>
          <w:b w:val="1"/>
          <w:bCs w:val="1"/>
          <w:i w:val="1"/>
          <w:iCs w:val="1"/>
          <w:color w:val="auto"/>
        </w:rPr>
        <w:t xml:space="preserve">2021 Incentive Award Plan. </w:t>
      </w:r>
      <w:r>
        <w:rPr>
          <w:rFonts w:ascii="Arial" w:cs="Arial" w:eastAsia="Arial" w:hAnsi="Arial"/>
          <w:sz w:val="18"/>
          <w:szCs w:val="18"/>
          <w:color w:val="auto"/>
        </w:rPr>
        <w:t>In connection with the offering, we intend to adopt the 2021 Plan, subject to approval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under which we may grant cash and equity incentive awards to eligible service providers in order to attract, motivate and retain the talent for which we compete. The material terms of the 2021 Plan have not yet been determined.</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40"/>
          </w:cols>
          <w:pgMar w:left="320" w:top="456" w:right="5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109" w:lineRule="exact"/>
        <w:rPr>
          <w:sz w:val="20"/>
          <w:szCs w:val="20"/>
          <w:color w:val="auto"/>
        </w:rPr>
      </w:pPr>
    </w:p>
    <w:p>
      <w:pPr>
        <w:ind w:left="920" w:hanging="212"/>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3" w:lineRule="exact"/>
        <w:rPr>
          <w:rFonts w:ascii="Arial" w:cs="Arial" w:eastAsia="Arial" w:hAnsi="Arial"/>
          <w:sz w:val="18"/>
          <w:szCs w:val="18"/>
          <w:color w:val="auto"/>
        </w:rPr>
      </w:pPr>
    </w:p>
    <w:p>
      <w:pPr>
        <w:ind w:left="920" w:right="40" w:hanging="212"/>
        <w:spacing w:after="0" w:line="237" w:lineRule="auto"/>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02" w:lineRule="exact"/>
        <w:rPr>
          <w:sz w:val="20"/>
          <w:szCs w:val="20"/>
          <w:color w:val="auto"/>
        </w:rPr>
      </w:pPr>
    </w:p>
    <w:p>
      <w:pPr>
        <w:ind w:left="180" w:right="740" w:firstLine="545"/>
        <w:spacing w:after="0" w:line="237"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E Preferred Stock Financing</w:t>
      </w:r>
    </w:p>
    <w:p>
      <w:pPr>
        <w:spacing w:after="0" w:line="229" w:lineRule="exact"/>
        <w:rPr>
          <w:sz w:val="20"/>
          <w:szCs w:val="20"/>
          <w:color w:val="auto"/>
        </w:rPr>
      </w:pPr>
    </w:p>
    <w:p>
      <w:pPr>
        <w:jc w:val="both"/>
        <w:ind w:left="180" w:right="140" w:firstLine="545"/>
        <w:spacing w:after="0" w:line="237" w:lineRule="auto"/>
        <w:rPr>
          <w:sz w:val="20"/>
          <w:szCs w:val="20"/>
          <w:color w:val="auto"/>
        </w:rPr>
      </w:pPr>
      <w:r>
        <w:rPr>
          <w:rFonts w:ascii="Arial" w:cs="Arial" w:eastAsia="Arial" w:hAnsi="Arial"/>
          <w:sz w:val="18"/>
          <w:szCs w:val="18"/>
          <w:color w:val="auto"/>
        </w:rPr>
        <w:t>From December 2016 to February 2019, we sold an aggregate of 3,723,110 shares of our Series E redeemable preferred stock at a purchase price of $21.7560 per share, for an aggregate purchase price of approximately $81.0 million. The following table summarizes purchases of our Series E redeemable preferred stock by related persons:</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 Series E</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Series 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0"/>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8"/>
              </w:rPr>
              <w:t>Stockholder</w:t>
            </w:r>
          </w:p>
        </w:tc>
        <w:tc>
          <w:tcPr>
            <w:tcW w:w="5400" w:type="dxa"/>
            <w:vAlign w:val="bottom"/>
            <w:vMerge w:val="restart"/>
          </w:tcPr>
          <w:p>
            <w:pPr>
              <w:spacing w:after="0"/>
              <w:rPr>
                <w:sz w:val="13"/>
                <w:szCs w:val="13"/>
                <w:color w:val="auto"/>
              </w:rPr>
            </w:pPr>
          </w:p>
        </w:tc>
        <w:tc>
          <w:tcPr>
            <w:tcW w:w="18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Redeemable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Preferred Stock</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7"/>
        </w:trPr>
        <w:tc>
          <w:tcPr>
            <w:tcW w:w="622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Entities affiliated with Bain Capital</w:t>
            </w:r>
            <w:r>
              <w:rPr>
                <w:rFonts w:ascii="Arial" w:cs="Arial" w:eastAsia="Arial" w:hAnsi="Arial"/>
                <w:sz w:val="15"/>
                <w:szCs w:val="15"/>
                <w:color w:val="auto"/>
              </w:rPr>
              <w:t>(1)</w:t>
            </w:r>
          </w:p>
        </w:tc>
        <w:tc>
          <w:tcPr>
            <w:tcW w:w="18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551,572</w:t>
            </w: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99"/>
              </w:rPr>
              <w:t>12,000,000.43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15"/>
                <w:szCs w:val="15"/>
                <w:color w:val="auto"/>
              </w:rPr>
              <w:t>(2)</w:t>
            </w:r>
          </w:p>
        </w:tc>
        <w:tc>
          <w:tcPr>
            <w:tcW w:w="2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174,430</w:t>
            </w:r>
          </w:p>
        </w:tc>
        <w:tc>
          <w:tcPr>
            <w:tcW w:w="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3,794,899.08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Technology Crossover Ventures</w:t>
            </w:r>
            <w:r>
              <w:rPr>
                <w:rFonts w:ascii="Arial" w:cs="Arial" w:eastAsia="Arial" w:hAnsi="Arial"/>
                <w:sz w:val="15"/>
                <w:szCs w:val="15"/>
                <w:color w:val="auto"/>
              </w:rPr>
              <w:t>(3)</w:t>
            </w:r>
          </w:p>
        </w:tc>
        <w:tc>
          <w:tcPr>
            <w:tcW w:w="29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153,640</w:t>
            </w:r>
          </w:p>
        </w:tc>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3,342,591.84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2" w:lineRule="exact"/>
        <w:rPr>
          <w:sz w:val="20"/>
          <w:szCs w:val="20"/>
          <w:color w:val="auto"/>
        </w:rPr>
      </w:pPr>
    </w:p>
    <w:p>
      <w:pPr>
        <w:ind w:left="600" w:right="160" w:hanging="426"/>
        <w:spacing w:after="0" w:line="238" w:lineRule="auto"/>
        <w:tabs>
          <w:tab w:leader="none" w:pos="60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spacing w:after="0" w:line="1" w:lineRule="exact"/>
        <w:rPr>
          <w:rFonts w:ascii="Arial" w:cs="Arial" w:eastAsia="Arial" w:hAnsi="Arial"/>
          <w:sz w:val="14"/>
          <w:szCs w:val="14"/>
          <w:color w:val="auto"/>
        </w:rPr>
      </w:pPr>
    </w:p>
    <w:p>
      <w:pPr>
        <w:ind w:left="600" w:right="300" w:hanging="426"/>
        <w:spacing w:after="0" w:line="238" w:lineRule="auto"/>
        <w:tabs>
          <w:tab w:leader="none" w:pos="60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spacing w:after="0" w:line="1" w:lineRule="exact"/>
        <w:rPr>
          <w:rFonts w:ascii="Arial" w:cs="Arial" w:eastAsia="Arial" w:hAnsi="Arial"/>
          <w:sz w:val="14"/>
          <w:szCs w:val="14"/>
          <w:color w:val="auto"/>
        </w:rPr>
      </w:pPr>
    </w:p>
    <w:p>
      <w:pPr>
        <w:ind w:left="600" w:right="140" w:hanging="426"/>
        <w:spacing w:after="0" w:line="253" w:lineRule="auto"/>
        <w:tabs>
          <w:tab w:leader="none" w:pos="60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F Preferred Stock Financing</w:t>
      </w:r>
    </w:p>
    <w:p>
      <w:pPr>
        <w:spacing w:after="0" w:line="229" w:lineRule="exact"/>
        <w:rPr>
          <w:sz w:val="20"/>
          <w:szCs w:val="20"/>
          <w:color w:val="auto"/>
        </w:rPr>
      </w:pPr>
    </w:p>
    <w:p>
      <w:pPr>
        <w:ind w:left="180" w:right="220" w:firstLine="545"/>
        <w:spacing w:after="0" w:line="237" w:lineRule="auto"/>
        <w:rPr>
          <w:sz w:val="20"/>
          <w:szCs w:val="20"/>
          <w:color w:val="auto"/>
        </w:rPr>
      </w:pPr>
      <w:r>
        <w:rPr>
          <w:rFonts w:ascii="Arial" w:cs="Arial" w:eastAsia="Arial" w:hAnsi="Arial"/>
          <w:sz w:val="18"/>
          <w:szCs w:val="18"/>
          <w:color w:val="auto"/>
        </w:rPr>
        <w:t>From March 2019 to January 2020, we sold an aggregate of 6,039,272 shares of our Series F redeemable preferred stock at a purchase price of $22.3537 per share, for an aggregate purchase price of approximately $135.0 million. The following table summarizes purchases of our Series F redeemable preferred stock by related persons:</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Series F</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Series F</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0"/>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8"/>
              </w:rPr>
              <w:t>Stockholder</w:t>
            </w:r>
          </w:p>
        </w:tc>
        <w:tc>
          <w:tcPr>
            <w:tcW w:w="40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Redeemable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020" w:type="dxa"/>
            <w:vAlign w:val="bottom"/>
            <w:vMerge w:val="continue"/>
          </w:tcPr>
          <w:p>
            <w:pPr>
              <w:spacing w:after="0"/>
              <w:rPr>
                <w:sz w:val="15"/>
                <w:szCs w:val="15"/>
                <w:color w:val="auto"/>
              </w:rPr>
            </w:pPr>
          </w:p>
        </w:tc>
        <w:tc>
          <w:tcPr>
            <w:tcW w:w="4280" w:type="dxa"/>
            <w:vAlign w:val="bottom"/>
            <w:gridSpan w:val="2"/>
          </w:tcPr>
          <w:p>
            <w:pPr>
              <w:jc w:val="center"/>
              <w:ind w:left="3095"/>
              <w:spacing w:after="0"/>
              <w:rPr>
                <w:sz w:val="20"/>
                <w:szCs w:val="20"/>
                <w:color w:val="auto"/>
              </w:rPr>
            </w:pPr>
            <w:r>
              <w:rPr>
                <w:rFonts w:ascii="Arial" w:cs="Arial" w:eastAsia="Arial" w:hAnsi="Arial"/>
                <w:sz w:val="14"/>
                <w:szCs w:val="14"/>
                <w:b w:val="1"/>
                <w:bCs w:val="1"/>
                <w:color w:val="auto"/>
              </w:rPr>
              <w:t>Preferred Stock</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7"/>
        </w:trPr>
        <w:tc>
          <w:tcPr>
            <w:tcW w:w="484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Entities affiliated with Bain Capital</w:t>
            </w:r>
            <w:r>
              <w:rPr>
                <w:rFonts w:ascii="Arial" w:cs="Arial" w:eastAsia="Arial" w:hAnsi="Arial"/>
                <w:sz w:val="15"/>
                <w:szCs w:val="15"/>
                <w:color w:val="auto"/>
              </w:rPr>
              <w:t>(1)</w:t>
            </w:r>
          </w:p>
        </w:tc>
        <w:tc>
          <w:tcPr>
            <w:tcW w:w="3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559,192</w:t>
            </w: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99"/>
              </w:rPr>
              <w:t>12,500,010.21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15"/>
                <w:szCs w:val="15"/>
                <w:color w:val="auto"/>
              </w:rPr>
              <w:t>(2)</w:t>
            </w:r>
          </w:p>
        </w:tc>
        <w:tc>
          <w:tcPr>
            <w:tcW w:w="4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89,471</w:t>
            </w:r>
          </w:p>
        </w:tc>
        <w:tc>
          <w:tcPr>
            <w:tcW w:w="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2,000,007.89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Technology Crossover Ventures</w:t>
            </w:r>
            <w:r>
              <w:rPr>
                <w:rFonts w:ascii="Arial" w:cs="Arial" w:eastAsia="Arial" w:hAnsi="Arial"/>
                <w:sz w:val="15"/>
                <w:szCs w:val="15"/>
                <w:color w:val="auto"/>
              </w:rPr>
              <w:t>(3)</w:t>
            </w:r>
          </w:p>
        </w:tc>
        <w:tc>
          <w:tcPr>
            <w:tcW w:w="4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223,676</w:t>
            </w:r>
          </w:p>
        </w:tc>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4,999,986.20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8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00" w:type="dxa"/>
            <w:vAlign w:val="bottom"/>
          </w:tcPr>
          <w:p>
            <w:pPr>
              <w:jc w:val="right"/>
              <w:ind w:right="2355"/>
              <w:spacing w:after="0"/>
              <w:rPr>
                <w:sz w:val="20"/>
                <w:szCs w:val="20"/>
                <w:color w:val="auto"/>
              </w:rPr>
            </w:pPr>
            <w:r>
              <w:rPr>
                <w:rFonts w:ascii="Arial" w:cs="Arial" w:eastAsia="Arial" w:hAnsi="Arial"/>
                <w:sz w:val="18"/>
                <w:szCs w:val="18"/>
                <w:color w:val="auto"/>
              </w:rPr>
              <w:t>153</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287020</wp:posOffset>
            </wp:positionV>
            <wp:extent cx="755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0" w:right="160" w:hanging="426"/>
        <w:spacing w:after="0" w:line="238" w:lineRule="auto"/>
        <w:tabs>
          <w:tab w:leader="none" w:pos="6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spacing w:after="0" w:line="1" w:lineRule="exact"/>
        <w:rPr>
          <w:rFonts w:ascii="Arial" w:cs="Arial" w:eastAsia="Arial" w:hAnsi="Arial"/>
          <w:sz w:val="14"/>
          <w:szCs w:val="14"/>
          <w:color w:val="auto"/>
        </w:rPr>
      </w:pPr>
    </w:p>
    <w:p>
      <w:pPr>
        <w:ind w:left="600" w:right="300" w:hanging="426"/>
        <w:spacing w:after="0" w:line="238" w:lineRule="auto"/>
        <w:tabs>
          <w:tab w:leader="none" w:pos="6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spacing w:after="0" w:line="1" w:lineRule="exact"/>
        <w:rPr>
          <w:rFonts w:ascii="Arial" w:cs="Arial" w:eastAsia="Arial" w:hAnsi="Arial"/>
          <w:sz w:val="14"/>
          <w:szCs w:val="14"/>
          <w:color w:val="auto"/>
        </w:rPr>
      </w:pPr>
    </w:p>
    <w:p>
      <w:pPr>
        <w:ind w:left="600" w:right="140" w:hanging="426"/>
        <w:spacing w:after="0" w:line="253" w:lineRule="auto"/>
        <w:tabs>
          <w:tab w:leader="none" w:pos="6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G Preferred Stock Financing</w:t>
      </w:r>
    </w:p>
    <w:p>
      <w:pPr>
        <w:spacing w:after="0" w:line="229" w:lineRule="exact"/>
        <w:rPr>
          <w:sz w:val="20"/>
          <w:szCs w:val="20"/>
          <w:color w:val="auto"/>
        </w:rPr>
      </w:pPr>
    </w:p>
    <w:p>
      <w:pPr>
        <w:ind w:left="180" w:right="40" w:firstLine="545"/>
        <w:spacing w:after="0" w:line="237" w:lineRule="auto"/>
        <w:rPr>
          <w:sz w:val="20"/>
          <w:szCs w:val="20"/>
          <w:color w:val="auto"/>
        </w:rPr>
      </w:pPr>
      <w:r>
        <w:rPr>
          <w:rFonts w:ascii="Arial" w:cs="Arial" w:eastAsia="Arial" w:hAnsi="Arial"/>
          <w:sz w:val="18"/>
          <w:szCs w:val="18"/>
          <w:color w:val="auto"/>
        </w:rPr>
        <w:t>From April 2020 to May 2021, we sold an aggregate of 5,506,564 shares of our Series G redeemable preferred stock at a purchase price of $14.74096 per share, for an aggregate purchase price of approximately $81.2 million. The following table summarizes purchases of our Series G redeemable preferred stock by related persons:</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Total Series G</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Series G</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0"/>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8"/>
              </w:rPr>
              <w:t>Stockholder</w:t>
            </w:r>
          </w:p>
        </w:tc>
        <w:tc>
          <w:tcPr>
            <w:tcW w:w="7120" w:type="dxa"/>
            <w:vAlign w:val="bottom"/>
            <w:vMerge w:val="restart"/>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Redeemable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7120" w:type="dxa"/>
            <w:vAlign w:val="bottom"/>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Preferred Stock</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7"/>
        </w:trPr>
        <w:tc>
          <w:tcPr>
            <w:tcW w:w="794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Ares Corporate Opportunities Fund V, L.P.</w:t>
            </w:r>
          </w:p>
        </w:tc>
        <w:tc>
          <w:tcPr>
            <w:tcW w:w="11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1,695,955</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25,000,004.82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94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Bain Capital</w:t>
            </w:r>
            <w:r>
              <w:rPr>
                <w:rFonts w:ascii="Arial" w:cs="Arial" w:eastAsia="Arial" w:hAnsi="Arial"/>
                <w:sz w:val="15"/>
                <w:szCs w:val="15"/>
                <w:color w:val="auto"/>
              </w:rPr>
              <w:t>(1)</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135,677</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2,000,009.23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15"/>
                <w:szCs w:val="15"/>
                <w:color w:val="auto"/>
              </w:rPr>
              <w:t>(2)</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915,816</w:t>
            </w:r>
          </w:p>
        </w:tc>
        <w:tc>
          <w:tcPr>
            <w:tcW w:w="4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13,500,007.02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94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Technology Crossover Ventures</w:t>
            </w:r>
            <w:r>
              <w:rPr>
                <w:rFonts w:ascii="Arial" w:cs="Arial" w:eastAsia="Arial" w:hAnsi="Arial"/>
                <w:sz w:val="15"/>
                <w:szCs w:val="15"/>
                <w:color w:val="auto"/>
              </w:rPr>
              <w:t>(3)</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67,838</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999,997.24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Larry Steinberg</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23,744</w:t>
            </w:r>
          </w:p>
        </w:tc>
        <w:tc>
          <w:tcPr>
            <w:tcW w:w="4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350,009.35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2" w:lineRule="exact"/>
        <w:rPr>
          <w:sz w:val="20"/>
          <w:szCs w:val="20"/>
          <w:color w:val="auto"/>
        </w:rPr>
      </w:pPr>
    </w:p>
    <w:p>
      <w:pPr>
        <w:ind w:left="600" w:right="160" w:hanging="426"/>
        <w:spacing w:after="0" w:line="238" w:lineRule="auto"/>
        <w:tabs>
          <w:tab w:leader="none" w:pos="6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spacing w:after="0" w:line="1" w:lineRule="exact"/>
        <w:rPr>
          <w:rFonts w:ascii="Arial" w:cs="Arial" w:eastAsia="Arial" w:hAnsi="Arial"/>
          <w:sz w:val="14"/>
          <w:szCs w:val="14"/>
          <w:color w:val="auto"/>
        </w:rPr>
      </w:pPr>
    </w:p>
    <w:p>
      <w:pPr>
        <w:ind w:left="600" w:right="300" w:hanging="426"/>
        <w:spacing w:after="0" w:line="238" w:lineRule="auto"/>
        <w:tabs>
          <w:tab w:leader="none" w:pos="6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spacing w:after="0" w:line="1" w:lineRule="exact"/>
        <w:rPr>
          <w:rFonts w:ascii="Arial" w:cs="Arial" w:eastAsia="Arial" w:hAnsi="Arial"/>
          <w:sz w:val="14"/>
          <w:szCs w:val="14"/>
          <w:color w:val="auto"/>
        </w:rPr>
      </w:pPr>
    </w:p>
    <w:p>
      <w:pPr>
        <w:ind w:left="600" w:right="140" w:hanging="426"/>
        <w:spacing w:after="0" w:line="253" w:lineRule="auto"/>
        <w:tabs>
          <w:tab w:leader="none" w:pos="6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189" w:lineRule="exact"/>
        <w:rPr>
          <w:sz w:val="20"/>
          <w:szCs w:val="20"/>
          <w:color w:val="auto"/>
        </w:rPr>
      </w:pPr>
    </w:p>
    <w:p>
      <w:pPr>
        <w:ind w:left="180" w:firstLine="545"/>
        <w:spacing w:after="0" w:line="246" w:lineRule="auto"/>
        <w:rPr>
          <w:sz w:val="20"/>
          <w:szCs w:val="20"/>
          <w:color w:val="auto"/>
        </w:rPr>
      </w:pPr>
      <w:r>
        <w:rPr>
          <w:rFonts w:ascii="Arial" w:cs="Arial" w:eastAsia="Arial" w:hAnsi="Arial"/>
          <w:sz w:val="17"/>
          <w:szCs w:val="17"/>
          <w:color w:val="auto"/>
        </w:rPr>
        <w:t>Simultaneously with the sale of our Series G redeemable preferred stock to Ares Corporate Opportunities Fund V, L.P., or Ares, and the Ares Facility described under “Management’s Discussion and Analysis of Financial Position and Results of Operations - Indebtedness</w:t>
      </w:r>
    </w:p>
    <w:p>
      <w:pPr>
        <w:ind w:left="180" w:right="140" w:hanging="6"/>
        <w:spacing w:after="0" w:line="235" w:lineRule="auto"/>
        <w:tabs>
          <w:tab w:leader="none" w:pos="28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Ares Credit Facility,” we issued Ares a common stock warrant which currently represents the right to purchase 1,692,529 shares of common stock at an exercise price of $0.01 per share. Pursuant to a letter agreement entered into at the same time, we have a right to require Ares to invest up to $25.0 million under certain conditions and, if we elect to require their investment, Ares has a right to invest up to an additional $25.0 million, for a maximum potential investment of $50.0 million. These investment rights will terminate on the maturity date of the Ares Facility or immediately prior to the completion of this offering, whichever comes first.</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80" w:right="180" w:firstLine="545"/>
        <w:spacing w:after="0" w:line="237" w:lineRule="auto"/>
        <w:rPr>
          <w:sz w:val="20"/>
          <w:szCs w:val="20"/>
          <w:color w:val="auto"/>
        </w:rPr>
      </w:pPr>
      <w:r>
        <w:rPr>
          <w:rFonts w:ascii="Arial" w:cs="Arial" w:eastAsia="Arial" w:hAnsi="Arial"/>
          <w:sz w:val="18"/>
          <w:szCs w:val="18"/>
          <w:color w:val="auto"/>
        </w:rPr>
        <w:t>After the completion of this offering, certain holders of our common stock will be entitled to rights with respect to the registration of their shares under the Securities Act. These registration rights are contained in the eighth amended and restated investors’ rights agreement, as amended, or the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6"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
        <w:spacing w:after="0" w:line="233" w:lineRule="auto"/>
        <w:rPr>
          <w:sz w:val="20"/>
          <w:szCs w:val="20"/>
          <w:color w:val="auto"/>
        </w:rPr>
      </w:pPr>
      <w:r>
        <w:rPr>
          <w:rFonts w:ascii="Arial" w:cs="Arial" w:eastAsia="Arial" w:hAnsi="Arial"/>
          <w:sz w:val="18"/>
          <w:szCs w:val="18"/>
          <w:color w:val="auto"/>
        </w:rPr>
        <w:t>Investors’ Rights Agreement, which we are a party to, along with certain holders of our capital stock, including our Chief Executive Officer and director, Jennifer Y. Hyman; our director Jennifer Fleiss; entities affiliated with Bain Capital, a holder of greater than 5% of our outstanding capital 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 The Investors’ Rights Agreement also provides certain of these stockholders with information and inspection rights, which will terminate upon the effectiveness of the registration statement of which this prospectus forms a part, and preemptive rights with regard to certain issuances of our capital stock, which will terminate upon the effectiveness of the registration statement of which this prospectus forms a part.</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2019 and 2020, the VP CX had total cash compensation of $300,000 and $ 281,250, respectively, consisting solely of base salary. During fiscal year 2020, the VP CX was granted 16,105 RSUs, which vest subject to the achievement of both service-based and liquidity-based vesting conditions. Since commencing employment as a member of our founding team in 2010, other than during fiscal years 2019 and 2020, the VP CX has also been granted options to purchase shares of our common stock, which generally vest over four years subject to her continued employment.</w:t>
      </w:r>
    </w:p>
    <w:p>
      <w:pPr>
        <w:spacing w:after="0" w:line="204" w:lineRule="exact"/>
        <w:rPr>
          <w:sz w:val="20"/>
          <w:szCs w:val="20"/>
          <w:color w:val="auto"/>
        </w:rPr>
      </w:pPr>
    </w:p>
    <w:p>
      <w:pPr>
        <w:jc w:val="both"/>
        <w:ind w:left="180" w:right="100" w:firstLine="545"/>
        <w:spacing w:after="0" w:line="236" w:lineRule="auto"/>
        <w:rPr>
          <w:sz w:val="20"/>
          <w:szCs w:val="20"/>
          <w:color w:val="auto"/>
        </w:rPr>
      </w:pPr>
      <w:r>
        <w:rPr>
          <w:rFonts w:ascii="Arial" w:cs="Arial" w:eastAsia="Arial" w:hAnsi="Arial"/>
          <w:sz w:val="18"/>
          <w:szCs w:val="18"/>
          <w:color w:val="auto"/>
        </w:rPr>
        <w:t>The compensation levels described above were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incentive equity awards on the same general terms and conditions as applicable to other employees in similar positions who were not related to our executive officers.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 facilitate the Class B Exchange, we will enter into an exchange agreement with our CEO and Co-Founder, effective as of</w:t>
      </w:r>
    </w:p>
    <w:p>
      <w:pPr>
        <w:jc w:val="both"/>
        <w:ind w:left="180"/>
        <w:spacing w:after="0" w:line="237" w:lineRule="auto"/>
        <w:rPr>
          <w:sz w:val="20"/>
          <w:szCs w:val="20"/>
          <w:color w:val="auto"/>
        </w:rPr>
      </w:pPr>
      <w:r>
        <w:rPr>
          <w:rFonts w:ascii="Arial" w:cs="Arial" w:eastAsia="Arial" w:hAnsi="Arial"/>
          <w:sz w:val="18"/>
          <w:szCs w:val="18"/>
          <w:color w:val="auto"/>
        </w:rPr>
        <w:t>immediately prior to the closing of the IPO, pursuant to which shares of our Class A common stock held by our CEO and Co-Founder will automatically be exchanged for an equivalent number of shares of Class B common stock immediately prior to the completion of this offering.</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80" w:right="120" w:firstLine="545"/>
        <w:spacing w:after="0" w:line="234" w:lineRule="auto"/>
        <w:rPr>
          <w:sz w:val="20"/>
          <w:szCs w:val="20"/>
          <w:color w:val="auto"/>
        </w:rPr>
      </w:pPr>
      <w:r>
        <w:rPr>
          <w:rFonts w:ascii="Arial" w:cs="Arial" w:eastAsia="Arial" w:hAnsi="Arial"/>
          <w:sz w:val="18"/>
          <w:szCs w:val="18"/>
          <w:color w:val="auto"/>
        </w:rPr>
        <w:t>Our Amended Charter that will be in effect immediately following the effectiveness of the registration statement of which this prospectus forms a part will contain provisions limiting the liability of directors to the fullest extent permitted under Delaware law, and our Amended Bylaws that will be in effect immediately following the effectiveness of the registration statement of which this prospectus forms a part will provide that we will indemnify each of our directors and officers to the fullest extent permitted under Delaware law. Our Amended Charter and Amended Bylaws will also provide our board of directors with discretion to indemnify our employees and other agents when determined appropriate by the board. In addition, we have entered or will enter into an indemnification agreement with each of our directors and executive officers, which requires us to indemnify them in certain circumstances.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ind w:left="180" w:right="80" w:firstLine="545"/>
        <w:spacing w:after="0" w:line="251" w:lineRule="auto"/>
        <w:rPr>
          <w:sz w:val="20"/>
          <w:szCs w:val="20"/>
          <w:color w:val="auto"/>
        </w:rPr>
      </w:pPr>
      <w:r>
        <w:rPr>
          <w:rFonts w:ascii="Arial" w:cs="Arial" w:eastAsia="Arial" w:hAnsi="Arial"/>
          <w:sz w:val="17"/>
          <w:szCs w:val="17"/>
          <w:color w:val="auto"/>
        </w:rPr>
        <w:t>Upon the completion of this offering, our board of directors will adopt a written Related Person Transaction Policy and Procedures, setting forth the policies and procedures for the review and approval or ratification of related person transactions. This policy will cover, with certain exceptions consistent with Item 404 of Regulation S-K, any transaction, arrangement or relationship, or any series of similar transactions, arrangements or relationships, in which we (including any of our subsidiaries) are, were or will be a participant, where the amount involved exceeds $120,000 and a related person has, had or will have a direct or indirect material interest.</w:t>
      </w:r>
    </w:p>
    <w:p>
      <w:pPr>
        <w:spacing w:after="0" w:line="193"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Under the policy, our legal team will be responsible for implementing procedures to obtain information with respect to potential related person transactions, and then determining whether such transactions constitute related person transactions subject to the policy. Our General Counsel then is required to present to the Audit Committee each proposed related person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and take into account our Code of Business Conduct and Ethics. If advance Audit</w:t>
      </w:r>
    </w:p>
    <w:p>
      <w:pPr>
        <w:spacing w:after="0" w:line="205"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Committee approval of a related person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Management is responsible for updating the Audit Committee as to any material changes to any approved or ratified related person transaction and for providing a status report at least annually of all current related person transactions at a regularly scheduled meeting of the Audit Committee. No director may participate in approval of a related person transaction for which he or she is a related person.</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40"/>
          </w:cols>
          <w:pgMar w:left="320" w:top="456" w:right="5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 Class B</w:t>
      </w:r>
    </w:p>
    <w:p>
      <w:pPr>
        <w:ind w:left="180" w:right="80"/>
        <w:spacing w:after="0" w:line="239" w:lineRule="auto"/>
        <w:rPr>
          <w:sz w:val="20"/>
          <w:szCs w:val="20"/>
          <w:color w:val="auto"/>
        </w:rPr>
      </w:pPr>
      <w:r>
        <w:rPr>
          <w:rFonts w:ascii="Arial" w:cs="Arial" w:eastAsia="Arial" w:hAnsi="Arial"/>
          <w:sz w:val="18"/>
          <w:szCs w:val="18"/>
          <w:color w:val="auto"/>
        </w:rPr>
        <w:t>common stock (1) reflecting the automatic conversion of all outstanding shares of our redeemable preferred stock into shares of our Class A common, upon closing of this offering and (2) as adjusted to give effect to this offering, for:</w:t>
      </w:r>
    </w:p>
    <w:p>
      <w:pPr>
        <w:spacing w:after="0" w:line="109" w:lineRule="exact"/>
        <w:rPr>
          <w:sz w:val="20"/>
          <w:szCs w:val="20"/>
          <w:color w:val="auto"/>
        </w:rPr>
      </w:pPr>
    </w:p>
    <w:p>
      <w:pPr>
        <w:ind w:left="920" w:hanging="212"/>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07" w:lineRule="exact"/>
        <w:rPr>
          <w:sz w:val="20"/>
          <w:szCs w:val="20"/>
          <w:color w:val="auto"/>
        </w:rPr>
      </w:pPr>
    </w:p>
    <w:p>
      <w:pPr>
        <w:ind w:left="180" w:right="320" w:firstLine="545"/>
        <w:spacing w:after="0" w:line="246"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w:t>
      </w:r>
    </w:p>
    <w:p>
      <w:pPr>
        <w:ind w:left="180" w:right="140"/>
        <w:spacing w:after="0"/>
        <w:rPr>
          <w:sz w:val="20"/>
          <w:szCs w:val="20"/>
          <w:color w:val="auto"/>
        </w:rPr>
      </w:pPr>
      <w:r>
        <w:rPr>
          <w:rFonts w:ascii="Arial" w:cs="Arial" w:eastAsia="Arial" w:hAnsi="Arial"/>
          <w:sz w:val="18"/>
          <w:szCs w:val="18"/>
          <w:color w:val="auto"/>
        </w:rPr>
        <w:t>60 days of , 2021 and shares of RSUs that are vested or will become vested within 60 days of , 2021, are considered outstanding, although these shares are not considered outstanding for purposes of computing the percentage ownership of any other person.</w:t>
      </w:r>
    </w:p>
    <w:p>
      <w:pPr>
        <w:spacing w:after="0" w:line="394" w:lineRule="exact"/>
        <w:rPr>
          <w:sz w:val="20"/>
          <w:szCs w:val="20"/>
          <w:color w:val="auto"/>
        </w:rPr>
      </w:pPr>
    </w:p>
    <w:p>
      <w:pPr>
        <w:ind w:left="720"/>
        <w:spacing w:after="0"/>
        <w:tabs>
          <w:tab w:leader="none" w:pos="8180" w:val="left"/>
        </w:tabs>
        <w:rPr>
          <w:sz w:val="20"/>
          <w:szCs w:val="20"/>
          <w:color w:val="auto"/>
        </w:rPr>
      </w:pPr>
      <w:r>
        <w:rPr>
          <w:rFonts w:ascii="Arial" w:cs="Arial" w:eastAsia="Arial" w:hAnsi="Arial"/>
          <w:sz w:val="18"/>
          <w:szCs w:val="18"/>
          <w:color w:val="auto"/>
        </w:rPr>
        <w:t>The percentage ownership of each individual or entity before this offering is based on</w:t>
      </w:r>
      <w:r>
        <w:rPr>
          <w:sz w:val="20"/>
          <w:szCs w:val="20"/>
          <w:color w:val="auto"/>
        </w:rPr>
        <w:tab/>
      </w:r>
      <w:r>
        <w:rPr>
          <w:rFonts w:ascii="Arial" w:cs="Arial" w:eastAsia="Arial" w:hAnsi="Arial"/>
          <w:sz w:val="17"/>
          <w:szCs w:val="17"/>
          <w:color w:val="auto"/>
        </w:rPr>
        <w:t>shares of Class A common stock</w:t>
      </w:r>
    </w:p>
    <w:p>
      <w:pPr>
        <w:ind w:left="180"/>
        <w:spacing w:after="0"/>
        <w:tabs>
          <w:tab w:leader="none" w:pos="1240" w:val="left"/>
          <w:tab w:leader="none" w:pos="506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shares of Class B common stock as of</w:t>
      </w:r>
      <w:r>
        <w:rPr>
          <w:sz w:val="20"/>
          <w:szCs w:val="20"/>
          <w:color w:val="auto"/>
        </w:rPr>
        <w:tab/>
      </w:r>
      <w:r>
        <w:rPr>
          <w:rFonts w:ascii="Arial" w:cs="Arial" w:eastAsia="Arial" w:hAnsi="Arial"/>
          <w:sz w:val="17"/>
          <w:szCs w:val="17"/>
          <w:color w:val="auto"/>
        </w:rPr>
        <w:t>, after giving effect to the automatic conversion of all outstanding shares of</w:t>
      </w:r>
    </w:p>
    <w:p>
      <w:pPr>
        <w:ind w:left="180"/>
        <w:spacing w:after="0"/>
        <w:tabs>
          <w:tab w:leader="none" w:pos="3760" w:val="left"/>
        </w:tabs>
        <w:rPr>
          <w:sz w:val="20"/>
          <w:szCs w:val="20"/>
          <w:color w:val="auto"/>
        </w:rPr>
      </w:pPr>
      <w:r>
        <w:rPr>
          <w:rFonts w:ascii="Arial" w:cs="Arial" w:eastAsia="Arial" w:hAnsi="Arial"/>
          <w:sz w:val="18"/>
          <w:szCs w:val="18"/>
          <w:color w:val="auto"/>
        </w:rPr>
        <w:t>our redeemable preferred stock into</w:t>
      </w:r>
      <w:r>
        <w:rPr>
          <w:sz w:val="20"/>
          <w:szCs w:val="20"/>
          <w:color w:val="auto"/>
        </w:rPr>
        <w:tab/>
      </w:r>
      <w:r>
        <w:rPr>
          <w:rFonts w:ascii="Arial" w:cs="Arial" w:eastAsia="Arial" w:hAnsi="Arial"/>
          <w:sz w:val="17"/>
          <w:szCs w:val="17"/>
          <w:color w:val="auto"/>
        </w:rPr>
        <w:t>shares of our Class A common stock, upon closing of this offering. The applicable</w:t>
      </w:r>
    </w:p>
    <w:p>
      <w:pPr>
        <w:ind w:left="180"/>
        <w:spacing w:after="0"/>
        <w:tabs>
          <w:tab w:leader="none" w:pos="5020" w:val="left"/>
          <w:tab w:leader="none" w:pos="10020" w:val="left"/>
        </w:tabs>
        <w:rPr>
          <w:sz w:val="20"/>
          <w:szCs w:val="20"/>
          <w:color w:val="auto"/>
        </w:rPr>
      </w:pPr>
      <w:r>
        <w:rPr>
          <w:rFonts w:ascii="Arial" w:cs="Arial" w:eastAsia="Arial" w:hAnsi="Arial"/>
          <w:sz w:val="18"/>
          <w:szCs w:val="18"/>
          <w:color w:val="auto"/>
        </w:rPr>
        <w:t>percentage ownership after this offering is based on</w:t>
      </w:r>
      <w:r>
        <w:rPr>
          <w:sz w:val="20"/>
          <w:szCs w:val="20"/>
          <w:color w:val="auto"/>
        </w:rPr>
        <w:tab/>
      </w:r>
      <w:r>
        <w:rPr>
          <w:rFonts w:ascii="Arial" w:cs="Arial" w:eastAsia="Arial" w:hAnsi="Arial"/>
          <w:sz w:val="18"/>
          <w:szCs w:val="18"/>
          <w:color w:val="auto"/>
        </w:rPr>
        <w:t>shares of our Class A common stock outstanding and</w:t>
      </w:r>
      <w:r>
        <w:rPr>
          <w:sz w:val="20"/>
          <w:szCs w:val="20"/>
          <w:color w:val="auto"/>
        </w:rPr>
        <w:tab/>
      </w:r>
      <w:r>
        <w:rPr>
          <w:rFonts w:ascii="Arial" w:cs="Arial" w:eastAsia="Arial" w:hAnsi="Arial"/>
          <w:sz w:val="17"/>
          <w:szCs w:val="17"/>
          <w:color w:val="auto"/>
        </w:rPr>
        <w:t>shares of</w:t>
      </w:r>
    </w:p>
    <w:p>
      <w:pPr>
        <w:ind w:left="180" w:right="260"/>
        <w:spacing w:after="0" w:line="239" w:lineRule="auto"/>
        <w:rPr>
          <w:sz w:val="20"/>
          <w:szCs w:val="20"/>
          <w:color w:val="auto"/>
        </w:rPr>
      </w:pPr>
      <w:r>
        <w:rPr>
          <w:rFonts w:ascii="Arial" w:cs="Arial" w:eastAsia="Arial" w:hAnsi="Arial"/>
          <w:sz w:val="18"/>
          <w:szCs w:val="18"/>
          <w:color w:val="auto"/>
        </w:rPr>
        <w:t>our Class B common stock outstanding, in each case, immediately following the completion of this offering. Unless otherwise indicated, the address of all listed stockholders is 10 Jay Street, Brooklyn, New York 11201.</w:t>
      </w:r>
    </w:p>
    <w:p>
      <w:pPr>
        <w:spacing w:after="0" w:line="202" w:lineRule="exact"/>
        <w:rPr>
          <w:sz w:val="20"/>
          <w:szCs w:val="20"/>
          <w:color w:val="auto"/>
        </w:rPr>
      </w:pPr>
    </w:p>
    <w:p>
      <w:pPr>
        <w:ind w:left="180" w:right="760" w:firstLine="545"/>
        <w:spacing w:after="0" w:line="239"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1040"/>
          </w:cols>
          <w:pgMar w:left="320" w:top="45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right="1040"/>
        <w:spacing w:after="0" w:line="256" w:lineRule="auto"/>
        <w:rPr>
          <w:sz w:val="20"/>
          <w:szCs w:val="20"/>
          <w:color w:val="auto"/>
        </w:rPr>
      </w:pPr>
      <w:r>
        <w:rPr>
          <w:rFonts w:ascii="Arial" w:cs="Arial" w:eastAsia="Arial" w:hAnsi="Arial"/>
          <w:sz w:val="14"/>
          <w:szCs w:val="14"/>
          <w:b w:val="1"/>
          <w:bCs w:val="1"/>
          <w:u w:val="single" w:color="auto"/>
          <w:color w:val="auto"/>
        </w:rPr>
        <w:t xml:space="preserve">Name of Beneficial Owner </w:t>
      </w:r>
      <w:r>
        <w:rPr>
          <w:rFonts w:ascii="Arial" w:cs="Arial" w:eastAsia="Arial" w:hAnsi="Arial"/>
          <w:sz w:val="14"/>
          <w:szCs w:val="14"/>
          <w:b w:val="1"/>
          <w:bCs w:val="1"/>
          <w:color w:val="auto"/>
        </w:rPr>
        <w:t>5% Stockholders:</w:t>
      </w:r>
    </w:p>
    <w:p>
      <w:pPr>
        <w:spacing w:after="0" w:line="1" w:lineRule="exact"/>
        <w:rPr>
          <w:sz w:val="20"/>
          <w:szCs w:val="20"/>
          <w:color w:val="auto"/>
        </w:rPr>
      </w:pPr>
    </w:p>
    <w:p>
      <w:pPr>
        <w:ind w:left="180"/>
        <w:spacing w:after="0" w:line="180" w:lineRule="auto"/>
        <w:rPr>
          <w:sz w:val="20"/>
          <w:szCs w:val="20"/>
          <w:color w:val="auto"/>
        </w:rPr>
      </w:pPr>
      <w:r>
        <w:rPr>
          <w:rFonts w:ascii="Arial" w:cs="Arial" w:eastAsia="Arial" w:hAnsi="Arial"/>
          <w:sz w:val="14"/>
          <w:szCs w:val="14"/>
          <w:color w:val="auto"/>
        </w:rPr>
        <w:t>Ares Corporate Opportunities Fund V, L.P.</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Entities affiliated with Bain Capital</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Entities affiliated with Highland Capital</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Entities affiliated with Technology Crossover</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Ventures</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gridSpan w:val="11"/>
          </w:tcPr>
          <w:p>
            <w:pPr>
              <w:jc w:val="center"/>
              <w:ind w:right="560"/>
              <w:spacing w:after="0"/>
              <w:rPr>
                <w:sz w:val="20"/>
                <w:szCs w:val="20"/>
                <w:color w:val="auto"/>
              </w:rPr>
            </w:pPr>
            <w:r>
              <w:rPr>
                <w:rFonts w:ascii="Arial" w:cs="Arial" w:eastAsia="Arial" w:hAnsi="Arial"/>
                <w:sz w:val="14"/>
                <w:szCs w:val="14"/>
                <w:b w:val="1"/>
                <w:bCs w:val="1"/>
                <w:color w:val="auto"/>
              </w:rPr>
              <w:t>Class A Common Stock</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10"/>
          </w:tcPr>
          <w:p>
            <w:pPr>
              <w:jc w:val="center"/>
              <w:ind w:right="560"/>
              <w:spacing w:after="0"/>
              <w:rPr>
                <w:sz w:val="20"/>
                <w:szCs w:val="20"/>
                <w:color w:val="auto"/>
              </w:rPr>
            </w:pPr>
            <w:r>
              <w:rPr>
                <w:rFonts w:ascii="Arial" w:cs="Arial" w:eastAsia="Arial" w:hAnsi="Arial"/>
                <w:sz w:val="14"/>
                <w:szCs w:val="14"/>
                <w:b w:val="1"/>
                <w:bCs w:val="1"/>
                <w:color w:val="auto"/>
              </w:rPr>
              <w:t>Class B Common Stock</w:t>
            </w:r>
          </w:p>
        </w:tc>
        <w:tc>
          <w:tcPr>
            <w:tcW w:w="160" w:type="dxa"/>
            <w:vAlign w:val="bottom"/>
          </w:tcPr>
          <w:p>
            <w:pPr>
              <w:spacing w:after="0"/>
              <w:rPr>
                <w:sz w:val="14"/>
                <w:szCs w:val="14"/>
                <w:color w:val="auto"/>
              </w:rPr>
            </w:pPr>
          </w:p>
        </w:tc>
        <w:tc>
          <w:tcPr>
            <w:tcW w:w="18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rPr>
              <w:t>Combined Voting</w:t>
            </w:r>
          </w:p>
        </w:tc>
      </w:tr>
      <w:tr>
        <w:trPr>
          <w:trHeight w:val="174"/>
        </w:trPr>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9"/>
          </w:tcPr>
          <w:p>
            <w:pPr>
              <w:jc w:val="center"/>
              <w:ind w:right="720"/>
              <w:spacing w:after="0"/>
              <w:rPr>
                <w:sz w:val="20"/>
                <w:szCs w:val="20"/>
                <w:color w:val="auto"/>
              </w:rPr>
            </w:pPr>
            <w:r>
              <w:rPr>
                <w:rFonts w:ascii="Arial" w:cs="Arial" w:eastAsia="Arial" w:hAnsi="Arial"/>
                <w:sz w:val="14"/>
                <w:szCs w:val="14"/>
                <w:b w:val="1"/>
                <w:bCs w:val="1"/>
                <w:color w:val="auto"/>
              </w:rPr>
              <w:t>Beneficially Owned</w:t>
            </w: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9"/>
          </w:tcPr>
          <w:p>
            <w:pPr>
              <w:jc w:val="center"/>
              <w:ind w:right="700"/>
              <w:spacing w:after="0"/>
              <w:rPr>
                <w:sz w:val="20"/>
                <w:szCs w:val="20"/>
                <w:color w:val="auto"/>
              </w:rPr>
            </w:pPr>
            <w:r>
              <w:rPr>
                <w:rFonts w:ascii="Arial" w:cs="Arial" w:eastAsia="Arial" w:hAnsi="Arial"/>
                <w:sz w:val="14"/>
                <w:szCs w:val="14"/>
                <w:b w:val="1"/>
                <w:bCs w:val="1"/>
                <w:color w:val="auto"/>
              </w:rPr>
              <w:t>Beneficially Owned</w:t>
            </w: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rPr>
              <w:t>Power(1)</w:t>
            </w: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rPr>
              <w:t>After this</w:t>
            </w:r>
          </w:p>
        </w:tc>
        <w:tc>
          <w:tcPr>
            <w:tcW w:w="160" w:type="dxa"/>
            <w:vAlign w:val="bottom"/>
          </w:tcPr>
          <w:p>
            <w:pPr>
              <w:spacing w:after="0"/>
              <w:rPr>
                <w:sz w:val="12"/>
                <w:szCs w:val="12"/>
                <w:color w:val="auto"/>
              </w:rPr>
            </w:pPr>
          </w:p>
        </w:tc>
        <w:tc>
          <w:tcPr>
            <w:tcW w:w="82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rPr>
              <w:t>After this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rPr>
              <w:t>After this</w:t>
            </w:r>
          </w:p>
        </w:tc>
        <w:tc>
          <w:tcPr>
            <w:tcW w:w="160" w:type="dxa"/>
            <w:vAlign w:val="bottom"/>
          </w:tcPr>
          <w:p>
            <w:pPr>
              <w:spacing w:after="0"/>
              <w:rPr>
                <w:sz w:val="12"/>
                <w:szCs w:val="12"/>
                <w:color w:val="auto"/>
              </w:rPr>
            </w:pPr>
          </w:p>
        </w:tc>
        <w:tc>
          <w:tcPr>
            <w:tcW w:w="8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rPr>
              <w:t>After this</w:t>
            </w:r>
          </w:p>
        </w:tc>
        <w:tc>
          <w:tcPr>
            <w:tcW w:w="160" w:type="dxa"/>
            <w:vAlign w:val="bottom"/>
          </w:tcPr>
          <w:p>
            <w:pPr>
              <w:spacing w:after="0"/>
              <w:rPr>
                <w:sz w:val="12"/>
                <w:szCs w:val="12"/>
                <w:color w:val="auto"/>
              </w:rPr>
            </w:pPr>
          </w:p>
        </w:tc>
        <w:tc>
          <w:tcPr>
            <w:tcW w:w="82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rPr>
              <w:t>After this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After this</w:t>
            </w: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(With Full</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(With Full</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3"/>
                <w:szCs w:val="13"/>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(With Full</w:t>
            </w: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3"/>
                <w:szCs w:val="13"/>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 of</w:t>
            </w:r>
          </w:p>
        </w:tc>
      </w:tr>
      <w:tr>
        <w:trPr>
          <w:trHeight w:val="160"/>
        </w:trPr>
        <w:tc>
          <w:tcPr>
            <w:tcW w:w="20" w:type="dxa"/>
            <w:vAlign w:val="bottom"/>
          </w:tcPr>
          <w:p>
            <w:pPr>
              <w:spacing w:after="0"/>
              <w:rPr>
                <w:sz w:val="13"/>
                <w:szCs w:val="13"/>
                <w:color w:val="auto"/>
              </w:rPr>
            </w:pPr>
          </w:p>
        </w:tc>
        <w:tc>
          <w:tcPr>
            <w:tcW w:w="66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Before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Over-</w:t>
            </w:r>
          </w:p>
        </w:tc>
        <w:tc>
          <w:tcPr>
            <w:tcW w:w="140" w:type="dxa"/>
            <w:vAlign w:val="bottom"/>
          </w:tcPr>
          <w:p>
            <w:pPr>
              <w:spacing w:after="0"/>
              <w:rPr>
                <w:sz w:val="13"/>
                <w:szCs w:val="13"/>
                <w:color w:val="auto"/>
              </w:rPr>
            </w:pPr>
          </w:p>
        </w:tc>
        <w:tc>
          <w:tcPr>
            <w:tcW w:w="70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Before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Over-</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Over-</w:t>
            </w:r>
          </w:p>
        </w:tc>
        <w:tc>
          <w:tcPr>
            <w:tcW w:w="1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Over-</w:t>
            </w:r>
          </w:p>
        </w:tc>
      </w:tr>
      <w:tr>
        <w:trPr>
          <w:trHeight w:val="160"/>
        </w:trPr>
        <w:tc>
          <w:tcPr>
            <w:tcW w:w="20" w:type="dxa"/>
            <w:vAlign w:val="bottom"/>
          </w:tcPr>
          <w:p>
            <w:pPr>
              <w:spacing w:after="0"/>
              <w:rPr>
                <w:sz w:val="13"/>
                <w:szCs w:val="13"/>
                <w:color w:val="auto"/>
              </w:rPr>
            </w:pPr>
          </w:p>
        </w:tc>
        <w:tc>
          <w:tcPr>
            <w:tcW w:w="66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this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allotment</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allotment</w:t>
            </w:r>
          </w:p>
        </w:tc>
        <w:tc>
          <w:tcPr>
            <w:tcW w:w="140" w:type="dxa"/>
            <w:vAlign w:val="bottom"/>
          </w:tcPr>
          <w:p>
            <w:pPr>
              <w:spacing w:after="0"/>
              <w:rPr>
                <w:sz w:val="13"/>
                <w:szCs w:val="13"/>
                <w:color w:val="auto"/>
              </w:rPr>
            </w:pPr>
          </w:p>
        </w:tc>
        <w:tc>
          <w:tcPr>
            <w:tcW w:w="70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this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allotment</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allotment</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allotment</w:t>
            </w:r>
          </w:p>
        </w:tc>
        <w:tc>
          <w:tcPr>
            <w:tcW w:w="1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allotment</w:t>
            </w:r>
          </w:p>
        </w:tc>
      </w:tr>
      <w:tr>
        <w:trPr>
          <w:trHeight w:val="174"/>
        </w:trPr>
        <w:tc>
          <w:tcPr>
            <w:tcW w:w="2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b w:val="1"/>
                <w:bCs w:val="1"/>
                <w:color w:val="auto"/>
                <w:w w:val="99"/>
              </w:rPr>
              <w:t>Offering</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5"/>
                <w:szCs w:val="15"/>
                <w:color w:val="auto"/>
              </w:rPr>
            </w:pPr>
          </w:p>
        </w:tc>
        <w:tc>
          <w:tcPr>
            <w:tcW w:w="70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b w:val="1"/>
                <w:bCs w:val="1"/>
                <w:color w:val="auto"/>
                <w:w w:val="99"/>
              </w:rPr>
              <w:t>Offering</w:t>
            </w: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5"/>
                <w:szCs w:val="15"/>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Option)</w:t>
            </w:r>
          </w:p>
        </w:tc>
      </w:tr>
      <w:tr>
        <w:trPr>
          <w:trHeight w:val="154"/>
        </w:trPr>
        <w:tc>
          <w:tcPr>
            <w:tcW w:w="20" w:type="dxa"/>
            <w:vAlign w:val="bottom"/>
          </w:tcPr>
          <w:p>
            <w:pPr>
              <w:spacing w:after="0"/>
              <w:rPr>
                <w:sz w:val="13"/>
                <w:szCs w:val="13"/>
                <w:color w:val="auto"/>
              </w:rPr>
            </w:pPr>
          </w:p>
        </w:tc>
        <w:tc>
          <w:tcPr>
            <w:tcW w:w="520" w:type="dxa"/>
            <w:vAlign w:val="bottom"/>
          </w:tcPr>
          <w:p>
            <w:pPr>
              <w:spacing w:after="0" w:line="154" w:lineRule="exact"/>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3"/>
                <w:szCs w:val="13"/>
                <w:color w:val="auto"/>
              </w:rPr>
            </w:pPr>
          </w:p>
        </w:tc>
        <w:tc>
          <w:tcPr>
            <w:tcW w:w="1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3"/>
                <w:szCs w:val="13"/>
                <w:color w:val="auto"/>
              </w:rPr>
            </w:pPr>
          </w:p>
        </w:tc>
        <w:tc>
          <w:tcPr>
            <w:tcW w:w="82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Number  %</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70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79"/>
              </w:rPr>
              <w:t>%</w:t>
            </w:r>
          </w:p>
        </w:tc>
        <w:tc>
          <w:tcPr>
            <w:tcW w:w="140" w:type="dxa"/>
            <w:vAlign w:val="bottom"/>
          </w:tcPr>
          <w:p>
            <w:pPr>
              <w:spacing w:after="0"/>
              <w:rPr>
                <w:sz w:val="13"/>
                <w:szCs w:val="13"/>
                <w:color w:val="auto"/>
              </w:rPr>
            </w:pPr>
          </w:p>
        </w:tc>
        <w:tc>
          <w:tcPr>
            <w:tcW w:w="82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Number  %</w:t>
            </w:r>
          </w:p>
        </w:tc>
        <w:tc>
          <w:tcPr>
            <w:tcW w:w="160" w:type="dxa"/>
            <w:vAlign w:val="bottom"/>
          </w:tcPr>
          <w:p>
            <w:pPr>
              <w:spacing w:after="0"/>
              <w:rPr>
                <w:sz w:val="13"/>
                <w:szCs w:val="13"/>
                <w:color w:val="auto"/>
              </w:rPr>
            </w:pPr>
          </w:p>
        </w:tc>
        <w:tc>
          <w:tcPr>
            <w:tcW w:w="82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Number  %</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8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Number   %</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-7620</wp:posOffset>
            </wp:positionV>
            <wp:extent cx="6921500" cy="1016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1500" cy="1016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194945</wp:posOffset>
            </wp:positionV>
            <wp:extent cx="6921500" cy="1016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1500" cy="1016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398780</wp:posOffset>
            </wp:positionV>
            <wp:extent cx="6921500" cy="2038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1500" cy="203835"/>
                    </a:xfrm>
                    <a:prstGeom prst="rect">
                      <a:avLst/>
                    </a:prstGeom>
                    <a:noFill/>
                  </pic:spPr>
                </pic:pic>
              </a:graphicData>
            </a:graphic>
          </wp:anchor>
        </w:drawing>
      </w:r>
    </w:p>
    <w:p>
      <w:pPr>
        <w:spacing w:after="0" w:line="1094" w:lineRule="exact"/>
        <w:rPr>
          <w:sz w:val="20"/>
          <w:szCs w:val="20"/>
          <w:color w:val="auto"/>
        </w:rPr>
      </w:pPr>
    </w:p>
    <w:p>
      <w:pPr>
        <w:sectPr>
          <w:pgSz w:w="11900" w:h="16838" w:orient="portrait"/>
          <w:cols w:equalWidth="0" w:num="2">
            <w:col w:w="2980" w:space="380"/>
            <w:col w:w="7680"/>
          </w:cols>
          <w:pgMar w:left="320" w:top="456" w:right="539" w:bottom="1440" w:gutter="0" w:footer="0" w:header="0"/>
          <w:type w:val="continuous"/>
        </w:sectPr>
      </w:pPr>
    </w:p>
    <w:p>
      <w:pPr>
        <w:jc w:val="center"/>
        <w:ind w:right="-21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040"/>
          </w:cols>
          <w:pgMar w:left="320" w:top="456" w:right="539" w:bottom="1440" w:gutter="0" w:footer="0" w:header="0"/>
          <w:type w:val="continuous"/>
        </w:sectPr>
      </w:pPr>
    </w:p>
    <w:bookmarkStart w:id="161" w:name="page162"/>
    <w:bookmarkEnd w:id="1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40"/>
          </w:cols>
          <w:pgMar w:left="320" w:top="45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Named Executive Officers and Directors: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Jennifer Y. Hyman</w:t>
      </w:r>
    </w:p>
    <w:p>
      <w:pPr>
        <w:ind w:left="180"/>
        <w:spacing w:after="0"/>
        <w:rPr>
          <w:sz w:val="20"/>
          <w:szCs w:val="20"/>
          <w:color w:val="auto"/>
        </w:rPr>
      </w:pPr>
      <w:r>
        <w:rPr>
          <w:rFonts w:ascii="Arial" w:cs="Arial" w:eastAsia="Arial" w:hAnsi="Arial"/>
          <w:sz w:val="14"/>
          <w:szCs w:val="14"/>
          <w:color w:val="auto"/>
        </w:rPr>
        <w:t>Scarlett O’Sullivan</w:t>
      </w:r>
    </w:p>
    <w:p>
      <w:pPr>
        <w:ind w:left="180"/>
        <w:spacing w:after="0"/>
        <w:rPr>
          <w:sz w:val="20"/>
          <w:szCs w:val="20"/>
          <w:color w:val="auto"/>
        </w:rPr>
      </w:pPr>
      <w:r>
        <w:rPr>
          <w:rFonts w:ascii="Arial" w:cs="Arial" w:eastAsia="Arial" w:hAnsi="Arial"/>
          <w:sz w:val="14"/>
          <w:szCs w:val="14"/>
          <w:color w:val="auto"/>
        </w:rPr>
        <w:t>Anushka Salinas</w:t>
      </w:r>
    </w:p>
    <w:p>
      <w:pPr>
        <w:ind w:left="180"/>
        <w:spacing w:after="0"/>
        <w:rPr>
          <w:sz w:val="20"/>
          <w:szCs w:val="20"/>
          <w:color w:val="auto"/>
        </w:rPr>
      </w:pPr>
      <w:r>
        <w:rPr>
          <w:rFonts w:ascii="Arial" w:cs="Arial" w:eastAsia="Arial" w:hAnsi="Arial"/>
          <w:sz w:val="14"/>
          <w:szCs w:val="14"/>
          <w:color w:val="auto"/>
        </w:rPr>
        <w:t>Brian Donato</w:t>
      </w:r>
    </w:p>
    <w:p>
      <w:pPr>
        <w:ind w:left="180"/>
        <w:spacing w:after="0"/>
        <w:rPr>
          <w:sz w:val="20"/>
          <w:szCs w:val="20"/>
          <w:color w:val="auto"/>
        </w:rPr>
      </w:pPr>
      <w:r>
        <w:rPr>
          <w:rFonts w:ascii="Arial" w:cs="Arial" w:eastAsia="Arial" w:hAnsi="Arial"/>
          <w:sz w:val="14"/>
          <w:szCs w:val="14"/>
          <w:color w:val="auto"/>
        </w:rPr>
        <w:t>Tim Bixby</w:t>
      </w:r>
    </w:p>
    <w:p>
      <w:pPr>
        <w:ind w:left="180"/>
        <w:spacing w:after="0"/>
        <w:rPr>
          <w:sz w:val="20"/>
          <w:szCs w:val="20"/>
          <w:color w:val="auto"/>
        </w:rPr>
      </w:pPr>
      <w:r>
        <w:rPr>
          <w:rFonts w:ascii="Arial" w:cs="Arial" w:eastAsia="Arial" w:hAnsi="Arial"/>
          <w:sz w:val="14"/>
          <w:szCs w:val="14"/>
          <w:color w:val="auto"/>
        </w:rPr>
        <w:t>Jennifer Fleiss</w:t>
      </w:r>
    </w:p>
    <w:p>
      <w:pPr>
        <w:ind w:left="180"/>
        <w:spacing w:after="0"/>
        <w:rPr>
          <w:sz w:val="20"/>
          <w:szCs w:val="20"/>
          <w:color w:val="auto"/>
        </w:rPr>
      </w:pPr>
      <w:r>
        <w:rPr>
          <w:rFonts w:ascii="Arial" w:cs="Arial" w:eastAsia="Arial" w:hAnsi="Arial"/>
          <w:sz w:val="14"/>
          <w:szCs w:val="14"/>
          <w:color w:val="auto"/>
        </w:rPr>
        <w:t>Scott Friend</w:t>
      </w:r>
    </w:p>
    <w:p>
      <w:pPr>
        <w:ind w:left="180"/>
        <w:spacing w:after="0"/>
        <w:rPr>
          <w:sz w:val="20"/>
          <w:szCs w:val="20"/>
          <w:color w:val="auto"/>
        </w:rPr>
      </w:pPr>
      <w:r>
        <w:rPr>
          <w:rFonts w:ascii="Arial" w:cs="Arial" w:eastAsia="Arial" w:hAnsi="Arial"/>
          <w:sz w:val="14"/>
          <w:szCs w:val="14"/>
          <w:color w:val="auto"/>
        </w:rPr>
        <w:t>Melanie Harris</w:t>
      </w:r>
    </w:p>
    <w:p>
      <w:pPr>
        <w:ind w:left="180"/>
        <w:spacing w:after="0"/>
        <w:rPr>
          <w:sz w:val="20"/>
          <w:szCs w:val="20"/>
          <w:color w:val="auto"/>
        </w:rPr>
      </w:pPr>
      <w:r>
        <w:rPr>
          <w:rFonts w:ascii="Arial" w:cs="Arial" w:eastAsia="Arial" w:hAnsi="Arial"/>
          <w:sz w:val="14"/>
          <w:szCs w:val="14"/>
          <w:color w:val="auto"/>
        </w:rPr>
        <w:t>Beth Kaplan</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Dan Nova</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Gwyneth Paltrow</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Carley Roney</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Dan Rosensweig</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Mike Roth</w:t>
      </w:r>
    </w:p>
    <w:p>
      <w:pPr>
        <w:spacing w:after="0" w:line="10" w:lineRule="exact"/>
        <w:rPr>
          <w:sz w:val="20"/>
          <w:szCs w:val="20"/>
          <w:color w:val="auto"/>
        </w:rPr>
      </w:pPr>
    </w:p>
    <w:p>
      <w:pPr>
        <w:ind w:left="320" w:right="80" w:hanging="141"/>
        <w:spacing w:after="0" w:line="257" w:lineRule="auto"/>
        <w:rPr>
          <w:sz w:val="20"/>
          <w:szCs w:val="20"/>
          <w:color w:val="auto"/>
        </w:rPr>
      </w:pPr>
      <w:r>
        <w:rPr>
          <w:rFonts w:ascii="Arial" w:cs="Arial" w:eastAsia="Arial" w:hAnsi="Arial"/>
          <w:sz w:val="14"/>
          <w:szCs w:val="14"/>
          <w:b w:val="1"/>
          <w:bCs w:val="1"/>
          <w:color w:val="auto"/>
        </w:rPr>
        <w:t>All executive officers and directors as a group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67945</wp:posOffset>
            </wp:positionV>
            <wp:extent cx="755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gridSpan w:val="11"/>
          </w:tcPr>
          <w:p>
            <w:pPr>
              <w:jc w:val="center"/>
              <w:ind w:right="560"/>
              <w:spacing w:after="0"/>
              <w:rPr>
                <w:sz w:val="20"/>
                <w:szCs w:val="20"/>
                <w:color w:val="auto"/>
              </w:rPr>
            </w:pPr>
            <w:r>
              <w:rPr>
                <w:rFonts w:ascii="Arial" w:cs="Arial" w:eastAsia="Arial" w:hAnsi="Arial"/>
                <w:sz w:val="14"/>
                <w:szCs w:val="14"/>
                <w:b w:val="1"/>
                <w:bCs w:val="1"/>
                <w:color w:val="auto"/>
              </w:rPr>
              <w:t>Class A Common Stock</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10"/>
          </w:tcPr>
          <w:p>
            <w:pPr>
              <w:jc w:val="center"/>
              <w:ind w:right="560"/>
              <w:spacing w:after="0"/>
              <w:rPr>
                <w:sz w:val="20"/>
                <w:szCs w:val="20"/>
                <w:color w:val="auto"/>
              </w:rPr>
            </w:pPr>
            <w:r>
              <w:rPr>
                <w:rFonts w:ascii="Arial" w:cs="Arial" w:eastAsia="Arial" w:hAnsi="Arial"/>
                <w:sz w:val="14"/>
                <w:szCs w:val="14"/>
                <w:b w:val="1"/>
                <w:bCs w:val="1"/>
                <w:color w:val="auto"/>
              </w:rPr>
              <w:t>Class B Common Stock</w:t>
            </w:r>
          </w:p>
        </w:tc>
        <w:tc>
          <w:tcPr>
            <w:tcW w:w="160" w:type="dxa"/>
            <w:vAlign w:val="bottom"/>
          </w:tcPr>
          <w:p>
            <w:pPr>
              <w:spacing w:after="0"/>
              <w:rPr>
                <w:sz w:val="14"/>
                <w:szCs w:val="14"/>
                <w:color w:val="auto"/>
              </w:rPr>
            </w:pPr>
          </w:p>
        </w:tc>
        <w:tc>
          <w:tcPr>
            <w:tcW w:w="18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rPr>
              <w:t>Combined Voting</w:t>
            </w:r>
          </w:p>
        </w:tc>
      </w:tr>
      <w:tr>
        <w:trPr>
          <w:trHeight w:val="174"/>
        </w:trPr>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9"/>
          </w:tcPr>
          <w:p>
            <w:pPr>
              <w:jc w:val="center"/>
              <w:ind w:right="720"/>
              <w:spacing w:after="0"/>
              <w:rPr>
                <w:sz w:val="20"/>
                <w:szCs w:val="20"/>
                <w:color w:val="auto"/>
              </w:rPr>
            </w:pPr>
            <w:r>
              <w:rPr>
                <w:rFonts w:ascii="Arial" w:cs="Arial" w:eastAsia="Arial" w:hAnsi="Arial"/>
                <w:sz w:val="14"/>
                <w:szCs w:val="14"/>
                <w:b w:val="1"/>
                <w:bCs w:val="1"/>
                <w:color w:val="auto"/>
              </w:rPr>
              <w:t>Beneficially Owned</w:t>
            </w: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9"/>
          </w:tcPr>
          <w:p>
            <w:pPr>
              <w:jc w:val="center"/>
              <w:ind w:right="700"/>
              <w:spacing w:after="0"/>
              <w:rPr>
                <w:sz w:val="20"/>
                <w:szCs w:val="20"/>
                <w:color w:val="auto"/>
              </w:rPr>
            </w:pPr>
            <w:r>
              <w:rPr>
                <w:rFonts w:ascii="Arial" w:cs="Arial" w:eastAsia="Arial" w:hAnsi="Arial"/>
                <w:sz w:val="14"/>
                <w:szCs w:val="14"/>
                <w:b w:val="1"/>
                <w:bCs w:val="1"/>
                <w:color w:val="auto"/>
              </w:rPr>
              <w:t>Beneficially Owned</w:t>
            </w: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rPr>
              <w:t>Power(1)</w:t>
            </w: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rPr>
              <w:t>After this</w:t>
            </w:r>
          </w:p>
        </w:tc>
        <w:tc>
          <w:tcPr>
            <w:tcW w:w="160" w:type="dxa"/>
            <w:vAlign w:val="bottom"/>
          </w:tcPr>
          <w:p>
            <w:pPr>
              <w:spacing w:after="0"/>
              <w:rPr>
                <w:sz w:val="12"/>
                <w:szCs w:val="12"/>
                <w:color w:val="auto"/>
              </w:rPr>
            </w:pPr>
          </w:p>
        </w:tc>
        <w:tc>
          <w:tcPr>
            <w:tcW w:w="82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rPr>
              <w:t>After this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rPr>
              <w:t>After this</w:t>
            </w:r>
          </w:p>
        </w:tc>
        <w:tc>
          <w:tcPr>
            <w:tcW w:w="160" w:type="dxa"/>
            <w:vAlign w:val="bottom"/>
          </w:tcPr>
          <w:p>
            <w:pPr>
              <w:spacing w:after="0"/>
              <w:rPr>
                <w:sz w:val="12"/>
                <w:szCs w:val="12"/>
                <w:color w:val="auto"/>
              </w:rPr>
            </w:pPr>
          </w:p>
        </w:tc>
        <w:tc>
          <w:tcPr>
            <w:tcW w:w="8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rPr>
              <w:t>After this</w:t>
            </w:r>
          </w:p>
        </w:tc>
        <w:tc>
          <w:tcPr>
            <w:tcW w:w="160" w:type="dxa"/>
            <w:vAlign w:val="bottom"/>
          </w:tcPr>
          <w:p>
            <w:pPr>
              <w:spacing w:after="0"/>
              <w:rPr>
                <w:sz w:val="12"/>
                <w:szCs w:val="12"/>
                <w:color w:val="auto"/>
              </w:rPr>
            </w:pPr>
          </w:p>
        </w:tc>
        <w:tc>
          <w:tcPr>
            <w:tcW w:w="82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rPr>
              <w:t>After this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After this</w:t>
            </w: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(With Full</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(With Full</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3"/>
                <w:szCs w:val="13"/>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(With Full</w:t>
            </w: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3"/>
                <w:szCs w:val="13"/>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 of</w:t>
            </w:r>
          </w:p>
        </w:tc>
      </w:tr>
      <w:tr>
        <w:trPr>
          <w:trHeight w:val="160"/>
        </w:trPr>
        <w:tc>
          <w:tcPr>
            <w:tcW w:w="20" w:type="dxa"/>
            <w:vAlign w:val="bottom"/>
          </w:tcPr>
          <w:p>
            <w:pPr>
              <w:spacing w:after="0"/>
              <w:rPr>
                <w:sz w:val="13"/>
                <w:szCs w:val="13"/>
                <w:color w:val="auto"/>
              </w:rPr>
            </w:pPr>
          </w:p>
        </w:tc>
        <w:tc>
          <w:tcPr>
            <w:tcW w:w="66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Before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Over-</w:t>
            </w:r>
          </w:p>
        </w:tc>
        <w:tc>
          <w:tcPr>
            <w:tcW w:w="140" w:type="dxa"/>
            <w:vAlign w:val="bottom"/>
          </w:tcPr>
          <w:p>
            <w:pPr>
              <w:spacing w:after="0"/>
              <w:rPr>
                <w:sz w:val="13"/>
                <w:szCs w:val="13"/>
                <w:color w:val="auto"/>
              </w:rPr>
            </w:pPr>
          </w:p>
        </w:tc>
        <w:tc>
          <w:tcPr>
            <w:tcW w:w="70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Before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Over-</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Over-</w:t>
            </w:r>
          </w:p>
        </w:tc>
        <w:tc>
          <w:tcPr>
            <w:tcW w:w="1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Over-</w:t>
            </w:r>
          </w:p>
        </w:tc>
      </w:tr>
      <w:tr>
        <w:trPr>
          <w:trHeight w:val="160"/>
        </w:trPr>
        <w:tc>
          <w:tcPr>
            <w:tcW w:w="20" w:type="dxa"/>
            <w:vAlign w:val="bottom"/>
          </w:tcPr>
          <w:p>
            <w:pPr>
              <w:spacing w:after="0"/>
              <w:rPr>
                <w:sz w:val="13"/>
                <w:szCs w:val="13"/>
                <w:color w:val="auto"/>
              </w:rPr>
            </w:pPr>
          </w:p>
        </w:tc>
        <w:tc>
          <w:tcPr>
            <w:tcW w:w="66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this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allotment</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allotment</w:t>
            </w:r>
          </w:p>
        </w:tc>
        <w:tc>
          <w:tcPr>
            <w:tcW w:w="140" w:type="dxa"/>
            <w:vAlign w:val="bottom"/>
          </w:tcPr>
          <w:p>
            <w:pPr>
              <w:spacing w:after="0"/>
              <w:rPr>
                <w:sz w:val="13"/>
                <w:szCs w:val="13"/>
                <w:color w:val="auto"/>
              </w:rPr>
            </w:pPr>
          </w:p>
        </w:tc>
        <w:tc>
          <w:tcPr>
            <w:tcW w:w="70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this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allotment</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allotment</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allotment</w:t>
            </w:r>
          </w:p>
        </w:tc>
        <w:tc>
          <w:tcPr>
            <w:tcW w:w="1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allotment</w:t>
            </w:r>
          </w:p>
        </w:tc>
      </w:tr>
      <w:tr>
        <w:trPr>
          <w:trHeight w:val="174"/>
        </w:trPr>
        <w:tc>
          <w:tcPr>
            <w:tcW w:w="2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b w:val="1"/>
                <w:bCs w:val="1"/>
                <w:color w:val="auto"/>
                <w:w w:val="99"/>
              </w:rPr>
              <w:t>Offering</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5"/>
                <w:szCs w:val="15"/>
                <w:color w:val="auto"/>
              </w:rPr>
            </w:pPr>
          </w:p>
        </w:tc>
        <w:tc>
          <w:tcPr>
            <w:tcW w:w="70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b w:val="1"/>
                <w:bCs w:val="1"/>
                <w:color w:val="auto"/>
                <w:w w:val="99"/>
              </w:rPr>
              <w:t>Offering</w:t>
            </w: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5"/>
                <w:szCs w:val="15"/>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Option)</w:t>
            </w:r>
          </w:p>
        </w:tc>
      </w:tr>
      <w:tr>
        <w:trPr>
          <w:trHeight w:val="154"/>
        </w:trPr>
        <w:tc>
          <w:tcPr>
            <w:tcW w:w="20" w:type="dxa"/>
            <w:vAlign w:val="bottom"/>
          </w:tcPr>
          <w:p>
            <w:pPr>
              <w:spacing w:after="0"/>
              <w:rPr>
                <w:sz w:val="13"/>
                <w:szCs w:val="13"/>
                <w:color w:val="auto"/>
              </w:rPr>
            </w:pPr>
          </w:p>
        </w:tc>
        <w:tc>
          <w:tcPr>
            <w:tcW w:w="520" w:type="dxa"/>
            <w:vAlign w:val="bottom"/>
          </w:tcPr>
          <w:p>
            <w:pPr>
              <w:spacing w:after="0" w:line="154" w:lineRule="exact"/>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3"/>
                <w:szCs w:val="13"/>
                <w:color w:val="auto"/>
              </w:rPr>
            </w:pPr>
          </w:p>
        </w:tc>
        <w:tc>
          <w:tcPr>
            <w:tcW w:w="1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3"/>
                <w:szCs w:val="13"/>
                <w:color w:val="auto"/>
              </w:rPr>
            </w:pPr>
          </w:p>
        </w:tc>
        <w:tc>
          <w:tcPr>
            <w:tcW w:w="82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Number  %</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70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79"/>
              </w:rPr>
              <w:t>%</w:t>
            </w:r>
          </w:p>
        </w:tc>
        <w:tc>
          <w:tcPr>
            <w:tcW w:w="140" w:type="dxa"/>
            <w:vAlign w:val="bottom"/>
          </w:tcPr>
          <w:p>
            <w:pPr>
              <w:spacing w:after="0"/>
              <w:rPr>
                <w:sz w:val="13"/>
                <w:szCs w:val="13"/>
                <w:color w:val="auto"/>
              </w:rPr>
            </w:pPr>
          </w:p>
        </w:tc>
        <w:tc>
          <w:tcPr>
            <w:tcW w:w="82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Number  %</w:t>
            </w:r>
          </w:p>
        </w:tc>
        <w:tc>
          <w:tcPr>
            <w:tcW w:w="160" w:type="dxa"/>
            <w:vAlign w:val="bottom"/>
          </w:tcPr>
          <w:p>
            <w:pPr>
              <w:spacing w:after="0"/>
              <w:rPr>
                <w:sz w:val="13"/>
                <w:szCs w:val="13"/>
                <w:color w:val="auto"/>
              </w:rPr>
            </w:pPr>
          </w:p>
        </w:tc>
        <w:tc>
          <w:tcPr>
            <w:tcW w:w="82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Number  %</w:t>
            </w:r>
          </w:p>
        </w:tc>
        <w:tc>
          <w:tcPr>
            <w:tcW w:w="160" w:type="dxa"/>
            <w:vAlign w:val="bottom"/>
          </w:tcPr>
          <w:p>
            <w:pPr>
              <w:spacing w:after="0"/>
              <w:rPr>
                <w:sz w:val="13"/>
                <w:szCs w:val="13"/>
                <w:color w:val="auto"/>
              </w:rPr>
            </w:pPr>
          </w:p>
        </w:tc>
        <w:tc>
          <w:tcPr>
            <w:tcW w:w="820" w:type="dxa"/>
            <w:vAlign w:val="bottom"/>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8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Number   %</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-7620</wp:posOffset>
            </wp:positionV>
            <wp:extent cx="6921500" cy="1016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1500" cy="1016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194945</wp:posOffset>
            </wp:positionV>
            <wp:extent cx="6921500" cy="1016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1500" cy="1016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398780</wp:posOffset>
            </wp:positionV>
            <wp:extent cx="6921500" cy="101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1500" cy="1016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601980</wp:posOffset>
            </wp:positionV>
            <wp:extent cx="6921500" cy="101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1500" cy="1016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805815</wp:posOffset>
            </wp:positionV>
            <wp:extent cx="6921500" cy="101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1500" cy="10160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1017905</wp:posOffset>
            </wp:positionV>
            <wp:extent cx="6921500" cy="1104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1500" cy="1104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1238250</wp:posOffset>
            </wp:positionV>
            <wp:extent cx="6921500" cy="1104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1500" cy="1104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1459230</wp:posOffset>
            </wp:positionV>
            <wp:extent cx="6921500" cy="1104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1500" cy="110490"/>
                    </a:xfrm>
                    <a:prstGeom prst="rect">
                      <a:avLst/>
                    </a:prstGeom>
                    <a:noFill/>
                  </pic:spPr>
                </pic:pic>
              </a:graphicData>
            </a:graphic>
          </wp:anchor>
        </w:drawing>
      </w:r>
    </w:p>
    <w:p>
      <w:pPr>
        <w:spacing w:after="0" w:line="2982" w:lineRule="exact"/>
        <w:rPr>
          <w:sz w:val="20"/>
          <w:szCs w:val="20"/>
          <w:color w:val="auto"/>
        </w:rPr>
      </w:pPr>
    </w:p>
    <w:p>
      <w:pPr>
        <w:sectPr>
          <w:pgSz w:w="11900" w:h="16838" w:orient="portrait"/>
          <w:cols w:equalWidth="0" w:num="2">
            <w:col w:w="2940" w:space="420"/>
            <w:col w:w="7680"/>
          </w:cols>
          <w:pgMar w:left="320" w:top="456" w:right="539" w:bottom="1440" w:gutter="0" w:footer="0" w:header="0"/>
          <w:type w:val="continuous"/>
        </w:sectPr>
      </w:pPr>
    </w:p>
    <w:p>
      <w:pPr>
        <w:ind w:left="600" w:hanging="426"/>
        <w:spacing w:after="0"/>
        <w:tabs>
          <w:tab w:leader="none" w:pos="60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600" w:hanging="426"/>
        <w:spacing w:after="0"/>
        <w:tabs>
          <w:tab w:leader="none" w:pos="6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Represents the percentage of voting power of our Class A common stock and Class B common stock voting as a single class. Each holder of Class A common stock</w:t>
      </w:r>
    </w:p>
    <w:p>
      <w:pPr>
        <w:ind w:left="600" w:right="40"/>
        <w:spacing w:after="0" w:line="238" w:lineRule="auto"/>
        <w:rPr>
          <w:sz w:val="20"/>
          <w:szCs w:val="20"/>
          <w:color w:val="auto"/>
        </w:rPr>
      </w:pPr>
      <w:r>
        <w:rPr>
          <w:rFonts w:ascii="Arial" w:cs="Arial" w:eastAsia="Arial" w:hAnsi="Arial"/>
          <w:sz w:val="14"/>
          <w:szCs w:val="14"/>
          <w:color w:val="auto"/>
        </w:rPr>
        <w:t>shall be entitled to one vote per share of Class A common stock and each holder of Class B common stock shall be entitled to votes per share . The Class A common stock and Class B common stock will vote as a single class on all matters presented to stockholders for a vote generally, including the election of directors, except as required by law or the certificate.</w:t>
      </w:r>
    </w:p>
    <w:p>
      <w:pPr>
        <w:spacing w:after="0" w:line="1" w:lineRule="exact"/>
        <w:rPr>
          <w:sz w:val="20"/>
          <w:szCs w:val="20"/>
          <w:color w:val="auto"/>
        </w:rPr>
      </w:pPr>
    </w:p>
    <w:p>
      <w:pPr>
        <w:ind w:left="1400" w:hanging="1226"/>
        <w:spacing w:after="0"/>
        <w:tabs>
          <w:tab w:leader="none" w:pos="140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p>
    <w:p>
      <w:pPr>
        <w:ind w:left="1400" w:hanging="1226"/>
        <w:spacing w:after="0"/>
        <w:tabs>
          <w:tab w:leader="none" w:pos="140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p>
    <w:p>
      <w:pPr>
        <w:ind w:left="1400" w:hanging="1226"/>
        <w:spacing w:after="0"/>
        <w:tabs>
          <w:tab w:leader="none" w:pos="140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p>
    <w:p>
      <w:pPr>
        <w:ind w:left="1400" w:hanging="1226"/>
        <w:spacing w:after="0"/>
        <w:tabs>
          <w:tab w:leader="none" w:pos="140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56" w:right="53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80" w:right="220" w:firstLine="545"/>
        <w:spacing w:after="0" w:line="235" w:lineRule="auto"/>
        <w:rPr>
          <w:sz w:val="20"/>
          <w:szCs w:val="20"/>
          <w:color w:val="auto"/>
        </w:rPr>
      </w:pPr>
      <w:r>
        <w:rPr>
          <w:rFonts w:ascii="Arial" w:cs="Arial" w:eastAsia="Arial" w:hAnsi="Arial"/>
          <w:sz w:val="18"/>
          <w:szCs w:val="18"/>
          <w:color w:val="auto"/>
        </w:rPr>
        <w:t>The following summary describes our capital stock and certain material provisions of our Amended Charter and our Amended Bylaws and the General Corporation Law of the State of Delaware, or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202" w:lineRule="exact"/>
        <w:rPr>
          <w:sz w:val="20"/>
          <w:szCs w:val="20"/>
          <w:color w:val="auto"/>
        </w:rPr>
      </w:pPr>
    </w:p>
    <w:p>
      <w:pPr>
        <w:ind w:left="180" w:right="40" w:firstLine="545"/>
        <w:spacing w:after="0" w:line="237" w:lineRule="auto"/>
        <w:rPr>
          <w:sz w:val="20"/>
          <w:szCs w:val="20"/>
          <w:color w:val="auto"/>
        </w:rPr>
      </w:pPr>
      <w:r>
        <w:rPr>
          <w:rFonts w:ascii="Arial" w:cs="Arial" w:eastAsia="Arial" w:hAnsi="Arial"/>
          <w:sz w:val="18"/>
          <w:szCs w:val="18"/>
          <w:color w:val="auto"/>
        </w:rPr>
        <w:t>Certain provisions of our Amended Charter and our Amended Bylaws summarized below may be deemed to have an anti -takeover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202"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In connection with this offering, we will file an Amended Charter, and we will adopt our Amended Bylaws. Our Amended Charter will authorize capital stock consisting of:</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380"/>
              <w:spacing w:after="0"/>
              <w:rPr>
                <w:sz w:val="20"/>
                <w:szCs w:val="20"/>
                <w:color w:val="auto"/>
              </w:rPr>
            </w:pPr>
            <w:r>
              <w:rPr>
                <w:rFonts w:ascii="Arial" w:cs="Arial" w:eastAsia="Arial" w:hAnsi="Arial"/>
                <w:sz w:val="18"/>
                <w:szCs w:val="18"/>
                <w:color w:val="auto"/>
              </w:rPr>
              <w:t>shares of Class A common stock, par value $</w:t>
            </w:r>
          </w:p>
        </w:tc>
        <w:tc>
          <w:tcPr>
            <w:tcW w:w="1840" w:type="dxa"/>
            <w:vAlign w:val="bottom"/>
          </w:tcPr>
          <w:p>
            <w:pPr>
              <w:ind w:left="680"/>
              <w:spacing w:after="0"/>
              <w:rPr>
                <w:sz w:val="20"/>
                <w:szCs w:val="20"/>
                <w:color w:val="auto"/>
              </w:rPr>
            </w:pPr>
            <w:r>
              <w:rPr>
                <w:rFonts w:ascii="Arial" w:cs="Arial" w:eastAsia="Arial" w:hAnsi="Arial"/>
                <w:sz w:val="18"/>
                <w:szCs w:val="18"/>
                <w:color w:val="auto"/>
              </w:rPr>
              <w:t>per share;</w:t>
            </w:r>
          </w:p>
        </w:tc>
      </w:tr>
      <w:tr>
        <w:trPr>
          <w:trHeight w:val="321"/>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380"/>
              <w:spacing w:after="0"/>
              <w:rPr>
                <w:sz w:val="20"/>
                <w:szCs w:val="20"/>
                <w:color w:val="auto"/>
              </w:rPr>
            </w:pPr>
            <w:r>
              <w:rPr>
                <w:rFonts w:ascii="Arial" w:cs="Arial" w:eastAsia="Arial" w:hAnsi="Arial"/>
                <w:sz w:val="18"/>
                <w:szCs w:val="18"/>
                <w:color w:val="auto"/>
              </w:rPr>
              <w:t>shares of Class B common stock, par value $</w:t>
            </w:r>
          </w:p>
        </w:tc>
        <w:tc>
          <w:tcPr>
            <w:tcW w:w="1840" w:type="dxa"/>
            <w:vAlign w:val="bottom"/>
          </w:tcPr>
          <w:p>
            <w:pPr>
              <w:ind w:left="700"/>
              <w:spacing w:after="0"/>
              <w:rPr>
                <w:sz w:val="20"/>
                <w:szCs w:val="20"/>
                <w:color w:val="auto"/>
              </w:rPr>
            </w:pPr>
            <w:r>
              <w:rPr>
                <w:rFonts w:ascii="Arial" w:cs="Arial" w:eastAsia="Arial" w:hAnsi="Arial"/>
                <w:sz w:val="18"/>
                <w:szCs w:val="18"/>
                <w:color w:val="auto"/>
                <w:w w:val="96"/>
              </w:rPr>
              <w:t>per share; and</w:t>
            </w:r>
          </w:p>
        </w:tc>
      </w:tr>
      <w:tr>
        <w:trPr>
          <w:trHeight w:val="321"/>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380"/>
              <w:spacing w:after="0"/>
              <w:rPr>
                <w:sz w:val="20"/>
                <w:szCs w:val="20"/>
                <w:color w:val="auto"/>
              </w:rPr>
            </w:pPr>
            <w:r>
              <w:rPr>
                <w:rFonts w:ascii="Arial" w:cs="Arial" w:eastAsia="Arial" w:hAnsi="Arial"/>
                <w:sz w:val="18"/>
                <w:szCs w:val="18"/>
                <w:color w:val="auto"/>
              </w:rPr>
              <w:t>shares of preferred stock, par value $</w:t>
            </w:r>
          </w:p>
        </w:tc>
        <w:tc>
          <w:tcPr>
            <w:tcW w:w="1840" w:type="dxa"/>
            <w:vAlign w:val="bottom"/>
          </w:tcPr>
          <w:p>
            <w:pPr>
              <w:ind w:left="80"/>
              <w:spacing w:after="0"/>
              <w:rPr>
                <w:sz w:val="20"/>
                <w:szCs w:val="20"/>
                <w:color w:val="auto"/>
              </w:rPr>
            </w:pPr>
            <w:r>
              <w:rPr>
                <w:rFonts w:ascii="Arial" w:cs="Arial" w:eastAsia="Arial" w:hAnsi="Arial"/>
                <w:sz w:val="18"/>
                <w:szCs w:val="18"/>
                <w:color w:val="auto"/>
              </w:rPr>
              <w:t>per share.</w:t>
            </w:r>
          </w:p>
        </w:tc>
      </w:tr>
    </w:tbl>
    <w:p>
      <w:pPr>
        <w:spacing w:after="0" w:line="201" w:lineRule="exact"/>
        <w:rPr>
          <w:sz w:val="20"/>
          <w:szCs w:val="20"/>
          <w:color w:val="auto"/>
        </w:rPr>
      </w:pPr>
    </w:p>
    <w:p>
      <w:pPr>
        <w:ind w:left="180" w:right="20" w:firstLine="545"/>
        <w:spacing w:after="0" w:line="237" w:lineRule="auto"/>
        <w:rPr>
          <w:sz w:val="20"/>
          <w:szCs w:val="20"/>
          <w:color w:val="auto"/>
        </w:rPr>
      </w:pPr>
      <w:r>
        <w:rPr>
          <w:rFonts w:ascii="Arial" w:cs="Arial" w:eastAsia="Arial" w:hAnsi="Arial"/>
          <w:sz w:val="18"/>
          <w:szCs w:val="18"/>
          <w:color w:val="auto"/>
        </w:rPr>
        <w:t>We are selling shares of Class A common stock in this offering ( shares if the underwriters exercise in full their option to purchase additional shares). All shares of our Class A common stock outstanding upon consummation of this offering will be fully paid and non-assessable.</w:t>
      </w:r>
    </w:p>
    <w:p>
      <w:pPr>
        <w:spacing w:after="0" w:line="202" w:lineRule="exact"/>
        <w:rPr>
          <w:sz w:val="20"/>
          <w:szCs w:val="20"/>
          <w:color w:val="auto"/>
        </w:rPr>
      </w:pPr>
    </w:p>
    <w:p>
      <w:pPr>
        <w:ind w:left="180" w:right="120" w:firstLine="545"/>
        <w:spacing w:after="0" w:line="246" w:lineRule="auto"/>
        <w:rPr>
          <w:sz w:val="20"/>
          <w:szCs w:val="20"/>
          <w:color w:val="auto"/>
        </w:rPr>
      </w:pPr>
      <w:r>
        <w:rPr>
          <w:rFonts w:ascii="Arial" w:cs="Arial" w:eastAsia="Arial" w:hAnsi="Arial"/>
          <w:sz w:val="17"/>
          <w:szCs w:val="17"/>
          <w:color w:val="auto"/>
        </w:rPr>
        <w:t>Assuming the conversion of all outstanding shares of our redeemable preferred stock into shares of our common stock and the reclassification of the shares of common stock (including those shares of common stock resulting from the conversion of our redeemable</w:t>
      </w:r>
    </w:p>
    <w:p>
      <w:pPr>
        <w:ind w:left="180" w:right="240"/>
        <w:spacing w:after="0" w:line="237" w:lineRule="auto"/>
        <w:rPr>
          <w:sz w:val="20"/>
          <w:szCs w:val="20"/>
          <w:color w:val="auto"/>
        </w:rPr>
      </w:pPr>
      <w:r>
        <w:rPr>
          <w:rFonts w:ascii="Arial" w:cs="Arial" w:eastAsia="Arial" w:hAnsi="Arial"/>
          <w:sz w:val="18"/>
          <w:szCs w:val="18"/>
          <w:color w:val="auto"/>
        </w:rPr>
        <w:t>preferred stock) into shares of Class A common stock, which will occur upon the closing of this offering, as of , 2021, there will be shares of our Class A common stock outstanding, held by stockholders of record, shares of our Class B common stock outstanding held by stockholders of record, and no shares of our preferred stock outstanding.</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w:t>
      </w:r>
    </w:p>
    <w:p>
      <w:pPr>
        <w:spacing w:after="0" w:line="122" w:lineRule="exact"/>
        <w:rPr>
          <w:sz w:val="20"/>
          <w:szCs w:val="20"/>
          <w:color w:val="auto"/>
        </w:rPr>
      </w:pPr>
    </w:p>
    <w:p>
      <w:pPr>
        <w:ind w:left="180" w:right="60" w:firstLine="545"/>
        <w:spacing w:after="0" w:line="239"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80" w:lineRule="exact"/>
        <w:rPr>
          <w:sz w:val="20"/>
          <w:szCs w:val="20"/>
          <w:color w:val="auto"/>
        </w:rPr>
      </w:pPr>
    </w:p>
    <w:p>
      <w:pPr>
        <w:jc w:val="both"/>
        <w:ind w:left="180" w:right="140" w:firstLine="545"/>
        <w:spacing w:after="0" w:line="248"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Holders of shares of our Class A common stock are entitled to one vote for each share held of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all matters submitted to a vote of stockholders. The holders of our Class A common stock do not have cumulative voting rights in the election of directors.</w:t>
      </w:r>
    </w:p>
    <w:p>
      <w:pPr>
        <w:spacing w:after="0" w:line="195"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Holders of shares of our Class A common stock will vote together with holders of our Class B common stock as a single class on all matters (including the election of directors) submitted to a vote of our stockholders, except as otherwise required by applicable law or the Amended Charter. Any amendment of our Amended Charter that gives holders of our Class B common stock (1) any additional rights to receive dividends or any other kind of distribution, (2) any additional right to convert</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40"/>
          </w:cols>
          <w:pgMar w:left="320" w:top="456"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7" w:lineRule="auto"/>
        <w:rPr>
          <w:sz w:val="20"/>
          <w:szCs w:val="20"/>
          <w:color w:val="auto"/>
        </w:rPr>
      </w:pPr>
      <w:r>
        <w:rPr>
          <w:rFonts w:ascii="Arial" w:cs="Arial" w:eastAsia="Arial" w:hAnsi="Arial"/>
          <w:sz w:val="18"/>
          <w:szCs w:val="18"/>
          <w:color w:val="auto"/>
        </w:rPr>
        <w:t>into or be exchanged for Class A common stock or (3) any other additional economic rights will require, in addition to stockholder approval, the affirmative vote of the holders of Class A common stock representing a majority of the voting power of the outstanding shares of Class A common stock, voting separately as a class.</w:t>
      </w:r>
    </w:p>
    <w:p>
      <w:pPr>
        <w:spacing w:after="0" w:line="202" w:lineRule="exact"/>
        <w:rPr>
          <w:sz w:val="20"/>
          <w:szCs w:val="20"/>
          <w:color w:val="auto"/>
        </w:rPr>
      </w:pPr>
    </w:p>
    <w:p>
      <w:pPr>
        <w:ind w:left="180" w:right="180" w:firstLine="545"/>
        <w:spacing w:after="0" w:line="239" w:lineRule="auto"/>
        <w:rPr>
          <w:sz w:val="20"/>
          <w:szCs w:val="20"/>
          <w:color w:val="auto"/>
        </w:rPr>
      </w:pPr>
      <w:r>
        <w:rPr>
          <w:rFonts w:ascii="Arial" w:cs="Arial" w:eastAsia="Arial" w:hAnsi="Arial"/>
          <w:sz w:val="18"/>
          <w:szCs w:val="18"/>
          <w:color w:val="auto"/>
        </w:rPr>
        <w:t>Holders of shares of our Class A common stock do not have preemptive, subscription, redemption or conversion rights. There will be no redemption or sinking fund provisions applicable to the Class A common stock.</w:t>
      </w:r>
    </w:p>
    <w:p>
      <w:pPr>
        <w:spacing w:after="0" w:line="180" w:lineRule="exact"/>
        <w:rPr>
          <w:sz w:val="20"/>
          <w:szCs w:val="20"/>
          <w:color w:val="auto"/>
        </w:rPr>
      </w:pPr>
    </w:p>
    <w:p>
      <w:pPr>
        <w:ind w:left="180" w:right="20" w:firstLine="545"/>
        <w:spacing w:after="0" w:line="248"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Each share of our Class B common stock entitles its holders to votes per share on all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submitted to a vote of stockholders. The holders of shares of our Class B common stock do not have cumulative voting rights in the election of directors.</w:t>
      </w:r>
    </w:p>
    <w:p>
      <w:pPr>
        <w:spacing w:after="0" w:line="195"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fully paid and nonassessable share of Class A common stock. Following the completion of this offering, except as otherwise provided in our Amended Charter, each share of Class B common stock will automatically convert into one fully paid and nonassessable share of Class A common stock upon certain sales or transfers as described in our Amended Charter. In addition, each outstanding share of Class B common stock held by a stockholder who is a natural person, or held by the permitted entities and permitted transferees of such natural person (as described in our Amended Charter), will convert automatically into one fully paid and nonassessable share of Class A common stock upon the death of such natural person. Holders of shares of our Class B common stock will vote together with holders of our Class A common stock as a single class on all matters (including the election of directors) submitted to a vote of our stockholders, except as otherwise required by applicable law or the Amended Charter.</w:t>
      </w:r>
    </w:p>
    <w:p>
      <w:pPr>
        <w:spacing w:after="0" w:line="209" w:lineRule="exact"/>
        <w:rPr>
          <w:sz w:val="20"/>
          <w:szCs w:val="20"/>
          <w:color w:val="auto"/>
        </w:rPr>
      </w:pPr>
    </w:p>
    <w:p>
      <w:pPr>
        <w:ind w:left="180" w:right="20" w:firstLine="545"/>
        <w:spacing w:after="0" w:line="234" w:lineRule="auto"/>
        <w:rPr>
          <w:sz w:val="20"/>
          <w:szCs w:val="20"/>
          <w:color w:val="auto"/>
        </w:rPr>
      </w:pPr>
      <w:r>
        <w:rPr>
          <w:rFonts w:ascii="Arial" w:cs="Arial" w:eastAsia="Arial" w:hAnsi="Arial"/>
          <w:sz w:val="18"/>
          <w:szCs w:val="18"/>
          <w:color w:val="auto"/>
        </w:rPr>
        <w:t>Holders of our Class B common stock do not have preemptive, subscription or redemption rights. There will be no redemption or sinking fund provisions applicable to the Class B common stock. Any amendment of our Amended Charter that gives holders of our Class B common stock (1) any additional rights to receive dividends or any other kind of distribution, (2) any additional right to convert into or be exchanged for Class A common stock or (3) any other additional economic rights will require, in addition to stockholder approval, the affirmative vote of the holders of Class A common stock representing a majority of the voting power of the outstanding shares of Class A common stock, voting separately as a class.</w:t>
      </w:r>
    </w:p>
    <w:p>
      <w:pPr>
        <w:spacing w:after="0" w:line="183" w:lineRule="exact"/>
        <w:rPr>
          <w:sz w:val="20"/>
          <w:szCs w:val="20"/>
          <w:color w:val="auto"/>
        </w:rPr>
      </w:pPr>
    </w:p>
    <w:p>
      <w:pPr>
        <w:ind w:left="180" w:right="40" w:firstLine="545"/>
        <w:spacing w:after="0" w:line="238" w:lineRule="auto"/>
        <w:rPr>
          <w:sz w:val="20"/>
          <w:szCs w:val="20"/>
          <w:color w:val="auto"/>
        </w:rPr>
      </w:pPr>
      <w:r>
        <w:rPr>
          <w:rFonts w:ascii="Arial" w:cs="Arial" w:eastAsia="Arial" w:hAnsi="Arial"/>
          <w:sz w:val="18"/>
          <w:szCs w:val="18"/>
          <w:b w:val="1"/>
          <w:bCs w:val="1"/>
          <w:i w:val="1"/>
          <w:iCs w:val="1"/>
          <w:color w:val="auto"/>
        </w:rPr>
        <w:t xml:space="preserve">Common Stock Dividend Rights. </w:t>
      </w:r>
      <w:r>
        <w:rPr>
          <w:rFonts w:ascii="Arial" w:cs="Arial" w:eastAsia="Arial" w:hAnsi="Arial"/>
          <w:sz w:val="18"/>
          <w:szCs w:val="18"/>
          <w:color w:val="auto"/>
        </w:rPr>
        <w:t>The holders of our Class A and Class B common stock are entitled to receive dividends out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legally available if our board of directors, in its discretion, determines to issue dividends and then only at the times and in the amounts that our board of directors may determine.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202" w:lineRule="exact"/>
        <w:rPr>
          <w:sz w:val="20"/>
          <w:szCs w:val="20"/>
          <w:color w:val="auto"/>
        </w:rPr>
      </w:pPr>
    </w:p>
    <w:p>
      <w:pPr>
        <w:ind w:left="180" w:right="80" w:firstLine="545"/>
        <w:spacing w:after="0" w:line="234" w:lineRule="auto"/>
        <w:rPr>
          <w:sz w:val="20"/>
          <w:szCs w:val="20"/>
          <w:color w:val="auto"/>
        </w:rPr>
      </w:pPr>
      <w:r>
        <w:rPr>
          <w:rFonts w:ascii="Arial" w:cs="Arial" w:eastAsia="Arial" w:hAnsi="Arial"/>
          <w:sz w:val="18"/>
          <w:szCs w:val="18"/>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60"/>
          </w:cols>
          <w:pgMar w:left="320" w:top="456"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3" w:lineRule="auto"/>
        <w:rPr>
          <w:sz w:val="20"/>
          <w:szCs w:val="20"/>
          <w:color w:val="auto"/>
        </w:rPr>
      </w:pPr>
      <w:r>
        <w:rPr>
          <w:rFonts w:ascii="Arial" w:cs="Arial" w:eastAsia="Arial" w:hAnsi="Arial"/>
          <w:sz w:val="18"/>
          <w:szCs w:val="18"/>
          <w:color w:val="auto"/>
        </w:rPr>
        <w:t>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209" w:lineRule="exact"/>
        <w:rPr>
          <w:sz w:val="20"/>
          <w:szCs w:val="20"/>
          <w:color w:val="auto"/>
        </w:rPr>
      </w:pPr>
    </w:p>
    <w:p>
      <w:pPr>
        <w:jc w:val="both"/>
        <w:ind w:left="180" w:right="60" w:firstLine="545"/>
        <w:spacing w:after="0" w:line="237" w:lineRule="auto"/>
        <w:rPr>
          <w:sz w:val="20"/>
          <w:szCs w:val="20"/>
          <w:color w:val="auto"/>
        </w:rPr>
      </w:pPr>
      <w:r>
        <w:rPr>
          <w:rFonts w:ascii="Arial" w:cs="Arial" w:eastAsia="Arial" w:hAnsi="Arial"/>
          <w:sz w:val="18"/>
          <w:szCs w:val="18"/>
          <w:color w:val="auto"/>
        </w:rPr>
        <w:t>See the sections titled “Dividend Policy” and “Risk Factors—Risks Related to this Offering and Ownership of our Class A Common Stock—We do not intend to pay dividends for the foreseeable future. Consequently, any gains from an investment in our Class A common stock will likely depend on whether the price of our Class A common stock increases” for additional information.</w:t>
      </w:r>
    </w:p>
    <w:p>
      <w:pPr>
        <w:spacing w:after="0" w:line="180" w:lineRule="exact"/>
        <w:rPr>
          <w:sz w:val="20"/>
          <w:szCs w:val="20"/>
          <w:color w:val="auto"/>
        </w:rPr>
      </w:pPr>
    </w:p>
    <w:p>
      <w:pPr>
        <w:ind w:left="180" w:right="100" w:firstLine="545"/>
        <w:spacing w:after="0" w:line="243" w:lineRule="auto"/>
        <w:rPr>
          <w:sz w:val="20"/>
          <w:szCs w:val="20"/>
          <w:color w:val="auto"/>
        </w:rPr>
      </w:pPr>
      <w:r>
        <w:rPr>
          <w:rFonts w:ascii="Arial" w:cs="Arial" w:eastAsia="Arial" w:hAnsi="Arial"/>
          <w:sz w:val="18"/>
          <w:szCs w:val="18"/>
          <w:b w:val="1"/>
          <w:bCs w:val="1"/>
          <w:i w:val="1"/>
          <w:iCs w:val="1"/>
          <w:color w:val="auto"/>
        </w:rPr>
        <w:t xml:space="preserve">Right to Receive Liquidation Distributions. </w:t>
      </w:r>
      <w:r>
        <w:rPr>
          <w:rFonts w:ascii="Arial" w:cs="Arial" w:eastAsia="Arial" w:hAnsi="Arial"/>
          <w:sz w:val="18"/>
          <w:szCs w:val="18"/>
          <w:color w:val="auto"/>
        </w:rPr>
        <w:t>If we become subject to a liquidation, dissolution, or winding-up, the assets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7"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b w:val="1"/>
          <w:bCs w:val="1"/>
          <w:i w:val="1"/>
          <w:iCs w:val="1"/>
          <w:color w:val="auto"/>
        </w:rPr>
        <w:t xml:space="preserve">Treatment of Common Stock in Reclassifications and Mergers. </w:t>
      </w:r>
      <w:r>
        <w:rPr>
          <w:rFonts w:ascii="Arial" w:cs="Arial" w:eastAsia="Arial" w:hAnsi="Arial"/>
          <w:sz w:val="18"/>
          <w:szCs w:val="18"/>
          <w:color w:val="auto"/>
        </w:rPr>
        <w:t>The affirmative vote of the holders of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201"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upon the consummation of such merger or consolidation, holders of each class of common stock will receive (or be entitled to receive) the same per share consideration in the merger.</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Stock</w:t>
      </w:r>
    </w:p>
    <w:p>
      <w:pPr>
        <w:sectPr>
          <w:pgSz w:w="11900" w:h="16838" w:orient="portrait"/>
          <w:cols w:equalWidth="0" w:num="1">
            <w:col w:w="11060"/>
          </w:cols>
          <w:pgMar w:left="320" w:top="456" w:right="519" w:bottom="1440" w:gutter="0" w:footer="0" w:header="0"/>
        </w:sect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will be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80" w:hanging="740"/>
        <w:spacing w:after="0" w:line="239" w:lineRule="auto"/>
        <w:rPr>
          <w:sz w:val="20"/>
          <w:szCs w:val="20"/>
          <w:color w:val="auto"/>
        </w:rPr>
      </w:pPr>
      <w:r>
        <w:rPr>
          <w:rFonts w:ascii="Arial" w:cs="Arial" w:eastAsia="Arial" w:hAnsi="Arial"/>
          <w:sz w:val="18"/>
          <w:szCs w:val="18"/>
          <w:color w:val="auto"/>
        </w:rPr>
        <w:t>Upon the consummation of this offering and pursuant to our Amended Charter, the total of our authorized shares of preferred stock shares. Upon the consummation of this offering, we will have no shares of preferred stock outstanding.</w:t>
      </w:r>
    </w:p>
    <w:p>
      <w:pPr>
        <w:spacing w:after="0" w:line="200" w:lineRule="exact"/>
        <w:rPr>
          <w:sz w:val="20"/>
          <w:szCs w:val="20"/>
          <w:color w:val="auto"/>
        </w:rPr>
      </w:pPr>
    </w:p>
    <w:p>
      <w:pPr>
        <w:sectPr>
          <w:pgSz w:w="11900" w:h="16838" w:orient="portrait"/>
          <w:cols w:equalWidth="0" w:num="2">
            <w:col w:w="740" w:space="720"/>
            <w:col w:w="9600"/>
          </w:cols>
          <w:pgMar w:left="320" w:top="456" w:right="519" w:bottom="1440" w:gutter="0" w:footer="0" w:header="0"/>
          <w:type w:val="continuous"/>
        </w:sectPr>
      </w:pPr>
    </w:p>
    <w:p>
      <w:pPr>
        <w:spacing w:after="0" w:line="2"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80" w:firstLine="545"/>
        <w:spacing w:after="0" w:line="249"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Options</w:t>
      </w:r>
    </w:p>
    <w:p>
      <w:pPr>
        <w:sectPr>
          <w:pgSz w:w="11900" w:h="16838" w:orient="portrait"/>
          <w:cols w:equalWidth="0" w:num="1">
            <w:col w:w="11040"/>
          </w:cols>
          <w:pgMar w:left="320" w:top="456" w:right="539" w:bottom="1440" w:gutter="0" w:footer="0" w:header="0"/>
        </w:sect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1420" w:firstLine="604"/>
        <w:spacing w:after="0" w:line="239" w:lineRule="auto"/>
        <w:rPr>
          <w:sz w:val="20"/>
          <w:szCs w:val="20"/>
          <w:color w:val="auto"/>
        </w:rPr>
      </w:pPr>
      <w:r>
        <w:rPr>
          <w:rFonts w:ascii="Arial" w:cs="Arial" w:eastAsia="Arial" w:hAnsi="Arial"/>
          <w:sz w:val="18"/>
          <w:szCs w:val="18"/>
          <w:color w:val="auto"/>
        </w:rPr>
        <w:t>, 2021, we had outstanding options under our 2009 Plan and 2019 Plan to purchase an aggregate shares of our Class A common stock, with a weighted-average exercise price of $ per share.</w:t>
      </w:r>
    </w:p>
    <w:p>
      <w:pPr>
        <w:spacing w:after="0" w:line="200" w:lineRule="exact"/>
        <w:rPr>
          <w:sz w:val="20"/>
          <w:szCs w:val="20"/>
          <w:color w:val="auto"/>
        </w:rPr>
      </w:pPr>
    </w:p>
    <w:p>
      <w:pPr>
        <w:sectPr>
          <w:pgSz w:w="11900" w:h="16838" w:orient="portrait"/>
          <w:cols w:equalWidth="0" w:num="3">
            <w:col w:w="320" w:space="400"/>
            <w:col w:w="400" w:space="200"/>
            <w:col w:w="9720"/>
          </w:cols>
          <w:pgMar w:left="320" w:top="456" w:right="539" w:bottom="1440" w:gutter="0" w:footer="0" w:header="0"/>
          <w:type w:val="continuous"/>
        </w:sectPr>
      </w:pPr>
    </w:p>
    <w:p>
      <w:pPr>
        <w:spacing w:after="0" w:line="8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Restricted Stock Units</w:t>
      </w:r>
    </w:p>
    <w:p>
      <w:pPr>
        <w:sectPr>
          <w:pgSz w:w="11900" w:h="16838" w:orient="portrait"/>
          <w:cols w:equalWidth="0" w:num="1">
            <w:col w:w="11040"/>
          </w:cols>
          <w:pgMar w:left="320" w:top="456" w:right="539" w:bottom="1440" w:gutter="0" w:footer="0" w:header="0"/>
          <w:type w:val="continuous"/>
        </w:sectPr>
      </w:pPr>
    </w:p>
    <w:p>
      <w:pPr>
        <w:spacing w:after="0" w:line="13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 2021, we had</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A common stock subject to outstanding RSUs under our 2019 Plan.</w:t>
      </w:r>
    </w:p>
    <w:p>
      <w:pPr>
        <w:spacing w:after="0" w:line="200" w:lineRule="exact"/>
        <w:rPr>
          <w:sz w:val="20"/>
          <w:szCs w:val="20"/>
          <w:color w:val="auto"/>
        </w:rPr>
      </w:pPr>
    </w:p>
    <w:p>
      <w:pPr>
        <w:sectPr>
          <w:pgSz w:w="11900" w:h="16838" w:orient="portrait"/>
          <w:cols w:equalWidth="0" w:num="3">
            <w:col w:w="1200" w:space="720"/>
            <w:col w:w="1240" w:space="720"/>
            <w:col w:w="7160"/>
          </w:cols>
          <w:pgMar w:left="320" w:top="456" w:right="539" w:bottom="1440" w:gutter="0" w:footer="0" w:header="0"/>
          <w:type w:val="continuous"/>
        </w:sectPr>
      </w:pP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Warrants</w:t>
      </w:r>
    </w:p>
    <w:p>
      <w:pPr>
        <w:spacing w:after="0" w:line="122"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As of , 2021, there were warrants to purchase shares of Class A common stock and shares of Series preferred stock. Upon the consummation of this offering, certain warrants may remain outstanding. The warrants to purchase the Series preferred stock, if outstanding upon the closing of this offering, shall become warrants to purchase shares of common stock into which each share of Series preferred stock is convertible at the time of such exercise.</w:t>
      </w:r>
    </w:p>
    <w:p>
      <w:pPr>
        <w:sectPr>
          <w:pgSz w:w="11900" w:h="16838" w:orient="portrait"/>
          <w:cols w:equalWidth="0" w:num="1">
            <w:col w:w="11040"/>
          </w:cols>
          <w:pgMar w:left="320" w:top="456" w:right="539" w:bottom="1440" w:gutter="0" w:footer="0" w:header="0"/>
          <w:type w:val="continuous"/>
        </w:sect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2"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The Investors’ Rights Agreement to which we are party provides certain holders of our capital stock registration rights as set forth below. The registration of shares of our capital stock by the exercise of registration rights described below would enable the holders to sell these shares without restriction under the Securities Act when the applicable registration statement is declared effective. The Investors’ Rights Agreement requires that we pay the registration expenses, other than underwriting discounts and commissions and applicable transfer taxes, of the shares registered by the demand, piggyback and Form S-3 registrations described below.</w:t>
      </w:r>
    </w:p>
    <w:p>
      <w:pPr>
        <w:spacing w:after="0" w:line="202" w:lineRule="exact"/>
        <w:rPr>
          <w:sz w:val="20"/>
          <w:szCs w:val="20"/>
          <w:color w:val="auto"/>
        </w:rPr>
      </w:pPr>
    </w:p>
    <w:p>
      <w:pPr>
        <w:ind w:left="180" w:right="160" w:firstLine="545"/>
        <w:spacing w:after="0" w:line="236" w:lineRule="auto"/>
        <w:rPr>
          <w:sz w:val="20"/>
          <w:szCs w:val="20"/>
          <w:color w:val="auto"/>
        </w:rPr>
      </w:pPr>
      <w:r>
        <w:rPr>
          <w:rFonts w:ascii="Arial" w:cs="Arial" w:eastAsia="Arial" w:hAnsi="Arial"/>
          <w:sz w:val="18"/>
          <w:szCs w:val="18"/>
          <w:color w:val="auto"/>
        </w:rPr>
        <w:t>The demand, piggyback and Form S-3 registration rights described below will expire, with respect to any particular stockholder, upon the earliest of (i) such time after the effectiveness of the registration statement of which this prospectus forms a part that such stockholder (a) owns less than 1% of the common stock on an as-converted basis and (b) can sell all of its shares entitled to registration rights under Rule 144 of the Securities Act and (ii) a liquidation event.</w:t>
      </w:r>
    </w:p>
    <w:p>
      <w:pPr>
        <w:spacing w:after="0" w:line="179" w:lineRule="exact"/>
        <w:rPr>
          <w:sz w:val="20"/>
          <w:szCs w:val="20"/>
          <w:color w:val="auto"/>
        </w:rPr>
      </w:pPr>
    </w:p>
    <w:p>
      <w:pPr>
        <w:ind w:left="180" w:right="120" w:firstLine="545"/>
        <w:spacing w:after="0"/>
        <w:rPr>
          <w:sz w:val="20"/>
          <w:szCs w:val="20"/>
          <w:color w:val="auto"/>
        </w:rPr>
      </w:pPr>
      <w:r>
        <w:rPr>
          <w:rFonts w:ascii="Arial" w:cs="Arial" w:eastAsia="Arial" w:hAnsi="Arial"/>
          <w:sz w:val="18"/>
          <w:szCs w:val="18"/>
          <w:b w:val="1"/>
          <w:bCs w:val="1"/>
          <w:i w:val="1"/>
          <w:iCs w:val="1"/>
          <w:color w:val="auto"/>
        </w:rPr>
        <w:t xml:space="preserve">Demand Registration Rights. </w:t>
      </w:r>
      <w:r>
        <w:rPr>
          <w:rFonts w:ascii="Arial" w:cs="Arial" w:eastAsia="Arial" w:hAnsi="Arial"/>
          <w:sz w:val="18"/>
          <w:szCs w:val="18"/>
          <w:color w:val="auto"/>
        </w:rPr>
        <w:t>Subject to certain exceptions, at any time beginning six months after the closing date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upon election by one or more holders holding at least 20% of the registrable securities held by such holders, certain holders will be entitled to certain demand registration rights. At any time after the earlier of March 31, 2022 or 120 days after the closing of this offering, holders of these shares may request by written notice that we register all or a portion of the registrable shares. We are obligated to effect only three such registrations. Each request for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40"/>
          </w:cols>
          <w:pgMar w:left="320" w:top="456" w:right="53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160"/>
        <w:spacing w:after="0" w:line="239" w:lineRule="auto"/>
        <w:rPr>
          <w:sz w:val="20"/>
          <w:szCs w:val="20"/>
          <w:color w:val="auto"/>
        </w:rPr>
      </w:pPr>
      <w:r>
        <w:rPr>
          <w:rFonts w:ascii="Arial" w:cs="Arial" w:eastAsia="Arial" w:hAnsi="Arial"/>
          <w:sz w:val="18"/>
          <w:szCs w:val="18"/>
          <w:color w:val="auto"/>
        </w:rPr>
        <w:t>registration must cover at least the number of securities as would have a reasonably anticipated aggregate value, based on market price of fair market value on the date of such request, of $15 million.</w:t>
      </w:r>
    </w:p>
    <w:p>
      <w:pPr>
        <w:spacing w:after="0" w:line="180" w:lineRule="exact"/>
        <w:rPr>
          <w:sz w:val="20"/>
          <w:szCs w:val="20"/>
          <w:color w:val="auto"/>
        </w:rPr>
      </w:pPr>
    </w:p>
    <w:p>
      <w:pPr>
        <w:ind w:left="180" w:right="60" w:firstLine="545"/>
        <w:spacing w:after="0" w:line="237" w:lineRule="auto"/>
        <w:rPr>
          <w:sz w:val="20"/>
          <w:szCs w:val="20"/>
          <w:color w:val="auto"/>
        </w:rPr>
      </w:pPr>
      <w:r>
        <w:rPr>
          <w:rFonts w:ascii="Arial" w:cs="Arial" w:eastAsia="Arial" w:hAnsi="Arial"/>
          <w:sz w:val="18"/>
          <w:szCs w:val="18"/>
          <w:b w:val="1"/>
          <w:bCs w:val="1"/>
          <w:i w:val="1"/>
          <w:iCs w:val="1"/>
          <w:color w:val="auto"/>
        </w:rPr>
        <w:t xml:space="preserve">Piggyback Registration Rights. </w:t>
      </w:r>
      <w:r>
        <w:rPr>
          <w:rFonts w:ascii="Arial" w:cs="Arial" w:eastAsia="Arial" w:hAnsi="Arial"/>
          <w:sz w:val="18"/>
          <w:szCs w:val="18"/>
          <w:color w:val="auto"/>
        </w:rPr>
        <w:t>After the closing date of this offering, in the event that we propose to register any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under the Securities Act, either for our own account or for the account of other security holders, in connection with such offering certain holders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82" w:lineRule="exact"/>
        <w:rPr>
          <w:sz w:val="20"/>
          <w:szCs w:val="20"/>
          <w:color w:val="auto"/>
        </w:rPr>
      </w:pPr>
    </w:p>
    <w:p>
      <w:pPr>
        <w:ind w:left="180" w:right="20" w:firstLine="545"/>
        <w:spacing w:after="0"/>
        <w:rPr>
          <w:sz w:val="20"/>
          <w:szCs w:val="20"/>
          <w:color w:val="auto"/>
        </w:rPr>
      </w:pPr>
      <w:r>
        <w:rPr>
          <w:rFonts w:ascii="Arial" w:cs="Arial" w:eastAsia="Arial" w:hAnsi="Arial"/>
          <w:sz w:val="18"/>
          <w:szCs w:val="18"/>
          <w:b w:val="1"/>
          <w:bCs w:val="1"/>
          <w:i w:val="1"/>
          <w:iCs w:val="1"/>
          <w:color w:val="auto"/>
        </w:rPr>
        <w:t xml:space="preserve">Form S-3 Registration Rights. </w:t>
      </w:r>
      <w:r>
        <w:rPr>
          <w:rFonts w:ascii="Arial" w:cs="Arial" w:eastAsia="Arial" w:hAnsi="Arial"/>
          <w:sz w:val="18"/>
          <w:szCs w:val="18"/>
          <w:color w:val="auto"/>
        </w:rPr>
        <w:t>Subject to certain exceptions, holders of at least 10% of the registrable securities held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will not be required to effect more than two registrations on Form S-3 within any 12-month period.</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2"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Our Amended Charter will provide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207"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and our Amended Charter will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will be enforced by a court in those other jurisdictions.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300" w:firstLine="545"/>
        <w:spacing w:after="0" w:line="235" w:lineRule="auto"/>
        <w:rPr>
          <w:sz w:val="20"/>
          <w:szCs w:val="20"/>
          <w:color w:val="auto"/>
        </w:rPr>
      </w:pPr>
      <w:r>
        <w:rPr>
          <w:rFonts w:ascii="Arial" w:cs="Arial" w:eastAsia="Arial" w:hAnsi="Arial"/>
          <w:sz w:val="18"/>
          <w:szCs w:val="18"/>
          <w:color w:val="auto"/>
        </w:rPr>
        <w:t>Moreover, Section 27 of the Exchange Act creates exclusive federal jurisdiction over all claims brought to enforce any duty or liability created by the Exchange Act or the rules and regulations thereunder and our Amended Charter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202"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color w:val="auto"/>
        </w:rPr>
        <w:t>Additionally, our Amended Charter will provide that any person or entity holding, owning, or otherwise acquiring any interest in any of our securities shall be deemed to have notice of and consented to these provisions.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22"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Our Amended Charter and Amended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0" w:lineRule="exact"/>
        <w:rPr>
          <w:sz w:val="20"/>
          <w:szCs w:val="20"/>
          <w:color w:val="auto"/>
        </w:rPr>
      </w:pPr>
    </w:p>
    <w:p>
      <w:pPr>
        <w:ind w:left="720"/>
        <w:spacing w:after="0"/>
        <w:tabs>
          <w:tab w:leader="none" w:pos="3700" w:val="left"/>
        </w:tabs>
        <w:rPr>
          <w:sz w:val="20"/>
          <w:szCs w:val="20"/>
          <w:color w:val="auto"/>
        </w:rPr>
      </w:pPr>
      <w:r>
        <w:rPr>
          <w:rFonts w:ascii="Arial" w:cs="Arial" w:eastAsia="Arial" w:hAnsi="Arial"/>
          <w:sz w:val="18"/>
          <w:szCs w:val="18"/>
          <w:b w:val="1"/>
          <w:bCs w:val="1"/>
          <w:i w:val="1"/>
          <w:iCs w:val="1"/>
          <w:color w:val="auto"/>
        </w:rPr>
        <w:t>Authorized but Unissued Shares.</w:t>
      </w:r>
      <w:r>
        <w:rPr>
          <w:sz w:val="20"/>
          <w:szCs w:val="20"/>
          <w:color w:val="auto"/>
        </w:rPr>
        <w:tab/>
      </w:r>
      <w:r>
        <w:rPr>
          <w:rFonts w:ascii="Arial" w:cs="Arial" w:eastAsia="Arial" w:hAnsi="Arial"/>
          <w:sz w:val="17"/>
          <w:szCs w:val="17"/>
          <w:color w:val="auto"/>
        </w:rPr>
        <w:t>The authorized but unissued shares of our common stock and our preferred stock are</w:t>
      </w:r>
    </w:p>
    <w:p>
      <w:pPr>
        <w:spacing w:after="0" w:line="15" w:lineRule="exact"/>
        <w:rPr>
          <w:sz w:val="20"/>
          <w:szCs w:val="20"/>
          <w:color w:val="auto"/>
        </w:rPr>
      </w:pPr>
    </w:p>
    <w:p>
      <w:pPr>
        <w:ind w:left="180" w:right="120"/>
        <w:spacing w:after="0" w:line="236" w:lineRule="auto"/>
        <w:rPr>
          <w:sz w:val="20"/>
          <w:szCs w:val="20"/>
          <w:color w:val="auto"/>
        </w:rPr>
      </w:pPr>
      <w:r>
        <w:rPr>
          <w:rFonts w:ascii="Arial" w:cs="Arial" w:eastAsia="Arial" w:hAnsi="Arial"/>
          <w:sz w:val="18"/>
          <w:szCs w:val="18"/>
          <w:color w:val="auto"/>
        </w:rPr>
        <w:t>available for future issuance without stockholder approval, subject to any limitations imposed by the listing standards of the .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79" w:lineRule="exact"/>
        <w:rPr>
          <w:sz w:val="20"/>
          <w:szCs w:val="20"/>
          <w:color w:val="auto"/>
        </w:rPr>
      </w:pPr>
    </w:p>
    <w:p>
      <w:pPr>
        <w:ind w:left="180" w:right="100" w:firstLine="545"/>
        <w:spacing w:after="0"/>
        <w:rPr>
          <w:sz w:val="20"/>
          <w:szCs w:val="20"/>
          <w:color w:val="auto"/>
        </w:rPr>
      </w:pPr>
      <w:r>
        <w:rPr>
          <w:rFonts w:ascii="Arial" w:cs="Arial" w:eastAsia="Arial" w:hAnsi="Arial"/>
          <w:sz w:val="18"/>
          <w:szCs w:val="18"/>
          <w:b w:val="1"/>
          <w:bCs w:val="1"/>
          <w:i w:val="1"/>
          <w:iCs w:val="1"/>
          <w:color w:val="auto"/>
        </w:rPr>
        <w:t xml:space="preserve">Dual Class Stock. </w:t>
      </w:r>
      <w:r>
        <w:rPr>
          <w:rFonts w:ascii="Arial" w:cs="Arial" w:eastAsia="Arial" w:hAnsi="Arial"/>
          <w:sz w:val="18"/>
          <w:szCs w:val="18"/>
          <w:color w:val="auto"/>
        </w:rPr>
        <w:t>As described above in “—Common Stock—Voting Rights,” our Amended Charter will provide for a dual 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 which 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81" w:lineRule="exact"/>
        <w:rPr>
          <w:sz w:val="20"/>
          <w:szCs w:val="20"/>
          <w:color w:val="auto"/>
        </w:rPr>
      </w:pPr>
    </w:p>
    <w:p>
      <w:pPr>
        <w:ind w:left="180" w:right="20" w:firstLine="545"/>
        <w:spacing w:after="0" w:line="239" w:lineRule="auto"/>
        <w:rPr>
          <w:sz w:val="20"/>
          <w:szCs w:val="20"/>
          <w:color w:val="auto"/>
        </w:rPr>
      </w:pPr>
      <w:r>
        <w:rPr>
          <w:rFonts w:ascii="Arial" w:cs="Arial" w:eastAsia="Arial" w:hAnsi="Arial"/>
          <w:sz w:val="18"/>
          <w:szCs w:val="18"/>
          <w:b w:val="1"/>
          <w:bCs w:val="1"/>
          <w:i w:val="1"/>
          <w:iCs w:val="1"/>
          <w:color w:val="auto"/>
        </w:rPr>
        <w:t xml:space="preserve">Classified Board of Directors. </w:t>
      </w:r>
      <w:r>
        <w:rPr>
          <w:rFonts w:ascii="Arial" w:cs="Arial" w:eastAsia="Arial" w:hAnsi="Arial"/>
          <w:sz w:val="18"/>
          <w:szCs w:val="18"/>
          <w:color w:val="auto"/>
        </w:rPr>
        <w:t>Our Amended Charter will provide that our board of directors will be divided into three classes,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number of directors in each class being as nearly equal in number as possible. The directors in each class will serve for a three-year term, one class being elected each year by our stockholders, with staggered three-year terms. Our Amended Charter will provide that directors may only be removed from our board of directors for cause by the affirmative vote of a majority of the shares entitled to vote generally in the election of directors. See “Management—Composition of our Board of Directors.” These provisions may have the effect of deferring, delaying or discouraging hostile takeovers, or changes in control of us or our management.</w:t>
      </w:r>
    </w:p>
    <w:p>
      <w:pPr>
        <w:spacing w:after="0" w:line="179" w:lineRule="exact"/>
        <w:rPr>
          <w:sz w:val="20"/>
          <w:szCs w:val="20"/>
          <w:color w:val="auto"/>
        </w:rPr>
      </w:pPr>
    </w:p>
    <w:p>
      <w:pPr>
        <w:ind w:left="180" w:firstLine="545"/>
        <w:spacing w:after="0" w:line="238" w:lineRule="auto"/>
        <w:rPr>
          <w:sz w:val="20"/>
          <w:szCs w:val="20"/>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Charter will provide that our stockholders may not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will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6"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In addition, our Amended Bylaws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an advance notice procedure for stockholder proposals or nominations to be brought before a meeting of stockholders. In order for any matter to be “properly brought” before a meeting, a stockholder will have to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85" w:lineRule="exact"/>
        <w:rPr>
          <w:sz w:val="20"/>
          <w:szCs w:val="20"/>
          <w:color w:val="auto"/>
        </w:rPr>
      </w:pPr>
    </w:p>
    <w:p>
      <w:pPr>
        <w:ind w:left="180" w:right="100" w:firstLine="545"/>
        <w:spacing w:after="0" w:line="237" w:lineRule="auto"/>
        <w:rPr>
          <w:sz w:val="20"/>
          <w:szCs w:val="20"/>
          <w:color w:val="auto"/>
        </w:rPr>
      </w:pPr>
      <w:r>
        <w:rPr>
          <w:rFonts w:ascii="Arial" w:cs="Arial" w:eastAsia="Arial" w:hAnsi="Arial"/>
          <w:sz w:val="18"/>
          <w:szCs w:val="18"/>
          <w:b w:val="1"/>
          <w:bCs w:val="1"/>
          <w:i w:val="1"/>
          <w:iCs w:val="1"/>
          <w:color w:val="auto"/>
        </w:rPr>
        <w:t xml:space="preserve">Amendment of Certificate of Incorporation or Bylaws. </w:t>
      </w:r>
      <w:r>
        <w:rPr>
          <w:rFonts w:ascii="Arial" w:cs="Arial" w:eastAsia="Arial" w:hAnsi="Arial"/>
          <w:sz w:val="18"/>
          <w:szCs w:val="18"/>
          <w:color w:val="auto"/>
        </w:rPr>
        <w:t>Our Amended Bylaws may be amended or repealed by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or by the affirmative vote of a majority of the votes which all our stockholders would be eligible to cast in an election of directors. Generally, the approval by our board of directors and the affirmative vote of the holders of a majority in voting power of the outstanding shares entitled to vote thereon would be required to amend our Amended Charter. In addition, any amendment of our Amended Charter that gives holders of our Class B common stock (1) any additional rights to receive dividends or any other kind of distribution, (2) any additional right to convert into or be exchanged for Class A common stock or (3) any other additional economic rights will require, in addition to any other stockholder approval required by applicable law or the Amended Charter, the affirmative vote of the holders of our Class A common stock voting separately as a class.</w:t>
      </w:r>
    </w:p>
    <w:p>
      <w:pPr>
        <w:spacing w:after="0" w:line="182" w:lineRule="exact"/>
        <w:rPr>
          <w:sz w:val="20"/>
          <w:szCs w:val="20"/>
          <w:color w:val="auto"/>
        </w:rPr>
      </w:pPr>
    </w:p>
    <w:p>
      <w:pPr>
        <w:ind w:left="180" w:right="240" w:firstLine="545"/>
        <w:spacing w:after="0" w:line="238" w:lineRule="auto"/>
        <w:rPr>
          <w:sz w:val="20"/>
          <w:szCs w:val="20"/>
          <w:color w:val="auto"/>
        </w:rPr>
      </w:pPr>
      <w:r>
        <w:rPr>
          <w:rFonts w:ascii="Arial" w:cs="Arial" w:eastAsia="Arial" w:hAnsi="Arial"/>
          <w:sz w:val="18"/>
          <w:szCs w:val="18"/>
          <w:b w:val="1"/>
          <w:bCs w:val="1"/>
          <w:i w:val="1"/>
          <w:iCs w:val="1"/>
          <w:color w:val="auto"/>
        </w:rPr>
        <w:t xml:space="preserve">Section 203 of the DGCL. </w:t>
      </w:r>
      <w:r>
        <w:rPr>
          <w:rFonts w:ascii="Arial" w:cs="Arial" w:eastAsia="Arial" w:hAnsi="Arial"/>
          <w:sz w:val="18"/>
          <w:szCs w:val="18"/>
          <w:color w:val="auto"/>
        </w:rPr>
        <w:t>We will opt out of Section 203 of the DGCL. However, our Amended Charter will contain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202" w:lineRule="exact"/>
        <w:rPr>
          <w:sz w:val="20"/>
          <w:szCs w:val="20"/>
          <w:color w:val="auto"/>
        </w:rPr>
      </w:pPr>
    </w:p>
    <w:p>
      <w:pPr>
        <w:ind w:left="180" w:right="400" w:firstLine="545"/>
        <w:spacing w:after="0" w:line="237" w:lineRule="auto"/>
        <w:rPr>
          <w:sz w:val="20"/>
          <w:szCs w:val="20"/>
          <w:color w:val="auto"/>
        </w:rPr>
      </w:pPr>
      <w:r>
        <w:rPr>
          <w:rFonts w:ascii="Arial" w:cs="Arial" w:eastAsia="Arial" w:hAnsi="Arial"/>
          <w:sz w:val="18"/>
          <w:szCs w:val="18"/>
          <w:color w:val="auto"/>
        </w:rPr>
        <w:t>However, under our Amended Charter, and any of their respective affiliates will be deemed to not be interested stockholders regardless of the percentage of our outstanding voting stock owned by them, and accordingly will not be subject to such restrictions.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Opportunity Doctrine</w:t>
      </w:r>
    </w:p>
    <w:p>
      <w:pPr>
        <w:spacing w:after="0" w:line="122" w:lineRule="exact"/>
        <w:rPr>
          <w:sz w:val="20"/>
          <w:szCs w:val="20"/>
          <w:color w:val="auto"/>
        </w:rPr>
      </w:pPr>
    </w:p>
    <w:p>
      <w:pPr>
        <w:ind w:left="180" w:right="60" w:firstLine="545"/>
        <w:spacing w:after="0" w:line="234" w:lineRule="auto"/>
        <w:rPr>
          <w:sz w:val="20"/>
          <w:szCs w:val="20"/>
          <w:color w:val="auto"/>
        </w:rPr>
      </w:pPr>
      <w:r>
        <w:rPr>
          <w:rFonts w:ascii="Arial" w:cs="Arial" w:eastAsia="Arial" w:hAnsi="Arial"/>
          <w:sz w:val="18"/>
          <w:szCs w:val="18"/>
          <w:color w:val="auto"/>
        </w:rPr>
        <w:t>Our Amended Charter will provide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(i) any director who is not an employee of Rent the Runway or any of its subsidiaries or (ii) any holder of preferred stock or any partner, member, director, stockholder, employee or agent of any such holder, other than someone who is an employee of Rent the Runway or any of its subsidiaries, or collectively, Covered Persons, unless such matter, transaction or interest is presented to, or acquired, created or developed by, or otherwise comes into the possession of, a Covered Person expressly and solely in such Covered Person’s capacity as a director.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6" w:right="5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22"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Rent the Runway. Pursuant to Section 262 of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22" w:lineRule="exact"/>
        <w:rPr>
          <w:sz w:val="20"/>
          <w:szCs w:val="20"/>
          <w:color w:val="auto"/>
        </w:rPr>
      </w:pPr>
    </w:p>
    <w:p>
      <w:pPr>
        <w:jc w:val="both"/>
        <w:ind w:left="180" w:right="400" w:firstLine="545"/>
        <w:spacing w:after="0" w:line="237"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22" w:lineRule="exact"/>
        <w:rPr>
          <w:sz w:val="20"/>
          <w:szCs w:val="20"/>
          <w:color w:val="auto"/>
        </w:rPr>
      </w:pPr>
    </w:p>
    <w:p>
      <w:pPr>
        <w:ind w:left="720"/>
        <w:spacing w:after="0"/>
        <w:tabs>
          <w:tab w:leader="none" w:pos="6580" w:val="left"/>
        </w:tabs>
        <w:rPr>
          <w:sz w:val="20"/>
          <w:szCs w:val="20"/>
          <w:color w:val="auto"/>
        </w:rPr>
      </w:pPr>
      <w:r>
        <w:rPr>
          <w:rFonts w:ascii="Arial" w:cs="Arial" w:eastAsia="Arial" w:hAnsi="Arial"/>
          <w:sz w:val="18"/>
          <w:szCs w:val="18"/>
          <w:color w:val="auto"/>
        </w:rPr>
        <w:t>The transfer agent and registrar for our Class A common stock is</w:t>
      </w:r>
      <w:r>
        <w:rPr>
          <w:sz w:val="20"/>
          <w:szCs w:val="20"/>
          <w:color w:val="auto"/>
        </w:rPr>
        <w:tab/>
      </w:r>
      <w:r>
        <w:rPr>
          <w:rFonts w:ascii="Arial" w:cs="Arial" w:eastAsia="Arial" w:hAnsi="Arial"/>
          <w:sz w:val="18"/>
          <w:szCs w:val="18"/>
          <w:color w:val="auto"/>
        </w:rPr>
        <w:t>.</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Trading Symbol and Market</w:t>
      </w:r>
    </w:p>
    <w:p>
      <w:pPr>
        <w:spacing w:after="0" w:line="122" w:lineRule="exact"/>
        <w:rPr>
          <w:sz w:val="20"/>
          <w:szCs w:val="20"/>
          <w:color w:val="auto"/>
        </w:rPr>
      </w:pPr>
    </w:p>
    <w:p>
      <w:pPr>
        <w:ind w:left="720"/>
        <w:spacing w:after="0"/>
        <w:tabs>
          <w:tab w:leader="none" w:pos="6120" w:val="left"/>
          <w:tab w:leader="none" w:pos="840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6"/>
          <w:szCs w:val="16"/>
          <w:color w:val="auto"/>
        </w:rPr>
        <w:t>.”</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60"/>
          </w:cols>
          <w:pgMar w:left="320" w:top="456"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80" w:right="60" w:firstLine="545"/>
        <w:spacing w:after="0" w:line="246" w:lineRule="auto"/>
        <w:rPr>
          <w:sz w:val="20"/>
          <w:szCs w:val="20"/>
          <w:color w:val="auto"/>
        </w:rPr>
      </w:pPr>
      <w:r>
        <w:rPr>
          <w:rFonts w:ascii="Arial" w:cs="Arial" w:eastAsia="Arial" w:hAnsi="Arial"/>
          <w:sz w:val="17"/>
          <w:szCs w:val="17"/>
          <w:color w:val="auto"/>
        </w:rPr>
        <w:t>Immediately prior to this offering, there was no public market for our Class A common stock. Future sales of substantial amounts of Class A common stock in the public market, or the perception that such sales may occur, could adversely affect the market price of our</w:t>
      </w:r>
    </w:p>
    <w:p>
      <w:pPr>
        <w:ind w:left="180" w:right="180"/>
        <w:spacing w:after="0" w:line="239" w:lineRule="auto"/>
        <w:rPr>
          <w:sz w:val="20"/>
          <w:szCs w:val="20"/>
          <w:color w:val="auto"/>
        </w:rPr>
      </w:pPr>
      <w:r>
        <w:rPr>
          <w:rFonts w:ascii="Arial" w:cs="Arial" w:eastAsia="Arial" w:hAnsi="Arial"/>
          <w:sz w:val="18"/>
          <w:szCs w:val="18"/>
          <w:color w:val="auto"/>
        </w:rPr>
        <w:t>Class A common stock. Although we have applied to have our Class A common stock listed on the , we cannot assure you that there will be an active public market for our Class A common stock.</w:t>
      </w:r>
    </w:p>
    <w:p>
      <w:pPr>
        <w:spacing w:after="0" w:line="202" w:lineRule="exact"/>
        <w:rPr>
          <w:sz w:val="20"/>
          <w:szCs w:val="20"/>
          <w:color w:val="auto"/>
        </w:rPr>
      </w:pPr>
    </w:p>
    <w:p>
      <w:pPr>
        <w:ind w:left="180" w:firstLine="545"/>
        <w:spacing w:after="0" w:line="232" w:lineRule="auto"/>
        <w:rPr>
          <w:sz w:val="20"/>
          <w:szCs w:val="20"/>
          <w:color w:val="auto"/>
        </w:rPr>
      </w:pPr>
      <w:r>
        <w:rPr>
          <w:rFonts w:ascii="Arial" w:cs="Arial" w:eastAsia="Arial" w:hAnsi="Arial"/>
          <w:sz w:val="18"/>
          <w:szCs w:val="18"/>
          <w:color w:val="auto"/>
        </w:rPr>
        <w:t>Upon the closing of this offering, we will have outstanding an aggregate of shares of Class A common stock, assuming the issuance of shares of Class A common stock offered by us in this offering. Of these shares, all shares sold in this offering will be</w:t>
      </w:r>
    </w:p>
    <w:p>
      <w:pPr>
        <w:spacing w:after="0" w:line="1" w:lineRule="exact"/>
        <w:rPr>
          <w:sz w:val="20"/>
          <w:szCs w:val="20"/>
          <w:color w:val="auto"/>
        </w:rPr>
      </w:pPr>
    </w:p>
    <w:p>
      <w:pPr>
        <w:ind w:left="180"/>
        <w:spacing w:after="0" w:line="237" w:lineRule="auto"/>
        <w:rPr>
          <w:sz w:val="20"/>
          <w:szCs w:val="20"/>
          <w:color w:val="auto"/>
        </w:rPr>
      </w:pPr>
      <w:r>
        <w:rPr>
          <w:rFonts w:ascii="Arial" w:cs="Arial" w:eastAsia="Arial" w:hAnsi="Arial"/>
          <w:sz w:val="18"/>
          <w:szCs w:val="18"/>
          <w:color w:val="auto"/>
        </w:rPr>
        <w:t>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202"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color w:val="auto"/>
        </w:rPr>
        <w:t>The remaining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6" w:lineRule="exact"/>
        <w:rPr>
          <w:sz w:val="20"/>
          <w:szCs w:val="20"/>
          <w:color w:val="auto"/>
        </w:rPr>
      </w:pPr>
    </w:p>
    <w:p>
      <w:pPr>
        <w:ind w:left="720"/>
        <w:spacing w:after="0"/>
        <w:tabs>
          <w:tab w:leader="none" w:pos="9140" w:val="left"/>
        </w:tabs>
        <w:rPr>
          <w:sz w:val="20"/>
          <w:szCs w:val="20"/>
          <w:color w:val="auto"/>
        </w:rPr>
      </w:pPr>
      <w:r>
        <w:rPr>
          <w:rFonts w:ascii="Arial" w:cs="Arial" w:eastAsia="Arial" w:hAnsi="Arial"/>
          <w:sz w:val="18"/>
          <w:szCs w:val="18"/>
          <w:color w:val="auto"/>
        </w:rPr>
        <w:t>Pursuant to our Investors’ Rights Agreement, after the closing of this offering, the holders of up to</w:t>
      </w:r>
      <w:r>
        <w:rPr>
          <w:sz w:val="20"/>
          <w:szCs w:val="20"/>
          <w:color w:val="auto"/>
        </w:rPr>
        <w:tab/>
      </w:r>
      <w:r>
        <w:rPr>
          <w:rFonts w:ascii="Arial" w:cs="Arial" w:eastAsia="Arial" w:hAnsi="Arial"/>
          <w:sz w:val="17"/>
          <w:szCs w:val="17"/>
          <w:color w:val="auto"/>
        </w:rPr>
        <w:t>shares of our Class A</w:t>
      </w:r>
    </w:p>
    <w:p>
      <w:pPr>
        <w:ind w:left="180" w:right="160"/>
        <w:spacing w:after="0" w:line="235" w:lineRule="auto"/>
        <w:rPr>
          <w:sz w:val="20"/>
          <w:szCs w:val="20"/>
          <w:color w:val="auto"/>
        </w:rPr>
      </w:pPr>
      <w:r>
        <w:rPr>
          <w:rFonts w:ascii="Arial" w:cs="Arial" w:eastAsia="Arial" w:hAnsi="Arial"/>
          <w:sz w:val="18"/>
          <w:szCs w:val="18"/>
          <w:color w:val="auto"/>
        </w:rPr>
        <w:t>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Lock-Up Agreements</w:t>
      </w:r>
    </w:p>
    <w:p>
      <w:pPr>
        <w:sectPr>
          <w:pgSz w:w="11900" w:h="16838" w:orient="portrait"/>
          <w:cols w:equalWidth="0" w:num="1">
            <w:col w:w="11060"/>
          </w:cols>
          <w:pgMar w:left="320" w:top="456" w:right="519" w:bottom="1440" w:gutter="0" w:footer="0" w:header="0"/>
        </w:sect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160" w:hanging="394"/>
        <w:spacing w:after="0" w:line="267" w:lineRule="auto"/>
        <w:rPr>
          <w:sz w:val="20"/>
          <w:szCs w:val="20"/>
          <w:color w:val="auto"/>
        </w:rPr>
      </w:pPr>
      <w:r>
        <w:rPr>
          <w:rFonts w:ascii="Arial" w:cs="Arial" w:eastAsia="Arial" w:hAnsi="Arial"/>
          <w:sz w:val="17"/>
          <w:szCs w:val="17"/>
          <w:color w:val="auto"/>
        </w:rPr>
        <w:t>We, our executive officers, directors and the holders of substantially all of our outstanding stock, without the prior written consent , we and they will not, subject to certain exceptions, during the period ending days after the date of this prospectus:</w:t>
      </w:r>
    </w:p>
    <w:p>
      <w:pPr>
        <w:spacing w:after="0" w:line="86" w:lineRule="exact"/>
        <w:rPr>
          <w:sz w:val="20"/>
          <w:szCs w:val="20"/>
          <w:color w:val="auto"/>
        </w:rPr>
      </w:pPr>
    </w:p>
    <w:p>
      <w:pPr>
        <w:sectPr>
          <w:pgSz w:w="11900" w:h="16838" w:orient="portrait"/>
          <w:cols w:equalWidth="0" w:num="2">
            <w:col w:w="400" w:space="720"/>
            <w:col w:w="9940"/>
          </w:cols>
          <w:pgMar w:left="320" w:top="456" w:right="519" w:bottom="1440" w:gutter="0" w:footer="0" w:header="0"/>
          <w:type w:val="continuous"/>
        </w:sectPr>
      </w:pPr>
    </w:p>
    <w:p>
      <w:pPr>
        <w:ind w:left="920" w:right="80" w:hanging="219"/>
        <w:spacing w:after="0" w:line="236" w:lineRule="auto"/>
        <w:tabs>
          <w:tab w:leader="none" w:pos="900" w:val="left"/>
        </w:tabs>
        <w:rPr>
          <w:sz w:val="20"/>
          <w:szCs w:val="20"/>
          <w:color w:val="auto"/>
        </w:rPr>
      </w:pPr>
      <w:r>
        <w:rPr>
          <w:rFonts w:ascii="Arial" w:cs="Arial" w:eastAsia="Arial" w:hAnsi="Arial"/>
          <w:sz w:val="18"/>
          <w:szCs w:val="18"/>
          <w:color w:val="auto"/>
        </w:rPr>
        <w:t>•</w:t>
        <w:tab/>
        <w:t>offer, sell, contract to sell, pledge, grant any option to purchase, make any short sale or otherwise transfer or dispose of, directly or indirectly or publicly disclose the intention to make any offer, sale, pledge or disposition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108" w:lineRule="exact"/>
        <w:rPr>
          <w:sz w:val="20"/>
          <w:szCs w:val="20"/>
          <w:color w:val="auto"/>
        </w:rPr>
      </w:pPr>
    </w:p>
    <w:p>
      <w:pPr>
        <w:ind w:left="920" w:right="160" w:hanging="219"/>
        <w:spacing w:after="0" w:line="237" w:lineRule="auto"/>
        <w:tabs>
          <w:tab w:leader="none" w:pos="900" w:val="left"/>
        </w:tabs>
        <w:rPr>
          <w:sz w:val="20"/>
          <w:szCs w:val="20"/>
          <w:color w:val="auto"/>
        </w:rPr>
      </w:pPr>
      <w:r>
        <w:rPr>
          <w:rFonts w:ascii="Arial" w:cs="Arial" w:eastAsia="Arial" w:hAnsi="Arial"/>
          <w:sz w:val="18"/>
          <w:szCs w:val="18"/>
          <w:color w:val="auto"/>
        </w:rPr>
        <w:t>•</w:t>
        <w:tab/>
        <w:t>enter into any swap or other arrangement that transfers to another, all or a portion of the economic consequences of ownership of our Class A common stock or any securities convertible into or exercisable or exchangeable for shares of our Class A common stock,</w:t>
      </w:r>
    </w:p>
    <w:p>
      <w:pPr>
        <w:spacing w:after="0" w:line="202" w:lineRule="exact"/>
        <w:rPr>
          <w:sz w:val="20"/>
          <w:szCs w:val="20"/>
          <w:color w:val="auto"/>
        </w:rPr>
      </w:pPr>
    </w:p>
    <w:p>
      <w:pPr>
        <w:ind w:left="180" w:right="420"/>
        <w:spacing w:after="0" w:line="239" w:lineRule="auto"/>
        <w:rPr>
          <w:sz w:val="20"/>
          <w:szCs w:val="20"/>
          <w:color w:val="auto"/>
        </w:rPr>
      </w:pPr>
      <w:r>
        <w:rPr>
          <w:rFonts w:ascii="Arial" w:cs="Arial" w:eastAsia="Arial" w:hAnsi="Arial"/>
          <w:sz w:val="18"/>
          <w:szCs w:val="18"/>
          <w:color w:val="auto"/>
        </w:rPr>
        <w:t>whether any transaction described above is to be settled by delivery of our Class A common stock or such other securities, in cash or otherwise.</w:t>
      </w:r>
    </w:p>
    <w:p>
      <w:pPr>
        <w:spacing w:after="0" w:line="19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have advised us that they have no present intent or arrangement to release any shares subject to a lock-up, and will</w:t>
      </w:r>
    </w:p>
    <w:p>
      <w:pPr>
        <w:ind w:left="180" w:right="200"/>
        <w:spacing w:after="0" w:line="239" w:lineRule="auto"/>
        <w:rPr>
          <w:sz w:val="20"/>
          <w:szCs w:val="20"/>
          <w:color w:val="auto"/>
        </w:rPr>
      </w:pPr>
      <w:r>
        <w:rPr>
          <w:rFonts w:ascii="Arial" w:cs="Arial" w:eastAsia="Arial" w:hAnsi="Arial"/>
          <w:sz w:val="18"/>
          <w:szCs w:val="18"/>
          <w:color w:val="auto"/>
        </w:rPr>
        <w:t>consider the release of any lock-up on a case-by-case basis. Upon a request to release any shares subject to a lock-up, would consider the particular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60"/>
          </w:cols>
          <w:pgMar w:left="320" w:top="456" w:right="51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7" w:lineRule="auto"/>
        <w:rPr>
          <w:sz w:val="20"/>
          <w:szCs w:val="20"/>
          <w:color w:val="auto"/>
        </w:rPr>
      </w:pPr>
      <w:r>
        <w:rPr>
          <w:rFonts w:ascii="Arial" w:cs="Arial" w:eastAsia="Arial" w:hAnsi="Arial"/>
          <w:sz w:val="18"/>
          <w:szCs w:val="18"/>
          <w:color w:val="auto"/>
        </w:rPr>
        <w:t>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202" w:lineRule="exact"/>
        <w:rPr>
          <w:sz w:val="20"/>
          <w:szCs w:val="20"/>
          <w:color w:val="auto"/>
        </w:rPr>
      </w:pPr>
    </w:p>
    <w:p>
      <w:pPr>
        <w:ind w:left="180" w:right="80" w:firstLine="545"/>
        <w:spacing w:after="0" w:line="239" w:lineRule="auto"/>
        <w:rPr>
          <w:sz w:val="20"/>
          <w:szCs w:val="20"/>
          <w:color w:val="auto"/>
        </w:rPr>
      </w:pPr>
      <w:r>
        <w:rPr>
          <w:rFonts w:ascii="Arial" w:cs="Arial" w:eastAsia="Arial" w:hAnsi="Arial"/>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Rule 144</w:t>
      </w:r>
    </w:p>
    <w:p>
      <w:pPr>
        <w:spacing w:after="0" w:line="100" w:lineRule="exact"/>
        <w:rPr>
          <w:sz w:val="20"/>
          <w:szCs w:val="20"/>
          <w:color w:val="auto"/>
        </w:rPr>
      </w:pPr>
    </w:p>
    <w:p>
      <w:pPr>
        <w:ind w:left="180" w:right="40" w:firstLine="545"/>
        <w:spacing w:after="0"/>
        <w:rPr>
          <w:sz w:val="20"/>
          <w:szCs w:val="20"/>
          <w:color w:val="auto"/>
        </w:rPr>
      </w:pPr>
      <w:r>
        <w:rPr>
          <w:rFonts w:ascii="Arial" w:cs="Arial" w:eastAsia="Arial" w:hAnsi="Arial"/>
          <w:sz w:val="18"/>
          <w:szCs w:val="18"/>
          <w:b w:val="1"/>
          <w:bCs w:val="1"/>
          <w:i w:val="1"/>
          <w:iCs w:val="1"/>
          <w:color w:val="auto"/>
        </w:rPr>
        <w:t xml:space="preserve">Affiliate Resales of Restricted Securities. </w:t>
      </w:r>
      <w:r>
        <w:rPr>
          <w:rFonts w:ascii="Arial" w:cs="Arial" w:eastAsia="Arial" w:hAnsi="Arial"/>
          <w:sz w:val="18"/>
          <w:szCs w:val="18"/>
          <w:color w:val="auto"/>
        </w:rPr>
        <w:t>In general, beginning 90 days after the effective date of the registration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109"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 of the number of shares of our Class A common stock then outstanding; and</w:t>
      </w:r>
    </w:p>
    <w:p>
      <w:pPr>
        <w:sectPr>
          <w:pgSz w:w="11900" w:h="16838" w:orient="portrait"/>
          <w:cols w:equalWidth="0" w:num="1">
            <w:col w:w="11080"/>
          </w:cols>
          <w:pgMar w:left="320" w:top="456" w:right="499" w:bottom="1440" w:gutter="0" w:footer="0" w:header="0"/>
        </w:sectPr>
      </w:pPr>
    </w:p>
    <w:p>
      <w:pPr>
        <w:spacing w:after="0" w:line="114" w:lineRule="exact"/>
        <w:rPr>
          <w:sz w:val="20"/>
          <w:szCs w:val="20"/>
          <w:color w:val="auto"/>
        </w:rPr>
      </w:pPr>
    </w:p>
    <w:p>
      <w:pPr>
        <w:ind w:left="920" w:right="80" w:hanging="219"/>
        <w:spacing w:after="0" w:line="239" w:lineRule="auto"/>
        <w:tabs>
          <w:tab w:leader="none" w:pos="900" w:val="left"/>
        </w:tabs>
        <w:rPr>
          <w:sz w:val="20"/>
          <w:szCs w:val="20"/>
          <w:color w:val="auto"/>
        </w:rPr>
      </w:pPr>
      <w:r>
        <w:rPr>
          <w:rFonts w:ascii="Arial" w:cs="Arial" w:eastAsia="Arial" w:hAnsi="Arial"/>
          <w:sz w:val="18"/>
          <w:szCs w:val="18"/>
          <w:color w:val="auto"/>
        </w:rPr>
        <w:t>•</w:t>
        <w:tab/>
        <w:t>the average weekly trading volume in our Class A common stock on the filing of a notice on Form 144 with respect to such sale.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 calendar weeks preceding the</w:t>
      </w:r>
    </w:p>
    <w:p>
      <w:pPr>
        <w:spacing w:after="0" w:line="416" w:lineRule="exact"/>
        <w:rPr>
          <w:sz w:val="20"/>
          <w:szCs w:val="20"/>
          <w:color w:val="auto"/>
        </w:rPr>
      </w:pPr>
    </w:p>
    <w:p>
      <w:pPr>
        <w:sectPr>
          <w:pgSz w:w="11900" w:h="16838" w:orient="portrait"/>
          <w:cols w:equalWidth="0" w:num="2">
            <w:col w:w="6640" w:space="720"/>
            <w:col w:w="3720"/>
          </w:cols>
          <w:pgMar w:left="320" w:top="456" w:right="499" w:bottom="1440" w:gutter="0" w:footer="0" w:header="0"/>
          <w:type w:val="continuous"/>
        </w:sectPr>
      </w:pPr>
    </w:p>
    <w:p>
      <w:pPr>
        <w:spacing w:after="0" w:line="2" w:lineRule="exact"/>
        <w:rPr>
          <w:sz w:val="20"/>
          <w:szCs w:val="20"/>
          <w:color w:val="auto"/>
        </w:rPr>
      </w:pPr>
    </w:p>
    <w:p>
      <w:pPr>
        <w:ind w:left="180" w:right="80" w:firstLine="545"/>
        <w:spacing w:after="0" w:line="246"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w:t>
      </w:r>
    </w:p>
    <w:p>
      <w:pPr>
        <w:ind w:left="180" w:right="220"/>
        <w:spacing w:after="0" w:line="239" w:lineRule="auto"/>
        <w:rPr>
          <w:sz w:val="20"/>
          <w:szCs w:val="20"/>
          <w:color w:val="auto"/>
        </w:rPr>
      </w:pPr>
      <w:r>
        <w:rPr>
          <w:rFonts w:ascii="Arial" w:cs="Arial" w:eastAsia="Arial" w:hAnsi="Arial"/>
          <w:sz w:val="18"/>
          <w:szCs w:val="18"/>
          <w:color w:val="auto"/>
        </w:rPr>
        <w:t>excess of $50,000, the seller must file a notice on Form 144 with the SEC and the concurrently with either the placing of a sale order with the broker or the execution directly with a market maker.</w:t>
      </w:r>
    </w:p>
    <w:p>
      <w:pPr>
        <w:spacing w:after="0" w:line="180" w:lineRule="exact"/>
        <w:rPr>
          <w:sz w:val="20"/>
          <w:szCs w:val="20"/>
          <w:color w:val="auto"/>
        </w:rPr>
      </w:pPr>
    </w:p>
    <w:p>
      <w:pPr>
        <w:ind w:left="180" w:right="100" w:firstLine="545"/>
        <w:spacing w:after="0"/>
        <w:rPr>
          <w:sz w:val="20"/>
          <w:szCs w:val="20"/>
          <w:color w:val="auto"/>
        </w:rPr>
      </w:pPr>
      <w:r>
        <w:rPr>
          <w:rFonts w:ascii="Arial" w:cs="Arial" w:eastAsia="Arial" w:hAnsi="Arial"/>
          <w:sz w:val="18"/>
          <w:szCs w:val="18"/>
          <w:b w:val="1"/>
          <w:bCs w:val="1"/>
          <w:i w:val="1"/>
          <w:iCs w:val="1"/>
          <w:color w:val="auto"/>
        </w:rPr>
        <w:t xml:space="preserve">Non-Affiliate Resales of Restricted Securities. </w:t>
      </w:r>
      <w:r>
        <w:rPr>
          <w:rFonts w:ascii="Arial" w:cs="Arial" w:eastAsia="Arial" w:hAnsi="Arial"/>
          <w:sz w:val="18"/>
          <w:szCs w:val="18"/>
          <w:color w:val="auto"/>
        </w:rPr>
        <w:t>Under Rule 144, a person who is not an affiliate of ours at the time of 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Rule 701</w:t>
      </w:r>
    </w:p>
    <w:p>
      <w:pPr>
        <w:spacing w:after="0" w:line="122" w:lineRule="exact"/>
        <w:rPr>
          <w:sz w:val="20"/>
          <w:szCs w:val="20"/>
          <w:color w:val="auto"/>
        </w:rPr>
      </w:pPr>
    </w:p>
    <w:p>
      <w:pPr>
        <w:ind w:left="180" w:right="60" w:firstLine="545"/>
        <w:spacing w:after="0" w:line="23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02" w:lineRule="exact"/>
        <w:rPr>
          <w:sz w:val="20"/>
          <w:szCs w:val="20"/>
          <w:color w:val="auto"/>
        </w:rPr>
      </w:pPr>
    </w:p>
    <w:p>
      <w:pPr>
        <w:ind w:left="180" w:right="300" w:firstLine="545"/>
        <w:spacing w:after="0" w:line="237"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w:t>
      </w:r>
    </w:p>
    <w:p>
      <w:pPr>
        <w:jc w:val="center"/>
        <w:ind w:right="-139"/>
        <w:spacing w:after="0"/>
        <w:rPr>
          <w:sz w:val="20"/>
          <w:szCs w:val="20"/>
          <w:color w:val="auto"/>
        </w:rPr>
      </w:pPr>
      <w:r>
        <w:rPr>
          <w:rFonts w:ascii="Arial" w:cs="Arial" w:eastAsia="Arial" w:hAnsi="Arial"/>
          <w:sz w:val="17"/>
          <w:szCs w:val="17"/>
          <w:color w:val="auto"/>
        </w:rPr>
        <w:t>shares of Class A common stock subject to outstanding stock options and shares of Class A common stock that will be issuable under our</w:t>
      </w:r>
    </w:p>
    <w:p>
      <w:pPr>
        <w:spacing w:after="0" w:line="5"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2009 Plan, 2019 Plan and 2021 Plan. As of , 2021, options to purchase shares of Class A common stock were outstanding. We expect to file the registration statement covering shares offered pursuant to such equity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40"/>
          </w:cols>
          <w:pgMar w:left="320" w:top="456"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208" w:lineRule="exact"/>
        <w:rPr>
          <w:sz w:val="20"/>
          <w:szCs w:val="20"/>
          <w:color w:val="auto"/>
        </w:rPr>
      </w:pPr>
    </w:p>
    <w:p>
      <w:pPr>
        <w:ind w:left="180" w:right="80" w:firstLine="545"/>
        <w:spacing w:after="0" w:line="235"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09" w:lineRule="exact"/>
        <w:rPr>
          <w:sz w:val="20"/>
          <w:szCs w:val="20"/>
          <w:color w:val="auto"/>
        </w:rPr>
      </w:pPr>
    </w:p>
    <w:p>
      <w:pPr>
        <w:ind w:left="920" w:hanging="212"/>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3" w:lineRule="exact"/>
        <w:rPr>
          <w:rFonts w:ascii="Arial" w:cs="Arial" w:eastAsia="Arial" w:hAnsi="Arial"/>
          <w:sz w:val="18"/>
          <w:szCs w:val="18"/>
          <w:color w:val="auto"/>
        </w:rPr>
      </w:pPr>
    </w:p>
    <w:p>
      <w:pPr>
        <w:ind w:left="920" w:right="780" w:hanging="212"/>
        <w:spacing w:after="0" w:line="239" w:lineRule="auto"/>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3" w:lineRule="exact"/>
        <w:rPr>
          <w:rFonts w:ascii="Arial" w:cs="Arial" w:eastAsia="Arial" w:hAnsi="Arial"/>
          <w:sz w:val="18"/>
          <w:szCs w:val="18"/>
          <w:color w:val="auto"/>
        </w:rPr>
      </w:pPr>
    </w:p>
    <w:p>
      <w:pPr>
        <w:ind w:left="920" w:right="180" w:hanging="212"/>
        <w:spacing w:after="0" w:line="239" w:lineRule="auto"/>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08" w:lineRule="exact"/>
        <w:rPr>
          <w:rFonts w:ascii="Arial" w:cs="Arial" w:eastAsia="Arial" w:hAnsi="Arial"/>
          <w:sz w:val="18"/>
          <w:szCs w:val="18"/>
          <w:color w:val="auto"/>
        </w:rPr>
      </w:pPr>
    </w:p>
    <w:p>
      <w:pPr>
        <w:ind w:left="920" w:right="460" w:hanging="212"/>
        <w:spacing w:after="0" w:line="239" w:lineRule="auto"/>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13" w:lineRule="exact"/>
        <w:rPr>
          <w:rFonts w:ascii="Arial" w:cs="Arial" w:eastAsia="Arial" w:hAnsi="Arial"/>
          <w:sz w:val="18"/>
          <w:szCs w:val="18"/>
          <w:color w:val="auto"/>
        </w:rPr>
      </w:pPr>
    </w:p>
    <w:p>
      <w:pPr>
        <w:ind w:left="920" w:right="120" w:hanging="212"/>
        <w:spacing w:after="0" w:line="239" w:lineRule="auto"/>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08" w:lineRule="exact"/>
        <w:rPr>
          <w:rFonts w:ascii="Arial" w:cs="Arial" w:eastAsia="Arial" w:hAnsi="Arial"/>
          <w:sz w:val="18"/>
          <w:szCs w:val="18"/>
          <w:color w:val="auto"/>
        </w:rPr>
      </w:pPr>
    </w:p>
    <w:p>
      <w:pPr>
        <w:ind w:left="920" w:hanging="212"/>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3" w:lineRule="exact"/>
        <w:rPr>
          <w:rFonts w:ascii="Arial" w:cs="Arial" w:eastAsia="Arial" w:hAnsi="Arial"/>
          <w:sz w:val="18"/>
          <w:szCs w:val="18"/>
          <w:color w:val="auto"/>
        </w:rPr>
      </w:pPr>
    </w:p>
    <w:p>
      <w:pPr>
        <w:ind w:left="920" w:right="100" w:hanging="212"/>
        <w:spacing w:after="0" w:line="239" w:lineRule="auto"/>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202" w:lineRule="exact"/>
        <w:rPr>
          <w:sz w:val="20"/>
          <w:szCs w:val="20"/>
          <w:color w:val="auto"/>
        </w:rPr>
      </w:pPr>
    </w:p>
    <w:p>
      <w:pPr>
        <w:ind w:left="180" w:firstLine="545"/>
        <w:spacing w:after="0" w:line="236"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980"/>
          </w:cols>
          <w:pgMar w:left="320" w:top="456" w:right="5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right="20" w:firstLine="545"/>
        <w:spacing w:after="0" w:line="258" w:lineRule="auto"/>
        <w:rPr>
          <w:sz w:val="20"/>
          <w:szCs w:val="20"/>
          <w:color w:val="auto"/>
        </w:rPr>
      </w:pPr>
      <w:r>
        <w:rPr>
          <w:rFonts w:ascii="Arial" w:cs="Arial" w:eastAsia="Arial" w:hAnsi="Arial"/>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Definition of a Non-U.S. Holder</w:t>
      </w:r>
    </w:p>
    <w:p>
      <w:pPr>
        <w:spacing w:after="0" w:line="122" w:lineRule="exact"/>
        <w:rPr>
          <w:sz w:val="20"/>
          <w:szCs w:val="20"/>
          <w:color w:val="auto"/>
        </w:rPr>
      </w:pPr>
    </w:p>
    <w:p>
      <w:pPr>
        <w:ind w:left="180" w:right="280" w:firstLine="545"/>
        <w:spacing w:after="0" w:line="237"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08" w:lineRule="exact"/>
        <w:rPr>
          <w:sz w:val="20"/>
          <w:szCs w:val="20"/>
          <w:color w:val="auto"/>
        </w:rPr>
      </w:pPr>
    </w:p>
    <w:p>
      <w:pPr>
        <w:ind w:left="920" w:hanging="212"/>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3" w:lineRule="exact"/>
        <w:rPr>
          <w:rFonts w:ascii="Arial" w:cs="Arial" w:eastAsia="Arial" w:hAnsi="Arial"/>
          <w:sz w:val="18"/>
          <w:szCs w:val="18"/>
          <w:color w:val="auto"/>
        </w:rPr>
      </w:pPr>
    </w:p>
    <w:p>
      <w:pPr>
        <w:ind w:left="920" w:hanging="212"/>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3" w:lineRule="exact"/>
        <w:rPr>
          <w:rFonts w:ascii="Arial" w:cs="Arial" w:eastAsia="Arial" w:hAnsi="Arial"/>
          <w:sz w:val="18"/>
          <w:szCs w:val="18"/>
          <w:color w:val="auto"/>
        </w:rPr>
      </w:pPr>
    </w:p>
    <w:p>
      <w:pPr>
        <w:ind w:left="920" w:right="40" w:hanging="212"/>
        <w:spacing w:after="0" w:line="237" w:lineRule="auto"/>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Distributions</w:t>
      </w:r>
    </w:p>
    <w:p>
      <w:pPr>
        <w:spacing w:after="0" w:line="122"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204"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5" w:lineRule="exact"/>
        <w:rPr>
          <w:sz w:val="20"/>
          <w:szCs w:val="20"/>
          <w:color w:val="auto"/>
        </w:rPr>
      </w:pPr>
    </w:p>
    <w:p>
      <w:pPr>
        <w:ind w:left="180" w:right="60" w:firstLine="545"/>
        <w:spacing w:after="0" w:line="251"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60"/>
          </w:cols>
          <w:pgMar w:left="320" w:top="456"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40" w:firstLine="545"/>
        <w:spacing w:after="0" w:line="236"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2"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Subject to the discussion below regarding backup withholding and foreign accounts, a Non-U.S. Holder generally will not be subject to U.S. federal income tax on any gain realized upon the sale or other taxable disposition of our Class A common stock unless:</w:t>
      </w:r>
    </w:p>
    <w:p>
      <w:pPr>
        <w:spacing w:after="0" w:line="109" w:lineRule="exact"/>
        <w:rPr>
          <w:sz w:val="20"/>
          <w:szCs w:val="20"/>
          <w:color w:val="auto"/>
        </w:rPr>
      </w:pPr>
    </w:p>
    <w:p>
      <w:pPr>
        <w:ind w:left="920" w:right="240" w:hanging="212"/>
        <w:spacing w:after="0" w:line="237" w:lineRule="auto"/>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8" w:lineRule="exact"/>
        <w:rPr>
          <w:rFonts w:ascii="Arial" w:cs="Arial" w:eastAsia="Arial" w:hAnsi="Arial"/>
          <w:sz w:val="18"/>
          <w:szCs w:val="18"/>
          <w:color w:val="auto"/>
        </w:rPr>
      </w:pPr>
    </w:p>
    <w:p>
      <w:pPr>
        <w:ind w:left="920" w:right="20" w:hanging="212"/>
        <w:spacing w:after="0" w:line="239" w:lineRule="auto"/>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8" w:lineRule="exact"/>
        <w:rPr>
          <w:rFonts w:ascii="Arial" w:cs="Arial" w:eastAsia="Arial" w:hAnsi="Arial"/>
          <w:sz w:val="18"/>
          <w:szCs w:val="18"/>
          <w:color w:val="auto"/>
        </w:rPr>
      </w:pPr>
    </w:p>
    <w:p>
      <w:pPr>
        <w:ind w:left="920" w:right="380" w:hanging="212"/>
        <w:spacing w:after="0" w:line="237" w:lineRule="auto"/>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 at any time within the shorter of the five-year period preceding such disposition or such Non-U.S. Holder’s holding period.</w:t>
      </w:r>
    </w:p>
    <w:p>
      <w:pPr>
        <w:spacing w:after="0" w:line="202" w:lineRule="exact"/>
        <w:rPr>
          <w:sz w:val="20"/>
          <w:szCs w:val="20"/>
          <w:color w:val="auto"/>
        </w:rPr>
      </w:pPr>
    </w:p>
    <w:p>
      <w:pPr>
        <w:jc w:val="both"/>
        <w:ind w:left="180" w:right="480" w:firstLine="545"/>
        <w:spacing w:after="0" w:line="23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202"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1" w:lineRule="exact"/>
        <w:rPr>
          <w:sz w:val="20"/>
          <w:szCs w:val="20"/>
          <w:color w:val="auto"/>
        </w:rPr>
      </w:pPr>
    </w:p>
    <w:p>
      <w:pPr>
        <w:ind w:left="180" w:right="20" w:firstLine="545"/>
        <w:spacing w:after="0" w:line="234"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rules.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2" w:lineRule="exact"/>
        <w:rPr>
          <w:sz w:val="20"/>
          <w:szCs w:val="20"/>
          <w:color w:val="auto"/>
        </w:rPr>
      </w:pPr>
    </w:p>
    <w:p>
      <w:pPr>
        <w:ind w:left="180" w:right="60" w:firstLine="545"/>
        <w:spacing w:after="0" w:line="239"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60"/>
          </w:cols>
          <w:pgMar w:left="320" w:top="456" w:right="5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40"/>
        <w:spacing w:after="0" w:line="233" w:lineRule="auto"/>
        <w:rPr>
          <w:sz w:val="20"/>
          <w:szCs w:val="20"/>
          <w:color w:val="auto"/>
        </w:rPr>
      </w:pPr>
      <w:r>
        <w:rPr>
          <w:rFonts w:ascii="Arial" w:cs="Arial" w:eastAsia="Arial" w:hAnsi="Arial"/>
          <w:sz w:val="18"/>
          <w:szCs w:val="18"/>
          <w:color w:val="auto"/>
        </w:rPr>
        <w:t>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209" w:lineRule="exact"/>
        <w:rPr>
          <w:sz w:val="20"/>
          <w:szCs w:val="20"/>
          <w:color w:val="auto"/>
        </w:rPr>
      </w:pPr>
    </w:p>
    <w:p>
      <w:pPr>
        <w:ind w:left="180" w:right="120" w:firstLine="545"/>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202" w:lineRule="exact"/>
        <w:rPr>
          <w:sz w:val="20"/>
          <w:szCs w:val="20"/>
          <w:color w:val="auto"/>
        </w:rPr>
      </w:pPr>
    </w:p>
    <w:p>
      <w:pPr>
        <w:ind w:left="180" w:right="140" w:firstLine="545"/>
        <w:spacing w:after="0" w:line="267"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Additional Withholding Tax on Payments Made to Foreign Accounts</w:t>
      </w:r>
    </w:p>
    <w:p>
      <w:pPr>
        <w:spacing w:after="0" w:line="122" w:lineRule="exact"/>
        <w:rPr>
          <w:sz w:val="20"/>
          <w:szCs w:val="20"/>
          <w:color w:val="auto"/>
        </w:rPr>
      </w:pPr>
    </w:p>
    <w:p>
      <w:pPr>
        <w:ind w:left="180" w:right="20" w:firstLine="545"/>
        <w:spacing w:after="0" w:line="247"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03" w:lineRule="exact"/>
        <w:rPr>
          <w:sz w:val="20"/>
          <w:szCs w:val="20"/>
          <w:color w:val="auto"/>
        </w:rPr>
      </w:pPr>
    </w:p>
    <w:p>
      <w:pPr>
        <w:jc w:val="both"/>
        <w:ind w:left="180" w:firstLine="545"/>
        <w:spacing w:after="0" w:line="25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91" w:lineRule="exact"/>
        <w:rPr>
          <w:sz w:val="20"/>
          <w:szCs w:val="20"/>
          <w:color w:val="auto"/>
        </w:rPr>
      </w:pPr>
    </w:p>
    <w:p>
      <w:pPr>
        <w:ind w:left="180" w:right="520" w:firstLine="545"/>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5"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80" w:right="360" w:firstLine="545"/>
        <w:spacing w:after="0" w:line="236"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and Barclays Capital Inc. are the representatives of the underwriters.</w:t>
      </w: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280" w:type="dxa"/>
            <w:vAlign w:val="bottom"/>
          </w:tcPr>
          <w:p>
            <w:pPr>
              <w:jc w:val="center"/>
              <w:ind w:left="4509"/>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5280" w:type="dxa"/>
            <w:vAlign w:val="bottom"/>
          </w:tcPr>
          <w:p>
            <w:pPr>
              <w:jc w:val="center"/>
              <w:ind w:left="4489"/>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180"/>
        <w:spacing w:after="0" w:line="232" w:lineRule="auto"/>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-125730</wp:posOffset>
            </wp:positionV>
            <wp:extent cx="6921500" cy="1270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1500" cy="1270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-3175</wp:posOffset>
            </wp:positionV>
            <wp:extent cx="585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54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-130175</wp:posOffset>
            </wp:positionV>
            <wp:extent cx="6921500" cy="135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1500" cy="135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5080</wp:posOffset>
            </wp:positionV>
            <wp:extent cx="585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5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22225</wp:posOffset>
            </wp:positionV>
            <wp:extent cx="585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5470" cy="8255"/>
                    </a:xfrm>
                    <a:prstGeom prst="rect">
                      <a:avLst/>
                    </a:prstGeom>
                    <a:noFill/>
                  </pic:spPr>
                </pic:pic>
              </a:graphicData>
            </a:graphic>
          </wp:anchor>
        </w:drawing>
      </w:r>
    </w:p>
    <w:p>
      <w:pPr>
        <w:spacing w:after="0" w:line="254" w:lineRule="exact"/>
        <w:rPr>
          <w:sz w:val="20"/>
          <w:szCs w:val="20"/>
          <w:color w:val="auto"/>
        </w:rPr>
      </w:pPr>
    </w:p>
    <w:p>
      <w:pPr>
        <w:ind w:left="180" w:right="60" w:firstLine="545"/>
        <w:spacing w:after="0" w:line="239" w:lineRule="auto"/>
        <w:rPr>
          <w:sz w:val="20"/>
          <w:szCs w:val="20"/>
          <w:color w:val="auto"/>
        </w:rPr>
      </w:pPr>
      <w:r>
        <w:rPr>
          <w:rFonts w:ascii="Arial" w:cs="Arial" w:eastAsia="Arial" w:hAnsi="Arial"/>
          <w:sz w:val="18"/>
          <w:szCs w:val="18"/>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202" w:lineRule="exact"/>
        <w:rPr>
          <w:sz w:val="20"/>
          <w:szCs w:val="20"/>
          <w:color w:val="auto"/>
        </w:rPr>
      </w:pPr>
    </w:p>
    <w:p>
      <w:pPr>
        <w:ind w:left="180" w:right="100" w:firstLine="545"/>
        <w:spacing w:after="0" w:line="236" w:lineRule="auto"/>
        <w:rPr>
          <w:sz w:val="20"/>
          <w:szCs w:val="20"/>
          <w:color w:val="auto"/>
        </w:rPr>
      </w:pPr>
      <w:r>
        <w:rPr>
          <w:rFonts w:ascii="Arial" w:cs="Arial" w:eastAsia="Arial" w:hAnsi="Arial"/>
          <w:sz w:val="18"/>
          <w:szCs w:val="18"/>
          <w:color w:val="auto"/>
        </w:rPr>
        <w:t>The underwriters have an option to buy up to an additional shares of Class A common stock from the company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w:t>
      </w:r>
    </w:p>
    <w:tbl>
      <w:tblPr>
        <w:tblLayout w:type="fixed"/>
        <w:tblInd w:w="180" w:type="dxa"/>
        <w:tblCellMar>
          <w:top w:w="0" w:type="dxa"/>
          <w:left w:w="0" w:type="dxa"/>
          <w:bottom w:w="0" w:type="dxa"/>
          <w:right w:w="0" w:type="dxa"/>
        </w:tblCellMar>
      </w:tblPr>
      <w:tr>
        <w:trPr>
          <w:trHeight w:val="200"/>
        </w:trPr>
        <w:tc>
          <w:tcPr>
            <w:tcW w:w="9640" w:type="dxa"/>
            <w:vAlign w:val="bottom"/>
            <w:gridSpan w:val="6"/>
          </w:tcPr>
          <w:p>
            <w:pPr>
              <w:spacing w:after="0" w:line="201" w:lineRule="exact"/>
              <w:rPr>
                <w:sz w:val="20"/>
                <w:szCs w:val="20"/>
                <w:color w:val="auto"/>
              </w:rPr>
            </w:pPr>
            <w:r>
              <w:rPr>
                <w:rFonts w:ascii="Arial" w:cs="Arial" w:eastAsia="Arial" w:hAnsi="Arial"/>
                <w:sz w:val="18"/>
                <w:szCs w:val="18"/>
                <w:color w:val="auto"/>
              </w:rPr>
              <w:t>company. Such amounts are shown assuming both no exercise and full exercise of the underwriters’ option to</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160" w:type="dxa"/>
            <w:vAlign w:val="bottom"/>
          </w:tcPr>
          <w:p>
            <w:pPr>
              <w:spacing w:after="0"/>
              <w:rPr>
                <w:sz w:val="20"/>
                <w:szCs w:val="20"/>
                <w:color w:val="auto"/>
              </w:rPr>
            </w:pPr>
            <w:r>
              <w:rPr>
                <w:rFonts w:ascii="Arial" w:cs="Arial" w:eastAsia="Arial" w:hAnsi="Arial"/>
                <w:sz w:val="18"/>
                <w:szCs w:val="18"/>
                <w:color w:val="auto"/>
              </w:rPr>
              <w:t>purchase</w:t>
            </w:r>
          </w:p>
        </w:tc>
        <w:tc>
          <w:tcPr>
            <w:tcW w:w="8480" w:type="dxa"/>
            <w:vAlign w:val="bottom"/>
            <w:gridSpan w:val="5"/>
          </w:tcPr>
          <w:p>
            <w:pPr>
              <w:jc w:val="right"/>
              <w:ind w:right="4608"/>
              <w:spacing w:after="0"/>
              <w:rPr>
                <w:sz w:val="20"/>
                <w:szCs w:val="20"/>
                <w:color w:val="auto"/>
              </w:rPr>
            </w:pPr>
            <w:r>
              <w:rPr>
                <w:rFonts w:ascii="Arial" w:cs="Arial" w:eastAsia="Arial" w:hAnsi="Arial"/>
                <w:sz w:val="18"/>
                <w:szCs w:val="18"/>
                <w:color w:val="auto"/>
              </w:rPr>
              <w:t>additional shares of Class A common stock.</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5"/>
        </w:trPr>
        <w:tc>
          <w:tcPr>
            <w:tcW w:w="1160" w:type="dxa"/>
            <w:vAlign w:val="bottom"/>
          </w:tcPr>
          <w:p>
            <w:pPr>
              <w:spacing w:after="0"/>
              <w:rPr>
                <w:sz w:val="24"/>
                <w:szCs w:val="24"/>
                <w:color w:val="auto"/>
              </w:rPr>
            </w:pPr>
          </w:p>
        </w:tc>
        <w:tc>
          <w:tcPr>
            <w:tcW w:w="8480" w:type="dxa"/>
            <w:vAlign w:val="bottom"/>
            <w:gridSpan w:val="5"/>
          </w:tcPr>
          <w:p>
            <w:pPr>
              <w:jc w:val="right"/>
              <w:ind w:right="3268"/>
              <w:spacing w:after="0"/>
              <w:rPr>
                <w:sz w:val="20"/>
                <w:szCs w:val="20"/>
                <w:color w:val="auto"/>
              </w:rPr>
            </w:pPr>
            <w:r>
              <w:rPr>
                <w:rFonts w:ascii="Arial" w:cs="Arial" w:eastAsia="Arial" w:hAnsi="Arial"/>
                <w:sz w:val="18"/>
                <w:szCs w:val="18"/>
                <w:color w:val="auto"/>
              </w:rPr>
              <w:t>Paid by the Company</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7"/>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No Exercise</w:t>
            </w:r>
          </w:p>
        </w:tc>
        <w:tc>
          <w:tcPr>
            <w:tcW w:w="2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194"/>
        </w:trPr>
        <w:tc>
          <w:tcPr>
            <w:tcW w:w="11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Per Share</w:t>
            </w:r>
          </w:p>
        </w:tc>
        <w:tc>
          <w:tcPr>
            <w:tcW w:w="34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CCEEFF"/>
            </w:tcBorders>
            <w:gridSpan w:val="2"/>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760"/>
              <w:spacing w:after="0" w:line="194"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0"/>
        </w:trPr>
        <w:tc>
          <w:tcPr>
            <w:tcW w:w="1160" w:type="dxa"/>
            <w:vAlign w:val="bottom"/>
          </w:tcPr>
          <w:p>
            <w:pPr>
              <w:spacing w:after="0" w:line="201" w:lineRule="exact"/>
              <w:rPr>
                <w:sz w:val="20"/>
                <w:szCs w:val="20"/>
                <w:color w:val="auto"/>
              </w:rPr>
            </w:pPr>
            <w:r>
              <w:rPr>
                <w:rFonts w:ascii="Arial" w:cs="Arial" w:eastAsia="Arial" w:hAnsi="Arial"/>
                <w:sz w:val="18"/>
                <w:szCs w:val="18"/>
                <w:b w:val="1"/>
                <w:bCs w:val="1"/>
                <w:color w:val="auto"/>
              </w:rPr>
              <w:t>Total</w:t>
            </w:r>
          </w:p>
        </w:tc>
        <w:tc>
          <w:tcPr>
            <w:tcW w:w="8480" w:type="dxa"/>
            <w:vAlign w:val="bottom"/>
            <w:gridSpan w:val="5"/>
          </w:tcPr>
          <w:p>
            <w:pPr>
              <w:jc w:val="right"/>
              <w:ind w:right="788"/>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6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left="180" w:right="100" w:firstLine="545"/>
        <w:spacing w:after="0" w:line="246" w:lineRule="auto"/>
        <w:rPr>
          <w:sz w:val="20"/>
          <w:szCs w:val="20"/>
          <w:color w:val="auto"/>
        </w:rPr>
      </w:pPr>
      <w:r>
        <w:rPr>
          <w:rFonts w:ascii="Arial" w:cs="Arial" w:eastAsia="Arial" w:hAnsi="Arial"/>
          <w:sz w:val="17"/>
          <w:szCs w:val="17"/>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w:t>
      </w:r>
    </w:p>
    <w:p>
      <w:pPr>
        <w:ind w:left="180" w:right="160"/>
        <w:spacing w:after="0" w:line="237" w:lineRule="auto"/>
        <w:rPr>
          <w:sz w:val="20"/>
          <w:szCs w:val="20"/>
          <w:color w:val="auto"/>
        </w:rPr>
      </w:pPr>
      <w:r>
        <w:rPr>
          <w:rFonts w:ascii="Arial" w:cs="Arial" w:eastAsia="Arial" w:hAnsi="Arial"/>
          <w:sz w:val="18"/>
          <w:szCs w:val="18"/>
          <w:color w:val="auto"/>
        </w:rPr>
        <w:t>discount of 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202" w:lineRule="exact"/>
        <w:rPr>
          <w:sz w:val="20"/>
          <w:szCs w:val="20"/>
          <w:color w:val="auto"/>
        </w:rPr>
      </w:pPr>
    </w:p>
    <w:p>
      <w:pPr>
        <w:ind w:left="180" w:right="580" w:firstLine="545"/>
        <w:spacing w:after="0" w:line="237" w:lineRule="auto"/>
        <w:rPr>
          <w:sz w:val="20"/>
          <w:szCs w:val="20"/>
          <w:color w:val="auto"/>
        </w:rPr>
      </w:pPr>
      <w:r>
        <w:rPr>
          <w:rFonts w:ascii="Arial" w:cs="Arial" w:eastAsia="Arial" w:hAnsi="Arial"/>
          <w:sz w:val="18"/>
          <w:szCs w:val="18"/>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Class A common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or the Lock-up Restrictions, during the period from the date of this prospectus continuing, with respect to the company,</w:t>
      </w:r>
    </w:p>
    <w:p>
      <w:pPr>
        <w:ind w:left="180"/>
        <w:spacing w:after="0" w:line="232" w:lineRule="auto"/>
        <w:tabs>
          <w:tab w:leader="none" w:pos="11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days after the date of this prospectus, or the Lock-up Period, except with the prior written consent of Goldman Sachs &amp; Co.</w:t>
      </w:r>
    </w:p>
    <w:p>
      <w:pPr>
        <w:ind w:left="180"/>
        <w:spacing w:after="0"/>
        <w:rPr>
          <w:sz w:val="20"/>
          <w:szCs w:val="20"/>
          <w:color w:val="auto"/>
        </w:rPr>
      </w:pPr>
      <w:r>
        <w:rPr>
          <w:rFonts w:ascii="Arial" w:cs="Arial" w:eastAsia="Arial" w:hAnsi="Arial"/>
          <w:sz w:val="18"/>
          <w:szCs w:val="18"/>
          <w:color w:val="auto"/>
        </w:rPr>
        <w:t>LLC, Morgan Stanley &amp; Co. LLC and Barclays Capital Inc., and subject to certain exceptions.</w:t>
      </w:r>
    </w:p>
    <w:p>
      <w:pPr>
        <w:spacing w:after="0" w:line="207"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Prior to the offering, there has been no public market for the shares of Class A common stock. The initial public offering price has been negotiated among the company and the representatives. Among the factors to be considered in determining the initial public offering price of the shares of Class A common stock,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ectPr>
          <w:pgSz w:w="11900" w:h="16838" w:orient="portrait"/>
          <w:cols w:equalWidth="0" w:num="1">
            <w:col w:w="11040"/>
          </w:cols>
          <w:pgMar w:left="320" w:top="456" w:right="539" w:bottom="1440" w:gutter="0" w:footer="0" w:header="0"/>
        </w:sectPr>
      </w:pPr>
    </w:p>
    <w:p>
      <w:pPr>
        <w:spacing w:after="0" w:line="202" w:lineRule="exact"/>
        <w:rPr>
          <w:sz w:val="20"/>
          <w:szCs w:val="20"/>
          <w:color w:val="auto"/>
        </w:rPr>
      </w:pPr>
    </w:p>
    <w:p>
      <w:pPr>
        <w:ind w:left="180" w:firstLine="545"/>
        <w:spacing w:after="0" w:line="237" w:lineRule="auto"/>
        <w:rPr>
          <w:sz w:val="20"/>
          <w:szCs w:val="20"/>
          <w:color w:val="auto"/>
        </w:rPr>
      </w:pPr>
      <w:r>
        <w:rPr>
          <w:rFonts w:ascii="Arial" w:cs="Arial" w:eastAsia="Arial" w:hAnsi="Arial"/>
          <w:sz w:val="18"/>
          <w:szCs w:val="18"/>
          <w:color w:val="auto"/>
        </w:rPr>
        <w:t>We intend to apply to list our Class A common stock on requirements for listing the Class A common stock on the a minimum of 400 beneficial holders.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580"/>
        <w:spacing w:after="0"/>
        <w:tabs>
          <w:tab w:leader="none" w:pos="2840" w:val="left"/>
        </w:tabs>
        <w:rPr>
          <w:sz w:val="20"/>
          <w:szCs w:val="20"/>
          <w:color w:val="auto"/>
        </w:rPr>
      </w:pPr>
      <w:r>
        <w:rPr>
          <w:rFonts w:ascii="Arial" w:cs="Arial" w:eastAsia="Arial" w:hAnsi="Arial"/>
          <w:sz w:val="18"/>
          <w:szCs w:val="18"/>
          <w:color w:val="auto"/>
        </w:rPr>
        <w:t>under the symbol “</w:t>
      </w:r>
      <w:r>
        <w:rPr>
          <w:sz w:val="20"/>
          <w:szCs w:val="20"/>
          <w:color w:val="auto"/>
        </w:rPr>
        <w:tab/>
      </w:r>
      <w:r>
        <w:rPr>
          <w:rFonts w:ascii="Arial" w:cs="Arial" w:eastAsia="Arial" w:hAnsi="Arial"/>
          <w:sz w:val="17"/>
          <w:szCs w:val="17"/>
          <w:color w:val="auto"/>
        </w:rPr>
        <w:t>.” In order to meet one of the</w:t>
      </w:r>
    </w:p>
    <w:p>
      <w:pPr>
        <w:spacing w:after="0"/>
        <w:rPr>
          <w:sz w:val="20"/>
          <w:szCs w:val="20"/>
          <w:color w:val="auto"/>
        </w:rPr>
      </w:pPr>
      <w:r>
        <w:rPr>
          <w:rFonts w:ascii="Arial" w:cs="Arial" w:eastAsia="Arial" w:hAnsi="Arial"/>
          <w:sz w:val="17"/>
          <w:szCs w:val="17"/>
          <w:color w:val="auto"/>
        </w:rPr>
        <w:t>, the underwriters have undertaken to sell lots of 100 or more shares to</w:t>
      </w:r>
    </w:p>
    <w:p>
      <w:pPr>
        <w:spacing w:after="0" w:line="417" w:lineRule="exact"/>
        <w:rPr>
          <w:sz w:val="20"/>
          <w:szCs w:val="20"/>
          <w:color w:val="auto"/>
        </w:rPr>
      </w:pPr>
    </w:p>
    <w:p>
      <w:pPr>
        <w:sectPr>
          <w:pgSz w:w="11900" w:h="16838" w:orient="portrait"/>
          <w:cols w:equalWidth="0" w:num="2">
            <w:col w:w="5060" w:space="400"/>
            <w:col w:w="5580"/>
          </w:cols>
          <w:pgMar w:left="320" w:top="456" w:right="539" w:bottom="1440" w:gutter="0" w:footer="0" w:header="0"/>
          <w:type w:val="continuous"/>
        </w:sectPr>
      </w:pPr>
    </w:p>
    <w:p>
      <w:pPr>
        <w:spacing w:after="0" w:line="2" w:lineRule="exact"/>
        <w:rPr>
          <w:sz w:val="20"/>
          <w:szCs w:val="20"/>
          <w:color w:val="auto"/>
        </w:rPr>
      </w:pPr>
    </w:p>
    <w:p>
      <w:pPr>
        <w:ind w:left="180" w:right="60" w:firstLine="545"/>
        <w:spacing w:after="0" w:line="233"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206" w:lineRule="exact"/>
        <w:rPr>
          <w:sz w:val="20"/>
          <w:szCs w:val="20"/>
          <w:color w:val="auto"/>
        </w:rPr>
      </w:pPr>
    </w:p>
    <w:p>
      <w:pPr>
        <w:ind w:left="180" w:right="140" w:firstLine="545"/>
        <w:spacing w:after="0" w:line="23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2" w:lineRule="exact"/>
        <w:rPr>
          <w:sz w:val="20"/>
          <w:szCs w:val="20"/>
          <w:color w:val="auto"/>
        </w:rPr>
      </w:pPr>
    </w:p>
    <w:p>
      <w:pPr>
        <w:ind w:left="180" w:firstLine="545"/>
        <w:spacing w:after="0" w:line="23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Class A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w:t>
      </w:r>
    </w:p>
    <w:p>
      <w:pPr>
        <w:spacing w:after="0" w:line="1" w:lineRule="exact"/>
        <w:rPr>
          <w:sz w:val="20"/>
          <w:szCs w:val="20"/>
          <w:color w:val="auto"/>
        </w:rPr>
      </w:pPr>
    </w:p>
    <w:p>
      <w:pPr>
        <w:ind w:left="180"/>
        <w:spacing w:after="0"/>
        <w:tabs>
          <w:tab w:leader="none" w:pos="140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 in the over-the-counter market or otherwise.</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40"/>
          </w:cols>
          <w:pgMar w:left="320" w:top="456" w:right="5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estimates that its share of the total expenses of the offering, excluding underwriting discounts and commissions, will</w:t>
      </w:r>
    </w:p>
    <w:p>
      <w:pPr>
        <w:ind w:left="180"/>
        <w:spacing w:after="0"/>
        <w:tabs>
          <w:tab w:leader="none" w:pos="2700" w:val="left"/>
        </w:tabs>
        <w:rPr>
          <w:sz w:val="20"/>
          <w:szCs w:val="20"/>
          <w:color w:val="auto"/>
        </w:rPr>
      </w:pPr>
      <w:r>
        <w:rPr>
          <w:rFonts w:ascii="Arial" w:cs="Arial" w:eastAsia="Arial" w:hAnsi="Arial"/>
          <w:sz w:val="18"/>
          <w:szCs w:val="18"/>
          <w:color w:val="auto"/>
        </w:rPr>
        <w:t>be approximately $</w:t>
      </w:r>
      <w:r>
        <w:rPr>
          <w:sz w:val="20"/>
          <w:szCs w:val="20"/>
          <w:color w:val="auto"/>
        </w:rPr>
        <w:tab/>
      </w:r>
      <w:r>
        <w:rPr>
          <w:rFonts w:ascii="Arial" w:cs="Arial" w:eastAsia="Arial" w:hAnsi="Arial"/>
          <w:sz w:val="17"/>
          <w:szCs w:val="17"/>
          <w:color w:val="auto"/>
        </w:rPr>
        <w:t>million. We have agreed to reimburse the underwriters for certain of their expenses in an amount up to</w:t>
      </w:r>
    </w:p>
    <w:p>
      <w:pPr>
        <w:ind w:left="180" w:right="500" w:hanging="6"/>
        <w:spacing w:after="0" w:line="239" w:lineRule="auto"/>
        <w:tabs>
          <w:tab w:leader="none" w:pos="107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The underwriters have agreed to reimburse us for certain expenses incurred by us in connection with this offering upon closing of this offering.</w:t>
      </w:r>
    </w:p>
    <w:p>
      <w:pPr>
        <w:spacing w:after="0" w:line="202" w:lineRule="exact"/>
        <w:rPr>
          <w:sz w:val="20"/>
          <w:szCs w:val="20"/>
          <w:color w:val="auto"/>
        </w:rPr>
      </w:pPr>
    </w:p>
    <w:p>
      <w:pPr>
        <w:ind w:left="180" w:right="240" w:firstLine="545"/>
        <w:spacing w:after="0" w:line="239"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 of 1933.</w:t>
      </w:r>
    </w:p>
    <w:p>
      <w:pPr>
        <w:spacing w:after="0" w:line="202" w:lineRule="exact"/>
        <w:rPr>
          <w:sz w:val="20"/>
          <w:szCs w:val="20"/>
          <w:color w:val="auto"/>
        </w:rPr>
      </w:pPr>
    </w:p>
    <w:p>
      <w:pPr>
        <w:ind w:left="180" w:right="40" w:firstLine="545"/>
        <w:spacing w:after="0" w:line="23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2"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Restrictions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2" w:lineRule="exact"/>
        <w:rPr>
          <w:sz w:val="20"/>
          <w:szCs w:val="20"/>
          <w:color w:val="auto"/>
        </w:rPr>
      </w:pPr>
    </w:p>
    <w:p>
      <w:pPr>
        <w:ind w:left="180" w:right="160" w:firstLine="545"/>
        <w:spacing w:after="0" w:line="235" w:lineRule="auto"/>
        <w:rPr>
          <w:sz w:val="20"/>
          <w:szCs w:val="20"/>
          <w:color w:val="auto"/>
        </w:rPr>
      </w:pPr>
      <w:r>
        <w:rPr>
          <w:rFonts w:ascii="Arial" w:cs="Arial" w:eastAsia="Arial" w:hAnsi="Arial"/>
          <w:sz w:val="18"/>
          <w:szCs w:val="18"/>
          <w:color w:val="auto"/>
        </w:rPr>
        <w:t>In relation to each Member State of the European Economic Area, or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202" w:lineRule="exact"/>
        <w:rPr>
          <w:sz w:val="20"/>
          <w:szCs w:val="20"/>
          <w:color w:val="auto"/>
        </w:rPr>
      </w:pPr>
    </w:p>
    <w:p>
      <w:pPr>
        <w:ind w:left="980" w:hanging="261"/>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207" w:lineRule="exact"/>
        <w:rPr>
          <w:rFonts w:ascii="Arial" w:cs="Arial" w:eastAsia="Arial" w:hAnsi="Arial"/>
          <w:sz w:val="18"/>
          <w:szCs w:val="18"/>
          <w:color w:val="auto"/>
        </w:rPr>
      </w:pPr>
    </w:p>
    <w:p>
      <w:pPr>
        <w:ind w:left="180" w:right="860" w:firstLine="539"/>
        <w:spacing w:after="0" w:line="239" w:lineRule="auto"/>
        <w:tabs>
          <w:tab w:leader="none" w:pos="99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202" w:lineRule="exact"/>
        <w:rPr>
          <w:rFonts w:ascii="Arial" w:cs="Arial" w:eastAsia="Arial" w:hAnsi="Arial"/>
          <w:sz w:val="18"/>
          <w:szCs w:val="18"/>
          <w:color w:val="auto"/>
        </w:rPr>
      </w:pPr>
    </w:p>
    <w:p>
      <w:pPr>
        <w:ind w:left="980" w:hanging="261"/>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07" w:lineRule="exact"/>
        <w:rPr>
          <w:sz w:val="20"/>
          <w:szCs w:val="20"/>
          <w:color w:val="auto"/>
        </w:rPr>
      </w:pPr>
    </w:p>
    <w:p>
      <w:pPr>
        <w:ind w:left="180"/>
        <w:spacing w:after="0" w:line="239" w:lineRule="auto"/>
        <w:rPr>
          <w:sz w:val="20"/>
          <w:szCs w:val="20"/>
          <w:color w:val="auto"/>
        </w:rPr>
      </w:pPr>
      <w:r>
        <w:rPr>
          <w:rFonts w:ascii="Arial" w:cs="Arial" w:eastAsia="Arial" w:hAnsi="Arial"/>
          <w:sz w:val="18"/>
          <w:szCs w:val="18"/>
          <w:color w:val="auto"/>
        </w:rPr>
        <w:t>provided that no such offer of the shares shall require the company or any of the underwriters to publish a prospectus pursuant to Article 3 of the Prospectus Regulation or supplement a prospectus pursuant to Article 23 of the Prospectus Regulation.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20"/>
          </w:cols>
          <w:pgMar w:left="320" w:top="456" w:right="5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2" w:lineRule="exact"/>
        <w:rPr>
          <w:sz w:val="20"/>
          <w:szCs w:val="20"/>
          <w:color w:val="auto"/>
        </w:rPr>
      </w:pPr>
    </w:p>
    <w:p>
      <w:pPr>
        <w:ind w:left="180"/>
        <w:spacing w:after="0" w:line="237"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202" w:lineRule="exact"/>
        <w:rPr>
          <w:sz w:val="20"/>
          <w:szCs w:val="20"/>
          <w:color w:val="auto"/>
        </w:rPr>
      </w:pPr>
    </w:p>
    <w:p>
      <w:pPr>
        <w:ind w:left="980" w:hanging="261"/>
        <w:spacing w:after="0"/>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07" w:lineRule="exact"/>
        <w:rPr>
          <w:rFonts w:ascii="Arial" w:cs="Arial" w:eastAsia="Arial" w:hAnsi="Arial"/>
          <w:sz w:val="18"/>
          <w:szCs w:val="18"/>
          <w:color w:val="auto"/>
        </w:rPr>
      </w:pPr>
    </w:p>
    <w:p>
      <w:pPr>
        <w:ind w:left="180" w:right="600" w:firstLine="539"/>
        <w:spacing w:after="0" w:line="239" w:lineRule="auto"/>
        <w:tabs>
          <w:tab w:leader="none" w:pos="99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202" w:lineRule="exact"/>
        <w:rPr>
          <w:rFonts w:ascii="Arial" w:cs="Arial" w:eastAsia="Arial" w:hAnsi="Arial"/>
          <w:sz w:val="18"/>
          <w:szCs w:val="18"/>
          <w:color w:val="auto"/>
        </w:rPr>
      </w:pPr>
    </w:p>
    <w:p>
      <w:pPr>
        <w:ind w:left="980" w:hanging="261"/>
        <w:spacing w:after="0"/>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07" w:lineRule="exact"/>
        <w:rPr>
          <w:sz w:val="20"/>
          <w:szCs w:val="20"/>
          <w:color w:val="auto"/>
        </w:rPr>
      </w:pPr>
    </w:p>
    <w:p>
      <w:pPr>
        <w:ind w:left="180" w:right="220"/>
        <w:spacing w:after="0" w:line="239" w:lineRule="auto"/>
        <w:rPr>
          <w:sz w:val="20"/>
          <w:szCs w:val="20"/>
          <w:color w:val="auto"/>
        </w:rPr>
      </w:pPr>
      <w:r>
        <w:rPr>
          <w:rFonts w:ascii="Arial" w:cs="Arial" w:eastAsia="Arial" w:hAnsi="Arial"/>
          <w:sz w:val="18"/>
          <w:szCs w:val="18"/>
          <w:color w:val="auto"/>
        </w:rPr>
        <w:t>provided that no such offer of the shares shall require the company or any underwriter to publish a prospectus pursuant to Section 85 of the FSMA or supplement a prospectus pursuant to Article 23 of the UK Prospectus Regulation.</w:t>
      </w:r>
    </w:p>
    <w:p>
      <w:pPr>
        <w:spacing w:after="0" w:line="202" w:lineRule="exact"/>
        <w:rPr>
          <w:sz w:val="20"/>
          <w:szCs w:val="20"/>
          <w:color w:val="auto"/>
        </w:rPr>
      </w:pPr>
    </w:p>
    <w:p>
      <w:pPr>
        <w:ind w:left="180" w:right="100" w:firstLine="545"/>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Canada</w:t>
      </w:r>
    </w:p>
    <w:p>
      <w:pPr>
        <w:spacing w:after="0" w:line="122" w:lineRule="exact"/>
        <w:rPr>
          <w:sz w:val="20"/>
          <w:szCs w:val="20"/>
          <w:color w:val="auto"/>
        </w:rPr>
      </w:pPr>
    </w:p>
    <w:p>
      <w:pPr>
        <w:ind w:left="180" w:right="100" w:firstLine="545"/>
        <w:spacing w:after="0" w:line="23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2"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left="180" w:right="400" w:firstLine="545"/>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60"/>
          </w:cols>
          <w:pgMar w:left="320" w:top="456"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Hong Kong</w:t>
      </w:r>
    </w:p>
    <w:p>
      <w:pPr>
        <w:spacing w:after="0" w:line="122" w:lineRule="exact"/>
        <w:rPr>
          <w:sz w:val="20"/>
          <w:szCs w:val="20"/>
          <w:color w:val="auto"/>
        </w:rPr>
      </w:pPr>
    </w:p>
    <w:p>
      <w:pPr>
        <w:ind w:left="180" w:firstLine="545"/>
        <w:spacing w:after="0" w:line="246"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w:t>
      </w:r>
    </w:p>
    <w:p>
      <w:pPr>
        <w:ind w:left="180" w:right="20" w:hanging="6"/>
        <w:spacing w:after="0" w:line="234" w:lineRule="auto"/>
        <w:tabs>
          <w:tab w:leader="none" w:pos="46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Singapore</w:t>
      </w:r>
    </w:p>
    <w:p>
      <w:pPr>
        <w:spacing w:after="0" w:line="122" w:lineRule="exact"/>
        <w:rPr>
          <w:sz w:val="20"/>
          <w:szCs w:val="20"/>
          <w:color w:val="auto"/>
        </w:rPr>
      </w:pPr>
    </w:p>
    <w:p>
      <w:pPr>
        <w:ind w:left="180" w:right="20" w:firstLine="545"/>
        <w:spacing w:after="0" w:line="23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2" w:lineRule="exact"/>
        <w:rPr>
          <w:sz w:val="20"/>
          <w:szCs w:val="20"/>
          <w:color w:val="auto"/>
        </w:rPr>
      </w:pPr>
    </w:p>
    <w:p>
      <w:pPr>
        <w:ind w:left="180" w:right="80" w:firstLine="545"/>
        <w:spacing w:after="0" w:line="233"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209" w:lineRule="exact"/>
        <w:rPr>
          <w:sz w:val="20"/>
          <w:szCs w:val="20"/>
          <w:color w:val="auto"/>
        </w:rPr>
      </w:pPr>
    </w:p>
    <w:p>
      <w:pPr>
        <w:ind w:left="180" w:right="360" w:firstLine="545"/>
        <w:spacing w:after="0" w:line="234"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60"/>
          </w:cols>
          <w:pgMar w:left="320" w:top="456"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Japan</w:t>
      </w:r>
    </w:p>
    <w:p>
      <w:pPr>
        <w:spacing w:after="0" w:line="122" w:lineRule="exact"/>
        <w:rPr>
          <w:sz w:val="20"/>
          <w:szCs w:val="20"/>
          <w:color w:val="auto"/>
        </w:rPr>
      </w:pPr>
    </w:p>
    <w:p>
      <w:pPr>
        <w:ind w:left="180" w:right="20" w:firstLine="545"/>
        <w:spacing w:after="0" w:line="23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960"/>
          </w:cols>
          <w:pgMar w:left="320" w:top="456" w:right="6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80" w:right="40" w:firstLine="545"/>
        <w:spacing w:after="0" w:line="237"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New York, New York. Cooley LLP, Boston, Massachusetts has acted as counsel for the underwriters in connection with certain legal matters related to this offering.</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80" w:right="280" w:firstLine="545"/>
        <w:spacing w:after="0" w:line="237" w:lineRule="auto"/>
        <w:rPr>
          <w:sz w:val="20"/>
          <w:szCs w:val="20"/>
          <w:color w:val="auto"/>
        </w:rPr>
      </w:pPr>
      <w:r>
        <w:rPr>
          <w:rFonts w:ascii="Arial" w:cs="Arial" w:eastAsia="Arial" w:hAnsi="Arial"/>
          <w:sz w:val="18"/>
          <w:szCs w:val="18"/>
          <w:color w:val="auto"/>
        </w:rPr>
        <w:t>The financial statements as of January 31, 2020 and 2021 and for each of the two years in the period ended January 31, 2021 included in this prospectus have been so included in reliance on the report of PricewaterhouseCoopers LLP, an independent registered public accounting firm, given on the authority of said firm as experts in auditing and accounting.</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CHANGES IN INDEPENDENT REGISTERED PUBLIC ACCOUNTING FIRM</w:t>
      </w:r>
    </w:p>
    <w:p>
      <w:pPr>
        <w:spacing w:after="0" w:line="229" w:lineRule="exact"/>
        <w:rPr>
          <w:sz w:val="20"/>
          <w:szCs w:val="20"/>
          <w:color w:val="auto"/>
        </w:rPr>
      </w:pPr>
    </w:p>
    <w:p>
      <w:pPr>
        <w:ind w:left="180" w:right="20" w:firstLine="545"/>
        <w:spacing w:after="0" w:line="236" w:lineRule="auto"/>
        <w:rPr>
          <w:sz w:val="20"/>
          <w:szCs w:val="20"/>
          <w:color w:val="auto"/>
        </w:rPr>
      </w:pPr>
      <w:r>
        <w:rPr>
          <w:rFonts w:ascii="Arial" w:cs="Arial" w:eastAsia="Arial" w:hAnsi="Arial"/>
          <w:sz w:val="18"/>
          <w:szCs w:val="18"/>
          <w:color w:val="auto"/>
        </w:rPr>
        <w:t>On November 8, 2019, we dismissed KPMG LLP as our independent auditors. On February 20, 2020, we appointed PricewaterhouseCoopers LLP, or PwC, as our independent registered public accounting firm to audit our consolidated financial statements as of and for the fiscal year ended January 31, 2020. The decision to change our independent registered public accounting firm from KPMG LLP to PwC was approved by the board of directors.</w:t>
      </w:r>
    </w:p>
    <w:p>
      <w:pPr>
        <w:spacing w:after="0" w:line="201" w:lineRule="exact"/>
        <w:rPr>
          <w:sz w:val="20"/>
          <w:szCs w:val="20"/>
          <w:color w:val="auto"/>
        </w:rPr>
      </w:pPr>
    </w:p>
    <w:p>
      <w:pPr>
        <w:ind w:left="180" w:right="220" w:firstLine="545"/>
        <w:spacing w:after="0" w:line="236" w:lineRule="auto"/>
        <w:rPr>
          <w:sz w:val="20"/>
          <w:szCs w:val="20"/>
          <w:color w:val="auto"/>
        </w:rPr>
      </w:pPr>
      <w:r>
        <w:rPr>
          <w:rFonts w:ascii="Arial" w:cs="Arial" w:eastAsia="Arial" w:hAnsi="Arial"/>
          <w:sz w:val="18"/>
          <w:szCs w:val="18"/>
          <w:color w:val="auto"/>
        </w:rPr>
        <w:t>The audit report of KPMG LLP on our consolidated financial statements as of and for the years ended January 31, 2019 and February 3, 2018 did not contain an adverse opinion or a disclaimer of opinion, and was not qualified or modified as to uncertainty, audit scope or accounting principles. KPMG LLP did not audit our consolidated financial statements for any period subsequent to January 31, 2019.</w:t>
      </w:r>
    </w:p>
    <w:p>
      <w:pPr>
        <w:spacing w:after="0" w:line="201"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During the fiscal years ended January 31, 2019 and February 3, 2018 and the subsequent interim period through November 8, 2019, we had no disagreements with KPMG LLP on any matter of accounting principles or practices, financial statement disclosure or auditing scope or procedures, which disagreements, if not resolved to its satisfaction, would have caused KPMG LLP to make reference in connection with its report to the subject matter of the disagreement during the audit preceding its dismissal. During the fiscal years ended January 31, 2019 and February 3, 2018 and the subsequent interim period through November 8, 2019, there were no “reportable events” as such term is defined in Item 304(a)(1)(v) of Regulation S-K, except that KPMG LLP advised us of the following material weakness: the lack of an ERP system for the full fiscal year resulted in a weak control environment and a likelihood of potential errors to financial information given the need for manual intervention.</w:t>
      </w:r>
    </w:p>
    <w:p>
      <w:pPr>
        <w:spacing w:after="0" w:line="202" w:lineRule="exact"/>
        <w:rPr>
          <w:sz w:val="20"/>
          <w:szCs w:val="20"/>
          <w:color w:val="auto"/>
        </w:rPr>
      </w:pPr>
    </w:p>
    <w:p>
      <w:pPr>
        <w:ind w:left="180" w:right="200" w:firstLine="545"/>
        <w:spacing w:after="0" w:line="246" w:lineRule="auto"/>
        <w:rPr>
          <w:sz w:val="20"/>
          <w:szCs w:val="20"/>
          <w:color w:val="auto"/>
        </w:rPr>
      </w:pPr>
      <w:r>
        <w:rPr>
          <w:rFonts w:ascii="Arial" w:cs="Arial" w:eastAsia="Arial" w:hAnsi="Arial"/>
          <w:sz w:val="17"/>
          <w:szCs w:val="17"/>
          <w:color w:val="auto"/>
        </w:rPr>
        <w:t>We have provided KPMG LLP with a copy of the foregoing disclosures and requested that KPMG LLP furnish us with a letter addressed to the SEC stating whether KPMG LLP agrees with the above statements and, if not, stating the respects in which it does not</w:t>
      </w:r>
    </w:p>
    <w:p>
      <w:pPr>
        <w:ind w:left="180"/>
        <w:spacing w:after="0"/>
        <w:tabs>
          <w:tab w:leader="none" w:pos="3180" w:val="left"/>
        </w:tabs>
        <w:rPr>
          <w:sz w:val="20"/>
          <w:szCs w:val="20"/>
          <w:color w:val="auto"/>
        </w:rPr>
      </w:pPr>
      <w:r>
        <w:rPr>
          <w:rFonts w:ascii="Arial" w:cs="Arial" w:eastAsia="Arial" w:hAnsi="Arial"/>
          <w:sz w:val="18"/>
          <w:szCs w:val="18"/>
          <w:color w:val="auto"/>
        </w:rPr>
        <w:t>agree. A copy of that letter dated</w:t>
      </w:r>
      <w:r>
        <w:rPr>
          <w:sz w:val="20"/>
          <w:szCs w:val="20"/>
          <w:color w:val="auto"/>
        </w:rPr>
        <w:tab/>
      </w:r>
      <w:r>
        <w:rPr>
          <w:rFonts w:ascii="Arial" w:cs="Arial" w:eastAsia="Arial" w:hAnsi="Arial"/>
          <w:sz w:val="17"/>
          <w:szCs w:val="17"/>
          <w:color w:val="auto"/>
        </w:rPr>
        <w:t>, 2021 is filed as Exhibit 16.1 to the registration statement of which this prospectus forms a part.</w:t>
      </w:r>
    </w:p>
    <w:p>
      <w:pPr>
        <w:spacing w:after="0" w:line="207" w:lineRule="exact"/>
        <w:rPr>
          <w:sz w:val="20"/>
          <w:szCs w:val="20"/>
          <w:color w:val="auto"/>
        </w:rPr>
      </w:pPr>
    </w:p>
    <w:p>
      <w:pPr>
        <w:ind w:left="180" w:right="60" w:firstLine="545"/>
        <w:spacing w:after="0" w:line="236" w:lineRule="auto"/>
        <w:rPr>
          <w:sz w:val="20"/>
          <w:szCs w:val="20"/>
          <w:color w:val="auto"/>
        </w:rPr>
      </w:pPr>
      <w:r>
        <w:rPr>
          <w:rFonts w:ascii="Arial" w:cs="Arial" w:eastAsia="Arial" w:hAnsi="Arial"/>
          <w:sz w:val="18"/>
          <w:szCs w:val="18"/>
          <w:color w:val="auto"/>
        </w:rPr>
        <w:t>During the fiscal years ended January 31, 2019 and February 3, 2018 and the subsequent interim period through February 20, 2020, neither we, nor anyone acting on our behalf, consulted with PwC on matters that involved the application of accounting principles to a specified transaction, either completed or proposed, the type of audit opinion that might be rendered on our consolidated financial statements or any of the matters described in Item 304(a)(2)(i) or (ii) of Regulation S-K.</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60"/>
          </w:cols>
          <w:pgMar w:left="320" w:top="456"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07" w:lineRule="exact"/>
        <w:rPr>
          <w:sz w:val="20"/>
          <w:szCs w:val="20"/>
          <w:color w:val="auto"/>
        </w:rPr>
      </w:pPr>
    </w:p>
    <w:p>
      <w:pPr>
        <w:ind w:left="180" w:right="40" w:firstLine="545"/>
        <w:spacing w:after="0" w:line="23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www.renttherunway.com,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40"/>
          </w:cols>
          <w:pgMar w:left="320" w:top="456" w:right="5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RENT THE RUNWAY, INC.</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5"/>
        </w:trPr>
        <w:tc>
          <w:tcPr>
            <w:tcW w:w="10280" w:type="dxa"/>
            <w:vAlign w:val="bottom"/>
            <w:gridSpan w:val="9"/>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7"/>
        </w:trPr>
        <w:tc>
          <w:tcPr>
            <w:tcW w:w="10280" w:type="dxa"/>
            <w:vAlign w:val="bottom"/>
            <w:gridSpan w:val="9"/>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Consolidated Balance Sheets as of January 31, 2020 and 2021</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7"/>
        </w:trPr>
        <w:tc>
          <w:tcPr>
            <w:tcW w:w="696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89">
              <w:r>
                <w:rPr>
                  <w:rFonts w:ascii="Arial" w:cs="Arial" w:eastAsia="Arial" w:hAnsi="Arial"/>
                  <w:sz w:val="18"/>
                  <w:szCs w:val="18"/>
                  <w:color w:val="0000EE"/>
                  <w:w w:val="99"/>
                </w:rPr>
                <w:t>Consolidated Statements of Operations for the years ended January 31, 2020 and 2021</w:t>
              </w:r>
            </w:hyperlink>
          </w:p>
        </w:tc>
        <w:tc>
          <w:tcPr>
            <w:tcW w:w="33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87"/>
        </w:trPr>
        <w:tc>
          <w:tcPr>
            <w:tcW w:w="10280" w:type="dxa"/>
            <w:vAlign w:val="bottom"/>
            <w:gridSpan w:val="9"/>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Consolidated Statements of Changes in Redeemable Preferred Stock and Stockholders’ Deficit for the years ended January 31,</w:t>
              </w:r>
            </w:hyperlink>
          </w:p>
        </w:tc>
        <w:tc>
          <w:tcPr>
            <w:tcW w:w="560" w:type="dxa"/>
            <w:vAlign w:val="bottom"/>
          </w:tcPr>
          <w:p>
            <w:pPr>
              <w:spacing w:after="0"/>
              <w:rPr>
                <w:sz w:val="24"/>
                <w:szCs w:val="24"/>
                <w:color w:val="auto"/>
              </w:rPr>
            </w:pPr>
          </w:p>
        </w:tc>
      </w:tr>
      <w:tr>
        <w:trPr>
          <w:trHeight w:val="180"/>
        </w:trPr>
        <w:tc>
          <w:tcPr>
            <w:tcW w:w="180" w:type="dxa"/>
            <w:vAlign w:val="bottom"/>
            <w:tcBorders>
              <w:top w:val="single" w:sz="8" w:color="0000EE"/>
            </w:tcBorders>
          </w:tcPr>
          <w:p>
            <w:pPr>
              <w:spacing w:after="0"/>
              <w:rPr>
                <w:sz w:val="15"/>
                <w:szCs w:val="15"/>
                <w:color w:val="auto"/>
              </w:rPr>
            </w:pPr>
          </w:p>
        </w:tc>
        <w:tc>
          <w:tcPr>
            <w:tcW w:w="1180" w:type="dxa"/>
            <w:vAlign w:val="bottom"/>
            <w:tcBorders>
              <w:top w:val="single" w:sz="8" w:color="0000EE"/>
              <w:bottom w:val="single" w:sz="8" w:color="0000EE"/>
            </w:tcBorders>
          </w:tcPr>
          <w:p>
            <w:pPr>
              <w:spacing w:after="0" w:line="181" w:lineRule="exact"/>
              <w:rPr>
                <w:rFonts w:ascii="Arial" w:cs="Arial" w:eastAsia="Arial" w:hAnsi="Arial"/>
                <w:sz w:val="18"/>
                <w:szCs w:val="18"/>
                <w:color w:val="0000EE"/>
                <w:w w:val="96"/>
              </w:rPr>
            </w:pPr>
            <w:hyperlink w:anchor="page190">
              <w:r>
                <w:rPr>
                  <w:rFonts w:ascii="Arial" w:cs="Arial" w:eastAsia="Arial" w:hAnsi="Arial"/>
                  <w:sz w:val="18"/>
                  <w:szCs w:val="18"/>
                  <w:color w:val="0000EE"/>
                  <w:w w:val="96"/>
                </w:rPr>
                <w:t>2020 and 2021</w:t>
              </w:r>
            </w:hyperlink>
          </w:p>
        </w:tc>
        <w:tc>
          <w:tcPr>
            <w:tcW w:w="8680" w:type="dxa"/>
            <w:vAlign w:val="bottom"/>
            <w:tcBorders>
              <w:top w:val="single" w:sz="8" w:color="0000EE"/>
            </w:tcBorders>
            <w:gridSpan w:val="6"/>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F-5</w:t>
            </w:r>
          </w:p>
        </w:tc>
      </w:tr>
      <w:tr>
        <w:trPr>
          <w:trHeight w:val="287"/>
        </w:trPr>
        <w:tc>
          <w:tcPr>
            <w:tcW w:w="70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91">
              <w:r>
                <w:rPr>
                  <w:rFonts w:ascii="Arial" w:cs="Arial" w:eastAsia="Arial" w:hAnsi="Arial"/>
                  <w:sz w:val="18"/>
                  <w:szCs w:val="18"/>
                  <w:color w:val="0000EE"/>
                  <w:w w:val="99"/>
                </w:rPr>
                <w:t>Consolidated Statements of Cash Flows for the years ended January 31, 2020 and 2021</w:t>
              </w:r>
            </w:hyperlink>
          </w:p>
        </w:tc>
        <w:tc>
          <w:tcPr>
            <w:tcW w:w="32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87"/>
        </w:trPr>
        <w:tc>
          <w:tcPr>
            <w:tcW w:w="10280" w:type="dxa"/>
            <w:vAlign w:val="bottom"/>
            <w:gridSpan w:val="9"/>
          </w:tcPr>
          <w:p>
            <w:pPr>
              <w:spacing w:after="0"/>
              <w:rPr>
                <w:sz w:val="20"/>
                <w:szCs w:val="20"/>
                <w:color w:val="auto"/>
              </w:rPr>
            </w:pPr>
            <w:r>
              <w:rPr>
                <w:rFonts w:ascii="Arial" w:cs="Arial" w:eastAsia="Arial" w:hAnsi="Arial"/>
                <w:sz w:val="18"/>
                <w:szCs w:val="18"/>
                <w:color w:val="0000EE"/>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66"/>
        </w:trPr>
        <w:tc>
          <w:tcPr>
            <w:tcW w:w="1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00" w:type="dxa"/>
            <w:vAlign w:val="bottom"/>
            <w:gridSpan w:val="4"/>
          </w:tcPr>
          <w:p>
            <w:pPr>
              <w:ind w:left="34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r>
    </w:tbl>
    <w:p>
      <w:pPr>
        <w:sectPr>
          <w:pgSz w:w="11900" w:h="16838" w:orient="portrait"/>
          <w:cols w:equalWidth="0" w:num="1">
            <w:col w:w="11020"/>
          </w:cols>
          <w:pgMar w:left="320" w:top="456"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Board of Directors and Stockholders of Rent the Runway, Inc.</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2" w:lineRule="exact"/>
        <w:rPr>
          <w:sz w:val="20"/>
          <w:szCs w:val="20"/>
          <w:color w:val="auto"/>
        </w:rPr>
      </w:pPr>
    </w:p>
    <w:p>
      <w:pPr>
        <w:ind w:left="180" w:right="80"/>
        <w:spacing w:after="0" w:line="234" w:lineRule="auto"/>
        <w:rPr>
          <w:sz w:val="20"/>
          <w:szCs w:val="20"/>
          <w:color w:val="auto"/>
        </w:rPr>
      </w:pPr>
      <w:r>
        <w:rPr>
          <w:rFonts w:ascii="Arial" w:cs="Arial" w:eastAsia="Arial" w:hAnsi="Arial"/>
          <w:sz w:val="18"/>
          <w:szCs w:val="18"/>
          <w:color w:val="auto"/>
        </w:rPr>
        <w:t>We have audited the accompanying consolidated balance sheets of Rent the Runway, Inc. and its subsidiary (the “Company”) as of January 31, 2021 and 2020, and the related consolidated statements of operations, of changes in redeemable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2021 and 2020, and the results of its operations and its cash flows for the years then ended in conformity with accounting principles generally accepted in the United States of America.</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2" w:lineRule="exact"/>
        <w:rPr>
          <w:sz w:val="20"/>
          <w:szCs w:val="20"/>
          <w:color w:val="auto"/>
        </w:rPr>
      </w:pPr>
    </w:p>
    <w:p>
      <w:pPr>
        <w:ind w:left="180"/>
        <w:spacing w:after="0" w:line="23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180" w:right="20"/>
        <w:spacing w:after="0" w:line="236"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201" w:lineRule="exact"/>
        <w:rPr>
          <w:sz w:val="20"/>
          <w:szCs w:val="20"/>
          <w:color w:val="auto"/>
        </w:rPr>
      </w:pPr>
    </w:p>
    <w:p>
      <w:pPr>
        <w:ind w:left="180" w:right="80"/>
        <w:spacing w:after="0" w:line="23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PricewaterhouseCoopers LLP</w:t>
      </w:r>
    </w:p>
    <w:p>
      <w:pPr>
        <w:ind w:left="180"/>
        <w:spacing w:after="0" w:line="232" w:lineRule="auto"/>
        <w:rPr>
          <w:sz w:val="20"/>
          <w:szCs w:val="20"/>
          <w:color w:val="auto"/>
        </w:rPr>
      </w:pPr>
      <w:r>
        <w:rPr>
          <w:rFonts w:ascii="Arial" w:cs="Arial" w:eastAsia="Arial" w:hAnsi="Arial"/>
          <w:sz w:val="18"/>
          <w:szCs w:val="18"/>
          <w:color w:val="auto"/>
        </w:rPr>
        <w:t>New York, New York</w:t>
      </w:r>
    </w:p>
    <w:p>
      <w:pPr>
        <w:ind w:left="180"/>
        <w:spacing w:after="0"/>
        <w:rPr>
          <w:sz w:val="20"/>
          <w:szCs w:val="20"/>
          <w:color w:val="auto"/>
        </w:rPr>
      </w:pPr>
      <w:r>
        <w:rPr>
          <w:rFonts w:ascii="Arial" w:cs="Arial" w:eastAsia="Arial" w:hAnsi="Arial"/>
          <w:sz w:val="18"/>
          <w:szCs w:val="18"/>
          <w:color w:val="auto"/>
        </w:rPr>
        <w:t>July 16, 2021</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served as the Company’s auditor since 2020.</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320" w:top="456"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 millions, except share and per share amounts)</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9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96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rPr>
              <w:t>Restricted cash, current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rPr>
              <w:t>Rental product,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116.0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97.6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680"/>
              <w:spacing w:after="0" w:line="201" w:lineRule="exact"/>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275.9</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Preferred Stock and Stockholders’ Deficit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Customer credit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680"/>
              <w:spacing w:after="0" w:line="201"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rPr>
              <w:t>Line of credit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44.0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debt,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171.1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41.7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51.5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680"/>
              <w:spacing w:after="0" w:line="201"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309.7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459.3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9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8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Redeemable preferred stock, $0.001 par value; 27,096,062 and 35,236,646 shares authorized at January 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2020 and 2021, respectively; 26,992,271 and 31,137,921 shares issued and outstanding at January 31, 2020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and 2021, respectively; liquidation preference of $332.6 million and $393.7 million at January 31, 2020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2021, respectively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330.5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388.1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98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Common stock, $0.001 par value; 48,000,000 and 60,000,000 shares authorized at January 31, 2020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2021, respectively; 10,371,636 and 10,456,521 shares issued and outstanding at January 31, 2020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9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2021, respectively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54.0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62.7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4"/>
              </w:rPr>
              <w:t>(418.3)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8"/>
              </w:rPr>
              <w:t>(589.4)</w:t>
            </w: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98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redeemable preferred stock and stockholders’ deficit</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275.9</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 millions, except share and per share amounts)</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8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8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tcPr>
          <w:p>
            <w:pPr>
              <w:ind w:left="340"/>
              <w:spacing w:after="0" w:line="201" w:lineRule="exact"/>
              <w:rPr>
                <w:sz w:val="20"/>
                <w:szCs w:val="20"/>
                <w:color w:val="auto"/>
              </w:rPr>
            </w:pPr>
            <w:r>
              <w:rPr>
                <w:rFonts w:ascii="Arial" w:cs="Arial" w:eastAsia="Arial" w:hAnsi="Arial"/>
                <w:sz w:val="18"/>
                <w:szCs w:val="18"/>
                <w:color w:val="auto"/>
              </w:rPr>
              <w:t>Subscription and Reserve rental revenue</w:t>
            </w:r>
          </w:p>
        </w:tc>
        <w:tc>
          <w:tcPr>
            <w:tcW w:w="6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235.4</w:t>
            </w:r>
          </w:p>
        </w:tc>
        <w:tc>
          <w:tcPr>
            <w:tcW w:w="420" w:type="dxa"/>
            <w:vAlign w:val="bottom"/>
          </w:tcPr>
          <w:p>
            <w:pPr>
              <w:spacing w:after="0"/>
              <w:rPr>
                <w:sz w:val="17"/>
                <w:szCs w:val="17"/>
                <w:color w:val="auto"/>
              </w:rPr>
            </w:pP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135.9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revenue</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21.5</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Arial" w:cs="Arial" w:eastAsia="Arial" w:hAnsi="Arial"/>
                <w:sz w:val="18"/>
                <w:szCs w:val="18"/>
                <w:color w:val="auto"/>
              </w:rPr>
              <w:t>Total revenue, net</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tcPr>
          <w:p>
            <w:pPr>
              <w:ind w:left="340"/>
              <w:spacing w:after="0" w:line="201" w:lineRule="exact"/>
              <w:rPr>
                <w:sz w:val="20"/>
                <w:szCs w:val="20"/>
                <w:color w:val="auto"/>
              </w:rPr>
            </w:pPr>
            <w:r>
              <w:rPr>
                <w:rFonts w:ascii="Arial" w:cs="Arial" w:eastAsia="Arial" w:hAnsi="Arial"/>
                <w:sz w:val="18"/>
                <w:szCs w:val="18"/>
                <w:color w:val="auto"/>
              </w:rPr>
              <w:t>Fulfillment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118.1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53.0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Technology</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40.2</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tcPr>
          <w:p>
            <w:pPr>
              <w:ind w:left="340"/>
              <w:spacing w:after="0" w:line="201" w:lineRule="exact"/>
              <w:rPr>
                <w:sz w:val="20"/>
                <w:szCs w:val="20"/>
                <w:color w:val="auto"/>
              </w:rPr>
            </w:pPr>
            <w:r>
              <w:rPr>
                <w:rFonts w:ascii="Arial" w:cs="Arial" w:eastAsia="Arial" w:hAnsi="Arial"/>
                <w:sz w:val="18"/>
                <w:szCs w:val="18"/>
                <w:color w:val="auto"/>
              </w:rPr>
              <w:t>Marketing</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22.9</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98.9</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tcPr>
          <w:p>
            <w:pPr>
              <w:ind w:left="340"/>
              <w:spacing w:after="0" w:line="201" w:lineRule="exact"/>
              <w:rPr>
                <w:sz w:val="20"/>
                <w:szCs w:val="20"/>
                <w:color w:val="auto"/>
              </w:rPr>
            </w:pPr>
            <w:r>
              <w:rPr>
                <w:rFonts w:ascii="Arial" w:cs="Arial" w:eastAsia="Arial" w:hAnsi="Arial"/>
                <w:sz w:val="18"/>
                <w:szCs w:val="18"/>
                <w:color w:val="auto"/>
              </w:rPr>
              <w:t>Rental product depreciation and revenue share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85.2</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89.0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depreciation and amortization</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21.6</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Arial" w:cs="Arial" w:eastAsia="Arial" w:hAnsi="Arial"/>
                <w:sz w:val="18"/>
                <w:szCs w:val="18"/>
                <w:color w:val="auto"/>
              </w:rPr>
              <w:t>Total costs and expenses</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ind w:left="1040"/>
              <w:spacing w:after="0" w:line="201" w:lineRule="exact"/>
              <w:rPr>
                <w:sz w:val="20"/>
                <w:szCs w:val="20"/>
                <w:color w:val="auto"/>
              </w:rPr>
            </w:pPr>
            <w:r>
              <w:rPr>
                <w:rFonts w:ascii="Arial" w:cs="Arial" w:eastAsia="Arial" w:hAnsi="Arial"/>
                <w:sz w:val="18"/>
                <w:szCs w:val="18"/>
                <w:color w:val="auto"/>
              </w:rPr>
              <w:t>Operating loss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(130.0)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54"/>
        </w:trPr>
        <w:tc>
          <w:tcPr>
            <w:tcW w:w="7400" w:type="dxa"/>
            <w:vAlign w:val="bottom"/>
            <w:gridSpan w:val="2"/>
          </w:tcPr>
          <w:p>
            <w:pPr>
              <w:spacing w:after="0"/>
              <w:rPr>
                <w:sz w:val="20"/>
                <w:szCs w:val="20"/>
                <w:color w:val="auto"/>
              </w:rPr>
            </w:pPr>
            <w:r>
              <w:rPr>
                <w:rFonts w:ascii="Arial" w:cs="Arial" w:eastAsia="Arial" w:hAnsi="Arial"/>
                <w:sz w:val="18"/>
                <w:szCs w:val="18"/>
                <w:color w:val="auto"/>
              </w:rPr>
              <w:t>Interest income / (expense), net</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(24.0)</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income / (expense), net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380" w:type="dxa"/>
            <w:vAlign w:val="bottom"/>
          </w:tcPr>
          <w:p>
            <w:pPr>
              <w:ind w:left="1040"/>
              <w:spacing w:after="0"/>
              <w:rPr>
                <w:sz w:val="20"/>
                <w:szCs w:val="20"/>
                <w:color w:val="auto"/>
              </w:rPr>
            </w:pPr>
            <w:r>
              <w:rPr>
                <w:rFonts w:ascii="Arial" w:cs="Arial" w:eastAsia="Arial" w:hAnsi="Arial"/>
                <w:sz w:val="18"/>
                <w:szCs w:val="18"/>
                <w:color w:val="auto"/>
              </w:rPr>
              <w:t>Net loss before benefit from income taxes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(154.1)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Benefit from income taxes</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80" w:type="dxa"/>
            <w:vAlign w:val="bottom"/>
          </w:tcPr>
          <w:p>
            <w:pPr>
              <w:ind w:left="104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(153.9)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6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8"/>
                <w:szCs w:val="18"/>
                <w:color w:val="auto"/>
              </w:rPr>
              <w:t>(14.04)</w:t>
            </w:r>
          </w:p>
        </w:tc>
        <w:tc>
          <w:tcPr>
            <w:tcW w:w="4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10,964,634</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11,138,851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Consolidated Statements of Changes in Redeemable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 millions, except share amounts)</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60" w:type="dxa"/>
            <w:vAlign w:val="bottom"/>
            <w:gridSpan w:val="3"/>
          </w:tcPr>
          <w:p>
            <w:pPr>
              <w:jc w:val="right"/>
              <w:ind w:right="341"/>
              <w:spacing w:after="0"/>
              <w:rPr>
                <w:sz w:val="20"/>
                <w:szCs w:val="20"/>
                <w:color w:val="auto"/>
              </w:rPr>
            </w:pPr>
            <w:r>
              <w:rPr>
                <w:rFonts w:ascii="Arial" w:cs="Arial" w:eastAsia="Arial" w:hAnsi="Arial"/>
                <w:sz w:val="14"/>
                <w:szCs w:val="14"/>
                <w:b w:val="1"/>
                <w:bCs w:val="1"/>
                <w:color w:val="auto"/>
              </w:rPr>
              <w:t>Redeemable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ind w:left="240"/>
              <w:spacing w:after="0"/>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Preferred Stock</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41"/>
              <w:spacing w:after="0"/>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4"/>
        </w:trPr>
        <w:tc>
          <w:tcPr>
            <w:tcW w:w="3720" w:type="dxa"/>
            <w:vAlign w:val="bottom"/>
          </w:tcPr>
          <w:p>
            <w:pPr>
              <w:spacing w:after="0"/>
              <w:rPr>
                <w:sz w:val="13"/>
                <w:szCs w:val="13"/>
                <w:color w:val="auto"/>
              </w:rPr>
            </w:pPr>
          </w:p>
        </w:tc>
        <w:tc>
          <w:tcPr>
            <w:tcW w:w="880" w:type="dxa"/>
            <w:vAlign w:val="bottom"/>
          </w:tcPr>
          <w:p>
            <w:pPr>
              <w:jc w:val="right"/>
              <w:ind w:right="122"/>
              <w:spacing w:after="0" w:line="154"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5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8"/>
              </w:rPr>
              <w:t>Amount</w:t>
            </w:r>
          </w:p>
        </w:tc>
        <w:tc>
          <w:tcPr>
            <w:tcW w:w="3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42"/>
              <w:spacing w:after="0" w:line="154" w:lineRule="exact"/>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220"/>
              <w:spacing w:after="0" w:line="154"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41"/>
              <w:spacing w:after="0" w:line="154"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360"/>
              <w:spacing w:after="0" w:line="154"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Balances at January 31, 2019</w:t>
            </w: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2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20,891,652</w:t>
            </w:r>
          </w:p>
        </w:tc>
        <w:tc>
          <w:tcPr>
            <w:tcW w:w="7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$ 196.7</w:t>
            </w:r>
          </w:p>
        </w:tc>
        <w:tc>
          <w:tcPr>
            <w:tcW w:w="340" w:type="dxa"/>
            <w:vAlign w:val="bottom"/>
            <w:tcBorders>
              <w:right w:val="single" w:sz="8" w:color="auto"/>
            </w:tcBorders>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10,100,658</w:t>
            </w:r>
          </w:p>
        </w:tc>
        <w:tc>
          <w:tcPr>
            <w:tcW w:w="48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45.4</w:t>
            </w:r>
          </w:p>
        </w:tc>
        <w:tc>
          <w:tcPr>
            <w:tcW w:w="38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(267.0)</w:t>
            </w:r>
          </w:p>
        </w:tc>
        <w:tc>
          <w:tcPr>
            <w:tcW w:w="30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(221.6)</w:t>
            </w:r>
          </w:p>
        </w:tc>
        <w:tc>
          <w:tcPr>
            <w:tcW w:w="0" w:type="dxa"/>
            <w:vAlign w:val="bottom"/>
          </w:tcPr>
          <w:p>
            <w:pPr>
              <w:spacing w:after="0"/>
              <w:rPr>
                <w:sz w:val="1"/>
                <w:szCs w:val="1"/>
                <w:color w:val="auto"/>
              </w:rPr>
            </w:pPr>
          </w:p>
        </w:tc>
      </w:tr>
      <w:tr>
        <w:trPr>
          <w:trHeight w:val="187"/>
        </w:trPr>
        <w:tc>
          <w:tcPr>
            <w:tcW w:w="3720" w:type="dxa"/>
            <w:vAlign w:val="bottom"/>
          </w:tcPr>
          <w:p>
            <w:pPr>
              <w:ind w:left="320"/>
              <w:spacing w:after="0"/>
              <w:rPr>
                <w:sz w:val="20"/>
                <w:szCs w:val="20"/>
                <w:color w:val="auto"/>
              </w:rPr>
            </w:pPr>
            <w:r>
              <w:rPr>
                <w:rFonts w:ascii="Arial" w:cs="Arial" w:eastAsia="Arial" w:hAnsi="Arial"/>
                <w:sz w:val="16"/>
                <w:szCs w:val="16"/>
                <w:color w:val="auto"/>
              </w:rPr>
              <w:t>Issuance of redeemable preferred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6,100,619</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133.8</w:t>
            </w:r>
          </w:p>
        </w:tc>
        <w:tc>
          <w:tcPr>
            <w:tcW w:w="3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issued under stock incentive plan</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auto"/>
            </w:tcBorders>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270,978</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 to accumulated deficit,</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cumulative effect of ASC 606 adoption</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Balances at January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26,992,271</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3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10,371,636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(364.3)</w:t>
            </w:r>
          </w:p>
        </w:tc>
        <w:tc>
          <w:tcPr>
            <w:tcW w:w="0" w:type="dxa"/>
            <w:vAlign w:val="bottom"/>
          </w:tcPr>
          <w:p>
            <w:pPr>
              <w:spacing w:after="0"/>
              <w:rPr>
                <w:sz w:val="1"/>
                <w:szCs w:val="1"/>
                <w:color w:val="auto"/>
              </w:rPr>
            </w:pPr>
          </w:p>
        </w:tc>
      </w:tr>
      <w:tr>
        <w:trPr>
          <w:trHeight w:val="187"/>
        </w:trPr>
        <w:tc>
          <w:tcPr>
            <w:tcW w:w="3720" w:type="dxa"/>
            <w:vAlign w:val="bottom"/>
          </w:tcPr>
          <w:p>
            <w:pPr>
              <w:ind w:left="320"/>
              <w:spacing w:after="0"/>
              <w:rPr>
                <w:sz w:val="20"/>
                <w:szCs w:val="20"/>
                <w:color w:val="auto"/>
              </w:rPr>
            </w:pPr>
            <w:r>
              <w:rPr>
                <w:rFonts w:ascii="Arial" w:cs="Arial" w:eastAsia="Arial" w:hAnsi="Arial"/>
                <w:sz w:val="16"/>
                <w:szCs w:val="16"/>
                <w:color w:val="auto"/>
              </w:rPr>
              <w:t>Issuance of redeemable preferred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4,145,650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57.6</w:t>
            </w:r>
          </w:p>
        </w:tc>
        <w:tc>
          <w:tcPr>
            <w:tcW w:w="3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issued under stock incentive plan</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auto"/>
            </w:tcBorders>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84,885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20" w:type="dxa"/>
            <w:vAlign w:val="bottom"/>
          </w:tcPr>
          <w:p>
            <w:pPr>
              <w:spacing w:after="0"/>
              <w:rPr>
                <w:sz w:val="20"/>
                <w:szCs w:val="20"/>
                <w:color w:val="auto"/>
              </w:rPr>
            </w:pPr>
            <w:r>
              <w:rPr>
                <w:rFonts w:ascii="Arial" w:cs="Arial" w:eastAsia="Arial" w:hAnsi="Arial"/>
                <w:sz w:val="16"/>
                <w:szCs w:val="16"/>
                <w:color w:val="auto"/>
              </w:rPr>
              <w:t>Balances at January 31, 2021</w:t>
            </w:r>
          </w:p>
        </w:tc>
        <w:tc>
          <w:tcPr>
            <w:tcW w:w="880" w:type="dxa"/>
            <w:vAlign w:val="bottom"/>
          </w:tcPr>
          <w:p>
            <w:pPr>
              <w:jc w:val="right"/>
              <w:spacing w:after="0"/>
              <w:rPr>
                <w:sz w:val="20"/>
                <w:szCs w:val="20"/>
                <w:color w:val="auto"/>
              </w:rPr>
            </w:pPr>
            <w:r>
              <w:rPr>
                <w:rFonts w:ascii="Arial" w:cs="Arial" w:eastAsia="Arial" w:hAnsi="Arial"/>
                <w:sz w:val="16"/>
                <w:szCs w:val="16"/>
                <w:color w:val="auto"/>
              </w:rPr>
              <w:t>31,137,921</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$ 388.1</w:t>
            </w:r>
          </w:p>
        </w:tc>
        <w:tc>
          <w:tcPr>
            <w:tcW w:w="340" w:type="dxa"/>
            <w:vAlign w:val="bottom"/>
            <w:tcBorders>
              <w:right w:val="single" w:sz="8" w:color="auto"/>
            </w:tcBorders>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10,456,521</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62.7</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(589.4)</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(526.7)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 millions)</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20" w:type="dxa"/>
            <w:vAlign w:val="bottom"/>
          </w:tcPr>
          <w:p>
            <w:pPr>
              <w:spacing w:after="0"/>
              <w:rPr>
                <w:sz w:val="13"/>
                <w:szCs w:val="13"/>
                <w:color w:val="auto"/>
              </w:rPr>
            </w:pPr>
          </w:p>
        </w:tc>
        <w:tc>
          <w:tcPr>
            <w:tcW w:w="85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20"/>
              <w:spacing w:after="0" w:line="154"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20"/>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8540" w:type="dxa"/>
            <w:vAlign w:val="bottom"/>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OPERATING ACTIVITIES</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(153.9)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(171.1)</w:t>
            </w: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Rental product depreciation and write-offs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depreciation and amortization</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Payment-in-kind interest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debt discount</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Share-based compensation expense</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rental product sold</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w:t>
            </w:r>
          </w:p>
        </w:tc>
      </w:tr>
      <w:tr>
        <w:trPr>
          <w:trHeight w:val="187"/>
        </w:trPr>
        <w:tc>
          <w:tcPr>
            <w:tcW w:w="20" w:type="dxa"/>
            <w:vAlign w:val="bottom"/>
          </w:tcPr>
          <w:p>
            <w:pPr>
              <w:spacing w:after="0"/>
              <w:rPr>
                <w:sz w:val="16"/>
                <w:szCs w:val="16"/>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Write-off of rental product sold</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liquidation of rental product</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Loss on debt extinguishment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Remeasurement of warrant liability</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r>
      <w:tr>
        <w:trPr>
          <w:trHeight w:val="187"/>
        </w:trPr>
        <w:tc>
          <w:tcPr>
            <w:tcW w:w="20" w:type="dxa"/>
            <w:vAlign w:val="bottom"/>
          </w:tcPr>
          <w:p>
            <w:pPr>
              <w:spacing w:after="0"/>
              <w:rPr>
                <w:sz w:val="16"/>
                <w:szCs w:val="16"/>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Changes in operating assets and liabilities: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tcPr>
          <w:p>
            <w:pPr>
              <w:ind w:left="62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assets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tcPr>
          <w:p>
            <w:pPr>
              <w:ind w:left="620"/>
              <w:spacing w:after="0"/>
              <w:rPr>
                <w:sz w:val="20"/>
                <w:szCs w:val="20"/>
                <w:color w:val="auto"/>
              </w:rPr>
            </w:pPr>
            <w:r>
              <w:rPr>
                <w:rFonts w:ascii="Arial" w:cs="Arial" w:eastAsia="Arial" w:hAnsi="Arial"/>
                <w:sz w:val="16"/>
                <w:szCs w:val="16"/>
                <w:color w:val="auto"/>
              </w:rPr>
              <w:t>Accounts payable, accrued expenses and other current liabilities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Deferred revenue and customer credit liabilities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r>
      <w:tr>
        <w:trPr>
          <w:trHeight w:val="187"/>
        </w:trPr>
        <w:tc>
          <w:tcPr>
            <w:tcW w:w="20" w:type="dxa"/>
            <w:vAlign w:val="bottom"/>
          </w:tcPr>
          <w:p>
            <w:pPr>
              <w:spacing w:after="0"/>
              <w:rPr>
                <w:sz w:val="16"/>
                <w:szCs w:val="16"/>
                <w:color w:val="auto"/>
              </w:rPr>
            </w:pPr>
          </w:p>
        </w:tc>
        <w:tc>
          <w:tcPr>
            <w:tcW w:w="8540" w:type="dxa"/>
            <w:vAlign w:val="bottom"/>
          </w:tcPr>
          <w:p>
            <w:pPr>
              <w:ind w:left="620"/>
              <w:spacing w:after="0"/>
              <w:rPr>
                <w:sz w:val="20"/>
                <w:szCs w:val="20"/>
                <w:color w:val="auto"/>
              </w:rPr>
            </w:pPr>
            <w:r>
              <w:rPr>
                <w:rFonts w:ascii="Arial" w:cs="Arial" w:eastAsia="Arial" w:hAnsi="Arial"/>
                <w:sz w:val="16"/>
                <w:szCs w:val="16"/>
                <w:color w:val="auto"/>
              </w:rPr>
              <w:t>Operating lease liabilities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liabilities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ind w:left="940"/>
              <w:spacing w:after="0"/>
              <w:rPr>
                <w:sz w:val="20"/>
                <w:szCs w:val="20"/>
                <w:color w:val="auto"/>
              </w:rPr>
            </w:pPr>
            <w:r>
              <w:rPr>
                <w:rFonts w:ascii="Arial" w:cs="Arial" w:eastAsia="Arial" w:hAnsi="Arial"/>
                <w:sz w:val="16"/>
                <w:szCs w:val="16"/>
                <w:color w:val="auto"/>
              </w:rPr>
              <w:t>Net cash (used in) provided by operating activities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(37.6)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(42.8)</w:t>
            </w: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4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6"/>
                <w:szCs w:val="16"/>
                <w:color w:val="auto"/>
              </w:rPr>
              <w:t>Purchases of rental product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(117.7)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(54.9)</w:t>
            </w: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liquidation of rental product</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6"/>
                <w:szCs w:val="16"/>
                <w:color w:val="auto"/>
              </w:rPr>
              <w:t>Proceeds from sale of rental product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Purchases of fixed and intangible assets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ind w:left="940"/>
              <w:spacing w:after="0"/>
              <w:rPr>
                <w:sz w:val="20"/>
                <w:szCs w:val="20"/>
                <w:color w:val="auto"/>
              </w:rPr>
            </w:pPr>
            <w:r>
              <w:rPr>
                <w:rFonts w:ascii="Arial" w:cs="Arial" w:eastAsia="Arial" w:hAnsi="Arial"/>
                <w:sz w:val="16"/>
                <w:szCs w:val="16"/>
                <w:color w:val="auto"/>
              </w:rPr>
              <w:t>Net cash (used in) provided by investing activities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(138.6)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(58.4)</w:t>
            </w: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4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6"/>
                <w:szCs w:val="16"/>
                <w:color w:val="auto"/>
              </w:rPr>
              <w:t>Proceeds from issuance of redeemable preferred stock</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133.8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6"/>
                <w:szCs w:val="16"/>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6"/>
                <w:szCs w:val="16"/>
                <w:color w:val="auto"/>
              </w:rPr>
              <w:t>Deferred financing costs paid</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Principal payments on financing lease obligations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r>
      <w:tr>
        <w:trPr>
          <w:trHeight w:val="187"/>
        </w:trPr>
        <w:tc>
          <w:tcPr>
            <w:tcW w:w="8560" w:type="dxa"/>
            <w:vAlign w:val="bottom"/>
            <w:gridSpan w:val="2"/>
          </w:tcPr>
          <w:p>
            <w:pPr>
              <w:spacing w:after="0"/>
              <w:rPr>
                <w:sz w:val="20"/>
                <w:szCs w:val="20"/>
                <w:color w:val="auto"/>
              </w:rPr>
            </w:pPr>
            <w:r>
              <w:rPr>
                <w:rFonts w:ascii="Arial" w:cs="Arial" w:eastAsia="Arial" w:hAnsi="Arial"/>
                <w:sz w:val="16"/>
                <w:szCs w:val="16"/>
                <w:color w:val="auto"/>
              </w:rPr>
              <w:t>Proceeds from line of credit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long-term debt</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6"/>
                <w:szCs w:val="16"/>
                <w:color w:val="auto"/>
              </w:rPr>
            </w:pPr>
          </w:p>
        </w:tc>
      </w:tr>
      <w:tr>
        <w:trPr>
          <w:trHeight w:val="194"/>
        </w:trPr>
        <w:tc>
          <w:tcPr>
            <w:tcW w:w="8560" w:type="dxa"/>
            <w:vAlign w:val="bottom"/>
            <w:gridSpan w:val="2"/>
          </w:tcPr>
          <w:p>
            <w:pPr>
              <w:spacing w:after="0"/>
              <w:rPr>
                <w:sz w:val="20"/>
                <w:szCs w:val="20"/>
                <w:color w:val="auto"/>
              </w:rPr>
            </w:pPr>
            <w:r>
              <w:rPr>
                <w:rFonts w:ascii="Arial" w:cs="Arial" w:eastAsia="Arial" w:hAnsi="Arial"/>
                <w:sz w:val="16"/>
                <w:szCs w:val="16"/>
                <w:color w:val="auto"/>
              </w:rPr>
              <w:t>Principal repayments on line of credit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(92.6)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(59.0)</w:t>
            </w: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cash (used in) provided by financing activities</w:t>
            </w:r>
          </w:p>
        </w:tc>
        <w:tc>
          <w:tcPr>
            <w:tcW w:w="48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6"/>
                <w:szCs w:val="16"/>
                <w:color w:val="auto"/>
              </w:rPr>
            </w:pPr>
          </w:p>
        </w:tc>
      </w:tr>
      <w:tr>
        <w:trPr>
          <w:trHeight w:val="194"/>
        </w:trPr>
        <w:tc>
          <w:tcPr>
            <w:tcW w:w="8560" w:type="dxa"/>
            <w:vAlign w:val="bottom"/>
            <w:gridSpan w:val="2"/>
          </w:tcPr>
          <w:p>
            <w:pPr>
              <w:spacing w:after="0"/>
              <w:rPr>
                <w:sz w:val="20"/>
                <w:szCs w:val="20"/>
                <w:color w:val="auto"/>
              </w:rPr>
            </w:pPr>
            <w:r>
              <w:rPr>
                <w:rFonts w:ascii="Arial" w:cs="Arial" w:eastAsia="Arial" w:hAnsi="Arial"/>
                <w:sz w:val="16"/>
                <w:szCs w:val="16"/>
                <w:color w:val="auto"/>
              </w:rPr>
              <w:t>Net increase in cash and cash equivalents and restricted cash</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4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6"/>
                <w:szCs w:val="16"/>
                <w:color w:val="auto"/>
              </w:rPr>
            </w:pPr>
          </w:p>
        </w:tc>
      </w:tr>
      <w:tr>
        <w:trPr>
          <w:trHeight w:val="194"/>
        </w:trPr>
        <w:tc>
          <w:tcPr>
            <w:tcW w:w="8560" w:type="dxa"/>
            <w:vAlign w:val="bottom"/>
            <w:gridSpan w:val="2"/>
          </w:tcPr>
          <w:p>
            <w:pPr>
              <w:spacing w:after="0"/>
              <w:rPr>
                <w:sz w:val="20"/>
                <w:szCs w:val="20"/>
                <w:color w:val="auto"/>
              </w:rPr>
            </w:pPr>
            <w:r>
              <w:rPr>
                <w:rFonts w:ascii="Arial" w:cs="Arial" w:eastAsia="Arial" w:hAnsi="Arial"/>
                <w:sz w:val="16"/>
                <w:szCs w:val="16"/>
                <w:color w:val="auto"/>
              </w:rPr>
              <w:t>Cash and cash equivalents and restricted cash at end of year</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41.9</w:t>
            </w:r>
          </w:p>
        </w:tc>
        <w:tc>
          <w:tcPr>
            <w:tcW w:w="200" w:type="dxa"/>
            <w:vAlign w:val="bottom"/>
          </w:tcPr>
          <w:p>
            <w:pPr>
              <w:spacing w:after="0"/>
              <w:rPr>
                <w:sz w:val="16"/>
                <w:szCs w:val="16"/>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5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RECONCILIATION OF CASH AND CASH EQUIVALENTS AND RESTRICTED CASH TO THE CONSOLIDATED</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85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BALANCE SHEETS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31.4</w:t>
            </w:r>
          </w:p>
        </w:tc>
        <w:tc>
          <w:tcPr>
            <w:tcW w:w="200" w:type="dxa"/>
            <w:vAlign w:val="bottom"/>
          </w:tcPr>
          <w:p>
            <w:pPr>
              <w:spacing w:after="0"/>
              <w:rPr>
                <w:sz w:val="16"/>
                <w:szCs w:val="16"/>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current</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6"/>
                <w:szCs w:val="16"/>
                <w:color w:val="auto"/>
              </w:rPr>
            </w:pPr>
          </w:p>
        </w:tc>
      </w:tr>
      <w:tr>
        <w:trPr>
          <w:trHeight w:val="194"/>
        </w:trPr>
        <w:tc>
          <w:tcPr>
            <w:tcW w:w="8560" w:type="dxa"/>
            <w:vAlign w:val="bottom"/>
            <w:gridSpan w:val="2"/>
          </w:tcPr>
          <w:p>
            <w:pPr>
              <w:spacing w:after="0"/>
              <w:rPr>
                <w:sz w:val="20"/>
                <w:szCs w:val="20"/>
                <w:color w:val="auto"/>
              </w:rPr>
            </w:pPr>
            <w:r>
              <w:rPr>
                <w:rFonts w:ascii="Arial" w:cs="Arial" w:eastAsia="Arial" w:hAnsi="Arial"/>
                <w:sz w:val="16"/>
                <w:szCs w:val="16"/>
                <w:color w:val="auto"/>
              </w:rPr>
              <w:t>Restricted cash, noncurrent</w:t>
            </w:r>
          </w:p>
        </w:tc>
        <w:tc>
          <w:tcPr>
            <w:tcW w:w="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Total cash and cash equivalents and restricted cash</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2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36" w:lineRule="exact"/>
        <w:rPr>
          <w:sz w:val="20"/>
          <w:szCs w:val="20"/>
          <w:color w:val="auto"/>
        </w:rPr>
      </w:pPr>
    </w:p>
    <w:p>
      <w:pPr>
        <w:ind w:left="700" w:hanging="526"/>
        <w:spacing w:after="0"/>
        <w:tabs>
          <w:tab w:leader="none" w:pos="7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00"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2" w:lineRule="exact"/>
        <w:rPr>
          <w:rFonts w:ascii="Arial" w:cs="Arial" w:eastAsia="Arial" w:hAnsi="Arial"/>
          <w:sz w:val="18"/>
          <w:szCs w:val="18"/>
          <w:b w:val="1"/>
          <w:bCs w:val="1"/>
          <w:color w:val="auto"/>
        </w:rPr>
      </w:pPr>
    </w:p>
    <w:p>
      <w:pPr>
        <w:ind w:left="720" w:right="8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power women to feel their best every day. Launched in November 2009, the Company has built the world’s first and largest shared designer closet with over 18,000 styles by over 750 brand partners. The Company gives customers ongoing access to its “unlimited closet” through its subscription offering or the ability to rent a-la-carte through its reserve offering (“Reserve”). The Company’s corporate headquarters are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205" w:lineRule="exact"/>
        <w:rPr>
          <w:rFonts w:ascii="Arial" w:cs="Arial" w:eastAsia="Arial" w:hAnsi="Arial"/>
          <w:sz w:val="18"/>
          <w:szCs w:val="18"/>
          <w:b w:val="1"/>
          <w:bCs w:val="1"/>
          <w:color w:val="auto"/>
        </w:rPr>
      </w:pPr>
    </w:p>
    <w:p>
      <w:pPr>
        <w:ind w:left="720" w:right="6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06" w:lineRule="exact"/>
        <w:rPr>
          <w:rFonts w:ascii="Arial" w:cs="Arial" w:eastAsia="Arial" w:hAnsi="Arial"/>
          <w:sz w:val="18"/>
          <w:szCs w:val="18"/>
          <w:b w:val="1"/>
          <w:bCs w:val="1"/>
          <w:color w:val="auto"/>
        </w:rPr>
      </w:pPr>
    </w:p>
    <w:p>
      <w:pPr>
        <w:ind w:left="720" w:right="6620" w:hanging="546"/>
        <w:spacing w:after="0" w:line="369" w:lineRule="auto"/>
        <w:tabs>
          <w:tab w:leader="none" w:pos="709"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left="7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17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122" w:lineRule="exact"/>
        <w:rPr>
          <w:rFonts w:ascii="Arial" w:cs="Arial" w:eastAsia="Arial" w:hAnsi="Arial"/>
          <w:sz w:val="18"/>
          <w:szCs w:val="18"/>
          <w:b w:val="1"/>
          <w:bCs w:val="1"/>
          <w:color w:val="auto"/>
        </w:rPr>
      </w:pPr>
    </w:p>
    <w:p>
      <w:pPr>
        <w:ind w:left="7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operates on a fiscal calendar ending January 31. All references to fiscal year 2019 reflect the results of the 12-month period ending January 31, 2020. All references to fiscal year 2020 reflect the results of the 12-month period ending January 31, 2021.</w:t>
      </w:r>
    </w:p>
    <w:p>
      <w:pPr>
        <w:spacing w:after="0" w:line="17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183"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2" w:lineRule="exact"/>
        <w:rPr>
          <w:rFonts w:ascii="Arial" w:cs="Arial" w:eastAsia="Arial" w:hAnsi="Arial"/>
          <w:sz w:val="18"/>
          <w:szCs w:val="18"/>
          <w:b w:val="1"/>
          <w:bCs w:val="1"/>
          <w:color w:val="auto"/>
        </w:rPr>
      </w:pPr>
    </w:p>
    <w:p>
      <w:pPr>
        <w:ind w:left="7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60"/>
          </w:cols>
          <w:pgMar w:left="320" w:top="456" w:right="5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480"/>
        <w:spacing w:after="0" w:line="237" w:lineRule="auto"/>
        <w:rPr>
          <w:sz w:val="20"/>
          <w:szCs w:val="20"/>
          <w:color w:val="auto"/>
        </w:rPr>
      </w:pPr>
      <w:r>
        <w:rPr>
          <w:rFonts w:ascii="Arial" w:cs="Arial" w:eastAsia="Arial" w:hAnsi="Arial"/>
          <w:sz w:val="18"/>
          <w:szCs w:val="18"/>
          <w:color w:val="auto"/>
        </w:rPr>
        <w:t>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202" w:lineRule="exact"/>
        <w:rPr>
          <w:sz w:val="20"/>
          <w:szCs w:val="20"/>
          <w:color w:val="auto"/>
        </w:rPr>
      </w:pPr>
    </w:p>
    <w:p>
      <w:pPr>
        <w:ind w:left="720" w:right="40"/>
        <w:spacing w:after="0" w:line="236" w:lineRule="auto"/>
        <w:rPr>
          <w:sz w:val="20"/>
          <w:szCs w:val="20"/>
          <w:color w:val="auto"/>
        </w:rPr>
      </w:pPr>
      <w:r>
        <w:rPr>
          <w:rFonts w:ascii="Arial" w:cs="Arial" w:eastAsia="Arial" w:hAnsi="Arial"/>
          <w:sz w:val="18"/>
          <w:szCs w:val="18"/>
          <w:color w:val="auto"/>
        </w:rPr>
        <w:t>As of January 31, 2021,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Concentrations of Credit Risks</w:t>
      </w:r>
    </w:p>
    <w:p>
      <w:pPr>
        <w:spacing w:after="0" w:line="122" w:lineRule="exact"/>
        <w:rPr>
          <w:sz w:val="20"/>
          <w:szCs w:val="20"/>
          <w:color w:val="auto"/>
        </w:rPr>
      </w:pPr>
    </w:p>
    <w:p>
      <w:pPr>
        <w:ind w:left="720" w:right="460"/>
        <w:spacing w:after="0" w:line="23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single customer accounted for more than 5% of the Company’s revenue during the years ended January 31, 2020 or 2021.</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22"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201" w:lineRule="exact"/>
        <w:rPr>
          <w:sz w:val="20"/>
          <w:szCs w:val="20"/>
          <w:color w:val="auto"/>
        </w:rPr>
      </w:pPr>
    </w:p>
    <w:p>
      <w:pPr>
        <w:ind w:left="720" w:right="40"/>
        <w:spacing w:after="0" w:line="237" w:lineRule="auto"/>
        <w:rPr>
          <w:sz w:val="20"/>
          <w:szCs w:val="20"/>
          <w:color w:val="auto"/>
        </w:rPr>
      </w:pPr>
      <w:r>
        <w:rPr>
          <w:rFonts w:ascii="Arial" w:cs="Arial" w:eastAsia="Arial" w:hAnsi="Arial"/>
          <w:sz w:val="18"/>
          <w:szCs w:val="18"/>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228" w:lineRule="exact"/>
        <w:rPr>
          <w:sz w:val="20"/>
          <w:szCs w:val="20"/>
          <w:color w:val="auto"/>
        </w:rPr>
      </w:pPr>
    </w:p>
    <w:p>
      <w:pPr>
        <w:ind w:left="700"/>
        <w:spacing w:after="0"/>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Observable inputs, such as quoted prices in active markets for identical assets and liabilities.</w:t>
      </w:r>
    </w:p>
    <w:p>
      <w:pPr>
        <w:spacing w:after="0" w:line="234" w:lineRule="exact"/>
        <w:rPr>
          <w:sz w:val="20"/>
          <w:szCs w:val="20"/>
          <w:color w:val="auto"/>
        </w:rPr>
      </w:pPr>
    </w:p>
    <w:p>
      <w:pPr>
        <w:ind w:left="700"/>
        <w:spacing w:after="0"/>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34" w:lineRule="exact"/>
        <w:rPr>
          <w:sz w:val="20"/>
          <w:szCs w:val="20"/>
          <w:color w:val="auto"/>
        </w:rPr>
      </w:pPr>
    </w:p>
    <w:p>
      <w:pPr>
        <w:ind w:left="1680" w:right="900" w:hanging="974"/>
        <w:spacing w:after="0" w:line="239"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which require the Company to develop its own assumptions.</w:t>
      </w:r>
    </w:p>
    <w:p>
      <w:pPr>
        <w:spacing w:after="0" w:line="202" w:lineRule="exact"/>
        <w:rPr>
          <w:sz w:val="20"/>
          <w:szCs w:val="20"/>
          <w:color w:val="auto"/>
        </w:rPr>
      </w:pPr>
    </w:p>
    <w:p>
      <w:pPr>
        <w:ind w:left="720" w:right="60"/>
        <w:spacing w:after="0" w:line="239" w:lineRule="auto"/>
        <w:rPr>
          <w:sz w:val="20"/>
          <w:szCs w:val="20"/>
          <w:color w:val="auto"/>
        </w:rPr>
      </w:pPr>
      <w:r>
        <w:rPr>
          <w:rFonts w:ascii="Arial" w:cs="Arial" w:eastAsia="Arial" w:hAnsi="Arial"/>
          <w:sz w:val="18"/>
          <w:szCs w:val="18"/>
          <w:color w:val="auto"/>
        </w:rPr>
        <w:t>The categorization of financial instruments within the valuation hierarchy is based upon the lowest level of input that is significant to the fair value measurement.</w:t>
      </w:r>
    </w:p>
    <w:p>
      <w:pPr>
        <w:spacing w:after="0" w:line="202" w:lineRule="exact"/>
        <w:rPr>
          <w:sz w:val="20"/>
          <w:szCs w:val="20"/>
          <w:color w:val="auto"/>
        </w:rPr>
      </w:pPr>
    </w:p>
    <w:p>
      <w:pPr>
        <w:ind w:left="720" w:right="560"/>
        <w:spacing w:after="0" w:line="239" w:lineRule="auto"/>
        <w:rPr>
          <w:sz w:val="20"/>
          <w:szCs w:val="20"/>
          <w:color w:val="auto"/>
        </w:rPr>
      </w:pPr>
      <w:r>
        <w:rPr>
          <w:rFonts w:ascii="Arial" w:cs="Arial" w:eastAsia="Arial" w:hAnsi="Arial"/>
          <w:sz w:val="18"/>
          <w:szCs w:val="18"/>
          <w:color w:val="auto"/>
        </w:rPr>
        <w:t>The carrying amounts of financial instruments, including cash, cash equivalents and restricted cash approximate fair value at January 31, 2020 and 2021, due to the relatively short duration of</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60"/>
        <w:spacing w:after="0" w:line="239" w:lineRule="auto"/>
        <w:rPr>
          <w:sz w:val="20"/>
          <w:szCs w:val="20"/>
          <w:color w:val="auto"/>
        </w:rPr>
      </w:pPr>
      <w:r>
        <w:rPr>
          <w:rFonts w:ascii="Arial" w:cs="Arial" w:eastAsia="Arial" w:hAnsi="Arial"/>
          <w:sz w:val="18"/>
          <w:szCs w:val="18"/>
          <w:color w:val="auto"/>
        </w:rPr>
        <w:t>these instruments. The carrying value of the Company’s long-term debt instruments approximate their fair values as of January 31, 2021.</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considers all highly liquid investments with a maturity of 3 months or less when purchased to be cash equivalents.</w:t>
      </w:r>
    </w:p>
    <w:p>
      <w:pPr>
        <w:ind w:left="720"/>
        <w:spacing w:after="0"/>
        <w:rPr>
          <w:sz w:val="20"/>
          <w:szCs w:val="20"/>
          <w:color w:val="auto"/>
        </w:rPr>
      </w:pPr>
      <w:r>
        <w:rPr>
          <w:rFonts w:ascii="Arial" w:cs="Arial" w:eastAsia="Arial" w:hAnsi="Arial"/>
          <w:sz w:val="17"/>
          <w:szCs w:val="17"/>
          <w:color w:val="auto"/>
        </w:rPr>
        <w:t>Cash and cash equivalents include funds in transit from banks for customer credit card transactions that settle in less than 7 days.</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funds totaled $2.6 million and $1.8 million at January 31, 2020 and 2021, respectively.</w:t>
      </w:r>
    </w:p>
    <w:p>
      <w:pPr>
        <w:spacing w:after="0" w:line="207" w:lineRule="exact"/>
        <w:rPr>
          <w:sz w:val="20"/>
          <w:szCs w:val="20"/>
          <w:color w:val="auto"/>
        </w:rPr>
      </w:pPr>
    </w:p>
    <w:p>
      <w:pPr>
        <w:ind w:left="720" w:right="500"/>
        <w:spacing w:after="0" w:line="237" w:lineRule="auto"/>
        <w:rPr>
          <w:sz w:val="20"/>
          <w:szCs w:val="20"/>
          <w:color w:val="auto"/>
        </w:rPr>
      </w:pPr>
      <w:r>
        <w:rPr>
          <w:rFonts w:ascii="Arial" w:cs="Arial" w:eastAsia="Arial" w:hAnsi="Arial"/>
          <w:sz w:val="18"/>
          <w:szCs w:val="18"/>
          <w:color w:val="auto"/>
        </w:rPr>
        <w:t>At January 31, 2020 and 2021, the Company had approximately $10.5 million and $13.9 million of current and non-current restricted cash, respectively, that consisted primarily of letters of credit pledged as security deposits for the headquarters and operational facilities leases.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Rental Product, Net</w:t>
      </w:r>
    </w:p>
    <w:p>
      <w:pPr>
        <w:spacing w:after="0" w:line="122" w:lineRule="exact"/>
        <w:rPr>
          <w:sz w:val="20"/>
          <w:szCs w:val="20"/>
          <w:color w:val="auto"/>
        </w:rPr>
      </w:pPr>
    </w:p>
    <w:p>
      <w:pPr>
        <w:ind w:left="720" w:right="180"/>
        <w:spacing w:after="0" w:line="239"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consolidated balance sheets.</w:t>
      </w:r>
    </w:p>
    <w:p>
      <w:pPr>
        <w:spacing w:after="0" w:line="202" w:lineRule="exact"/>
        <w:rPr>
          <w:sz w:val="20"/>
          <w:szCs w:val="20"/>
          <w:color w:val="auto"/>
        </w:rPr>
      </w:pPr>
    </w:p>
    <w:p>
      <w:pPr>
        <w:ind w:left="720" w:right="180"/>
        <w:spacing w:after="0" w:line="236" w:lineRule="auto"/>
        <w:rPr>
          <w:sz w:val="20"/>
          <w:szCs w:val="20"/>
          <w:color w:val="auto"/>
        </w:rPr>
      </w:pPr>
      <w:r>
        <w:rPr>
          <w:rFonts w:ascii="Arial" w:cs="Arial" w:eastAsia="Arial" w:hAnsi="Arial"/>
          <w:sz w:val="18"/>
          <w:szCs w:val="18"/>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215"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37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Useful Life</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Salvage Value</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Apparel</w:t>
            </w:r>
          </w:p>
        </w:tc>
        <w:tc>
          <w:tcPr>
            <w:tcW w:w="30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00" w:type="dxa"/>
            <w:vAlign w:val="bottom"/>
            <w:vMerge w:val="continue"/>
            <w:shd w:val="clear" w:color="auto" w:fill="CCEEFF"/>
          </w:tcPr>
          <w:p>
            <w:pPr>
              <w:spacing w:after="0"/>
              <w:rPr>
                <w:sz w:val="16"/>
                <w:szCs w:val="16"/>
                <w:color w:val="auto"/>
              </w:rPr>
            </w:pPr>
          </w:p>
        </w:tc>
        <w:tc>
          <w:tcPr>
            <w:tcW w:w="304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 years</w:t>
            </w:r>
          </w:p>
        </w:tc>
        <w:tc>
          <w:tcPr>
            <w:tcW w:w="740" w:type="dxa"/>
            <w:vAlign w:val="bottom"/>
            <w:vMerge w:val="continue"/>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8"/>
                <w:szCs w:val="18"/>
                <w:color w:val="auto"/>
              </w:rPr>
              <w:t>Accessories</w:t>
            </w:r>
          </w:p>
        </w:tc>
        <w:tc>
          <w:tcPr>
            <w:tcW w:w="3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 years</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20" w:right="180"/>
        <w:spacing w:after="0" w:line="239" w:lineRule="auto"/>
        <w:rPr>
          <w:sz w:val="20"/>
          <w:szCs w:val="20"/>
          <w:color w:val="auto"/>
        </w:rPr>
      </w:pPr>
      <w:r>
        <w:rPr>
          <w:rFonts w:ascii="Arial" w:cs="Arial" w:eastAsia="Arial" w:hAnsi="Arial"/>
          <w:sz w:val="18"/>
          <w:szCs w:val="18"/>
          <w:color w:val="auto"/>
        </w:rPr>
        <w:t xml:space="preserve">In accordance with its policy, the Company reviews the estimated useful lives and salvage values of rental product on an ongoing basis. See </w:t>
      </w:r>
      <w:r>
        <w:rPr>
          <w:rFonts w:ascii="Arial" w:cs="Arial" w:eastAsia="Arial" w:hAnsi="Arial"/>
          <w:sz w:val="18"/>
          <w:szCs w:val="18"/>
          <w:i w:val="1"/>
          <w:iCs w:val="1"/>
          <w:color w:val="auto"/>
        </w:rPr>
        <w:t>Long-Lived Asset Impairment</w:t>
      </w:r>
      <w:r>
        <w:rPr>
          <w:rFonts w:ascii="Arial" w:cs="Arial" w:eastAsia="Arial" w:hAnsi="Arial"/>
          <w:sz w:val="18"/>
          <w:szCs w:val="18"/>
          <w:color w:val="auto"/>
        </w:rPr>
        <w:t xml:space="preserve"> disclosure for long-lived asset impairment procedures.</w:t>
      </w:r>
    </w:p>
    <w:p>
      <w:pPr>
        <w:spacing w:after="0" w:line="202" w:lineRule="exact"/>
        <w:rPr>
          <w:sz w:val="20"/>
          <w:szCs w:val="20"/>
          <w:color w:val="auto"/>
        </w:rPr>
      </w:pPr>
    </w:p>
    <w:p>
      <w:pPr>
        <w:ind w:left="720" w:right="100"/>
        <w:spacing w:after="0" w:line="235" w:lineRule="auto"/>
        <w:rPr>
          <w:sz w:val="20"/>
          <w:szCs w:val="20"/>
          <w:color w:val="auto"/>
        </w:rPr>
      </w:pPr>
      <w:r>
        <w:rPr>
          <w:rFonts w:ascii="Arial" w:cs="Arial" w:eastAsia="Arial" w:hAnsi="Arial"/>
          <w:sz w:val="18"/>
          <w:szCs w:val="18"/>
          <w:color w:val="auto"/>
        </w:rPr>
        <w:t>Rental product is classified as held for sale and written down to salvage value at the time it is no longer considered rentable. The value of rental product held for sale at January 31, 2020 and 2021 was $6.4 million and $6.4 million, net, respectively. The accelerated depreciation related to rental product held for sale was $14.8 million and $7.7 million for the years ended January 31, 2020 and 2021, respectively. The accelerated depreciation is presented on the consolidated statements of operations within rental product depreciation and revenue share.</w:t>
      </w:r>
    </w:p>
    <w:p>
      <w:pPr>
        <w:spacing w:after="0" w:line="202"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The Company records write-offs for the remaining net book value of rental product sold, and separately records write-offs for losses on lost, damaged, and unreturned apparel and accessories. These write-offs are presented on the consolidated statements of operations within rental product depreciation and revenue share.</w:t>
      </w:r>
    </w:p>
    <w:p>
      <w:pPr>
        <w:spacing w:after="0" w:line="202" w:lineRule="exact"/>
        <w:rPr>
          <w:sz w:val="20"/>
          <w:szCs w:val="20"/>
          <w:color w:val="auto"/>
        </w:rPr>
      </w:pPr>
    </w:p>
    <w:p>
      <w:pPr>
        <w:ind w:left="720" w:right="120"/>
        <w:spacing w:after="0" w:line="239" w:lineRule="auto"/>
        <w:rPr>
          <w:sz w:val="20"/>
          <w:szCs w:val="20"/>
          <w:color w:val="auto"/>
        </w:rPr>
      </w:pPr>
      <w:r>
        <w:rPr>
          <w:rFonts w:ascii="Arial" w:cs="Arial" w:eastAsia="Arial" w:hAnsi="Arial"/>
          <w:sz w:val="18"/>
          <w:szCs w:val="18"/>
          <w:color w:val="auto"/>
        </w:rPr>
        <w:t>Cash outflows for the purchase of rental product, net of changes in related accounts payable and accrued liabilities, as well as the cash inflows received from the liquidation of apparel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40"/>
          </w:cols>
          <w:pgMar w:left="320" w:top="456" w:right="5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40"/>
        <w:spacing w:after="0" w:line="251" w:lineRule="auto"/>
        <w:rPr>
          <w:sz w:val="20"/>
          <w:szCs w:val="20"/>
          <w:color w:val="auto"/>
        </w:rPr>
      </w:pPr>
      <w:r>
        <w:rPr>
          <w:rFonts w:ascii="Arial" w:cs="Arial" w:eastAsia="Arial" w:hAnsi="Arial"/>
          <w:sz w:val="17"/>
          <w:szCs w:val="17"/>
          <w:color w:val="auto"/>
        </w:rPr>
        <w:t>accessories at the end of the useful life, are classified as cash flows from investing activities in the consolidated statements of cash flows, consistent with other long-term asset activity. The gain or loss from the liquidation of rental product at the end of the useful life is recorded as a component of operating loss in the consolidated statements of operations and is included as an adjustment to reconcile net loss to net cash used by operating activities in the consolidated statements of cash flows. Proceeds from the liquidation of rental product, net of costs to sell, during fiscal years 2019 and 2020 were $3.6 million and $2.4 million, respectively.</w:t>
      </w:r>
    </w:p>
    <w:p>
      <w:pPr>
        <w:spacing w:after="0" w:line="193" w:lineRule="exact"/>
        <w:rPr>
          <w:sz w:val="20"/>
          <w:szCs w:val="20"/>
          <w:color w:val="auto"/>
        </w:rPr>
      </w:pPr>
    </w:p>
    <w:p>
      <w:pPr>
        <w:ind w:left="720" w:right="20"/>
        <w:spacing w:after="0" w:line="234" w:lineRule="auto"/>
        <w:rPr>
          <w:sz w:val="20"/>
          <w:szCs w:val="20"/>
          <w:color w:val="auto"/>
        </w:rPr>
      </w:pPr>
      <w:r>
        <w:rPr>
          <w:rFonts w:ascii="Arial" w:cs="Arial" w:eastAsia="Arial" w:hAnsi="Arial"/>
          <w:sz w:val="18"/>
          <w:szCs w:val="18"/>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consolidated statements of operations. The cash proceeds and the cost of rental product sold are classified as cash flows from investing activities on the consolidated statements of cash flows, because the predominant activity of the rental product purchased is to generate subscription and a-la-carte rental revenue. The cash proceeds associated with these sales were $19.3 million and $17.9 million in fiscal years 2019 and 2020, respectively.</w:t>
      </w:r>
    </w:p>
    <w:p>
      <w:pPr>
        <w:spacing w:after="0" w:line="204" w:lineRule="exact"/>
        <w:rPr>
          <w:sz w:val="20"/>
          <w:szCs w:val="20"/>
          <w:color w:val="auto"/>
        </w:rPr>
      </w:pPr>
    </w:p>
    <w:p>
      <w:pPr>
        <w:ind w:left="720" w:right="100"/>
        <w:spacing w:after="0" w:line="235" w:lineRule="auto"/>
        <w:rPr>
          <w:sz w:val="20"/>
          <w:szCs w:val="20"/>
          <w:color w:val="auto"/>
        </w:rPr>
      </w:pPr>
      <w:r>
        <w:rPr>
          <w:rFonts w:ascii="Arial" w:cs="Arial" w:eastAsia="Arial" w:hAnsi="Arial"/>
          <w:sz w:val="18"/>
          <w:szCs w:val="18"/>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Revenue Recognition</w:t>
      </w:r>
    </w:p>
    <w:p>
      <w:pPr>
        <w:spacing w:after="0" w:line="122" w:lineRule="exact"/>
        <w:rPr>
          <w:sz w:val="20"/>
          <w:szCs w:val="20"/>
          <w:color w:val="auto"/>
        </w:rPr>
      </w:pPr>
    </w:p>
    <w:p>
      <w:pPr>
        <w:ind w:left="720" w:right="60"/>
        <w:spacing w:after="0" w:line="235"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8% and 14% of total revenue for the years ended January 31, 2020 and 2021, respectively.</w:t>
      </w:r>
    </w:p>
    <w:p>
      <w:pPr>
        <w:spacing w:after="0" w:line="202" w:lineRule="exact"/>
        <w:rPr>
          <w:sz w:val="20"/>
          <w:szCs w:val="20"/>
          <w:color w:val="auto"/>
        </w:rPr>
      </w:pPr>
    </w:p>
    <w:p>
      <w:pPr>
        <w:ind w:left="720" w:right="260"/>
        <w:spacing w:after="0" w:line="237" w:lineRule="auto"/>
        <w:rPr>
          <w:sz w:val="20"/>
          <w:szCs w:val="20"/>
          <w:color w:val="auto"/>
        </w:rPr>
      </w:pPr>
      <w:r>
        <w:rPr>
          <w:rFonts w:ascii="Arial" w:cs="Arial" w:eastAsia="Arial" w:hAnsi="Arial"/>
          <w:sz w:val="18"/>
          <w:szCs w:val="18"/>
          <w:color w:val="auto"/>
        </w:rPr>
        <w:t>Revenue is presented net of promotional discounts.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02"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Revenue is also presented net of customer credits and refunds. A liability is recognized at the time a customer credit or a gift card is issued, and revenue is recognized upon redemption of the credit or gift card. The Company’s customer credit liability is presented on the consolidated balance sheets. During the year ended January 31, 2021, $ 1.2 million of credits included in the customer credit liability as of January 31, 2020 were redeemed. Customer credits and gift cards do not have expiration dates. Over time, a portion of these instruments is not redeemed. With the adoption of ASC 606 effective February 1, 2019, the Company began to recognize breakage income based on the redemption pattern method. The Company did not adjust its prior</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period financial statements but calculated the breakage income retrospectively at the beginning of the period of adoption through a cumulative-effect adjustment. The impact of this adjustment at February 1, 2019 was $2.6 million. The Company continues to maintain the full liability for the unredeemed portion of the credits and gift cards when the Company has any legal obligation to remit such credits to government authorities in relevant jurisdictions.</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18" w:lineRule="exact"/>
        <w:rPr>
          <w:sz w:val="20"/>
          <w:szCs w:val="20"/>
          <w:color w:val="auto"/>
        </w:rPr>
      </w:pPr>
    </w:p>
    <w:p>
      <w:pPr>
        <w:ind w:left="720" w:right="80"/>
        <w:spacing w:after="0" w:line="236" w:lineRule="auto"/>
        <w:rPr>
          <w:sz w:val="20"/>
          <w:szCs w:val="20"/>
          <w:color w:val="auto"/>
        </w:rPr>
      </w:pPr>
      <w:r>
        <w:rPr>
          <w:rFonts w:ascii="Arial" w:cs="Arial" w:eastAsia="Arial" w:hAnsi="Arial"/>
          <w:sz w:val="18"/>
          <w:szCs w:val="18"/>
          <w:color w:val="auto"/>
        </w:rPr>
        <w:t>The Company recognizes rental revenue from subscription and a-la-carte rental fees in accordance with ASC 842. 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201" w:lineRule="exact"/>
        <w:rPr>
          <w:sz w:val="20"/>
          <w:szCs w:val="20"/>
          <w:color w:val="auto"/>
        </w:rPr>
      </w:pPr>
    </w:p>
    <w:p>
      <w:pPr>
        <w:ind w:left="720" w:right="340"/>
        <w:spacing w:after="0" w:line="253" w:lineRule="auto"/>
        <w:rPr>
          <w:sz w:val="20"/>
          <w:szCs w:val="20"/>
          <w:color w:val="auto"/>
        </w:rPr>
      </w:pPr>
      <w:r>
        <w:rPr>
          <w:rFonts w:ascii="Arial" w:cs="Arial" w:eastAsia="Arial" w:hAnsi="Arial"/>
          <w:sz w:val="17"/>
          <w:szCs w:val="17"/>
          <w:color w:val="auto"/>
        </w:rPr>
        <w:t>The Company recognizes fees for a-la-carte rentals ratably over the rental period, which starts with the date of delivery of rental product to the customer. A-la-carte rental orders can be placed up to 4 months prior to the rental start date and the customer’s payment form is charged upon order confirmation. The Company defers recognizing the fees and any related promotions for a-la-carte rentals until the date of delivery, and then recognizes those fees evenly over the 4-or 8-day rental period.</w:t>
      </w:r>
    </w:p>
    <w:p>
      <w:pPr>
        <w:spacing w:after="0" w:line="191" w:lineRule="exact"/>
        <w:rPr>
          <w:sz w:val="20"/>
          <w:szCs w:val="20"/>
          <w:color w:val="auto"/>
        </w:rPr>
      </w:pPr>
    </w:p>
    <w:p>
      <w:pPr>
        <w:ind w:left="720" w:right="640"/>
        <w:spacing w:after="0" w:line="239"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and these amounts were not material as of January 31, 2020 and 2021.</w:t>
      </w:r>
    </w:p>
    <w:p>
      <w:pPr>
        <w:spacing w:after="0" w:line="202" w:lineRule="exact"/>
        <w:rPr>
          <w:sz w:val="20"/>
          <w:szCs w:val="20"/>
          <w:color w:val="auto"/>
        </w:rPr>
      </w:pPr>
    </w:p>
    <w:p>
      <w:pPr>
        <w:ind w:left="720" w:right="40"/>
        <w:spacing w:after="0" w:line="236" w:lineRule="auto"/>
        <w:rPr>
          <w:sz w:val="20"/>
          <w:szCs w:val="20"/>
          <w:color w:val="auto"/>
        </w:rPr>
      </w:pPr>
      <w:r>
        <w:rPr>
          <w:rFonts w:ascii="Arial" w:cs="Arial" w:eastAsia="Arial" w:hAnsi="Arial"/>
          <w:sz w:val="18"/>
          <w:szCs w:val="18"/>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will exclude these taxes from the measurement of lease revenue and the associated expense.</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8" w:lineRule="exact"/>
        <w:rPr>
          <w:sz w:val="20"/>
          <w:szCs w:val="20"/>
          <w:color w:val="auto"/>
        </w:rPr>
      </w:pPr>
    </w:p>
    <w:p>
      <w:pPr>
        <w:ind w:left="720" w:right="20"/>
        <w:spacing w:after="0" w:line="246" w:lineRule="auto"/>
        <w:rPr>
          <w:sz w:val="20"/>
          <w:szCs w:val="20"/>
          <w:color w:val="auto"/>
        </w:rPr>
      </w:pPr>
      <w:r>
        <w:rPr>
          <w:rFonts w:ascii="Arial" w:cs="Arial" w:eastAsia="Arial" w:hAnsi="Arial"/>
          <w:sz w:val="17"/>
          <w:szCs w:val="17"/>
          <w:color w:val="auto"/>
        </w:rPr>
        <w:t>Other revenue consists primarily of revenue from the sale of rental product. The Company recognizes revenue from the sale of rental product in accordance with ASC 606. Sale of rental product occurs in two forms: (i) liquidation at the end of the useful life and</w:t>
      </w:r>
    </w:p>
    <w:p>
      <w:pPr>
        <w:ind w:left="720" w:right="180" w:hanging="1"/>
        <w:spacing w:after="0" w:line="236" w:lineRule="auto"/>
        <w:tabs>
          <w:tab w:leader="none" w:pos="96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customer purchase of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at January 31, 2021.</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Leases – Lessee Accounting</w:t>
      </w:r>
    </w:p>
    <w:p>
      <w:pPr>
        <w:spacing w:after="0" w:line="122" w:lineRule="exact"/>
        <w:rPr>
          <w:sz w:val="20"/>
          <w:szCs w:val="20"/>
          <w:color w:val="auto"/>
        </w:rPr>
      </w:pPr>
    </w:p>
    <w:p>
      <w:pPr>
        <w:ind w:left="720" w:right="440"/>
        <w:spacing w:after="0" w:line="267" w:lineRule="auto"/>
        <w:rPr>
          <w:sz w:val="20"/>
          <w:szCs w:val="20"/>
          <w:color w:val="auto"/>
        </w:rPr>
      </w:pPr>
      <w:r>
        <w:rPr>
          <w:rFonts w:ascii="Arial" w:cs="Arial" w:eastAsia="Arial" w:hAnsi="Arial"/>
          <w:sz w:val="17"/>
          <w:szCs w:val="17"/>
          <w:color w:val="auto"/>
        </w:rPr>
        <w:t>The Company adopted ASC 842 with an effective date of February 1, 2019 for both lessee and lessor accounting. Refer to the Subscription and Reserve Rental Revenue section above for the Company’s accounting policy related to lessor accounting.</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20"/>
        <w:spacing w:after="0" w:line="234" w:lineRule="auto"/>
        <w:rPr>
          <w:sz w:val="20"/>
          <w:szCs w:val="20"/>
          <w:color w:val="auto"/>
        </w:rPr>
      </w:pPr>
      <w:r>
        <w:rPr>
          <w:rFonts w:ascii="Arial" w:cs="Arial" w:eastAsia="Arial" w:hAnsi="Arial"/>
          <w:sz w:val="18"/>
          <w:szCs w:val="18"/>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incremental borrowing rate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incremental borrowing rates.</w:t>
      </w:r>
    </w:p>
    <w:p>
      <w:pPr>
        <w:spacing w:after="0" w:line="205"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Refer to Note 4 for additional details.</w:t>
      </w:r>
    </w:p>
    <w:p>
      <w:pPr>
        <w:spacing w:after="0" w:line="202" w:lineRule="exact"/>
        <w:rPr>
          <w:sz w:val="20"/>
          <w:szCs w:val="20"/>
          <w:color w:val="auto"/>
        </w:rPr>
      </w:pPr>
    </w:p>
    <w:p>
      <w:pPr>
        <w:ind w:left="720" w:right="40"/>
        <w:spacing w:after="0" w:line="239" w:lineRule="auto"/>
        <w:rPr>
          <w:sz w:val="20"/>
          <w:szCs w:val="20"/>
          <w:color w:val="auto"/>
        </w:rPr>
      </w:pPr>
      <w:r>
        <w:rPr>
          <w:rFonts w:ascii="Arial" w:cs="Arial" w:eastAsia="Arial" w:hAnsi="Arial"/>
          <w:sz w:val="18"/>
          <w:szCs w:val="18"/>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202" w:lineRule="exact"/>
        <w:rPr>
          <w:sz w:val="20"/>
          <w:szCs w:val="20"/>
          <w:color w:val="auto"/>
        </w:rPr>
      </w:pPr>
    </w:p>
    <w:p>
      <w:pPr>
        <w:ind w:left="720" w:right="60"/>
        <w:spacing w:after="0" w:line="250" w:lineRule="auto"/>
        <w:rPr>
          <w:sz w:val="20"/>
          <w:szCs w:val="20"/>
          <w:color w:val="auto"/>
        </w:rPr>
      </w:pPr>
      <w:r>
        <w:rPr>
          <w:rFonts w:ascii="Arial" w:cs="Arial" w:eastAsia="Arial" w:hAnsi="Arial"/>
          <w:sz w:val="17"/>
          <w:szCs w:val="17"/>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Fixed and Intangible Assets, Net</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 and intangible assets are stated at cost less accumulated depreciation and amortization.</w:t>
      </w:r>
    </w:p>
    <w:p>
      <w:pPr>
        <w:spacing w:after="0" w:line="207" w:lineRule="exact"/>
        <w:rPr>
          <w:sz w:val="20"/>
          <w:szCs w:val="20"/>
          <w:color w:val="auto"/>
        </w:rPr>
      </w:pPr>
    </w:p>
    <w:p>
      <w:pPr>
        <w:ind w:left="720" w:right="120"/>
        <w:spacing w:after="0" w:line="239" w:lineRule="auto"/>
        <w:rPr>
          <w:sz w:val="20"/>
          <w:szCs w:val="20"/>
          <w:color w:val="auto"/>
        </w:rPr>
      </w:pPr>
      <w:r>
        <w:rPr>
          <w:rFonts w:ascii="Arial" w:cs="Arial" w:eastAsia="Arial" w:hAnsi="Arial"/>
          <w:sz w:val="18"/>
          <w:szCs w:val="18"/>
          <w:color w:val="auto"/>
        </w:rPr>
        <w:t>Depreciation and amortization of fixed and intangible assets is calculated on a straight-line basis over the estimated useful lives of the assets.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estimated useful lives of fixed and intangible assets are described below:</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720" w:type="dxa"/>
            <w:vAlign w:val="bottom"/>
          </w:tcPr>
          <w:p>
            <w:pPr>
              <w:jc w:val="center"/>
              <w:ind w:left="2171"/>
              <w:spacing w:after="0"/>
              <w:rPr>
                <w:sz w:val="20"/>
                <w:szCs w:val="20"/>
                <w:color w:val="auto"/>
              </w:rPr>
            </w:pPr>
            <w:r>
              <w:rPr>
                <w:rFonts w:ascii="Arial" w:cs="Arial" w:eastAsia="Arial" w:hAnsi="Arial"/>
                <w:sz w:val="18"/>
                <w:szCs w:val="18"/>
                <w:color w:val="auto"/>
                <w:w w:val="98"/>
              </w:rPr>
              <w:t>shorter of estimated useful life or lease term</w:t>
            </w:r>
          </w:p>
        </w:tc>
      </w:tr>
      <w:tr>
        <w:trPr>
          <w:trHeight w:val="200"/>
        </w:trPr>
        <w:tc>
          <w:tcPr>
            <w:tcW w:w="4240" w:type="dxa"/>
            <w:vAlign w:val="bottom"/>
          </w:tcPr>
          <w:p>
            <w:pPr>
              <w:spacing w:after="0" w:line="201" w:lineRule="exact"/>
              <w:rPr>
                <w:sz w:val="20"/>
                <w:szCs w:val="20"/>
                <w:color w:val="auto"/>
              </w:rPr>
            </w:pPr>
            <w:r>
              <w:rPr>
                <w:rFonts w:ascii="Arial" w:cs="Arial" w:eastAsia="Arial" w:hAnsi="Arial"/>
                <w:sz w:val="18"/>
                <w:szCs w:val="18"/>
                <w:color w:val="auto"/>
              </w:rPr>
              <w:t>Machinery and equipment</w:t>
            </w:r>
          </w:p>
        </w:tc>
        <w:tc>
          <w:tcPr>
            <w:tcW w:w="5720" w:type="dxa"/>
            <w:vAlign w:val="bottom"/>
          </w:tcPr>
          <w:p>
            <w:pPr>
              <w:jc w:val="center"/>
              <w:ind w:left="2171"/>
              <w:spacing w:after="0" w:line="201" w:lineRule="exact"/>
              <w:rPr>
                <w:sz w:val="20"/>
                <w:szCs w:val="20"/>
                <w:color w:val="auto"/>
              </w:rPr>
            </w:pPr>
            <w:r>
              <w:rPr>
                <w:rFonts w:ascii="Arial" w:cs="Arial" w:eastAsia="Arial" w:hAnsi="Arial"/>
                <w:sz w:val="18"/>
                <w:szCs w:val="18"/>
                <w:color w:val="auto"/>
                <w:w w:val="99"/>
              </w:rPr>
              <w:t>5 to 6 years</w:t>
            </w:r>
          </w:p>
        </w:tc>
      </w:tr>
      <w:tr>
        <w:trPr>
          <w:trHeight w:val="200"/>
        </w:trPr>
        <w:tc>
          <w:tcPr>
            <w:tcW w:w="4240" w:type="dxa"/>
            <w:vAlign w:val="bottom"/>
          </w:tcPr>
          <w:p>
            <w:pPr>
              <w:spacing w:after="0" w:line="201" w:lineRule="exact"/>
              <w:rPr>
                <w:sz w:val="20"/>
                <w:szCs w:val="20"/>
                <w:color w:val="auto"/>
              </w:rPr>
            </w:pPr>
            <w:r>
              <w:rPr>
                <w:rFonts w:ascii="Arial" w:cs="Arial" w:eastAsia="Arial" w:hAnsi="Arial"/>
                <w:sz w:val="18"/>
                <w:szCs w:val="18"/>
                <w:color w:val="auto"/>
              </w:rPr>
              <w:t>Furniture and fixtures</w:t>
            </w:r>
          </w:p>
        </w:tc>
        <w:tc>
          <w:tcPr>
            <w:tcW w:w="5720" w:type="dxa"/>
            <w:vAlign w:val="bottom"/>
          </w:tcPr>
          <w:p>
            <w:pPr>
              <w:jc w:val="center"/>
              <w:ind w:left="2171"/>
              <w:spacing w:after="0" w:line="201" w:lineRule="exact"/>
              <w:rPr>
                <w:sz w:val="20"/>
                <w:szCs w:val="20"/>
                <w:color w:val="auto"/>
              </w:rPr>
            </w:pPr>
            <w:r>
              <w:rPr>
                <w:rFonts w:ascii="Arial" w:cs="Arial" w:eastAsia="Arial" w:hAnsi="Arial"/>
                <w:sz w:val="18"/>
                <w:szCs w:val="18"/>
                <w:color w:val="auto"/>
                <w:w w:val="98"/>
              </w:rPr>
              <w:t>5 years</w:t>
            </w:r>
          </w:p>
        </w:tc>
      </w:tr>
      <w:tr>
        <w:trPr>
          <w:trHeight w:val="200"/>
        </w:trPr>
        <w:tc>
          <w:tcPr>
            <w:tcW w:w="4240" w:type="dxa"/>
            <w:vAlign w:val="bottom"/>
          </w:tcPr>
          <w:p>
            <w:pPr>
              <w:spacing w:after="0" w:line="201" w:lineRule="exact"/>
              <w:rPr>
                <w:sz w:val="20"/>
                <w:szCs w:val="20"/>
                <w:color w:val="auto"/>
              </w:rPr>
            </w:pPr>
            <w:r>
              <w:rPr>
                <w:rFonts w:ascii="Arial" w:cs="Arial" w:eastAsia="Arial" w:hAnsi="Arial"/>
                <w:sz w:val="18"/>
                <w:szCs w:val="18"/>
                <w:color w:val="auto"/>
              </w:rPr>
              <w:t>Computer hardware</w:t>
            </w:r>
          </w:p>
        </w:tc>
        <w:tc>
          <w:tcPr>
            <w:tcW w:w="5720" w:type="dxa"/>
            <w:vAlign w:val="bottom"/>
          </w:tcPr>
          <w:p>
            <w:pPr>
              <w:jc w:val="center"/>
              <w:ind w:left="2171"/>
              <w:spacing w:after="0" w:line="201" w:lineRule="exact"/>
              <w:rPr>
                <w:sz w:val="20"/>
                <w:szCs w:val="20"/>
                <w:color w:val="auto"/>
              </w:rPr>
            </w:pPr>
            <w:r>
              <w:rPr>
                <w:rFonts w:ascii="Arial" w:cs="Arial" w:eastAsia="Arial" w:hAnsi="Arial"/>
                <w:sz w:val="18"/>
                <w:szCs w:val="18"/>
                <w:color w:val="auto"/>
                <w:w w:val="98"/>
              </w:rPr>
              <w:t>3 years</w:t>
            </w:r>
          </w:p>
        </w:tc>
      </w:tr>
      <w:tr>
        <w:trPr>
          <w:trHeight w:val="200"/>
        </w:trPr>
        <w:tc>
          <w:tcPr>
            <w:tcW w:w="4240" w:type="dxa"/>
            <w:vAlign w:val="bottom"/>
          </w:tcPr>
          <w:p>
            <w:pPr>
              <w:spacing w:after="0" w:line="201" w:lineRule="exact"/>
              <w:rPr>
                <w:sz w:val="20"/>
                <w:szCs w:val="20"/>
                <w:color w:val="auto"/>
              </w:rPr>
            </w:pPr>
            <w:r>
              <w:rPr>
                <w:rFonts w:ascii="Arial" w:cs="Arial" w:eastAsia="Arial" w:hAnsi="Arial"/>
                <w:sz w:val="18"/>
                <w:szCs w:val="18"/>
                <w:color w:val="auto"/>
              </w:rPr>
              <w:t>Reusable packaging</w:t>
            </w:r>
          </w:p>
        </w:tc>
        <w:tc>
          <w:tcPr>
            <w:tcW w:w="5720" w:type="dxa"/>
            <w:vAlign w:val="bottom"/>
          </w:tcPr>
          <w:p>
            <w:pPr>
              <w:jc w:val="center"/>
              <w:ind w:left="2171"/>
              <w:spacing w:after="0" w:line="201" w:lineRule="exact"/>
              <w:rPr>
                <w:sz w:val="20"/>
                <w:szCs w:val="20"/>
                <w:color w:val="auto"/>
              </w:rPr>
            </w:pPr>
            <w:r>
              <w:rPr>
                <w:rFonts w:ascii="Arial" w:cs="Arial" w:eastAsia="Arial" w:hAnsi="Arial"/>
                <w:sz w:val="18"/>
                <w:szCs w:val="18"/>
                <w:color w:val="auto"/>
                <w:w w:val="99"/>
              </w:rPr>
              <w:t>1.5 years</w:t>
            </w:r>
          </w:p>
        </w:tc>
      </w:tr>
      <w:tr>
        <w:trPr>
          <w:trHeight w:val="200"/>
        </w:trPr>
        <w:tc>
          <w:tcPr>
            <w:tcW w:w="4240" w:type="dxa"/>
            <w:vAlign w:val="bottom"/>
          </w:tcPr>
          <w:p>
            <w:pPr>
              <w:spacing w:after="0" w:line="201" w:lineRule="exact"/>
              <w:rPr>
                <w:sz w:val="20"/>
                <w:szCs w:val="20"/>
                <w:color w:val="auto"/>
              </w:rPr>
            </w:pPr>
            <w:r>
              <w:rPr>
                <w:rFonts w:ascii="Arial" w:cs="Arial" w:eastAsia="Arial" w:hAnsi="Arial"/>
                <w:sz w:val="18"/>
                <w:szCs w:val="18"/>
                <w:color w:val="auto"/>
              </w:rPr>
              <w:t>Capitalized third-party software</w:t>
            </w:r>
          </w:p>
        </w:tc>
        <w:tc>
          <w:tcPr>
            <w:tcW w:w="5720" w:type="dxa"/>
            <w:vAlign w:val="bottom"/>
          </w:tcPr>
          <w:p>
            <w:pPr>
              <w:jc w:val="center"/>
              <w:ind w:left="2171"/>
              <w:spacing w:after="0" w:line="201" w:lineRule="exact"/>
              <w:rPr>
                <w:sz w:val="20"/>
                <w:szCs w:val="20"/>
                <w:color w:val="auto"/>
              </w:rPr>
            </w:pPr>
            <w:r>
              <w:rPr>
                <w:rFonts w:ascii="Arial" w:cs="Arial" w:eastAsia="Arial" w:hAnsi="Arial"/>
                <w:sz w:val="18"/>
                <w:szCs w:val="18"/>
                <w:color w:val="auto"/>
                <w:w w:val="98"/>
              </w:rPr>
              <w:t>3 years</w:t>
            </w:r>
          </w:p>
        </w:tc>
      </w:tr>
      <w:tr>
        <w:trPr>
          <w:trHeight w:val="213"/>
        </w:trPr>
        <w:tc>
          <w:tcPr>
            <w:tcW w:w="4240" w:type="dxa"/>
            <w:vAlign w:val="bottom"/>
          </w:tcPr>
          <w:p>
            <w:pPr>
              <w:spacing w:after="0"/>
              <w:rPr>
                <w:sz w:val="20"/>
                <w:szCs w:val="20"/>
                <w:color w:val="auto"/>
              </w:rPr>
            </w:pPr>
            <w:r>
              <w:rPr>
                <w:rFonts w:ascii="Arial" w:cs="Arial" w:eastAsia="Arial" w:hAnsi="Arial"/>
                <w:sz w:val="18"/>
                <w:szCs w:val="18"/>
                <w:color w:val="auto"/>
              </w:rPr>
              <w:t>Capitalized internally developed software</w:t>
            </w:r>
          </w:p>
        </w:tc>
        <w:tc>
          <w:tcPr>
            <w:tcW w:w="5720" w:type="dxa"/>
            <w:vAlign w:val="bottom"/>
          </w:tcPr>
          <w:p>
            <w:pPr>
              <w:jc w:val="center"/>
              <w:ind w:left="2171"/>
              <w:spacing w:after="0"/>
              <w:rPr>
                <w:sz w:val="20"/>
                <w:szCs w:val="20"/>
                <w:color w:val="auto"/>
              </w:rPr>
            </w:pPr>
            <w:r>
              <w:rPr>
                <w:rFonts w:ascii="Arial" w:cs="Arial" w:eastAsia="Arial" w:hAnsi="Arial"/>
                <w:sz w:val="18"/>
                <w:szCs w:val="18"/>
                <w:color w:val="auto"/>
                <w:w w:val="98"/>
              </w:rPr>
              <w:t>2 years</w:t>
            </w:r>
          </w:p>
        </w:tc>
      </w:tr>
      <w:tr>
        <w:trPr>
          <w:trHeight w:val="347"/>
        </w:trPr>
        <w:tc>
          <w:tcPr>
            <w:tcW w:w="4240" w:type="dxa"/>
            <w:vAlign w:val="bottom"/>
          </w:tcPr>
          <w:p>
            <w:pPr>
              <w:spacing w:after="0"/>
              <w:rPr>
                <w:sz w:val="24"/>
                <w:szCs w:val="24"/>
                <w:color w:val="auto"/>
              </w:rPr>
            </w:pPr>
          </w:p>
        </w:tc>
        <w:tc>
          <w:tcPr>
            <w:tcW w:w="5720" w:type="dxa"/>
            <w:vAlign w:val="bottom"/>
          </w:tcPr>
          <w:p>
            <w:pPr>
              <w:ind w:left="1020"/>
              <w:spacing w:after="0"/>
              <w:rPr>
                <w:sz w:val="20"/>
                <w:szCs w:val="20"/>
                <w:color w:val="auto"/>
              </w:rPr>
            </w:pPr>
            <w:r>
              <w:rPr>
                <w:rFonts w:ascii="Arial" w:cs="Arial" w:eastAsia="Arial" w:hAnsi="Arial"/>
                <w:sz w:val="18"/>
                <w:szCs w:val="18"/>
                <w:color w:val="auto"/>
              </w:rPr>
              <w:t>F-12</w:t>
            </w:r>
          </w:p>
        </w:tc>
      </w:tr>
    </w:tbl>
    <w:p>
      <w:pPr>
        <w:sectPr>
          <w:pgSz w:w="11900" w:h="16838" w:orient="portrait"/>
          <w:cols w:equalWidth="0" w:num="1">
            <w:col w:w="11060"/>
          </w:cols>
          <w:pgMar w:left="320" w:top="456"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460"/>
        <w:spacing w:after="0" w:line="237" w:lineRule="auto"/>
        <w:rPr>
          <w:sz w:val="20"/>
          <w:szCs w:val="20"/>
          <w:color w:val="auto"/>
        </w:rPr>
      </w:pPr>
      <w:r>
        <w:rPr>
          <w:rFonts w:ascii="Arial" w:cs="Arial" w:eastAsia="Arial" w:hAnsi="Arial"/>
          <w:sz w:val="18"/>
          <w:szCs w:val="18"/>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2" w:lineRule="exact"/>
        <w:rPr>
          <w:sz w:val="20"/>
          <w:szCs w:val="20"/>
          <w:color w:val="auto"/>
        </w:rPr>
      </w:pPr>
    </w:p>
    <w:p>
      <w:pPr>
        <w:ind w:left="720" w:right="20"/>
        <w:spacing w:after="0" w:line="237" w:lineRule="auto"/>
        <w:rPr>
          <w:sz w:val="20"/>
          <w:szCs w:val="20"/>
          <w:color w:val="auto"/>
        </w:rPr>
      </w:pPr>
      <w:r>
        <w:rPr>
          <w:rFonts w:ascii="Arial" w:cs="Arial" w:eastAsia="Arial" w:hAnsi="Arial"/>
          <w:sz w:val="18"/>
          <w:szCs w:val="18"/>
          <w:color w:val="auto"/>
        </w:rPr>
        <w:t>Prepaid expenses and other current assets consist primarily of prepaid rental packing materials, prepaid insurance, and prepaid technology expenses. The balance of prepaid expenses included in prepaid expenses and other current assets on the consolidated balance sheet was $4.2 million and $2.8 million as of January 31, 2020 and 2021, respectively.</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Other Assets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assets consist primarily of deposits for periods that exceed one year from the balance sheet date.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Expenses</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Fulfillment</w:t>
      </w:r>
    </w:p>
    <w:p>
      <w:pPr>
        <w:spacing w:after="0" w:line="118" w:lineRule="exact"/>
        <w:rPr>
          <w:sz w:val="20"/>
          <w:szCs w:val="20"/>
          <w:color w:val="auto"/>
        </w:rPr>
      </w:pPr>
    </w:p>
    <w:p>
      <w:pPr>
        <w:ind w:left="720" w:right="100"/>
        <w:spacing w:after="0" w:line="237" w:lineRule="auto"/>
        <w:rPr>
          <w:sz w:val="20"/>
          <w:szCs w:val="20"/>
          <w:color w:val="auto"/>
        </w:rPr>
      </w:pPr>
      <w:r>
        <w:rPr>
          <w:rFonts w:ascii="Arial" w:cs="Arial" w:eastAsia="Arial" w:hAnsi="Arial"/>
          <w:sz w:val="18"/>
          <w:szCs w:val="18"/>
          <w:color w:val="auto"/>
        </w:rPr>
        <w:t>Fulfillment expenses consist of fulfillment variable costs to receive, process and fulfill customer orders, including fulfillment labor payroll and related costs, third-party shipping expenses, cost of packing materials, cleaning expenses, and other fulfillment related costs.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Technology</w:t>
      </w:r>
    </w:p>
    <w:p>
      <w:pPr>
        <w:spacing w:after="0" w:line="118" w:lineRule="exact"/>
        <w:rPr>
          <w:sz w:val="20"/>
          <w:szCs w:val="20"/>
          <w:color w:val="auto"/>
        </w:rPr>
      </w:pPr>
    </w:p>
    <w:p>
      <w:pPr>
        <w:ind w:left="720" w:right="260"/>
        <w:spacing w:after="0" w:line="239" w:lineRule="auto"/>
        <w:rPr>
          <w:sz w:val="20"/>
          <w:szCs w:val="20"/>
          <w:color w:val="auto"/>
        </w:rPr>
      </w:pPr>
      <w:r>
        <w:rPr>
          <w:rFonts w:ascii="Arial" w:cs="Arial" w:eastAsia="Arial" w:hAnsi="Arial"/>
          <w:sz w:val="18"/>
          <w:szCs w:val="18"/>
          <w:color w:val="auto"/>
        </w:rPr>
        <w:t>Technology expenses consist of technology payroll and related costs, professional services, and third-party software and license fees.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Marketing</w:t>
      </w:r>
    </w:p>
    <w:p>
      <w:pPr>
        <w:spacing w:after="0" w:line="118"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Marketing expenses include online and mobile marketing, search engine optimization and email costs, marketing payroll and related expenses, agency fees, printed collateral, consumer research, and other related costs. Advertising costs amounted to $18.1 million and $4.2 million for the years ended January 31, 2020 and 2021, respectively. Costs associated with advertising campaigns are expensed when the advertising first appears in the media, and other advertising costs are expensed as incurred.</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8" w:lineRule="exact"/>
        <w:rPr>
          <w:sz w:val="20"/>
          <w:szCs w:val="20"/>
          <w:color w:val="auto"/>
        </w:rPr>
      </w:pPr>
    </w:p>
    <w:p>
      <w:pPr>
        <w:ind w:left="720"/>
        <w:spacing w:after="0" w:line="256" w:lineRule="auto"/>
        <w:rPr>
          <w:sz w:val="20"/>
          <w:szCs w:val="20"/>
          <w:color w:val="auto"/>
        </w:rPr>
      </w:pPr>
      <w:r>
        <w:rPr>
          <w:rFonts w:ascii="Arial" w:cs="Arial" w:eastAsia="Arial" w:hAnsi="Arial"/>
          <w:sz w:val="17"/>
          <w:szCs w:val="17"/>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costs to photograph, list and model the rental products on the Company’s website, and other administrative costs.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Rental Product Depreciation and Revenue Share</w:t>
      </w:r>
    </w:p>
    <w:p>
      <w:pPr>
        <w:spacing w:after="0" w:line="118" w:lineRule="exact"/>
        <w:rPr>
          <w:sz w:val="20"/>
          <w:szCs w:val="20"/>
          <w:color w:val="auto"/>
        </w:rPr>
      </w:pPr>
    </w:p>
    <w:p>
      <w:pPr>
        <w:ind w:left="720" w:right="580"/>
        <w:spacing w:after="0" w:line="239" w:lineRule="auto"/>
        <w:rPr>
          <w:sz w:val="20"/>
          <w:szCs w:val="20"/>
          <w:color w:val="auto"/>
        </w:rPr>
      </w:pPr>
      <w:r>
        <w:rPr>
          <w:rFonts w:ascii="Arial" w:cs="Arial" w:eastAsia="Arial" w:hAnsi="Arial"/>
          <w:sz w:val="18"/>
          <w:szCs w:val="18"/>
          <w:color w:val="auto"/>
        </w:rPr>
        <w:t>Rental product depreciation and revenue share expenses are comprised of depreciation and write-offs of rental product, and payments under revenue share arrangements with brand partners.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56" w:right="5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Other Depreciation and Amortization</w:t>
      </w:r>
    </w:p>
    <w:p>
      <w:pPr>
        <w:spacing w:after="0" w:line="118" w:lineRule="exact"/>
        <w:rPr>
          <w:sz w:val="20"/>
          <w:szCs w:val="20"/>
          <w:color w:val="auto"/>
        </w:rPr>
      </w:pPr>
    </w:p>
    <w:p>
      <w:pPr>
        <w:ind w:left="720" w:right="60"/>
        <w:spacing w:after="0" w:line="239" w:lineRule="auto"/>
        <w:rPr>
          <w:sz w:val="20"/>
          <w:szCs w:val="20"/>
          <w:color w:val="auto"/>
        </w:rPr>
      </w:pPr>
      <w:r>
        <w:rPr>
          <w:rFonts w:ascii="Arial" w:cs="Arial" w:eastAsia="Arial" w:hAnsi="Arial"/>
          <w:sz w:val="18"/>
          <w:szCs w:val="18"/>
          <w:color w:val="auto"/>
        </w:rPr>
        <w:t>Other depreciation and amortization expenses are comprised of depreciation and amortization amounts for fixed assets, intangible assets, and financing right-of-use assets.</w:t>
      </w:r>
    </w:p>
    <w:p>
      <w:pPr>
        <w:spacing w:after="0" w:line="202" w:lineRule="exact"/>
        <w:rPr>
          <w:sz w:val="20"/>
          <w:szCs w:val="20"/>
          <w:color w:val="auto"/>
        </w:rPr>
      </w:pPr>
    </w:p>
    <w:p>
      <w:pPr>
        <w:ind w:left="720" w:right="920"/>
        <w:spacing w:after="0" w:line="239" w:lineRule="auto"/>
        <w:rPr>
          <w:sz w:val="20"/>
          <w:szCs w:val="20"/>
          <w:color w:val="auto"/>
        </w:rPr>
      </w:pPr>
      <w:r>
        <w:rPr>
          <w:rFonts w:ascii="Arial" w:cs="Arial" w:eastAsia="Arial" w:hAnsi="Arial"/>
          <w:sz w:val="18"/>
          <w:szCs w:val="18"/>
          <w:color w:val="auto"/>
        </w:rPr>
        <w:t>The classification of expenses varies across industries. Accordingly, the Company’s categories of expenses may not be comparable to those of other companies.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Share-Based Compensation</w:t>
      </w:r>
    </w:p>
    <w:p>
      <w:pPr>
        <w:spacing w:after="0" w:line="122" w:lineRule="exact"/>
        <w:rPr>
          <w:sz w:val="20"/>
          <w:szCs w:val="20"/>
          <w:color w:val="auto"/>
        </w:rPr>
      </w:pPr>
    </w:p>
    <w:p>
      <w:pPr>
        <w:ind w:left="720" w:right="60"/>
        <w:spacing w:after="0" w:line="234" w:lineRule="auto"/>
        <w:rPr>
          <w:sz w:val="20"/>
          <w:szCs w:val="20"/>
          <w:color w:val="auto"/>
        </w:rPr>
      </w:pPr>
      <w:r>
        <w:rPr>
          <w:rFonts w:ascii="Arial" w:cs="Arial" w:eastAsia="Arial" w:hAnsi="Arial"/>
          <w:sz w:val="18"/>
          <w:szCs w:val="18"/>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estimating the fair value of common stock, the expected term that stock options will be outstanding prior to exercise, the associated volatility, and the expected dividend yield. Upon grant of awards, the Company also estimates an amount of forfeitures that will occur prior to vesting.</w:t>
      </w:r>
    </w:p>
    <w:p>
      <w:pPr>
        <w:spacing w:after="0" w:line="204"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The Company has granted restricted stock units (“RSUs”) which vest only upon satisfaction of both time-based service and performance-based conditions. At January 31, 2021, the Company has not recognized share-based compensation expense for awards with performance-based conditions which include a qualifying event because the qualifying event is not probable. In the period in which the Company’s qualifying event becomes probable, the Company will record a cumulative one-time share-based compensation expense determined using grant-date fair values. Share-based compensation related to any remaining time-based service after the qualifying event will be recorded over the remaining requisite service period. The Company will record share-based compensation expense for RSUs on an accelerated attribution method over the requisite service period, which is generally 4 years, and only if performance-based conditions are considered probable to be satisfied.</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Note 13 for a description of the accounting for share-based awards.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Income Taxes</w:t>
      </w:r>
    </w:p>
    <w:p>
      <w:pPr>
        <w:spacing w:after="0" w:line="122" w:lineRule="exact"/>
        <w:rPr>
          <w:sz w:val="20"/>
          <w:szCs w:val="20"/>
          <w:color w:val="auto"/>
        </w:rPr>
      </w:pPr>
    </w:p>
    <w:p>
      <w:pPr>
        <w:ind w:left="720" w:right="80"/>
        <w:spacing w:after="0" w:line="237" w:lineRule="auto"/>
        <w:rPr>
          <w:sz w:val="20"/>
          <w:szCs w:val="20"/>
          <w:color w:val="auto"/>
        </w:rPr>
      </w:pPr>
      <w:r>
        <w:rPr>
          <w:rFonts w:ascii="Arial" w:cs="Arial" w:eastAsia="Arial" w:hAnsi="Arial"/>
          <w:sz w:val="18"/>
          <w:szCs w:val="18"/>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202" w:lineRule="exact"/>
        <w:rPr>
          <w:sz w:val="20"/>
          <w:szCs w:val="20"/>
          <w:color w:val="auto"/>
        </w:rPr>
      </w:pPr>
    </w:p>
    <w:p>
      <w:pPr>
        <w:ind w:left="720" w:right="100"/>
        <w:spacing w:after="0" w:line="23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20"/>
          </w:cols>
          <w:pgMar w:left="320" w:top="456" w:right="5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20"/>
        <w:spacing w:after="0" w:line="239" w:lineRule="auto"/>
        <w:rPr>
          <w:sz w:val="20"/>
          <w:szCs w:val="20"/>
          <w:color w:val="auto"/>
        </w:rPr>
      </w:pPr>
      <w:r>
        <w:rPr>
          <w:rFonts w:ascii="Arial" w:cs="Arial" w:eastAsia="Arial" w:hAnsi="Arial"/>
          <w:sz w:val="18"/>
          <w:szCs w:val="18"/>
          <w:color w:val="auto"/>
        </w:rPr>
        <w:t>a change in tax rates is recognized in income in the period that includes the enactment date. The Company recognizes interest and penalties related to unrecognized tax benefits in income tax expense.</w:t>
      </w:r>
    </w:p>
    <w:p>
      <w:pPr>
        <w:spacing w:after="0" w:line="202" w:lineRule="exact"/>
        <w:rPr>
          <w:sz w:val="20"/>
          <w:szCs w:val="20"/>
          <w:color w:val="auto"/>
        </w:rPr>
      </w:pPr>
    </w:p>
    <w:p>
      <w:pPr>
        <w:ind w:left="720" w:right="480"/>
        <w:spacing w:after="0" w:line="23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amount that is greater than 50% likely of being realized. Changes in recognition or measurement are reflected in the period in which the change in judgment occurs.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Long-Lived Asset Impairment</w:t>
      </w:r>
    </w:p>
    <w:p>
      <w:pPr>
        <w:spacing w:after="0" w:line="122" w:lineRule="exact"/>
        <w:rPr>
          <w:sz w:val="20"/>
          <w:szCs w:val="20"/>
          <w:color w:val="auto"/>
        </w:rPr>
      </w:pPr>
    </w:p>
    <w:p>
      <w:pPr>
        <w:ind w:left="720"/>
        <w:spacing w:after="0" w:line="233" w:lineRule="auto"/>
        <w:rPr>
          <w:sz w:val="20"/>
          <w:szCs w:val="20"/>
          <w:color w:val="auto"/>
        </w:rPr>
      </w:pPr>
      <w:r>
        <w:rPr>
          <w:rFonts w:ascii="Arial" w:cs="Arial" w:eastAsia="Arial" w:hAnsi="Arial"/>
          <w:sz w:val="18"/>
          <w:szCs w:val="18"/>
          <w:color w:val="auto"/>
        </w:rPr>
        <w:t xml:space="preserve">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 No impairment losses were recognized during fiscal years 2019 and 2020, except for the write-off of apparel and accessories in the normal course of business (see </w:t>
      </w:r>
      <w:r>
        <w:rPr>
          <w:rFonts w:ascii="Arial" w:cs="Arial" w:eastAsia="Arial" w:hAnsi="Arial"/>
          <w:sz w:val="18"/>
          <w:szCs w:val="18"/>
          <w:i w:val="1"/>
          <w:iCs w:val="1"/>
          <w:color w:val="auto"/>
        </w:rPr>
        <w:t>Rental Product</w:t>
      </w:r>
      <w:r>
        <w:rPr>
          <w:rFonts w:ascii="Arial" w:cs="Arial" w:eastAsia="Arial" w:hAnsi="Arial"/>
          <w:sz w:val="18"/>
          <w:szCs w:val="18"/>
          <w:color w:val="auto"/>
        </w:rPr>
        <w:t xml:space="preserve"> disclosure).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22"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companies with participating securities. The Company considers all series of redeemable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preferred stock as the holders of redeemable preferred stock do not have a contractual obligation to share in losses.</w:t>
      </w:r>
    </w:p>
    <w:p>
      <w:pPr>
        <w:spacing w:after="0" w:line="205" w:lineRule="exact"/>
        <w:rPr>
          <w:sz w:val="20"/>
          <w:szCs w:val="20"/>
          <w:color w:val="auto"/>
        </w:rPr>
      </w:pPr>
    </w:p>
    <w:p>
      <w:pPr>
        <w:ind w:left="720" w:right="800"/>
        <w:spacing w:after="0" w:line="239"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w:t>
      </w:r>
    </w:p>
    <w:p>
      <w:pPr>
        <w:spacing w:after="0" w:line="202" w:lineRule="exact"/>
        <w:rPr>
          <w:sz w:val="20"/>
          <w:szCs w:val="20"/>
          <w:color w:val="auto"/>
        </w:rPr>
      </w:pPr>
    </w:p>
    <w:p>
      <w:pPr>
        <w:ind w:left="720" w:right="120"/>
        <w:spacing w:after="0" w:line="253" w:lineRule="auto"/>
        <w:rPr>
          <w:sz w:val="20"/>
          <w:szCs w:val="20"/>
          <w:color w:val="auto"/>
        </w:rPr>
      </w:pPr>
      <w:r>
        <w:rPr>
          <w:rFonts w:ascii="Arial" w:cs="Arial" w:eastAsia="Arial" w:hAnsi="Arial"/>
          <w:sz w:val="17"/>
          <w:szCs w:val="17"/>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and warrants to purchase common and redeemable preferred stock are considered potentially dilutive securities but have been excluded from the calculation of diluted net loss per share attributable to common stockholders as their effect is anti-dilutive.</w:t>
      </w:r>
    </w:p>
    <w:p>
      <w:pPr>
        <w:spacing w:after="0" w:line="191" w:lineRule="exact"/>
        <w:rPr>
          <w:sz w:val="20"/>
          <w:szCs w:val="20"/>
          <w:color w:val="auto"/>
        </w:rPr>
      </w:pPr>
    </w:p>
    <w:p>
      <w:pPr>
        <w:ind w:left="720" w:right="480"/>
        <w:spacing w:after="0" w:line="239" w:lineRule="auto"/>
        <w:rPr>
          <w:sz w:val="20"/>
          <w:szCs w:val="20"/>
          <w:color w:val="auto"/>
        </w:rPr>
      </w:pPr>
      <w:r>
        <w:rPr>
          <w:rFonts w:ascii="Arial" w:cs="Arial" w:eastAsia="Arial" w:hAnsi="Arial"/>
          <w:sz w:val="18"/>
          <w:szCs w:val="18"/>
          <w:color w:val="auto"/>
        </w:rPr>
        <w:t>The shares of common stock associated with the equity-classified common stock warrants with an exercise price of $0.01 are considered outstanding for the purposes of computing basic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6"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100"/>
        <w:spacing w:after="0" w:line="239" w:lineRule="auto"/>
        <w:rPr>
          <w:sz w:val="20"/>
          <w:szCs w:val="20"/>
          <w:color w:val="auto"/>
        </w:rPr>
      </w:pPr>
      <w:r>
        <w:rPr>
          <w:rFonts w:ascii="Arial" w:cs="Arial" w:eastAsia="Arial" w:hAnsi="Arial"/>
          <w:sz w:val="18"/>
          <w:szCs w:val="18"/>
          <w:color w:val="auto"/>
        </w:rPr>
        <w:t>diluted net loss per share attributable to common stockholders because the shares may be issued for little or no consideration, are fully vested, and are exercisable after the original issuance date.</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Commitments and Contingencies</w:t>
      </w:r>
    </w:p>
    <w:p>
      <w:pPr>
        <w:spacing w:after="0" w:line="122" w:lineRule="exact"/>
        <w:rPr>
          <w:sz w:val="20"/>
          <w:szCs w:val="20"/>
          <w:color w:val="auto"/>
        </w:rPr>
      </w:pPr>
    </w:p>
    <w:p>
      <w:pPr>
        <w:ind w:left="720" w:right="220"/>
        <w:spacing w:after="0" w:line="237" w:lineRule="auto"/>
        <w:rPr>
          <w:sz w:val="20"/>
          <w:szCs w:val="20"/>
          <w:color w:val="auto"/>
        </w:rPr>
      </w:pPr>
      <w:r>
        <w:rPr>
          <w:rFonts w:ascii="Arial" w:cs="Arial" w:eastAsia="Arial" w:hAnsi="Arial"/>
          <w:sz w:val="18"/>
          <w:szCs w:val="18"/>
          <w:color w:val="auto"/>
        </w:rPr>
        <w:t>Liabilities for loss contingencies arising from claims, assessments, litigations, and other sources are recorded when it is probable that a liability has been incurred and the amount can be reasonably estimated. Legal costs incurred in connection with loss contingencies are expensed as incurred.</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Insurance Proceeds</w:t>
      </w:r>
    </w:p>
    <w:p>
      <w:pPr>
        <w:spacing w:after="0" w:line="122" w:lineRule="exact"/>
        <w:rPr>
          <w:sz w:val="20"/>
          <w:szCs w:val="20"/>
          <w:color w:val="auto"/>
        </w:rPr>
      </w:pPr>
    </w:p>
    <w:p>
      <w:pPr>
        <w:ind w:left="720" w:right="160"/>
        <w:spacing w:after="0" w:line="237" w:lineRule="auto"/>
        <w:rPr>
          <w:sz w:val="20"/>
          <w:szCs w:val="20"/>
          <w:color w:val="auto"/>
        </w:rPr>
      </w:pPr>
      <w:r>
        <w:rPr>
          <w:rFonts w:ascii="Arial" w:cs="Arial" w:eastAsia="Arial" w:hAnsi="Arial"/>
          <w:sz w:val="18"/>
          <w:szCs w:val="18"/>
          <w:color w:val="auto"/>
        </w:rPr>
        <w:t>For the year ended January 31, 2021, the Company recorded an insurance recovery of $5.0 million related to a network issue during the year ended January 31, 2020. This amount is recorded in other income / (expense), net in the consolidated statements of operations.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Foreign Currency</w:t>
      </w:r>
    </w:p>
    <w:p>
      <w:pPr>
        <w:spacing w:after="0" w:line="122"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Share-Based Compensation</w:t>
      </w:r>
    </w:p>
    <w:p>
      <w:pPr>
        <w:spacing w:after="0" w:line="100" w:lineRule="exact"/>
        <w:rPr>
          <w:sz w:val="20"/>
          <w:szCs w:val="20"/>
          <w:color w:val="auto"/>
        </w:rPr>
      </w:pPr>
    </w:p>
    <w:p>
      <w:pPr>
        <w:ind w:left="720" w:right="100"/>
        <w:spacing w:after="0" w:line="236" w:lineRule="auto"/>
        <w:rPr>
          <w:sz w:val="20"/>
          <w:szCs w:val="20"/>
          <w:color w:val="auto"/>
        </w:rPr>
      </w:pPr>
      <w:r>
        <w:rPr>
          <w:rFonts w:ascii="Arial" w:cs="Arial" w:eastAsia="Arial" w:hAnsi="Arial"/>
          <w:sz w:val="18"/>
          <w:szCs w:val="18"/>
          <w:color w:val="auto"/>
        </w:rPr>
        <w:t xml:space="preserve">In November 2019, the Financial Accounting Standards Board (“FASB”) issued ASU 2019-08,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and Revenue from Contracts with Customers (Topic 606): Codification Improvements – Share-Based Consideration Payable to a Customer</w:t>
      </w:r>
      <w:r>
        <w:rPr>
          <w:rFonts w:ascii="Arial" w:cs="Arial" w:eastAsia="Arial" w:hAnsi="Arial"/>
          <w:sz w:val="18"/>
          <w:szCs w:val="18"/>
          <w:color w:val="auto"/>
        </w:rPr>
        <w:t>. The guidance identifies, evaluates, and improves areas of U.S. GAAP for which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can be reduced while maintaining or improving the usefulness of the information provided. The amendments expanded the scope of Topic 718 to include stock-based payment transactions for acquiring goods and services from nonemployees. For entities that have adopted the amendments in ASU 2018-07, the updated guidance is effective for annual periods beginning after December 15, 2019. The Company adopted ASU 2019-08 on February 1, 2020, and the adoption of this update did not have a material impact on the Company’s consolidated financial statements.</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Fair Value Measurements</w:t>
      </w:r>
    </w:p>
    <w:p>
      <w:pPr>
        <w:spacing w:after="0" w:line="100" w:lineRule="exact"/>
        <w:rPr>
          <w:sz w:val="20"/>
          <w:szCs w:val="20"/>
          <w:color w:val="auto"/>
        </w:rPr>
      </w:pPr>
    </w:p>
    <w:p>
      <w:pPr>
        <w:ind w:left="720" w:right="240"/>
        <w:spacing w:after="0" w:line="246"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which modifies the disclosure requirements in Topic 820. This standard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reporting</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20"/>
        <w:spacing w:after="0" w:line="236" w:lineRule="auto"/>
        <w:rPr>
          <w:sz w:val="20"/>
          <w:szCs w:val="20"/>
          <w:color w:val="auto"/>
        </w:rPr>
      </w:pPr>
      <w:r>
        <w:rPr>
          <w:rFonts w:ascii="Arial" w:cs="Arial" w:eastAsia="Arial" w:hAnsi="Arial"/>
          <w:sz w:val="18"/>
          <w:szCs w:val="18"/>
          <w:color w:val="auto"/>
        </w:rPr>
        <w:t>periods beginning after December 15, 2019, and interim periods within those years, and early adoption is permitted. An entity is permitted to early adopt any removed or modified disclosures upon issuance of this ASU and delay adoption of the additional disclosures until their effective date. The Company adopted ASU 2018-13 on February 1, 2020, and the adoption of this update did not have a material impact on the Company’s consolidated financial statements.</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Income Taxes</w:t>
      </w:r>
    </w:p>
    <w:p>
      <w:pPr>
        <w:spacing w:after="0" w:line="100" w:lineRule="exact"/>
        <w:rPr>
          <w:sz w:val="20"/>
          <w:szCs w:val="20"/>
          <w:color w:val="auto"/>
        </w:rPr>
      </w:pPr>
    </w:p>
    <w:p>
      <w:pPr>
        <w:ind w:left="720" w:right="40"/>
        <w:spacing w:after="0" w:line="254"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is currently evaluating the impact this standard will have on its consolidated financial statements.</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00"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which requires an entity to utilize a new impairment model known as the current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Internal-Use Software</w:t>
      </w:r>
    </w:p>
    <w:p>
      <w:pPr>
        <w:spacing w:after="0" w:line="100"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 The Company will adopt this standard in the fiscal year ending January 31, 2022 and the adoption of this update is not expected to have a material impact on the Company’s consolidated financial statements.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20"/>
          </w:cols>
          <w:pgMar w:left="320" w:top="456" w:right="5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36" w:lineRule="exact"/>
        <w:rPr>
          <w:sz w:val="20"/>
          <w:szCs w:val="20"/>
          <w:color w:val="auto"/>
        </w:rPr>
      </w:pPr>
    </w:p>
    <w:p>
      <w:pPr>
        <w:ind w:left="700" w:hanging="526"/>
        <w:spacing w:after="0"/>
        <w:tabs>
          <w:tab w:leader="none" w:pos="7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Impact of COVID-19 Pandemic</w:t>
      </w:r>
    </w:p>
    <w:p>
      <w:pPr>
        <w:spacing w:after="0" w:line="12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and a significant increase in net loss in fiscal year 2020. While the Company has experienced active subscriber revenue growth subsequent to January 31, 2021, it is uncertain when subscription revenue and a-la-carte rental revenue will return to pre-COVID-19 levels. To the extent that the strength or pace of the Company’s COVID-19 recovery lags from what is currently anticipated, the Company has established plans to preserve existing cash liquidity, which could include reducing labor, operating expenses and/or capital expenditures.</w:t>
      </w:r>
    </w:p>
    <w:p>
      <w:pPr>
        <w:spacing w:after="0" w:line="202" w:lineRule="exact"/>
        <w:rPr>
          <w:rFonts w:ascii="Arial" w:cs="Arial" w:eastAsia="Arial" w:hAnsi="Arial"/>
          <w:sz w:val="18"/>
          <w:szCs w:val="18"/>
          <w:b w:val="1"/>
          <w:bCs w:val="1"/>
          <w:color w:val="auto"/>
        </w:rPr>
      </w:pPr>
    </w:p>
    <w:p>
      <w:pPr>
        <w:ind w:left="7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 xml:space="preserve">In April and May 2021, the Company sold additional shares of Series G redeemable preferred stock in exchange for $20.1 million. In connection with this equity financing, the Company’s EBITDA covenants in the Ares Facility (as described below) were amended to allow for the application of such proceeds cumulatively for the quarters ending July 31, 2021 through October 31, 2022. Refer to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further details.</w:t>
      </w:r>
    </w:p>
    <w:p>
      <w:pPr>
        <w:spacing w:after="0" w:line="201" w:lineRule="exact"/>
        <w:rPr>
          <w:rFonts w:ascii="Arial" w:cs="Arial" w:eastAsia="Arial" w:hAnsi="Arial"/>
          <w:sz w:val="18"/>
          <w:szCs w:val="18"/>
          <w:b w:val="1"/>
          <w:bCs w:val="1"/>
          <w:color w:val="auto"/>
        </w:rPr>
      </w:pPr>
    </w:p>
    <w:p>
      <w:pPr>
        <w:ind w:left="720" w:right="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As of June 30, 2021, the Company held cash and cash equivalents of approximately $100.0 million. The Company believes that its existing cash resources will be sufficient to meet the costs of the business, debt service obligations, and working capital requirements for the twelve months from the issuance date of these consolidated financial statements. As such, the Company believes that it will have sufficient liquidity from cash on-hand and future operations to satisfy its obligations and to comply with its amended debt covenants for at least the next twelve months from the date these financial statements are available to be issued.</w:t>
      </w:r>
    </w:p>
    <w:p>
      <w:pPr>
        <w:spacing w:after="0" w:line="327" w:lineRule="exact"/>
        <w:rPr>
          <w:rFonts w:ascii="Arial" w:cs="Arial" w:eastAsia="Arial" w:hAnsi="Arial"/>
          <w:sz w:val="18"/>
          <w:szCs w:val="18"/>
          <w:b w:val="1"/>
          <w:bCs w:val="1"/>
          <w:color w:val="auto"/>
        </w:rPr>
      </w:pPr>
    </w:p>
    <w:p>
      <w:pPr>
        <w:ind w:left="700" w:hanging="526"/>
        <w:spacing w:after="0"/>
        <w:tabs>
          <w:tab w:leader="none" w:pos="7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122" w:lineRule="exact"/>
        <w:rPr>
          <w:rFonts w:ascii="Arial" w:cs="Arial" w:eastAsia="Arial" w:hAnsi="Arial"/>
          <w:sz w:val="18"/>
          <w:szCs w:val="18"/>
          <w:b w:val="1"/>
          <w:bCs w:val="1"/>
          <w:color w:val="auto"/>
        </w:rPr>
      </w:pPr>
    </w:p>
    <w:p>
      <w:pPr>
        <w:ind w:left="720" w:right="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202" w:lineRule="exact"/>
        <w:rPr>
          <w:rFonts w:ascii="Arial" w:cs="Arial" w:eastAsia="Arial" w:hAnsi="Arial"/>
          <w:sz w:val="18"/>
          <w:szCs w:val="18"/>
          <w:b w:val="1"/>
          <w:bCs w:val="1"/>
          <w:color w:val="auto"/>
        </w:rPr>
      </w:pPr>
    </w:p>
    <w:p>
      <w:pPr>
        <w:ind w:left="720" w:right="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Company’s real estate and equipment lease terms generally range from 2 to 12 years and certain agreements include renewal options. To the extent that the Company is reasonably certain to exercise a lease renewal option, the assumption is included in the calculation of ROU assets and lease liabilities. During fiscal year 2020, the Company signed an amendment to extend the lease term of its operational facilities in Secaucus, New Jersey, which resulted in an adjustment of $5.1 million to the related ROU assets and lease liabilities, as a result of lease modification accounting. No other renewal options were included in the ROU assets and lease liabilities on the consolidated balance sheets at January 31, 2020 and 2021.</w:t>
      </w:r>
    </w:p>
    <w:p>
      <w:pPr>
        <w:spacing w:after="0" w:line="205" w:lineRule="exact"/>
        <w:rPr>
          <w:sz w:val="20"/>
          <w:szCs w:val="20"/>
          <w:color w:val="auto"/>
        </w:rPr>
      </w:pPr>
    </w:p>
    <w:p>
      <w:pPr>
        <w:ind w:left="720" w:right="340"/>
        <w:spacing w:after="0" w:line="239" w:lineRule="auto"/>
        <w:rPr>
          <w:sz w:val="20"/>
          <w:szCs w:val="20"/>
          <w:color w:val="auto"/>
        </w:rPr>
      </w:pPr>
      <w:r>
        <w:rPr>
          <w:rFonts w:ascii="Arial" w:cs="Arial" w:eastAsia="Arial" w:hAnsi="Arial"/>
          <w:sz w:val="18"/>
          <w:szCs w:val="18"/>
          <w:color w:val="auto"/>
        </w:rPr>
        <w:t>During fiscal year 2020, the Company decided it would no longer fully utilize the space within three of its real estate leases and obtained subleases for those leased facilities. The subleases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20"/>
          </w:cols>
          <w:pgMar w:left="320" w:top="456" w:right="5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40"/>
        <w:spacing w:after="0" w:line="256" w:lineRule="auto"/>
        <w:rPr>
          <w:sz w:val="20"/>
          <w:szCs w:val="20"/>
          <w:color w:val="auto"/>
        </w:rPr>
      </w:pPr>
      <w:r>
        <w:rPr>
          <w:rFonts w:ascii="Arial" w:cs="Arial" w:eastAsia="Arial" w:hAnsi="Arial"/>
          <w:sz w:val="17"/>
          <w:szCs w:val="17"/>
          <w:color w:val="auto"/>
        </w:rPr>
        <w:t>do not relieve the Company of its primary lease obligations. The 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189" w:lineRule="exact"/>
        <w:rPr>
          <w:sz w:val="20"/>
          <w:szCs w:val="20"/>
          <w:color w:val="auto"/>
        </w:rPr>
      </w:pPr>
    </w:p>
    <w:p>
      <w:pPr>
        <w:ind w:left="720" w:right="200"/>
        <w:spacing w:after="0" w:line="236" w:lineRule="auto"/>
        <w:rPr>
          <w:sz w:val="20"/>
          <w:szCs w:val="20"/>
          <w:color w:val="auto"/>
        </w:rPr>
      </w:pPr>
      <w:r>
        <w:rPr>
          <w:rFonts w:ascii="Arial" w:cs="Arial" w:eastAsia="Arial" w:hAnsi="Arial"/>
          <w:sz w:val="18"/>
          <w:szCs w:val="18"/>
          <w:color w:val="auto"/>
        </w:rPr>
        <w:t>At January 31, 2020 and 2021, the weighted-average remaining lease term for operating leases was 9.74 years and 9.43 years, respectively, and weighted-average discount rate was 16.66% and 16.77%. respectively. At January 31, 2020 and 2021, the weighted-average remaining lease term for financing leases was 3.18 years and 2.41 years, respectively, and weighted-average discount rate was 15.02% and 14.24%, respectively.</w:t>
      </w:r>
    </w:p>
    <w:p>
      <w:pPr>
        <w:spacing w:after="0" w:line="201"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following table summarizes the components of lease costs incurred by the Company during the years ended January 31, 2020 and 2021:</w:t>
      </w:r>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8"/>
              </w:rPr>
              <w:t>January 31,</w:t>
            </w:r>
          </w:p>
        </w:tc>
      </w:tr>
      <w:tr>
        <w:trPr>
          <w:trHeight w:val="154"/>
        </w:trPr>
        <w:tc>
          <w:tcPr>
            <w:tcW w:w="49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12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94"/>
        </w:trPr>
        <w:tc>
          <w:tcPr>
            <w:tcW w:w="49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Operating lease costs</w:t>
            </w:r>
          </w:p>
        </w:tc>
        <w:tc>
          <w:tcPr>
            <w:tcW w:w="28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3"/>
              </w:rPr>
              <w:t>$11.7</w:t>
            </w:r>
          </w:p>
        </w:tc>
        <w:tc>
          <w:tcPr>
            <w:tcW w:w="8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7"/>
              </w:rPr>
              <w:t>$13.1</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4980" w:type="dxa"/>
            <w:vAlign w:val="bottom"/>
          </w:tcPr>
          <w:p>
            <w:pPr>
              <w:spacing w:after="0" w:line="201" w:lineRule="exact"/>
              <w:rPr>
                <w:sz w:val="20"/>
                <w:szCs w:val="20"/>
                <w:color w:val="auto"/>
              </w:rPr>
            </w:pPr>
            <w:r>
              <w:rPr>
                <w:rFonts w:ascii="Arial" w:cs="Arial" w:eastAsia="Arial" w:hAnsi="Arial"/>
                <w:sz w:val="18"/>
                <w:szCs w:val="18"/>
                <w:color w:val="auto"/>
              </w:rPr>
              <w:t>Short-term lease costs</w:t>
            </w:r>
          </w:p>
        </w:tc>
        <w:tc>
          <w:tcPr>
            <w:tcW w:w="288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0.9</w:t>
            </w:r>
          </w:p>
        </w:tc>
        <w:tc>
          <w:tcPr>
            <w:tcW w:w="80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r>
      <w:tr>
        <w:trPr>
          <w:trHeight w:val="200"/>
        </w:trPr>
        <w:tc>
          <w:tcPr>
            <w:tcW w:w="4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fixed lease costs</w:t>
            </w:r>
          </w:p>
        </w:tc>
        <w:tc>
          <w:tcPr>
            <w:tcW w:w="3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$12.6</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7"/>
                <w:szCs w:val="17"/>
                <w:color w:val="auto"/>
              </w:rPr>
            </w:pPr>
          </w:p>
        </w:tc>
      </w:tr>
      <w:tr>
        <w:trPr>
          <w:trHeight w:val="207"/>
        </w:trPr>
        <w:tc>
          <w:tcPr>
            <w:tcW w:w="4980" w:type="dxa"/>
            <w:vAlign w:val="bottom"/>
          </w:tcPr>
          <w:p>
            <w:pPr>
              <w:spacing w:after="0" w:line="201" w:lineRule="exact"/>
              <w:rPr>
                <w:sz w:val="20"/>
                <w:szCs w:val="20"/>
                <w:color w:val="auto"/>
              </w:rPr>
            </w:pPr>
            <w:r>
              <w:rPr>
                <w:rFonts w:ascii="Arial" w:cs="Arial" w:eastAsia="Arial" w:hAnsi="Arial"/>
                <w:sz w:val="18"/>
                <w:szCs w:val="18"/>
                <w:color w:val="auto"/>
              </w:rPr>
              <w:t>Variable lease costs</w:t>
            </w:r>
          </w:p>
        </w:tc>
        <w:tc>
          <w:tcPr>
            <w:tcW w:w="288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11.9</w:t>
            </w:r>
          </w:p>
        </w:tc>
        <w:tc>
          <w:tcPr>
            <w:tcW w:w="80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r>
      <w:tr>
        <w:trPr>
          <w:trHeight w:val="200"/>
        </w:trPr>
        <w:tc>
          <w:tcPr>
            <w:tcW w:w="4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lease costs</w:t>
            </w:r>
          </w:p>
        </w:tc>
        <w:tc>
          <w:tcPr>
            <w:tcW w:w="3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w:t>
            </w:r>
          </w:p>
        </w:tc>
        <w:tc>
          <w:tcPr>
            <w:tcW w:w="120" w:type="dxa"/>
            <w:vAlign w:val="bottom"/>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4980" w:type="dxa"/>
            <w:vAlign w:val="bottom"/>
          </w:tcPr>
          <w:p>
            <w:pPr>
              <w:spacing w:after="0"/>
              <w:rPr>
                <w:sz w:val="20"/>
                <w:szCs w:val="20"/>
                <w:color w:val="auto"/>
              </w:rPr>
            </w:pPr>
            <w:r>
              <w:rPr>
                <w:rFonts w:ascii="Arial" w:cs="Arial" w:eastAsia="Arial" w:hAnsi="Arial"/>
                <w:sz w:val="18"/>
                <w:szCs w:val="18"/>
                <w:color w:val="auto"/>
              </w:rPr>
              <w:t>Sublease income</w:t>
            </w:r>
          </w:p>
        </w:tc>
        <w:tc>
          <w:tcPr>
            <w:tcW w:w="2880" w:type="dxa"/>
            <w:vAlign w:val="bottom"/>
          </w:tcPr>
          <w:p>
            <w:pPr>
              <w:spacing w:after="0"/>
              <w:rPr>
                <w:sz w:val="18"/>
                <w:szCs w:val="18"/>
                <w:color w:val="auto"/>
              </w:rPr>
            </w:pPr>
          </w:p>
        </w:tc>
        <w:tc>
          <w:tcPr>
            <w:tcW w:w="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7"/>
        </w:trPr>
        <w:tc>
          <w:tcPr>
            <w:tcW w:w="4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4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lease costs, net</w:t>
            </w:r>
          </w:p>
        </w:tc>
        <w:tc>
          <w:tcPr>
            <w:tcW w:w="3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w:t>
            </w:r>
          </w:p>
        </w:tc>
        <w:tc>
          <w:tcPr>
            <w:tcW w:w="120" w:type="dxa"/>
            <w:vAlign w:val="bottom"/>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right="40"/>
        <w:spacing w:after="0" w:line="239" w:lineRule="auto"/>
        <w:rPr>
          <w:sz w:val="20"/>
          <w:szCs w:val="20"/>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at January 31, 2021:</w:t>
      </w:r>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4100" w:type="dxa"/>
            <w:vAlign w:val="bottom"/>
          </w:tcPr>
          <w:p>
            <w:pPr>
              <w:spacing w:after="0"/>
              <w:rPr>
                <w:sz w:val="15"/>
                <w:szCs w:val="15"/>
                <w:color w:val="auto"/>
              </w:rPr>
            </w:pPr>
          </w:p>
        </w:tc>
        <w:tc>
          <w:tcPr>
            <w:tcW w:w="4360" w:type="dxa"/>
            <w:vAlign w:val="bottom"/>
            <w:gridSpan w:val="4"/>
          </w:tcPr>
          <w:p>
            <w:pPr>
              <w:ind w:left="3200"/>
              <w:spacing w:after="0"/>
              <w:rPr>
                <w:sz w:val="20"/>
                <w:szCs w:val="20"/>
                <w:color w:val="auto"/>
              </w:rPr>
            </w:pPr>
            <w:r>
              <w:rPr>
                <w:rFonts w:ascii="Arial" w:cs="Arial" w:eastAsia="Arial" w:hAnsi="Arial"/>
                <w:sz w:val="14"/>
                <w:szCs w:val="14"/>
                <w:b w:val="1"/>
                <w:bCs w:val="1"/>
                <w:color w:val="auto"/>
              </w:rPr>
              <w:t>Operating</w:t>
            </w:r>
          </w:p>
        </w:tc>
        <w:tc>
          <w:tcPr>
            <w:tcW w:w="1240" w:type="dxa"/>
            <w:vAlign w:val="bottom"/>
            <w:gridSpan w:val="4"/>
          </w:tcPr>
          <w:p>
            <w:pPr>
              <w:ind w:left="440"/>
              <w:spacing w:after="0"/>
              <w:rPr>
                <w:sz w:val="20"/>
                <w:szCs w:val="20"/>
                <w:color w:val="auto"/>
              </w:rPr>
            </w:pPr>
            <w:r>
              <w:rPr>
                <w:rFonts w:ascii="Arial" w:cs="Arial" w:eastAsia="Arial" w:hAnsi="Arial"/>
                <w:sz w:val="14"/>
                <w:szCs w:val="14"/>
                <w:b w:val="1"/>
                <w:bCs w:val="1"/>
                <w:color w:val="auto"/>
              </w:rPr>
              <w:t>Financing</w:t>
            </w:r>
          </w:p>
        </w:tc>
      </w:tr>
      <w:tr>
        <w:trPr>
          <w:trHeight w:val="180"/>
        </w:trPr>
        <w:tc>
          <w:tcPr>
            <w:tcW w:w="41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Fiscal year:</w:t>
            </w:r>
          </w:p>
        </w:tc>
        <w:tc>
          <w:tcPr>
            <w:tcW w:w="3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0"/>
        </w:trPr>
        <w:tc>
          <w:tcPr>
            <w:tcW w:w="4100" w:type="dxa"/>
            <w:vAlign w:val="bottom"/>
          </w:tcPr>
          <w:p>
            <w:pPr>
              <w:ind w:left="360"/>
              <w:spacing w:after="0" w:line="201" w:lineRule="exact"/>
              <w:rPr>
                <w:sz w:val="20"/>
                <w:szCs w:val="20"/>
                <w:color w:val="auto"/>
              </w:rPr>
            </w:pPr>
            <w:r>
              <w:rPr>
                <w:rFonts w:ascii="Arial" w:cs="Arial" w:eastAsia="Arial" w:hAnsi="Arial"/>
                <w:sz w:val="18"/>
                <w:szCs w:val="18"/>
                <w:color w:val="auto"/>
              </w:rPr>
              <w:t>2021</w:t>
            </w:r>
          </w:p>
        </w:tc>
        <w:tc>
          <w:tcPr>
            <w:tcW w:w="3360" w:type="dxa"/>
            <w:vAlign w:val="bottom"/>
            <w:gridSpan w:val="2"/>
          </w:tcPr>
          <w:p>
            <w:pPr>
              <w:ind w:left="320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15.7</w:t>
            </w:r>
          </w:p>
        </w:tc>
        <w:tc>
          <w:tcPr>
            <w:tcW w:w="480" w:type="dxa"/>
            <w:vAlign w:val="bottom"/>
          </w:tcPr>
          <w:p>
            <w:pPr>
              <w:spacing w:after="0"/>
              <w:rPr>
                <w:sz w:val="17"/>
                <w:szCs w:val="17"/>
                <w:color w:val="auto"/>
              </w:rPr>
            </w:pPr>
          </w:p>
        </w:tc>
        <w:tc>
          <w:tcPr>
            <w:tcW w:w="66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0.2</w:t>
            </w:r>
          </w:p>
        </w:tc>
        <w:tc>
          <w:tcPr>
            <w:tcW w:w="120" w:type="dxa"/>
            <w:vAlign w:val="bottom"/>
          </w:tcPr>
          <w:p>
            <w:pPr>
              <w:spacing w:after="0"/>
              <w:rPr>
                <w:sz w:val="17"/>
                <w:szCs w:val="17"/>
                <w:color w:val="auto"/>
              </w:rPr>
            </w:pPr>
          </w:p>
        </w:tc>
      </w:tr>
      <w:tr>
        <w:trPr>
          <w:trHeight w:val="200"/>
        </w:trPr>
        <w:tc>
          <w:tcPr>
            <w:tcW w:w="4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2022</w:t>
            </w:r>
          </w:p>
        </w:tc>
        <w:tc>
          <w:tcPr>
            <w:tcW w:w="3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13.3</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7"/>
                <w:szCs w:val="17"/>
                <w:color w:val="auto"/>
              </w:rPr>
            </w:pPr>
          </w:p>
        </w:tc>
      </w:tr>
      <w:tr>
        <w:trPr>
          <w:trHeight w:val="200"/>
        </w:trPr>
        <w:tc>
          <w:tcPr>
            <w:tcW w:w="4100" w:type="dxa"/>
            <w:vAlign w:val="bottom"/>
          </w:tcPr>
          <w:p>
            <w:pPr>
              <w:ind w:left="360"/>
              <w:spacing w:after="0" w:line="201" w:lineRule="exact"/>
              <w:rPr>
                <w:sz w:val="20"/>
                <w:szCs w:val="20"/>
                <w:color w:val="auto"/>
              </w:rPr>
            </w:pPr>
            <w:r>
              <w:rPr>
                <w:rFonts w:ascii="Arial" w:cs="Arial" w:eastAsia="Arial" w:hAnsi="Arial"/>
                <w:sz w:val="18"/>
                <w:szCs w:val="18"/>
                <w:color w:val="auto"/>
              </w:rPr>
              <w:t>2023</w:t>
            </w:r>
          </w:p>
        </w:tc>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11.5</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0"/>
        </w:trPr>
        <w:tc>
          <w:tcPr>
            <w:tcW w:w="4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2024</w:t>
            </w:r>
          </w:p>
        </w:tc>
        <w:tc>
          <w:tcPr>
            <w:tcW w:w="3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10.4</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0"/>
        </w:trPr>
        <w:tc>
          <w:tcPr>
            <w:tcW w:w="4100" w:type="dxa"/>
            <w:vAlign w:val="bottom"/>
          </w:tcPr>
          <w:p>
            <w:pPr>
              <w:ind w:left="360"/>
              <w:spacing w:after="0" w:line="201" w:lineRule="exact"/>
              <w:rPr>
                <w:sz w:val="20"/>
                <w:szCs w:val="20"/>
                <w:color w:val="auto"/>
              </w:rPr>
            </w:pPr>
            <w:r>
              <w:rPr>
                <w:rFonts w:ascii="Arial" w:cs="Arial" w:eastAsia="Arial" w:hAnsi="Arial"/>
                <w:sz w:val="18"/>
                <w:szCs w:val="18"/>
                <w:color w:val="auto"/>
              </w:rPr>
              <w:t>2025</w:t>
            </w:r>
          </w:p>
        </w:tc>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9.1</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0"/>
        </w:trPr>
        <w:tc>
          <w:tcPr>
            <w:tcW w:w="4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Thereafter</w:t>
            </w:r>
          </w:p>
        </w:tc>
        <w:tc>
          <w:tcPr>
            <w:tcW w:w="3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57.8</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7"/>
        </w:trPr>
        <w:tc>
          <w:tcPr>
            <w:tcW w:w="4100" w:type="dxa"/>
            <w:vAlign w:val="bottom"/>
          </w:tcPr>
          <w:p>
            <w:pPr>
              <w:ind w:left="700"/>
              <w:spacing w:after="0"/>
              <w:rPr>
                <w:sz w:val="20"/>
                <w:szCs w:val="20"/>
                <w:color w:val="auto"/>
              </w:rPr>
            </w:pPr>
            <w:r>
              <w:rPr>
                <w:rFonts w:ascii="Arial" w:cs="Arial" w:eastAsia="Arial" w:hAnsi="Arial"/>
                <w:sz w:val="18"/>
                <w:szCs w:val="18"/>
                <w:color w:val="auto"/>
              </w:rPr>
              <w:t>Total minimum lease payments</w:t>
            </w:r>
          </w:p>
        </w:tc>
        <w:tc>
          <w:tcPr>
            <w:tcW w:w="33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117.8</w:t>
            </w:r>
          </w:p>
        </w:tc>
        <w:tc>
          <w:tcPr>
            <w:tcW w:w="480" w:type="dxa"/>
            <w:vAlign w:val="bottom"/>
          </w:tcPr>
          <w:p>
            <w:pPr>
              <w:spacing w:after="0"/>
              <w:rPr>
                <w:sz w:val="18"/>
                <w:szCs w:val="18"/>
                <w:color w:val="auto"/>
              </w:rPr>
            </w:pP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00"/>
        </w:trPr>
        <w:tc>
          <w:tcPr>
            <w:tcW w:w="4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Imputed interest</w:t>
            </w:r>
          </w:p>
        </w:tc>
        <w:tc>
          <w:tcPr>
            <w:tcW w:w="3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(59.6)</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(0.1)</w:t>
            </w:r>
          </w:p>
        </w:tc>
      </w:tr>
      <w:tr>
        <w:trPr>
          <w:trHeight w:val="20"/>
        </w:trPr>
        <w:tc>
          <w:tcPr>
            <w:tcW w:w="4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4100" w:type="dxa"/>
            <w:vAlign w:val="bottom"/>
          </w:tcPr>
          <w:p>
            <w:pPr>
              <w:ind w:left="700"/>
              <w:spacing w:after="0"/>
              <w:rPr>
                <w:sz w:val="20"/>
                <w:szCs w:val="20"/>
                <w:color w:val="auto"/>
              </w:rPr>
            </w:pPr>
            <w:r>
              <w:rPr>
                <w:rFonts w:ascii="Arial" w:cs="Arial" w:eastAsia="Arial" w:hAnsi="Arial"/>
                <w:sz w:val="18"/>
                <w:szCs w:val="18"/>
                <w:color w:val="auto"/>
              </w:rPr>
              <w:t>Lease liabilities at January 31, 2021</w:t>
            </w:r>
          </w:p>
        </w:tc>
        <w:tc>
          <w:tcPr>
            <w:tcW w:w="3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58.2</w:t>
            </w:r>
          </w:p>
        </w:tc>
        <w:tc>
          <w:tcPr>
            <w:tcW w:w="480" w:type="dxa"/>
            <w:vAlign w:val="bottom"/>
          </w:tcPr>
          <w:p>
            <w:pPr>
              <w:spacing w:after="0"/>
              <w:rPr>
                <w:sz w:val="18"/>
                <w:szCs w:val="18"/>
                <w:color w:val="auto"/>
              </w:rPr>
            </w:pP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4100" w:type="dxa"/>
            <w:vAlign w:val="bottom"/>
          </w:tcPr>
          <w:p>
            <w:pPr>
              <w:spacing w:after="0"/>
              <w:rPr>
                <w:sz w:val="24"/>
                <w:szCs w:val="24"/>
                <w:color w:val="auto"/>
              </w:rPr>
            </w:pPr>
          </w:p>
        </w:tc>
        <w:tc>
          <w:tcPr>
            <w:tcW w:w="3360" w:type="dxa"/>
            <w:vAlign w:val="bottom"/>
            <w:gridSpan w:val="2"/>
          </w:tcPr>
          <w:p>
            <w:pPr>
              <w:ind w:left="560"/>
              <w:spacing w:after="0"/>
              <w:rPr>
                <w:sz w:val="20"/>
                <w:szCs w:val="20"/>
                <w:color w:val="auto"/>
              </w:rPr>
            </w:pPr>
            <w:r>
              <w:rPr>
                <w:rFonts w:ascii="Arial" w:cs="Arial" w:eastAsia="Arial" w:hAnsi="Arial"/>
                <w:sz w:val="18"/>
                <w:szCs w:val="18"/>
                <w:color w:val="auto"/>
              </w:rPr>
              <w:t>F-19</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00"/>
          </w:cols>
          <w:pgMar w:left="320" w:top="456" w:right="5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6380" w:type="dxa"/>
            <w:vAlign w:val="bottom"/>
            <w:gridSpan w:val="3"/>
          </w:tcPr>
          <w:p>
            <w:pPr>
              <w:spacing w:after="0"/>
              <w:rPr>
                <w:sz w:val="20"/>
                <w:szCs w:val="20"/>
                <w:color w:val="auto"/>
              </w:rPr>
            </w:pPr>
            <w:r>
              <w:rPr>
                <w:rFonts w:ascii="Arial" w:cs="Arial" w:eastAsia="Arial" w:hAnsi="Arial"/>
                <w:sz w:val="18"/>
                <w:szCs w:val="18"/>
                <w:i w:val="1"/>
                <w:iCs w:val="1"/>
                <w:color w:val="auto"/>
              </w:rPr>
              <w:t>(Dollars in millions, except share and per share amounts)</w:t>
            </w:r>
          </w:p>
        </w:tc>
        <w:tc>
          <w:tcPr>
            <w:tcW w:w="1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7"/>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60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Rental Product, Net</w:t>
            </w: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7"/>
        </w:trPr>
        <w:tc>
          <w:tcPr>
            <w:tcW w:w="340" w:type="dxa"/>
            <w:vAlign w:val="bottom"/>
          </w:tcPr>
          <w:p>
            <w:pPr>
              <w:spacing w:after="0"/>
              <w:rPr>
                <w:sz w:val="24"/>
                <w:szCs w:val="24"/>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Rental product consisted of the following:</w:t>
            </w: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9"/>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4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rPr>
              <w:t>January 31,</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38"/>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4"/>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94"/>
        </w:trPr>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8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Apparel</w:t>
            </w:r>
          </w:p>
        </w:tc>
        <w:tc>
          <w:tcPr>
            <w:tcW w:w="1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8"/>
              </w:rPr>
              <w:t>$176.3</w:t>
            </w: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7"/>
              </w:rPr>
              <w:t>183.8</w:t>
            </w:r>
          </w:p>
        </w:tc>
        <w:tc>
          <w:tcPr>
            <w:tcW w:w="120" w:type="dxa"/>
            <w:vAlign w:val="bottom"/>
            <w:shd w:val="clear" w:color="auto" w:fill="CCEEFF"/>
          </w:tcPr>
          <w:p>
            <w:pPr>
              <w:spacing w:after="0"/>
              <w:rPr>
                <w:sz w:val="16"/>
                <w:szCs w:val="16"/>
                <w:color w:val="auto"/>
              </w:rPr>
            </w:pPr>
          </w:p>
        </w:tc>
      </w:tr>
      <w:tr>
        <w:trPr>
          <w:trHeight w:val="207"/>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rPr>
              <w:t>Accessories</w:t>
            </w:r>
          </w:p>
        </w:tc>
        <w:tc>
          <w:tcPr>
            <w:tcW w:w="190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r>
      <w:tr>
        <w:trPr>
          <w:trHeight w:val="200"/>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186.9</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192.7</w:t>
            </w:r>
          </w:p>
        </w:tc>
        <w:tc>
          <w:tcPr>
            <w:tcW w:w="120" w:type="dxa"/>
            <w:vAlign w:val="bottom"/>
            <w:shd w:val="clear" w:color="auto" w:fill="CCEEFF"/>
          </w:tcPr>
          <w:p>
            <w:pPr>
              <w:spacing w:after="0"/>
              <w:rPr>
                <w:sz w:val="17"/>
                <w:szCs w:val="17"/>
                <w:color w:val="auto"/>
              </w:rPr>
            </w:pPr>
          </w:p>
        </w:tc>
      </w:tr>
      <w:tr>
        <w:trPr>
          <w:trHeight w:val="200"/>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rPr>
              <w:t>Less accumulated depreciation</w:t>
            </w:r>
          </w:p>
        </w:tc>
        <w:tc>
          <w:tcPr>
            <w:tcW w:w="1900" w:type="dxa"/>
            <w:vAlign w:val="bottom"/>
          </w:tcPr>
          <w:p>
            <w:pPr>
              <w:spacing w:after="0"/>
              <w:rPr>
                <w:sz w:val="17"/>
                <w:szCs w:val="17"/>
                <w:color w:val="auto"/>
              </w:rPr>
            </w:pPr>
          </w:p>
        </w:tc>
        <w:tc>
          <w:tcPr>
            <w:tcW w:w="9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(70.9)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(95.1)</w:t>
            </w:r>
          </w:p>
        </w:tc>
      </w:tr>
      <w:tr>
        <w:trPr>
          <w:trHeight w:val="27"/>
        </w:trPr>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Rental product, net</w:t>
            </w:r>
          </w:p>
        </w:tc>
        <w:tc>
          <w:tcPr>
            <w:tcW w:w="2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116.0</w:t>
            </w:r>
          </w:p>
        </w:tc>
        <w:tc>
          <w:tcPr>
            <w:tcW w:w="4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right="20"/>
        <w:spacing w:after="0" w:line="239"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$75.7 million and $69.9 million for the years ended January 31, 2020 and 2021, respectively.</w:t>
      </w:r>
    </w:p>
    <w:p>
      <w:pPr>
        <w:spacing w:after="0" w:line="327" w:lineRule="exact"/>
        <w:rPr>
          <w:sz w:val="20"/>
          <w:szCs w:val="20"/>
          <w:color w:val="auto"/>
        </w:rPr>
      </w:pPr>
    </w:p>
    <w:p>
      <w:pPr>
        <w:ind w:left="700" w:hanging="526"/>
        <w:spacing w:after="0"/>
        <w:tabs>
          <w:tab w:leader="none" w:pos="7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Fixed and Intangible Assets, Net</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Fixed and intangible assets consisted of the following:</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7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75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2"/>
              <w:spacing w:after="0" w:line="154"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94"/>
        </w:trPr>
        <w:tc>
          <w:tcPr>
            <w:tcW w:w="758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48.3</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6"/>
                <w:szCs w:val="16"/>
                <w:color w:val="auto"/>
              </w:rPr>
            </w:pPr>
          </w:p>
        </w:tc>
      </w:tr>
      <w:tr>
        <w:trPr>
          <w:trHeight w:val="200"/>
        </w:trPr>
        <w:tc>
          <w:tcPr>
            <w:tcW w:w="7580" w:type="dxa"/>
            <w:vAlign w:val="bottom"/>
          </w:tcPr>
          <w:p>
            <w:pPr>
              <w:spacing w:after="0" w:line="201" w:lineRule="exact"/>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40.2</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44.5</w:t>
            </w:r>
          </w:p>
        </w:tc>
        <w:tc>
          <w:tcPr>
            <w:tcW w:w="120" w:type="dxa"/>
            <w:vAlign w:val="bottom"/>
          </w:tcPr>
          <w:p>
            <w:pPr>
              <w:spacing w:after="0"/>
              <w:rPr>
                <w:sz w:val="17"/>
                <w:szCs w:val="17"/>
                <w:color w:val="auto"/>
              </w:rPr>
            </w:pPr>
          </w:p>
        </w:tc>
      </w:tr>
      <w:tr>
        <w:trPr>
          <w:trHeight w:val="200"/>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Reusable packaging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r>
      <w:tr>
        <w:trPr>
          <w:trHeight w:val="200"/>
        </w:trPr>
        <w:tc>
          <w:tcPr>
            <w:tcW w:w="7580" w:type="dxa"/>
            <w:vAlign w:val="bottom"/>
          </w:tcPr>
          <w:p>
            <w:pPr>
              <w:spacing w:after="0" w:line="201" w:lineRule="exact"/>
              <w:rPr>
                <w:sz w:val="20"/>
                <w:szCs w:val="20"/>
                <w:color w:val="auto"/>
              </w:rPr>
            </w:pPr>
            <w:r>
              <w:rPr>
                <w:rFonts w:ascii="Arial" w:cs="Arial" w:eastAsia="Arial" w:hAnsi="Arial"/>
                <w:sz w:val="18"/>
                <w:szCs w:val="18"/>
                <w:color w:val="auto"/>
              </w:rPr>
              <w:t>Computer hardware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6.4</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r>
      <w:tr>
        <w:trPr>
          <w:trHeight w:val="200"/>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3.8</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line="201" w:lineRule="exact"/>
              <w:rPr>
                <w:sz w:val="20"/>
                <w:szCs w:val="20"/>
                <w:color w:val="auto"/>
              </w:rPr>
            </w:pPr>
            <w:r>
              <w:rPr>
                <w:rFonts w:ascii="Arial" w:cs="Arial" w:eastAsia="Arial" w:hAnsi="Arial"/>
                <w:sz w:val="18"/>
                <w:szCs w:val="18"/>
                <w:color w:val="auto"/>
              </w:rPr>
              <w:t>Financing lease ROU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0.7</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r>
      <w:tr>
        <w:trPr>
          <w:trHeight w:val="200"/>
        </w:trPr>
        <w:tc>
          <w:tcPr>
            <w:tcW w:w="7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106.4</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116.2</w:t>
            </w:r>
          </w:p>
        </w:tc>
        <w:tc>
          <w:tcPr>
            <w:tcW w:w="120" w:type="dxa"/>
            <w:vAlign w:val="bottom"/>
            <w:shd w:val="clear" w:color="auto" w:fill="CCEEFF"/>
          </w:tcPr>
          <w:p>
            <w:pPr>
              <w:spacing w:after="0"/>
              <w:rPr>
                <w:sz w:val="17"/>
                <w:szCs w:val="17"/>
                <w:color w:val="auto"/>
              </w:rPr>
            </w:pPr>
          </w:p>
        </w:tc>
      </w:tr>
      <w:tr>
        <w:trPr>
          <w:trHeight w:val="200"/>
        </w:trPr>
        <w:tc>
          <w:tcPr>
            <w:tcW w:w="7580" w:type="dxa"/>
            <w:vAlign w:val="bottom"/>
          </w:tcPr>
          <w:p>
            <w:pPr>
              <w:spacing w:after="0" w:line="201" w:lineRule="exact"/>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729"/>
              <w:spacing w:after="0" w:line="201" w:lineRule="exact"/>
              <w:rPr>
                <w:sz w:val="20"/>
                <w:szCs w:val="20"/>
                <w:color w:val="auto"/>
              </w:rPr>
            </w:pPr>
            <w:r>
              <w:rPr>
                <w:rFonts w:ascii="Arial" w:cs="Arial" w:eastAsia="Arial" w:hAnsi="Arial"/>
                <w:sz w:val="18"/>
                <w:szCs w:val="18"/>
                <w:color w:val="auto"/>
              </w:rPr>
              <w:t>(41.0)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(51.5)</w:t>
            </w:r>
          </w:p>
        </w:tc>
      </w:tr>
      <w:tr>
        <w:trPr>
          <w:trHeight w:val="27"/>
        </w:trPr>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7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Fixed assets, net</w:t>
            </w:r>
          </w:p>
        </w:tc>
        <w:tc>
          <w:tcPr>
            <w:tcW w:w="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65.4</w:t>
            </w:r>
          </w:p>
        </w:tc>
        <w:tc>
          <w:tcPr>
            <w:tcW w:w="8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7580" w:type="dxa"/>
            <w:vAlign w:val="bottom"/>
          </w:tcPr>
          <w:p>
            <w:pPr>
              <w:spacing w:after="0" w:line="194" w:lineRule="exact"/>
              <w:rPr>
                <w:sz w:val="20"/>
                <w:szCs w:val="20"/>
                <w:color w:val="auto"/>
              </w:rPr>
            </w:pPr>
            <w:r>
              <w:rPr>
                <w:rFonts w:ascii="Arial" w:cs="Arial" w:eastAsia="Arial" w:hAnsi="Arial"/>
                <w:sz w:val="18"/>
                <w:szCs w:val="18"/>
                <w:color w:val="auto"/>
              </w:rPr>
              <w:t>Software assets</w:t>
            </w:r>
          </w:p>
        </w:tc>
        <w:tc>
          <w:tcPr>
            <w:tcW w:w="100" w:type="dxa"/>
            <w:vAlign w:val="bottom"/>
            <w:gridSpan w:val="2"/>
          </w:tcPr>
          <w:p>
            <w:pPr>
              <w:jc w:val="right"/>
              <w:spacing w:after="0" w:line="194"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4" w:lineRule="exact"/>
              <w:rPr>
                <w:sz w:val="20"/>
                <w:szCs w:val="20"/>
                <w:color w:val="auto"/>
              </w:rPr>
            </w:pPr>
            <w:r>
              <w:rPr>
                <w:rFonts w:ascii="Arial" w:cs="Arial" w:eastAsia="Arial" w:hAnsi="Arial"/>
                <w:sz w:val="18"/>
                <w:szCs w:val="18"/>
                <w:color w:val="auto"/>
              </w:rPr>
              <w:t>17.2</w:t>
            </w:r>
          </w:p>
        </w:tc>
        <w:tc>
          <w:tcPr>
            <w:tcW w:w="840" w:type="dxa"/>
            <w:vAlign w:val="bottom"/>
          </w:tcPr>
          <w:p>
            <w:pPr>
              <w:spacing w:after="0"/>
              <w:rPr>
                <w:sz w:val="16"/>
                <w:szCs w:val="16"/>
                <w:color w:val="auto"/>
              </w:rPr>
            </w:pPr>
          </w:p>
        </w:tc>
        <w:tc>
          <w:tcPr>
            <w:tcW w:w="120" w:type="dxa"/>
            <w:vAlign w:val="bottom"/>
            <w:gridSpan w:val="2"/>
          </w:tcPr>
          <w:p>
            <w:pPr>
              <w:jc w:val="right"/>
              <w:spacing w:after="0" w:line="194"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4" w:lineRule="exact"/>
              <w:rPr>
                <w:sz w:val="20"/>
                <w:szCs w:val="20"/>
                <w:color w:val="auto"/>
              </w:rPr>
            </w:pPr>
            <w:r>
              <w:rPr>
                <w:rFonts w:ascii="Arial" w:cs="Arial" w:eastAsia="Arial" w:hAnsi="Arial"/>
                <w:sz w:val="18"/>
                <w:szCs w:val="18"/>
                <w:color w:val="auto"/>
              </w:rPr>
              <w:t>20.2</w:t>
            </w:r>
          </w:p>
        </w:tc>
        <w:tc>
          <w:tcPr>
            <w:tcW w:w="120" w:type="dxa"/>
            <w:vAlign w:val="bottom"/>
          </w:tcPr>
          <w:p>
            <w:pPr>
              <w:spacing w:after="0"/>
              <w:rPr>
                <w:sz w:val="16"/>
                <w:szCs w:val="16"/>
                <w:color w:val="auto"/>
              </w:rPr>
            </w:pPr>
          </w:p>
        </w:tc>
      </w:tr>
      <w:tr>
        <w:trPr>
          <w:trHeight w:val="200"/>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29"/>
              <w:spacing w:after="0" w:line="201" w:lineRule="exact"/>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(12.4)</w:t>
            </w: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5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8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Depreciation related to fixed assets was $16.5 million and $18.4 million for the years ended January 31, 2020 and 2021, respectively. Amortization of intangible assets was $5.1 million and $5.7 million for the years ended January 31, 2020 and 2021, respectively. Refer to Note 4 for further details related to the finance lease ROU assets included in fixed assets on the consolidated balance sheets.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20"/>
          </w:cols>
          <w:pgMar w:left="320" w:top="456" w:right="5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January 31, 2021, expected amortization of intangible assets (excluding software projects not yet deployed) is as follows:</w:t>
      </w:r>
    </w:p>
    <w:p>
      <w:pPr>
        <w:spacing w:after="0" w:line="228"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9260" w:type="dxa"/>
            <w:vAlign w:val="bottom"/>
          </w:tcPr>
          <w:p>
            <w:pPr>
              <w:ind w:left="360"/>
              <w:spacing w:after="0" w:line="201" w:lineRule="exact"/>
              <w:rPr>
                <w:sz w:val="20"/>
                <w:szCs w:val="20"/>
                <w:color w:val="auto"/>
              </w:rPr>
            </w:pPr>
            <w:r>
              <w:rPr>
                <w:rFonts w:ascii="Arial" w:cs="Arial" w:eastAsia="Arial" w:hAnsi="Arial"/>
                <w:sz w:val="18"/>
                <w:szCs w:val="18"/>
                <w:color w:val="auto"/>
              </w:rPr>
              <w:t>2021</w:t>
            </w:r>
          </w:p>
        </w:tc>
        <w:tc>
          <w:tcPr>
            <w:tcW w:w="380" w:type="dxa"/>
            <w:vAlign w:val="bottom"/>
          </w:tcPr>
          <w:p>
            <w:pPr>
              <w:jc w:val="center"/>
              <w:spacing w:after="0" w:line="201" w:lineRule="exact"/>
              <w:rPr>
                <w:sz w:val="20"/>
                <w:szCs w:val="20"/>
                <w:color w:val="auto"/>
              </w:rPr>
            </w:pPr>
            <w:r>
              <w:rPr>
                <w:rFonts w:ascii="Arial" w:cs="Arial" w:eastAsia="Arial" w:hAnsi="Arial"/>
                <w:sz w:val="18"/>
                <w:szCs w:val="18"/>
                <w:color w:val="auto"/>
                <w:w w:val="94"/>
              </w:rPr>
              <w:t>$ 3.7</w:t>
            </w:r>
          </w:p>
        </w:tc>
        <w:tc>
          <w:tcPr>
            <w:tcW w:w="60" w:type="dxa"/>
            <w:vAlign w:val="bottom"/>
          </w:tcPr>
          <w:p>
            <w:pPr>
              <w:spacing w:after="0"/>
              <w:rPr>
                <w:sz w:val="17"/>
                <w:szCs w:val="17"/>
                <w:color w:val="auto"/>
              </w:rPr>
            </w:pPr>
          </w:p>
        </w:tc>
      </w:tr>
      <w:tr>
        <w:trPr>
          <w:trHeight w:val="200"/>
        </w:trPr>
        <w:tc>
          <w:tcPr>
            <w:tcW w:w="9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7"/>
                <w:szCs w:val="17"/>
                <w:color w:val="auto"/>
              </w:rPr>
            </w:pPr>
          </w:p>
        </w:tc>
      </w:tr>
      <w:tr>
        <w:trPr>
          <w:trHeight w:val="200"/>
        </w:trPr>
        <w:tc>
          <w:tcPr>
            <w:tcW w:w="9260" w:type="dxa"/>
            <w:vAlign w:val="bottom"/>
          </w:tcPr>
          <w:p>
            <w:pPr>
              <w:ind w:left="360"/>
              <w:spacing w:after="0" w:line="201" w:lineRule="exact"/>
              <w:rPr>
                <w:sz w:val="20"/>
                <w:szCs w:val="20"/>
                <w:color w:val="auto"/>
              </w:rPr>
            </w:pPr>
            <w:r>
              <w:rPr>
                <w:rFonts w:ascii="Arial" w:cs="Arial" w:eastAsia="Arial" w:hAnsi="Arial"/>
                <w:sz w:val="18"/>
                <w:szCs w:val="18"/>
                <w:color w:val="auto"/>
              </w:rPr>
              <w:t>2023</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0.2</w:t>
            </w:r>
          </w:p>
        </w:tc>
        <w:tc>
          <w:tcPr>
            <w:tcW w:w="60" w:type="dxa"/>
            <w:vAlign w:val="bottom"/>
          </w:tcPr>
          <w:p>
            <w:pPr>
              <w:spacing w:after="0"/>
              <w:rPr>
                <w:sz w:val="17"/>
                <w:szCs w:val="17"/>
                <w:color w:val="auto"/>
              </w:rPr>
            </w:pPr>
          </w:p>
        </w:tc>
      </w:tr>
      <w:tr>
        <w:trPr>
          <w:trHeight w:val="200"/>
        </w:trPr>
        <w:tc>
          <w:tcPr>
            <w:tcW w:w="9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2024</w:t>
            </w:r>
          </w:p>
        </w:tc>
        <w:tc>
          <w:tcPr>
            <w:tcW w:w="44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260" w:type="dxa"/>
            <w:vAlign w:val="bottom"/>
          </w:tcPr>
          <w:p>
            <w:pPr>
              <w:ind w:left="360"/>
              <w:spacing w:after="0" w:line="201" w:lineRule="exact"/>
              <w:rPr>
                <w:sz w:val="20"/>
                <w:szCs w:val="20"/>
                <w:color w:val="auto"/>
              </w:rPr>
            </w:pPr>
            <w:r>
              <w:rPr>
                <w:rFonts w:ascii="Arial" w:cs="Arial" w:eastAsia="Arial" w:hAnsi="Arial"/>
                <w:sz w:val="18"/>
                <w:szCs w:val="18"/>
                <w:color w:val="auto"/>
              </w:rPr>
              <w:t>2025</w:t>
            </w:r>
          </w:p>
        </w:tc>
        <w:tc>
          <w:tcPr>
            <w:tcW w:w="44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Thereafter</w:t>
            </w:r>
          </w:p>
        </w:tc>
        <w:tc>
          <w:tcPr>
            <w:tcW w:w="44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w:t>
            </w:r>
          </w:p>
        </w:tc>
      </w:tr>
      <w:tr>
        <w:trPr>
          <w:trHeight w:val="207"/>
        </w:trPr>
        <w:tc>
          <w:tcPr>
            <w:tcW w:w="9260" w:type="dxa"/>
            <w:vAlign w:val="bottom"/>
          </w:tcPr>
          <w:p>
            <w:pPr>
              <w:ind w:left="700"/>
              <w:spacing w:after="0"/>
              <w:rPr>
                <w:sz w:val="20"/>
                <w:szCs w:val="20"/>
                <w:color w:val="auto"/>
              </w:rPr>
            </w:pPr>
            <w:r>
              <w:rPr>
                <w:rFonts w:ascii="Arial" w:cs="Arial" w:eastAsia="Arial" w:hAnsi="Arial"/>
                <w:sz w:val="18"/>
                <w:szCs w:val="18"/>
                <w:color w:val="auto"/>
              </w:rPr>
              <w:t>Total future amortization</w:t>
            </w: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$ 5.4</w:t>
            </w:r>
          </w:p>
        </w:tc>
        <w:tc>
          <w:tcPr>
            <w:tcW w:w="6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1" w:lineRule="exact"/>
        <w:rPr>
          <w:sz w:val="20"/>
          <w:szCs w:val="20"/>
          <w:color w:val="auto"/>
        </w:rPr>
      </w:pPr>
    </w:p>
    <w:p>
      <w:pPr>
        <w:ind w:left="720" w:right="8980" w:hanging="546"/>
        <w:spacing w:after="0" w:line="369" w:lineRule="auto"/>
        <w:tabs>
          <w:tab w:leader="none" w:pos="709"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line of credit and long-term debt outstanding at January 31, 2020 and 2021:</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rPr>
              <w:t>January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7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4"/>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76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Bank of America Line of Credit</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44.0</w:t>
            </w: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2"/>
              <w:spacing w:after="0" w:line="194"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r>
      <w:tr>
        <w:trPr>
          <w:trHeight w:val="207"/>
        </w:trPr>
        <w:tc>
          <w:tcPr>
            <w:tcW w:w="7680" w:type="dxa"/>
            <w:vAlign w:val="bottom"/>
            <w:gridSpan w:val="2"/>
          </w:tcPr>
          <w:p>
            <w:pPr>
              <w:spacing w:after="0"/>
              <w:rPr>
                <w:sz w:val="20"/>
                <w:szCs w:val="20"/>
                <w:color w:val="auto"/>
              </w:rPr>
            </w:pPr>
            <w:r>
              <w:rPr>
                <w:rFonts w:ascii="Arial" w:cs="Arial" w:eastAsia="Arial" w:hAnsi="Arial"/>
                <w:sz w:val="18"/>
                <w:szCs w:val="18"/>
                <w:color w:val="auto"/>
              </w:rPr>
              <w:t>Temasek Facility principal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230.0</w:t>
            </w:r>
          </w:p>
        </w:tc>
        <w:tc>
          <w:tcPr>
            <w:tcW w:w="1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7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Add: payment-in-kind 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660" w:type="dxa"/>
            <w:vAlign w:val="bottom"/>
          </w:tcPr>
          <w:p>
            <w:pPr>
              <w:ind w:left="340"/>
              <w:spacing w:after="0" w:line="201" w:lineRule="exact"/>
              <w:rPr>
                <w:sz w:val="20"/>
                <w:szCs w:val="20"/>
                <w:color w:val="auto"/>
              </w:rPr>
            </w:pPr>
            <w:r>
              <w:rPr>
                <w:rFonts w:ascii="Arial" w:cs="Arial" w:eastAsia="Arial" w:hAnsi="Arial"/>
                <w:sz w:val="18"/>
                <w:szCs w:val="18"/>
                <w:color w:val="auto"/>
              </w:rPr>
              <w:t>Less: unamortized debt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w:t>
            </w:r>
          </w:p>
        </w:tc>
      </w:tr>
      <w:tr>
        <w:trPr>
          <w:trHeight w:val="200"/>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Temasek Facility, net</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171.1</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290.3</w:t>
            </w:r>
          </w:p>
        </w:tc>
        <w:tc>
          <w:tcPr>
            <w:tcW w:w="120" w:type="dxa"/>
            <w:vAlign w:val="bottom"/>
            <w:shd w:val="clear" w:color="auto" w:fill="CCEEFF"/>
          </w:tcPr>
          <w:p>
            <w:pPr>
              <w:spacing w:after="0"/>
              <w:rPr>
                <w:sz w:val="17"/>
                <w:szCs w:val="17"/>
                <w:color w:val="auto"/>
              </w:rPr>
            </w:pPr>
          </w:p>
        </w:tc>
      </w:tr>
      <w:tr>
        <w:trPr>
          <w:trHeight w:val="207"/>
        </w:trPr>
        <w:tc>
          <w:tcPr>
            <w:tcW w:w="7680" w:type="dxa"/>
            <w:vAlign w:val="bottom"/>
            <w:gridSpan w:val="2"/>
          </w:tcPr>
          <w:p>
            <w:pPr>
              <w:spacing w:after="0"/>
              <w:rPr>
                <w:sz w:val="20"/>
                <w:szCs w:val="20"/>
                <w:color w:val="auto"/>
              </w:rPr>
            </w:pPr>
            <w:r>
              <w:rPr>
                <w:rFonts w:ascii="Arial" w:cs="Arial" w:eastAsia="Arial" w:hAnsi="Arial"/>
                <w:sz w:val="18"/>
                <w:szCs w:val="18"/>
                <w:color w:val="auto"/>
              </w:rPr>
              <w:t>Ares Facility principal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7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Add: payment-in-kind 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660" w:type="dxa"/>
            <w:vAlign w:val="bottom"/>
          </w:tcPr>
          <w:p>
            <w:pPr>
              <w:ind w:left="340"/>
              <w:spacing w:after="0" w:line="201" w:lineRule="exact"/>
              <w:rPr>
                <w:sz w:val="20"/>
                <w:szCs w:val="20"/>
                <w:color w:val="auto"/>
              </w:rPr>
            </w:pPr>
            <w:r>
              <w:rPr>
                <w:rFonts w:ascii="Arial" w:cs="Arial" w:eastAsia="Arial" w:hAnsi="Arial"/>
                <w:sz w:val="18"/>
                <w:szCs w:val="18"/>
                <w:color w:val="auto"/>
              </w:rPr>
              <w:t>Less: unamortized debt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(10.9)</w:t>
            </w:r>
          </w:p>
        </w:tc>
      </w:tr>
      <w:tr>
        <w:trPr>
          <w:trHeight w:val="200"/>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Ares Facility, net</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7"/>
                <w:szCs w:val="17"/>
                <w:color w:val="auto"/>
              </w:rPr>
            </w:pPr>
          </w:p>
        </w:tc>
      </w:tr>
      <w:tr>
        <w:trPr>
          <w:trHeight w:val="207"/>
        </w:trPr>
        <w:tc>
          <w:tcPr>
            <w:tcW w:w="7680" w:type="dxa"/>
            <w:vAlign w:val="bottom"/>
            <w:gridSpan w:val="2"/>
          </w:tcPr>
          <w:p>
            <w:pPr>
              <w:spacing w:after="0"/>
              <w:rPr>
                <w:sz w:val="20"/>
                <w:szCs w:val="20"/>
                <w:color w:val="auto"/>
              </w:rPr>
            </w:pPr>
            <w:r>
              <w:rPr>
                <w:rFonts w:ascii="Arial" w:cs="Arial" w:eastAsia="Arial" w:hAnsi="Arial"/>
                <w:sz w:val="18"/>
                <w:szCs w:val="18"/>
                <w:color w:val="auto"/>
              </w:rPr>
              <w:t>Total net carrying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356.0</w:t>
            </w:r>
          </w:p>
        </w:tc>
        <w:tc>
          <w:tcPr>
            <w:tcW w:w="1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7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Less: current portion of long-term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(0.9)</w:t>
            </w:r>
          </w:p>
        </w:tc>
      </w:tr>
      <w:tr>
        <w:trPr>
          <w:trHeight w:val="20"/>
        </w:trPr>
        <w:tc>
          <w:tcPr>
            <w:tcW w:w="7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680" w:type="dxa"/>
            <w:vAlign w:val="bottom"/>
            <w:gridSpan w:val="2"/>
          </w:tcPr>
          <w:p>
            <w:pPr>
              <w:spacing w:after="0"/>
              <w:rPr>
                <w:sz w:val="20"/>
                <w:szCs w:val="20"/>
                <w:color w:val="auto"/>
              </w:rPr>
            </w:pPr>
            <w:r>
              <w:rPr>
                <w:rFonts w:ascii="Arial" w:cs="Arial" w:eastAsia="Arial" w:hAnsi="Arial"/>
                <w:sz w:val="18"/>
                <w:szCs w:val="18"/>
                <w:color w:val="auto"/>
              </w:rPr>
              <w:t>Total noncurrent line of credit and long-term debt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215.1</w:t>
            </w:r>
          </w:p>
        </w:tc>
        <w:tc>
          <w:tcPr>
            <w:tcW w:w="4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355.1</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Bank of America Line of Credit</w:t>
      </w:r>
    </w:p>
    <w:p>
      <w:pPr>
        <w:spacing w:after="0" w:line="122"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and permitted the Company to borrow for a period ending on the earlier of (i) 5 years from the closing of the facility, through April 2024, or (ii) 90 days prior to the termination of the Temasek Term Facility (described below). Total commitments under the Line of Credit were up to an aggregate amount of $100.0 million, with an incremental uncommitted accordion of $50.0 million.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40"/>
          </w:cols>
          <w:pgMar w:left="320" w:top="456" w:right="5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200"/>
        <w:spacing w:after="0" w:line="239" w:lineRule="auto"/>
        <w:rPr>
          <w:sz w:val="20"/>
          <w:szCs w:val="20"/>
          <w:color w:val="auto"/>
        </w:rPr>
      </w:pPr>
      <w:r>
        <w:rPr>
          <w:rFonts w:ascii="Arial" w:cs="Arial" w:eastAsia="Arial" w:hAnsi="Arial"/>
          <w:sz w:val="18"/>
          <w:szCs w:val="18"/>
          <w:color w:val="auto"/>
        </w:rPr>
        <w:t>The Line of Credit had an interest rate per annum of LIBOR plus 125 to 175 basis points, depending on excess availability. There was a 25-basis point unused line fee. Advances on the Line of Credit were subject to certain limitations.</w:t>
      </w:r>
    </w:p>
    <w:p>
      <w:pPr>
        <w:spacing w:after="0" w:line="202" w:lineRule="exact"/>
        <w:rPr>
          <w:sz w:val="20"/>
          <w:szCs w:val="20"/>
          <w:color w:val="auto"/>
        </w:rPr>
      </w:pPr>
    </w:p>
    <w:p>
      <w:pPr>
        <w:ind w:left="720" w:right="160"/>
        <w:spacing w:after="0" w:line="237" w:lineRule="auto"/>
        <w:rPr>
          <w:sz w:val="20"/>
          <w:szCs w:val="20"/>
          <w:color w:val="auto"/>
        </w:rPr>
      </w:pPr>
      <w:r>
        <w:rPr>
          <w:rFonts w:ascii="Arial" w:cs="Arial" w:eastAsia="Arial" w:hAnsi="Arial"/>
          <w:sz w:val="18"/>
          <w:szCs w:val="18"/>
          <w:color w:val="auto"/>
        </w:rPr>
        <w:t>The Line of Credit was secured by a first priority security interest over substantively all tangible and intangible assets of the Company, and a first perfected pledge of 100% of the equity interest of the Company. The Line of Credit required the Company to comply with various customary specified nonfinancial covenants.</w:t>
      </w:r>
    </w:p>
    <w:p>
      <w:pPr>
        <w:spacing w:after="0" w:line="202" w:lineRule="exact"/>
        <w:rPr>
          <w:sz w:val="20"/>
          <w:szCs w:val="20"/>
          <w:color w:val="auto"/>
        </w:rPr>
      </w:pPr>
    </w:p>
    <w:p>
      <w:pPr>
        <w:ind w:left="720" w:right="200"/>
        <w:spacing w:after="0" w:line="236" w:lineRule="auto"/>
        <w:rPr>
          <w:sz w:val="20"/>
          <w:szCs w:val="20"/>
          <w:color w:val="auto"/>
        </w:rPr>
      </w:pPr>
      <w:r>
        <w:rPr>
          <w:rFonts w:ascii="Arial" w:cs="Arial" w:eastAsia="Arial" w:hAnsi="Arial"/>
          <w:sz w:val="18"/>
          <w:szCs w:val="18"/>
          <w:color w:val="auto"/>
        </w:rPr>
        <w:t>In June 2020, the Company executed an amendment to the Line of Credit. The amendment adjusted certain borrowing base related definitions, certain reporting requirements and certain negative and financial covenants, and increased the interest rate to LIBOR plus 300 to 350 basis points. In connection with this amendment, the Company moved $15.0 million into a segregated account for the benefit of the lenders.</w:t>
      </w:r>
    </w:p>
    <w:p>
      <w:pPr>
        <w:spacing w:after="0" w:line="201"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The Company recognized a $0.6 million loss on debt extinguishment related to this transaction.</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Temasek Facility</w:t>
      </w:r>
    </w:p>
    <w:p>
      <w:pPr>
        <w:spacing w:after="0" w:line="122" w:lineRule="exact"/>
        <w:rPr>
          <w:sz w:val="20"/>
          <w:szCs w:val="20"/>
          <w:color w:val="auto"/>
        </w:rPr>
      </w:pPr>
    </w:p>
    <w:p>
      <w:pPr>
        <w:ind w:left="720" w:right="120"/>
        <w:spacing w:after="0" w:line="236" w:lineRule="auto"/>
        <w:rPr>
          <w:sz w:val="20"/>
          <w:szCs w:val="20"/>
          <w:color w:val="auto"/>
        </w:rPr>
      </w:pPr>
      <w:r>
        <w:rPr>
          <w:rFonts w:ascii="Arial" w:cs="Arial" w:eastAsia="Arial" w:hAnsi="Arial"/>
          <w:sz w:val="18"/>
          <w:szCs w:val="18"/>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201" w:lineRule="exact"/>
        <w:rPr>
          <w:sz w:val="20"/>
          <w:szCs w:val="20"/>
          <w:color w:val="auto"/>
        </w:rPr>
      </w:pPr>
    </w:p>
    <w:p>
      <w:pPr>
        <w:ind w:left="720" w:right="40"/>
        <w:spacing w:after="0" w:line="249" w:lineRule="auto"/>
        <w:rPr>
          <w:sz w:val="20"/>
          <w:szCs w:val="20"/>
          <w:color w:val="auto"/>
        </w:rPr>
      </w:pPr>
      <w:r>
        <w:rPr>
          <w:rFonts w:ascii="Arial" w:cs="Arial" w:eastAsia="Arial" w:hAnsi="Arial"/>
          <w:sz w:val="17"/>
          <w:szCs w:val="17"/>
          <w:color w:val="auto"/>
        </w:rPr>
        <w:t>In November 2019, the Company drew an additional $50.0 million of the Initial Temasek Commitments and amended the Temasek Facility to include an additional $30.0 million of committed availability (the “Subsequent Temasek Commitments”) which were not subject to the financial tests described above. In March 2020, the Company drew the remaining $50.0 million of the Initial Temasek Commitments and the $30.0 million of the Subsequent Temasek Commitments. The Temasek Facility is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is senior debt, and the Temasek facility is subordinated debt with respect to the Ares Facility.</w:t>
      </w:r>
    </w:p>
    <w:p>
      <w:pPr>
        <w:spacing w:after="0" w:line="197" w:lineRule="exact"/>
        <w:rPr>
          <w:sz w:val="20"/>
          <w:szCs w:val="20"/>
          <w:color w:val="auto"/>
        </w:rPr>
      </w:pPr>
    </w:p>
    <w:p>
      <w:pPr>
        <w:ind w:left="720" w:right="380"/>
        <w:spacing w:after="0" w:line="237" w:lineRule="auto"/>
        <w:rPr>
          <w:sz w:val="20"/>
          <w:szCs w:val="20"/>
          <w:color w:val="auto"/>
        </w:rPr>
      </w:pPr>
      <w:r>
        <w:rPr>
          <w:rFonts w:ascii="Arial" w:cs="Arial" w:eastAsia="Arial" w:hAnsi="Arial"/>
          <w:sz w:val="18"/>
          <w:szCs w:val="18"/>
          <w:color w:val="auto"/>
        </w:rPr>
        <w:t>In addition, the Temasek Facility includes an incremental uncommitted $70.0 million, which may be provided by existing or new lenders, but is subject to a right of first refusal for existing lenders and requires that the full $200.0 million of Initial Temasek Commitments have been drawn.</w:t>
      </w:r>
    </w:p>
    <w:p>
      <w:pPr>
        <w:spacing w:after="0" w:line="202" w:lineRule="exact"/>
        <w:rPr>
          <w:sz w:val="20"/>
          <w:szCs w:val="20"/>
          <w:color w:val="auto"/>
        </w:rPr>
      </w:pPr>
    </w:p>
    <w:p>
      <w:pPr>
        <w:ind w:left="720" w:right="120"/>
        <w:spacing w:after="0" w:line="239" w:lineRule="auto"/>
        <w:rPr>
          <w:sz w:val="20"/>
          <w:szCs w:val="20"/>
          <w:color w:val="auto"/>
        </w:rPr>
      </w:pPr>
      <w:r>
        <w:rPr>
          <w:rFonts w:ascii="Arial" w:cs="Arial" w:eastAsia="Arial" w:hAnsi="Arial"/>
          <w:sz w:val="18"/>
          <w:szCs w:val="18"/>
          <w:color w:val="auto"/>
        </w:rPr>
        <w:t>The Temasek Facility matures in July 2023. The Initial Temasek Commitments bear an interest rate of 15% per annum that accrue as noncash interest. After the third anniversary of the loan,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60"/>
          </w:cols>
          <w:pgMar w:left="320" w:top="456"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60"/>
        <w:spacing w:after="0" w:line="249" w:lineRule="auto"/>
        <w:rPr>
          <w:sz w:val="20"/>
          <w:szCs w:val="20"/>
          <w:color w:val="auto"/>
        </w:rPr>
      </w:pPr>
      <w:r>
        <w:rPr>
          <w:rFonts w:ascii="Arial" w:cs="Arial" w:eastAsia="Arial" w:hAnsi="Arial"/>
          <w:sz w:val="17"/>
          <w:szCs w:val="17"/>
          <w:color w:val="auto"/>
        </w:rPr>
        <w:t>the Company can elect to pay cash interest at 13% per annum in lieu of the 15% noncash interest on the Initial Temasek Commitments. The Subsequent Temasek Commitments bear a cash interest rate of 13% per annum, payable quarterly. The Temasek facility principal balance of $292.2 million becomes due in 2023. If the Initial Temasek Commitments are prepaid or accelerated prior to the fourth anniversary of the loan, the Company is subject to a prepayment premium. If the Subsequent Temasek Commitments are prepaid or accelerated prior to the 18-month anniversary of the loan, the Company is subject to prepayment premium amounts. The Temasek Facility requires mandatory prepayment upon certain defined triggering events as well as optional prepayments, but such mandatory prepayments are not required to be made while the Ares Facility is outstanding.</w:t>
      </w:r>
    </w:p>
    <w:p>
      <w:pPr>
        <w:spacing w:after="0" w:line="197" w:lineRule="exact"/>
        <w:rPr>
          <w:sz w:val="20"/>
          <w:szCs w:val="20"/>
          <w:color w:val="auto"/>
        </w:rPr>
      </w:pPr>
    </w:p>
    <w:p>
      <w:pPr>
        <w:ind w:left="720" w:right="300"/>
        <w:spacing w:after="0" w:line="236" w:lineRule="auto"/>
        <w:rPr>
          <w:sz w:val="20"/>
          <w:szCs w:val="20"/>
          <w:color w:val="auto"/>
        </w:rPr>
      </w:pPr>
      <w:r>
        <w:rPr>
          <w:rFonts w:ascii="Arial" w:cs="Arial" w:eastAsia="Arial" w:hAnsi="Arial"/>
          <w:sz w:val="18"/>
          <w:szCs w:val="18"/>
          <w:color w:val="auto"/>
        </w:rPr>
        <w:t>The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The nonfinancial covenants of the Temasek Facility have been adjusted to match the same covenants of the Ares Facility.</w:t>
      </w:r>
    </w:p>
    <w:p>
      <w:pPr>
        <w:spacing w:after="0" w:line="201"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The Temasek Facility contains various events of default, the occurrence of which could result in the acceleration of obligations under the Temasek Facility. In June 2020, the Temasek Facility was amended and it was agreed that the impact of COVID-19 was deemed to not have caused a default or event of default and to not have caused a violation of any representation or warranty under the Temasek Facility. Further, in October 2020, the Temasek Facility was further amended and, among other amendments, the definition of “Material Adverse Effect” was amended so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July 2018, the Company recorded a debt discount of $11.7 million, of which $1.4 million related to closing fees paid and</w:t>
      </w:r>
    </w:p>
    <w:p>
      <w:pPr>
        <w:ind w:left="720"/>
        <w:spacing w:after="0" w:line="236" w:lineRule="auto"/>
        <w:rPr>
          <w:sz w:val="20"/>
          <w:szCs w:val="20"/>
          <w:color w:val="auto"/>
        </w:rPr>
      </w:pPr>
      <w:r>
        <w:rPr>
          <w:rFonts w:ascii="Arial" w:cs="Arial" w:eastAsia="Arial" w:hAnsi="Arial"/>
          <w:sz w:val="18"/>
          <w:szCs w:val="18"/>
          <w:color w:val="auto"/>
        </w:rPr>
        <w:t>$10.3 million related to the allocation of proceeds to the warrants issued. Please refer to Note 12 for the details of the warrants outstanding in relation to the Temasek Facility. These amounts are being accreted on a straight-line basis to the principal amount of the Temasek Facility through the recognition of noncash interest expense. The effective interest rate for the period from the date of issuance through January 31, 2021 was 15.95%.</w:t>
      </w:r>
    </w:p>
    <w:p>
      <w:pPr>
        <w:spacing w:after="0" w:line="201" w:lineRule="exact"/>
        <w:rPr>
          <w:sz w:val="20"/>
          <w:szCs w:val="20"/>
          <w:color w:val="auto"/>
        </w:rPr>
      </w:pPr>
    </w:p>
    <w:p>
      <w:pPr>
        <w:ind w:left="720" w:right="320"/>
        <w:spacing w:after="0" w:line="237" w:lineRule="auto"/>
        <w:rPr>
          <w:sz w:val="20"/>
          <w:szCs w:val="20"/>
          <w:color w:val="auto"/>
        </w:rPr>
      </w:pPr>
      <w:r>
        <w:rPr>
          <w:rFonts w:ascii="Arial" w:cs="Arial" w:eastAsia="Arial" w:hAnsi="Arial"/>
          <w:sz w:val="18"/>
          <w:szCs w:val="18"/>
          <w:color w:val="auto"/>
        </w:rPr>
        <w:t>The Company determined that all of the embedded features of the Temasek Facility were clearly and closely related to the debt host and did not require bifurcation as a derivative liability, or the fair value of the feature was immaterial to the Company’s consolidated financial statements.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Ares Facility</w:t>
      </w:r>
    </w:p>
    <w:p>
      <w:pPr>
        <w:spacing w:after="0" w:line="122"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40"/>
          </w:cols>
          <w:pgMar w:left="320" w:top="456" w:right="5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420"/>
        <w:spacing w:after="0" w:line="239" w:lineRule="auto"/>
        <w:rPr>
          <w:sz w:val="20"/>
          <w:szCs w:val="20"/>
          <w:color w:val="auto"/>
        </w:rPr>
      </w:pPr>
      <w:r>
        <w:rPr>
          <w:rFonts w:ascii="Arial" w:cs="Arial" w:eastAsia="Arial" w:hAnsi="Arial"/>
          <w:sz w:val="18"/>
          <w:szCs w:val="18"/>
          <w:color w:val="auto"/>
        </w:rPr>
        <w:t>resulted in the receipt of $100.0 million in exchange for the Ares Facility, Series G redeemable preferred stock and issuance of common stock warrants (the “Ares Financing Transaction”).</w:t>
      </w:r>
    </w:p>
    <w:p>
      <w:pPr>
        <w:spacing w:after="0" w:line="202" w:lineRule="exact"/>
        <w:rPr>
          <w:sz w:val="20"/>
          <w:szCs w:val="20"/>
          <w:color w:val="auto"/>
        </w:rPr>
      </w:pPr>
    </w:p>
    <w:p>
      <w:pPr>
        <w:ind w:left="720" w:right="60"/>
        <w:spacing w:after="0" w:line="234" w:lineRule="auto"/>
        <w:rPr>
          <w:sz w:val="20"/>
          <w:szCs w:val="20"/>
          <w:color w:val="auto"/>
        </w:rPr>
      </w:pPr>
      <w:r>
        <w:rPr>
          <w:rFonts w:ascii="Arial" w:cs="Arial" w:eastAsia="Arial" w:hAnsi="Arial"/>
          <w:sz w:val="18"/>
          <w:szCs w:val="18"/>
          <w:color w:val="auto"/>
        </w:rPr>
        <w:t>The Ares Facility matures at the earlier of October 2023 or 91 days prior to the maturity of the Junior Subordinated Debt (Temasek Facility) and bears an interest rate of 8% per annum to be accrued as noncash interest, or the Company can elect to pay cash interest at 6.5% per annum. The Ares Facility requires quarterly principal payments of 0.25% of the original principal amount which amount to $0.9 million, $0.8 million and $0.4 million in 2021, 2022 and 2023, respectively. The remaining principal balance of $74.6 million becomes due in 2023. The Ares Facility requires an exit payment of $1.5 million to be paid once the Ares Facility matures or the Ares Original Principal is paid in full.</w:t>
      </w:r>
    </w:p>
    <w:p>
      <w:pPr>
        <w:spacing w:after="0" w:line="205" w:lineRule="exact"/>
        <w:rPr>
          <w:sz w:val="20"/>
          <w:szCs w:val="20"/>
          <w:color w:val="auto"/>
        </w:rPr>
      </w:pPr>
    </w:p>
    <w:p>
      <w:pPr>
        <w:ind w:left="720" w:right="160"/>
        <w:spacing w:after="0" w:line="236" w:lineRule="auto"/>
        <w:rPr>
          <w:sz w:val="20"/>
          <w:szCs w:val="20"/>
          <w:color w:val="auto"/>
        </w:rPr>
      </w:pPr>
      <w:r>
        <w:rPr>
          <w:rFonts w:ascii="Arial" w:cs="Arial" w:eastAsia="Arial" w:hAnsi="Arial"/>
          <w:sz w:val="18"/>
          <w:szCs w:val="18"/>
          <w:color w:val="auto"/>
        </w:rPr>
        <w:t>The Ares Facility is secured by a first priority lien over substantially all assets of the Company. The Ares Facility requires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w:t>
      </w:r>
    </w:p>
    <w:p>
      <w:pPr>
        <w:spacing w:after="0" w:line="201" w:lineRule="exact"/>
        <w:rPr>
          <w:sz w:val="20"/>
          <w:szCs w:val="20"/>
          <w:color w:val="auto"/>
        </w:rPr>
      </w:pPr>
    </w:p>
    <w:p>
      <w:pPr>
        <w:ind w:left="720" w:right="120"/>
        <w:spacing w:after="0" w:line="246" w:lineRule="auto"/>
        <w:rPr>
          <w:sz w:val="20"/>
          <w:szCs w:val="20"/>
          <w:color w:val="auto"/>
        </w:rPr>
      </w:pPr>
      <w:r>
        <w:rPr>
          <w:rFonts w:ascii="Arial" w:cs="Arial" w:eastAsia="Arial" w:hAnsi="Arial"/>
          <w:sz w:val="17"/>
          <w:szCs w:val="17"/>
          <w:color w:val="auto"/>
        </w:rPr>
        <w:t>The Ares Facility also requires the Company to meet specified financial covenants that are measured based on pre-defined consolidated EBITDA thresholds. The Company was not subject to the consolidated EBITDA (as defined in the Ares Facility) covenant during the year ended January 31, 2021. The consolidated EBITDA covenant for the Ares Facility became effective as of the second quarter of fiscal year 2021. The consolidated EBITDA covenant threshold is $(11.0) million for the nine month period ending January 31, 2022, and $22.0 million for the twelve month period ending October 31, 2022. These thresholds are subject to the equity cure, which allows for the application of the April and May 2021 Series G proceeds cumulatively for the quarters ending July 31, 2021 through October 31, 2022. The consolidated EBITDA covenant applies through the quarter ending July 31,</w:t>
      </w:r>
    </w:p>
    <w:p>
      <w:pPr>
        <w:ind w:left="720" w:right="200"/>
        <w:spacing w:after="0" w:line="239" w:lineRule="auto"/>
        <w:rPr>
          <w:sz w:val="20"/>
          <w:szCs w:val="20"/>
          <w:color w:val="auto"/>
        </w:rPr>
      </w:pPr>
      <w:r>
        <w:rPr>
          <w:rFonts w:ascii="Arial" w:cs="Arial" w:eastAsia="Arial" w:hAnsi="Arial"/>
          <w:sz w:val="18"/>
          <w:szCs w:val="18"/>
          <w:color w:val="auto"/>
        </w:rPr>
        <w:t>2023. After October 31, 2022 the consolidated EBITDA covenant thresholds increase in each successive quarterly period and the proceeds from the April and May 2021 Series G issuances are no longer permitted to be applied to an equity cure.</w:t>
      </w:r>
    </w:p>
    <w:p>
      <w:pPr>
        <w:spacing w:after="0" w:line="202" w:lineRule="exact"/>
        <w:rPr>
          <w:sz w:val="20"/>
          <w:szCs w:val="20"/>
          <w:color w:val="auto"/>
        </w:rPr>
      </w:pPr>
    </w:p>
    <w:p>
      <w:pPr>
        <w:ind w:left="720" w:right="260"/>
        <w:spacing w:after="0" w:line="236" w:lineRule="auto"/>
        <w:rPr>
          <w:sz w:val="20"/>
          <w:szCs w:val="20"/>
          <w:color w:val="auto"/>
        </w:rPr>
      </w:pPr>
      <w:r>
        <w:rPr>
          <w:rFonts w:ascii="Arial" w:cs="Arial" w:eastAsia="Arial" w:hAnsi="Arial"/>
          <w:sz w:val="18"/>
          <w:szCs w:val="18"/>
          <w:color w:val="auto"/>
        </w:rPr>
        <w:t>The Ares Facility also requires the Company to comply with a minimum fixed charge coverage ratio of 1:1 when liquidity is below the minimum specified threshold of $20.0 million applicable to such measurement period. The Ares Facility requires mandatory prepayment upon defined triggering events as well as permitting optional prepayments and certain of the mandatory prepayment triggering items are subject to a prepayment premium.</w:t>
      </w:r>
    </w:p>
    <w:p>
      <w:pPr>
        <w:spacing w:after="0" w:line="201"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The Ares Facility contains various events of default, the occurrence of which could result in the acceleration of obligations under the Ares Facility. The definition of “Material Adverse Effect” notes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202" w:lineRule="exact"/>
        <w:rPr>
          <w:sz w:val="20"/>
          <w:szCs w:val="20"/>
          <w:color w:val="auto"/>
        </w:rPr>
      </w:pPr>
    </w:p>
    <w:p>
      <w:pPr>
        <w:ind w:left="720" w:right="200"/>
        <w:spacing w:after="0" w:line="239" w:lineRule="auto"/>
        <w:rPr>
          <w:sz w:val="20"/>
          <w:szCs w:val="20"/>
          <w:color w:val="auto"/>
        </w:rPr>
      </w:pPr>
      <w:r>
        <w:rPr>
          <w:rFonts w:ascii="Arial" w:cs="Arial" w:eastAsia="Arial" w:hAnsi="Arial"/>
          <w:sz w:val="18"/>
          <w:szCs w:val="18"/>
          <w:color w:val="auto"/>
        </w:rPr>
        <w:t>The Company allocated the debt discount and debt issuance costs amongst the various instruments issued in the Ares Financing Transaction. The amount allocated as a debt discount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was $10.4 million, of which $1.7 million related to fees paid to the lender and $8.7 million related to the allocation of proceeds to the warrants issued. The Company also recorded debt issuance costs of $1.6 million related to other third-party costs incurred in obtaining the Ares Facility. Please refer to Note 12 for the details of the warrants outstanding in relation to the Ares Financing Transaction. These amounts are being accreted using the effective interest method to the principal amount of the Ares Facility through the recognition of noncash interest expense up to the maturity date. The effective interest rate for the period from the date of issuance through January 31, 2021 was 13.35%.</w:t>
      </w:r>
    </w:p>
    <w:p>
      <w:pPr>
        <w:spacing w:after="0" w:line="205" w:lineRule="exact"/>
        <w:rPr>
          <w:sz w:val="20"/>
          <w:szCs w:val="20"/>
          <w:color w:val="auto"/>
        </w:rPr>
      </w:pPr>
    </w:p>
    <w:p>
      <w:pPr>
        <w:ind w:left="720" w:right="200"/>
        <w:spacing w:after="0" w:line="237" w:lineRule="auto"/>
        <w:rPr>
          <w:sz w:val="20"/>
          <w:szCs w:val="20"/>
          <w:color w:val="auto"/>
        </w:rPr>
      </w:pPr>
      <w:r>
        <w:rPr>
          <w:rFonts w:ascii="Arial" w:cs="Arial" w:eastAsia="Arial" w:hAnsi="Arial"/>
          <w:sz w:val="18"/>
          <w:szCs w:val="18"/>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consolidated financial statements.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Covenants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was in compliance with all applicable financial and nonfinancial covenants at January 31, 2021.</w:t>
      </w:r>
    </w:p>
    <w:p>
      <w:pPr>
        <w:spacing w:after="0" w:line="332" w:lineRule="exact"/>
        <w:rPr>
          <w:sz w:val="20"/>
          <w:szCs w:val="20"/>
          <w:color w:val="auto"/>
        </w:rPr>
      </w:pPr>
    </w:p>
    <w:p>
      <w:pPr>
        <w:ind w:left="700" w:hanging="526"/>
        <w:spacing w:after="0"/>
        <w:tabs>
          <w:tab w:leader="none" w:pos="7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Company’s loss before income taxes includes the following components:</w:t>
      </w:r>
    </w:p>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8"/>
          </w:tcPr>
          <w:p>
            <w:pPr>
              <w:ind w:left="16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4560" w:type="dxa"/>
            <w:vAlign w:val="bottom"/>
            <w:tcBorders>
              <w:bottom w:val="single" w:sz="8" w:color="CCEEFF"/>
            </w:tcBorders>
          </w:tcPr>
          <w:p>
            <w:pPr>
              <w:spacing w:after="0"/>
              <w:rPr>
                <w:sz w:val="13"/>
                <w:szCs w:val="13"/>
                <w:color w:val="auto"/>
              </w:rPr>
            </w:pPr>
          </w:p>
        </w:tc>
        <w:tc>
          <w:tcPr>
            <w:tcW w:w="27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160"/>
              <w:spacing w:after="0" w:line="154"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4"/>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5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Domestic</w:t>
            </w:r>
          </w:p>
        </w:tc>
        <w:tc>
          <w:tcPr>
            <w:tcW w:w="2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w w:val="89"/>
              </w:rPr>
              <w:t>$(154.1)</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87"/>
              </w:rPr>
              <w:t>(171.4)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left="174"/>
              <w:spacing w:after="0" w:line="201"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Loss before income taxes</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32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(154.1)</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(171.1)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Total income taxes allocated to operations are as follows:</w:t>
            </w: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20" w:type="dxa"/>
            <w:vAlign w:val="bottom"/>
            <w:gridSpan w:val="2"/>
            <w:vMerge w:val="continue"/>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tcPr>
          <w:p>
            <w:pPr>
              <w:ind w:left="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4560" w:type="dxa"/>
            <w:vAlign w:val="bottom"/>
            <w:tcBorders>
              <w:bottom w:val="single" w:sz="8" w:color="CCEEFF"/>
            </w:tcBorders>
          </w:tcPr>
          <w:p>
            <w:pPr>
              <w:spacing w:after="0"/>
              <w:rPr>
                <w:sz w:val="13"/>
                <w:szCs w:val="13"/>
                <w:color w:val="auto"/>
              </w:rPr>
            </w:pPr>
          </w:p>
        </w:tc>
        <w:tc>
          <w:tcPr>
            <w:tcW w:w="27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96"/>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34"/>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56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Current provision:</w:t>
            </w:r>
          </w:p>
        </w:tc>
        <w:tc>
          <w:tcPr>
            <w:tcW w:w="2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560" w:type="dxa"/>
            <w:vAlign w:val="bottom"/>
          </w:tcPr>
          <w:p>
            <w:pPr>
              <w:ind w:left="360"/>
              <w:spacing w:after="0" w:line="201" w:lineRule="exact"/>
              <w:rPr>
                <w:sz w:val="20"/>
                <w:szCs w:val="20"/>
                <w:color w:val="auto"/>
              </w:rPr>
            </w:pPr>
            <w:r>
              <w:rPr>
                <w:rFonts w:ascii="Arial" w:cs="Arial" w:eastAsia="Arial" w:hAnsi="Arial"/>
                <w:sz w:val="18"/>
                <w:szCs w:val="18"/>
                <w:color w:val="auto"/>
              </w:rPr>
              <w:t>Federal</w:t>
            </w:r>
          </w:p>
        </w:tc>
        <w:tc>
          <w:tcPr>
            <w:tcW w:w="2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gridSpan w:val="3"/>
          </w:tcPr>
          <w:p>
            <w:pPr>
              <w:jc w:val="right"/>
              <w:ind w:right="740"/>
              <w:spacing w:after="0" w:line="201"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3"/>
          </w:tcPr>
          <w:p>
            <w:pPr>
              <w:jc w:val="center"/>
              <w:ind w:left="54"/>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State and local</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center"/>
              <w:ind w:left="54"/>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560" w:type="dxa"/>
            <w:vAlign w:val="bottom"/>
          </w:tcPr>
          <w:p>
            <w:pPr>
              <w:ind w:left="360"/>
              <w:spacing w:after="0" w:line="201" w:lineRule="exact"/>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6"/>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center"/>
              <w:ind w:left="114"/>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5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current provision</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center"/>
              <w:ind w:left="54"/>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60"/>
              <w:spacing w:after="0"/>
              <w:rPr>
                <w:sz w:val="20"/>
                <w:szCs w:val="20"/>
                <w:color w:val="auto"/>
              </w:rPr>
            </w:pPr>
            <w:r>
              <w:rPr>
                <w:rFonts w:ascii="Arial" w:cs="Arial" w:eastAsia="Arial" w:hAnsi="Arial"/>
                <w:sz w:val="18"/>
                <w:szCs w:val="18"/>
                <w:color w:val="auto"/>
              </w:rPr>
              <w:t>Deferred provision:</w:t>
            </w: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20" w:type="dxa"/>
            <w:vAlign w:val="bottom"/>
            <w:gridSpan w:val="2"/>
            <w:vMerge w:val="continue"/>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Federal</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center"/>
              <w:ind w:left="54"/>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560" w:type="dxa"/>
            <w:vAlign w:val="bottom"/>
          </w:tcPr>
          <w:p>
            <w:pPr>
              <w:ind w:left="360"/>
              <w:spacing w:after="0" w:line="201" w:lineRule="exact"/>
              <w:rPr>
                <w:sz w:val="20"/>
                <w:szCs w:val="20"/>
                <w:color w:val="auto"/>
              </w:rPr>
            </w:pPr>
            <w:r>
              <w:rPr>
                <w:rFonts w:ascii="Arial" w:cs="Arial" w:eastAsia="Arial" w:hAnsi="Arial"/>
                <w:sz w:val="18"/>
                <w:szCs w:val="18"/>
                <w:color w:val="auto"/>
              </w:rPr>
              <w:t>State and local</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74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center"/>
              <w:ind w:left="54"/>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w:t>
            </w:r>
          </w:p>
        </w:tc>
        <w:tc>
          <w:tcPr>
            <w:tcW w:w="27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center"/>
              <w:ind w:left="114"/>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4560" w:type="dxa"/>
            <w:vAlign w:val="bottom"/>
          </w:tcPr>
          <w:p>
            <w:pPr>
              <w:ind w:left="700"/>
              <w:spacing w:after="0"/>
              <w:rPr>
                <w:sz w:val="20"/>
                <w:szCs w:val="20"/>
                <w:color w:val="auto"/>
              </w:rPr>
            </w:pPr>
            <w:r>
              <w:rPr>
                <w:rFonts w:ascii="Arial" w:cs="Arial" w:eastAsia="Arial" w:hAnsi="Arial"/>
                <w:sz w:val="18"/>
                <w:szCs w:val="18"/>
                <w:color w:val="auto"/>
              </w:rPr>
              <w:t>Total deferred provision</w:t>
            </w:r>
          </w:p>
        </w:tc>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benefit from (provision for) income taxes</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center"/>
              <w:ind w:left="54"/>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920" w:type="dxa"/>
            <w:vAlign w:val="bottom"/>
            <w:gridSpan w:val="2"/>
          </w:tcPr>
          <w:p>
            <w:pPr>
              <w:jc w:val="right"/>
              <w:ind w:right="2371"/>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significant components of the Company’s net deferred tax assets (liabilities) are as follows: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8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8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Deferred tax assets:</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ind w:left="340"/>
              <w:spacing w:after="0" w:line="201" w:lineRule="exact"/>
              <w:rPr>
                <w:sz w:val="20"/>
                <w:szCs w:val="20"/>
                <w:color w:val="auto"/>
              </w:rPr>
            </w:pPr>
            <w:r>
              <w:rPr>
                <w:rFonts w:ascii="Arial" w:cs="Arial" w:eastAsia="Arial" w:hAnsi="Arial"/>
                <w:sz w:val="18"/>
                <w:szCs w:val="18"/>
                <w:color w:val="auto"/>
              </w:rPr>
              <w:t>Federal and state net operating loss carryforwards</w:t>
            </w:r>
          </w:p>
        </w:tc>
        <w:tc>
          <w:tcPr>
            <w:tcW w:w="17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87.3</w:t>
            </w:r>
          </w:p>
        </w:tc>
        <w:tc>
          <w:tcPr>
            <w:tcW w:w="820" w:type="dxa"/>
            <w:vAlign w:val="bottom"/>
          </w:tcPr>
          <w:p>
            <w:pPr>
              <w:spacing w:after="0"/>
              <w:rPr>
                <w:sz w:val="17"/>
                <w:szCs w:val="17"/>
                <w:color w:val="auto"/>
              </w:rPr>
            </w:pPr>
          </w:p>
        </w:tc>
        <w:tc>
          <w:tcPr>
            <w:tcW w:w="12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122.6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Customer credits liability</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ind w:left="340"/>
              <w:spacing w:after="0" w:line="201" w:lineRule="exact"/>
              <w:rPr>
                <w:sz w:val="20"/>
                <w:szCs w:val="20"/>
                <w:color w:val="auto"/>
              </w:rPr>
            </w:pPr>
            <w:r>
              <w:rPr>
                <w:rFonts w:ascii="Arial" w:cs="Arial" w:eastAsia="Arial" w:hAnsi="Arial"/>
                <w:sz w:val="18"/>
                <w:szCs w:val="18"/>
                <w:color w:val="auto"/>
              </w:rPr>
              <w:t>Interest limitation</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10.2</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22.0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Fixed assets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ind w:left="340"/>
              <w:spacing w:after="0" w:line="201" w:lineRule="exact"/>
              <w:rPr>
                <w:sz w:val="20"/>
                <w:szCs w:val="20"/>
                <w:color w:val="auto"/>
              </w:rPr>
            </w:pPr>
            <w:r>
              <w:rPr>
                <w:rFonts w:ascii="Arial" w:cs="Arial" w:eastAsia="Arial" w:hAnsi="Arial"/>
                <w:sz w:val="18"/>
                <w:szCs w:val="18"/>
                <w:color w:val="auto"/>
              </w:rPr>
              <w:t>Tax credits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1.6</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Share-based compensation</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ind w:left="340"/>
              <w:spacing w:after="0" w:line="201" w:lineRule="exact"/>
              <w:rPr>
                <w:sz w:val="20"/>
                <w:szCs w:val="20"/>
                <w:color w:val="auto"/>
              </w:rPr>
            </w:pPr>
            <w:r>
              <w:rPr>
                <w:rFonts w:ascii="Arial" w:cs="Arial" w:eastAsia="Arial" w:hAnsi="Arial"/>
                <w:sz w:val="18"/>
                <w:szCs w:val="18"/>
                <w:color w:val="auto"/>
              </w:rPr>
              <w:t>Operating lease liability</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13.0</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0.4</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tax liabilities: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ind w:left="340"/>
              <w:spacing w:after="0" w:line="201" w:lineRule="exact"/>
              <w:rPr>
                <w:sz w:val="20"/>
                <w:szCs w:val="20"/>
                <w:color w:val="auto"/>
              </w:rPr>
            </w:pPr>
            <w:r>
              <w:rPr>
                <w:rFonts w:ascii="Arial" w:cs="Arial" w:eastAsia="Arial" w:hAnsi="Arial"/>
                <w:sz w:val="18"/>
                <w:szCs w:val="18"/>
                <w:color w:val="auto"/>
              </w:rPr>
              <w:t>Fixed assets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869"/>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Operating lease right-of-use-asset</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09"/>
              <w:spacing w:after="0" w:line="201" w:lineRule="exact"/>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09"/>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deferred tax assets before valuation allowance</w:t>
            </w:r>
          </w:p>
        </w:tc>
        <w:tc>
          <w:tcPr>
            <w:tcW w:w="1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110.1</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rPr>
              <w:t>Less valuation allowance</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709"/>
              <w:spacing w:after="0" w:line="201" w:lineRule="exact"/>
              <w:rPr>
                <w:sz w:val="20"/>
                <w:szCs w:val="20"/>
                <w:color w:val="auto"/>
              </w:rPr>
            </w:pPr>
            <w:r>
              <w:rPr>
                <w:rFonts w:ascii="Arial" w:cs="Arial" w:eastAsia="Arial" w:hAnsi="Arial"/>
                <w:sz w:val="18"/>
                <w:szCs w:val="18"/>
                <w:color w:val="auto"/>
                <w:w w:val="94"/>
              </w:rPr>
              <w:t>(109.9)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8"/>
              </w:rPr>
              <w:t>(159.0)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deferred tax assets</w:t>
            </w:r>
          </w:p>
        </w:tc>
        <w:tc>
          <w:tcPr>
            <w:tcW w:w="17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8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right="40"/>
        <w:spacing w:after="0" w:line="236" w:lineRule="auto"/>
        <w:rPr>
          <w:sz w:val="20"/>
          <w:szCs w:val="20"/>
          <w:color w:val="auto"/>
        </w:rPr>
      </w:pPr>
      <w:r>
        <w:rPr>
          <w:rFonts w:ascii="Arial" w:cs="Arial" w:eastAsia="Arial" w:hAnsi="Arial"/>
          <w:sz w:val="18"/>
          <w:szCs w:val="18"/>
          <w:color w:val="auto"/>
        </w:rPr>
        <w:t>At January 31, 2020 and 2021, the Company maintained a valuation allowance against all of its U.S. deferred tax assets since, in the judgment of management, the realization of these assets was not considered more likely than not. The net change in the total valuation allowance in fiscal years 2019 and 2020 was an increase of $46.8 million and $49.1 million, respectively. The Company’s deferred tax assets are included in other assets on the consolidated balance sheets.</w:t>
      </w:r>
    </w:p>
    <w:p>
      <w:pPr>
        <w:spacing w:after="0" w:line="201" w:lineRule="exact"/>
        <w:rPr>
          <w:sz w:val="20"/>
          <w:szCs w:val="20"/>
          <w:color w:val="auto"/>
        </w:rPr>
      </w:pPr>
    </w:p>
    <w:p>
      <w:pPr>
        <w:jc w:val="both"/>
        <w:ind w:left="720"/>
        <w:spacing w:after="0" w:line="267" w:lineRule="auto"/>
        <w:rPr>
          <w:sz w:val="20"/>
          <w:szCs w:val="20"/>
          <w:color w:val="auto"/>
        </w:rPr>
      </w:pPr>
      <w:r>
        <w:rPr>
          <w:rFonts w:ascii="Arial" w:cs="Arial" w:eastAsia="Arial" w:hAnsi="Arial"/>
          <w:sz w:val="17"/>
          <w:szCs w:val="17"/>
          <w:color w:val="auto"/>
        </w:rPr>
        <w:t>At January 31, 2021, the Company had federal net operating loss tax carryforwards of approximately $459.3 million. Approximately $152.0 million of the net operating loss carryforwards will expire at various times through 2038, while $307.3 million will not expire.</w:t>
      </w:r>
    </w:p>
    <w:p>
      <w:pPr>
        <w:spacing w:after="0" w:line="180" w:lineRule="exact"/>
        <w:rPr>
          <w:sz w:val="20"/>
          <w:szCs w:val="20"/>
          <w:color w:val="auto"/>
        </w:rPr>
      </w:pPr>
    </w:p>
    <w:p>
      <w:pPr>
        <w:ind w:left="720" w:right="220"/>
        <w:spacing w:after="0" w:line="236" w:lineRule="auto"/>
        <w:rPr>
          <w:sz w:val="20"/>
          <w:szCs w:val="20"/>
          <w:color w:val="auto"/>
        </w:rPr>
      </w:pPr>
      <w:r>
        <w:rPr>
          <w:rFonts w:ascii="Arial" w:cs="Arial" w:eastAsia="Arial" w:hAnsi="Arial"/>
          <w:sz w:val="18"/>
          <w:szCs w:val="18"/>
          <w:color w:val="auto"/>
        </w:rPr>
        <w:t>In general, under Section 382 of the Internal Revenue Code of 1986, as amended, or the Code, a corporation that undergoes an “ownership change” is subject to limitations on its ability to utilize its NOLs to offset future taxable income. The Company has undergone one ownership change on February 16, 2010, and its NOLs arising before that date are subject to Section 382 limitations. These limitations will not materially limit the use of such NOLs to offset the Company’s future taxable income.</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20"/>
          </w:cols>
          <w:pgMar w:left="320" w:top="456" w:right="5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340"/>
        <w:spacing w:after="0" w:line="239" w:lineRule="auto"/>
        <w:rPr>
          <w:sz w:val="20"/>
          <w:szCs w:val="20"/>
          <w:color w:val="auto"/>
        </w:rPr>
      </w:pPr>
      <w:r>
        <w:rPr>
          <w:rFonts w:ascii="Arial" w:cs="Arial" w:eastAsia="Arial" w:hAnsi="Arial"/>
          <w:sz w:val="18"/>
          <w:szCs w:val="18"/>
          <w:color w:val="auto"/>
        </w:rPr>
        <w:t>The benefit for income taxes differs from the amount computed by applying the statutory U.S. Federal income tax rate to pretax loss because of the effect of the following items:</w: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52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718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91"/>
              <w:spacing w:after="0" w:line="154"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718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Compute “expected” tax benefit</w:t>
            </w:r>
          </w:p>
        </w:tc>
        <w:tc>
          <w:tcPr>
            <w:tcW w:w="1100" w:type="dxa"/>
            <w:vAlign w:val="bottom"/>
            <w:gridSpan w:val="3"/>
            <w:shd w:val="clear" w:color="auto" w:fill="CCEEFF"/>
          </w:tcPr>
          <w:p>
            <w:pPr>
              <w:jc w:val="right"/>
              <w:ind w:right="235"/>
              <w:spacing w:after="0" w:line="194" w:lineRule="exact"/>
              <w:rPr>
                <w:sz w:val="20"/>
                <w:szCs w:val="20"/>
                <w:color w:val="auto"/>
              </w:rPr>
            </w:pPr>
            <w:r>
              <w:rPr>
                <w:rFonts w:ascii="Arial" w:cs="Arial" w:eastAsia="Arial" w:hAnsi="Arial"/>
                <w:sz w:val="18"/>
                <w:szCs w:val="18"/>
                <w:color w:val="auto"/>
              </w:rPr>
              <w:t>21.00%</w:t>
            </w:r>
          </w:p>
        </w:tc>
        <w:tc>
          <w:tcPr>
            <w:tcW w:w="5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State income taxes, net of federal benefit</w:t>
            </w:r>
          </w:p>
        </w:tc>
        <w:tc>
          <w:tcPr>
            <w:tcW w:w="1100" w:type="dxa"/>
            <w:vAlign w:val="bottom"/>
            <w:gridSpan w:val="3"/>
          </w:tcPr>
          <w:p>
            <w:pPr>
              <w:jc w:val="right"/>
              <w:ind w:right="175"/>
              <w:spacing w:after="0" w:line="201" w:lineRule="exact"/>
              <w:rPr>
                <w:sz w:val="20"/>
                <w:szCs w:val="20"/>
                <w:color w:val="auto"/>
              </w:rPr>
            </w:pPr>
            <w:r>
              <w:rPr>
                <w:rFonts w:ascii="Arial" w:cs="Arial" w:eastAsia="Arial" w:hAnsi="Arial"/>
                <w:sz w:val="18"/>
                <w:szCs w:val="18"/>
                <w:color w:val="auto"/>
              </w:rPr>
              <w:t>(0.01)%</w:t>
            </w:r>
          </w:p>
        </w:tc>
        <w:tc>
          <w:tcPr>
            <w:tcW w:w="520" w:type="dxa"/>
            <w:vAlign w:val="bottom"/>
          </w:tcPr>
          <w:p>
            <w:pPr>
              <w:spacing w:after="0"/>
              <w:rPr>
                <w:sz w:val="17"/>
                <w:szCs w:val="17"/>
                <w:color w:val="auto"/>
              </w:rPr>
            </w:pPr>
          </w:p>
        </w:tc>
        <w:tc>
          <w:tcPr>
            <w:tcW w:w="8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year change in valuation allowance</w:t>
            </w:r>
          </w:p>
        </w:tc>
        <w:tc>
          <w:tcPr>
            <w:tcW w:w="1100" w:type="dxa"/>
            <w:vAlign w:val="bottom"/>
            <w:gridSpan w:val="3"/>
            <w:shd w:val="clear" w:color="auto" w:fill="CCEEFF"/>
          </w:tcPr>
          <w:p>
            <w:pPr>
              <w:jc w:val="right"/>
              <w:ind w:right="175"/>
              <w:spacing w:after="0" w:line="201" w:lineRule="exact"/>
              <w:rPr>
                <w:sz w:val="20"/>
                <w:szCs w:val="20"/>
                <w:color w:val="auto"/>
              </w:rPr>
            </w:pPr>
            <w:r>
              <w:rPr>
                <w:rFonts w:ascii="Arial" w:cs="Arial" w:eastAsia="Arial" w:hAnsi="Arial"/>
                <w:sz w:val="18"/>
                <w:szCs w:val="18"/>
                <w:color w:val="auto"/>
              </w:rPr>
              <w:t>(20.91)%</w:t>
            </w:r>
          </w:p>
        </w:tc>
        <w:tc>
          <w:tcPr>
            <w:tcW w:w="5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(21.55)%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100" w:type="dxa"/>
            <w:vAlign w:val="bottom"/>
            <w:gridSpan w:val="3"/>
          </w:tcPr>
          <w:p>
            <w:pPr>
              <w:jc w:val="right"/>
              <w:ind w:right="235"/>
              <w:spacing w:after="0" w:line="201" w:lineRule="exact"/>
              <w:rPr>
                <w:sz w:val="20"/>
                <w:szCs w:val="20"/>
                <w:color w:val="auto"/>
              </w:rPr>
            </w:pPr>
            <w:r>
              <w:rPr>
                <w:rFonts w:ascii="Arial" w:cs="Arial" w:eastAsia="Arial" w:hAnsi="Arial"/>
                <w:sz w:val="18"/>
                <w:szCs w:val="18"/>
                <w:color w:val="auto"/>
              </w:rPr>
              <w:t>0.03%</w:t>
            </w:r>
          </w:p>
        </w:tc>
        <w:tc>
          <w:tcPr>
            <w:tcW w:w="520" w:type="dxa"/>
            <w:vAlign w:val="bottom"/>
          </w:tcPr>
          <w:p>
            <w:pPr>
              <w:spacing w:after="0"/>
              <w:rPr>
                <w:sz w:val="17"/>
                <w:szCs w:val="17"/>
                <w:color w:val="auto"/>
              </w:rPr>
            </w:pPr>
          </w:p>
        </w:tc>
        <w:tc>
          <w:tcPr>
            <w:tcW w:w="8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0.56%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0" w:type="dxa"/>
            <w:vAlign w:val="bottom"/>
            <w:vMerge w:val="continue"/>
          </w:tcPr>
          <w:p>
            <w:pPr>
              <w:spacing w:after="0"/>
              <w:rPr>
                <w:sz w:val="17"/>
                <w:szCs w:val="17"/>
                <w:color w:val="auto"/>
              </w:rPr>
            </w:pPr>
          </w:p>
        </w:tc>
        <w:tc>
          <w:tcPr>
            <w:tcW w:w="7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benefit (expense)</w:t>
            </w:r>
          </w:p>
        </w:tc>
        <w:tc>
          <w:tcPr>
            <w:tcW w:w="1100" w:type="dxa"/>
            <w:vAlign w:val="bottom"/>
            <w:gridSpan w:val="3"/>
            <w:shd w:val="clear" w:color="auto" w:fill="CCEEFF"/>
          </w:tcPr>
          <w:p>
            <w:pPr>
              <w:jc w:val="right"/>
              <w:ind w:right="235"/>
              <w:spacing w:after="0" w:line="201" w:lineRule="exact"/>
              <w:rPr>
                <w:sz w:val="20"/>
                <w:szCs w:val="20"/>
                <w:color w:val="auto"/>
              </w:rPr>
            </w:pPr>
            <w:r>
              <w:rPr>
                <w:rFonts w:ascii="Arial" w:cs="Arial" w:eastAsia="Arial" w:hAnsi="Arial"/>
                <w:sz w:val="18"/>
                <w:szCs w:val="18"/>
                <w:color w:val="auto"/>
              </w:rPr>
              <w:t>0.11%</w:t>
            </w:r>
          </w:p>
        </w:tc>
        <w:tc>
          <w:tcPr>
            <w:tcW w:w="5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60" w:type="dxa"/>
            <w:vAlign w:val="bottom"/>
            <w:gridSpan w:val="6"/>
          </w:tcPr>
          <w:p>
            <w:pPr>
              <w:spacing w:after="0"/>
              <w:rPr>
                <w:sz w:val="20"/>
                <w:szCs w:val="20"/>
                <w:color w:val="auto"/>
              </w:rPr>
            </w:pPr>
            <w:r>
              <w:rPr>
                <w:rFonts w:ascii="Arial" w:cs="Arial" w:eastAsia="Arial" w:hAnsi="Arial"/>
                <w:sz w:val="18"/>
                <w:szCs w:val="18"/>
                <w:color w:val="auto"/>
              </w:rPr>
              <w:t>The following table summarizes the unrecognized tax benefit activity for the periods indicated:</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4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ind w:right="40"/>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71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Balance as of the beginning of period</w:t>
            </w:r>
          </w:p>
        </w:tc>
        <w:tc>
          <w:tcPr>
            <w:tcW w:w="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35"/>
              <w:spacing w:after="0" w:line="194" w:lineRule="exact"/>
              <w:rPr>
                <w:sz w:val="20"/>
                <w:szCs w:val="20"/>
                <w:color w:val="auto"/>
              </w:rPr>
            </w:pPr>
            <w:r>
              <w:rPr>
                <w:rFonts w:ascii="Arial" w:cs="Arial" w:eastAsia="Arial" w:hAnsi="Arial"/>
                <w:sz w:val="18"/>
                <w:szCs w:val="18"/>
                <w:color w:val="auto"/>
                <w:w w:val="92"/>
              </w:rPr>
              <w:t>$—</w:t>
            </w:r>
          </w:p>
        </w:tc>
        <w:tc>
          <w:tcPr>
            <w:tcW w:w="5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Additions based on tax positions related to the current year</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Additions for tax positions of prior years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Reductions for tax positions of prior years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4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Lapse of statute of limitation</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Settlements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35"/>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the end of the period</w:t>
            </w:r>
          </w:p>
        </w:tc>
        <w:tc>
          <w:tcPr>
            <w:tcW w:w="6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$ 0.6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amount of unrecognized tax benefits included on the consolidated balance sheets as of January 31, 2020 and 2021 are $0 and $0.6 million, respectively.</w:t>
      </w:r>
    </w:p>
    <w:p>
      <w:pPr>
        <w:spacing w:after="0" w:line="202" w:lineRule="exact"/>
        <w:rPr>
          <w:sz w:val="20"/>
          <w:szCs w:val="20"/>
          <w:color w:val="auto"/>
        </w:rPr>
      </w:pPr>
    </w:p>
    <w:p>
      <w:pPr>
        <w:ind w:left="720" w:right="140"/>
        <w:spacing w:after="0" w:line="236" w:lineRule="auto"/>
        <w:rPr>
          <w:sz w:val="20"/>
          <w:szCs w:val="20"/>
          <w:color w:val="auto"/>
        </w:rPr>
      </w:pPr>
      <w:r>
        <w:rPr>
          <w:rFonts w:ascii="Arial" w:cs="Arial" w:eastAsia="Arial" w:hAnsi="Arial"/>
          <w:sz w:val="18"/>
          <w:szCs w:val="18"/>
          <w:color w:val="auto"/>
        </w:rPr>
        <w:t>The total amount of unrecognized tax benefits relating to the Company’s tax positions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w:t>
      </w:r>
    </w:p>
    <w:p>
      <w:pPr>
        <w:spacing w:after="0" w:line="201"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The Company is subject to United States federal and state taxation, as well as subject to taxation in Ireland. The Company may be subject to examination by the Internal Revenue Service (“IRS”) and as of January 31, 2021, tax year 2016 and years filed thereafter remain open to examination. These examinations may result in proposed adjustments to the Company’s income tax liability or tax attributes with respect to years under examination as well as subsequent periods.</w:t>
      </w:r>
    </w:p>
    <w:p>
      <w:pPr>
        <w:spacing w:after="0" w:line="201" w:lineRule="exact"/>
        <w:rPr>
          <w:sz w:val="20"/>
          <w:szCs w:val="20"/>
          <w:color w:val="auto"/>
        </w:rPr>
      </w:pPr>
    </w:p>
    <w:p>
      <w:pPr>
        <w:ind w:left="720" w:right="20"/>
        <w:spacing w:after="0" w:line="235" w:lineRule="auto"/>
        <w:rPr>
          <w:sz w:val="20"/>
          <w:szCs w:val="20"/>
          <w:color w:val="auto"/>
        </w:rPr>
      </w:pPr>
      <w:r>
        <w:rPr>
          <w:rFonts w:ascii="Arial" w:cs="Arial" w:eastAsia="Arial" w:hAnsi="Arial"/>
          <w:sz w:val="18"/>
          <w:szCs w:val="18"/>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60"/>
          </w:cols>
          <w:pgMar w:left="320" w:top="456"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40"/>
        <w:spacing w:after="0" w:line="236" w:lineRule="auto"/>
        <w:rPr>
          <w:sz w:val="20"/>
          <w:szCs w:val="20"/>
          <w:color w:val="auto"/>
        </w:rPr>
      </w:pPr>
      <w:r>
        <w:rPr>
          <w:rFonts w:ascii="Arial" w:cs="Arial" w:eastAsia="Arial" w:hAnsi="Arial"/>
          <w:sz w:val="18"/>
          <w:szCs w:val="18"/>
          <w:color w:val="auto"/>
        </w:rPr>
        <w:t>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March 27, 2020, the Coronavirus Aid, Relief, and Economic Security Act (“CARES Act”) was enacted and signed into law.</w:t>
      </w:r>
    </w:p>
    <w:p>
      <w:pPr>
        <w:ind w:left="720"/>
        <w:spacing w:after="0" w:line="232" w:lineRule="auto"/>
        <w:rPr>
          <w:sz w:val="20"/>
          <w:szCs w:val="20"/>
          <w:color w:val="auto"/>
        </w:rPr>
      </w:pPr>
      <w:r>
        <w:rPr>
          <w:rFonts w:ascii="Arial" w:cs="Arial" w:eastAsia="Arial" w:hAnsi="Arial"/>
          <w:sz w:val="18"/>
          <w:szCs w:val="18"/>
          <w:color w:val="auto"/>
        </w:rPr>
        <w:t>Among other things, the CARES Act has modified the Internal Revenue Code of 1986, as amended, including, but not limited to:</w:t>
      </w:r>
    </w:p>
    <w:p>
      <w:pPr>
        <w:ind w:left="720" w:hanging="1"/>
        <w:spacing w:after="0" w:line="236" w:lineRule="auto"/>
        <w:tabs>
          <w:tab w:leader="none" w:pos="98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201" w:lineRule="exact"/>
        <w:rPr>
          <w:sz w:val="20"/>
          <w:szCs w:val="20"/>
          <w:color w:val="auto"/>
        </w:rPr>
      </w:pPr>
    </w:p>
    <w:p>
      <w:pPr>
        <w:ind w:left="720" w:right="60"/>
        <w:spacing w:after="0" w:line="236" w:lineRule="auto"/>
        <w:rPr>
          <w:sz w:val="20"/>
          <w:szCs w:val="20"/>
          <w:color w:val="auto"/>
        </w:rPr>
      </w:pPr>
      <w:r>
        <w:rPr>
          <w:rFonts w:ascii="Arial" w:cs="Arial" w:eastAsia="Arial" w:hAnsi="Arial"/>
          <w:sz w:val="18"/>
          <w:szCs w:val="18"/>
          <w:color w:val="auto"/>
        </w:rPr>
        <w:t>Under ASC 740, the effects of new legislation must be recognized in the period of enactment. Therefore, the effects of the CARES Act are accounted for in the fiscal year ended January 31, 2021. The Company evaluated the provisions of the CARES Act and determined that there is no material impact for the fiscal year ended January 31, 2021. The Company will continue to assess the potential income tax impact of the CARES Act and monitor any updates to the legislation.</w:t>
      </w:r>
    </w:p>
    <w:p>
      <w:pPr>
        <w:spacing w:after="0" w:line="326" w:lineRule="exact"/>
        <w:rPr>
          <w:sz w:val="20"/>
          <w:szCs w:val="20"/>
          <w:color w:val="auto"/>
        </w:rPr>
      </w:pPr>
    </w:p>
    <w:p>
      <w:pPr>
        <w:ind w:left="700" w:hanging="526"/>
        <w:spacing w:after="0"/>
        <w:tabs>
          <w:tab w:leader="none" w:pos="7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6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5"/>
          </w:tcPr>
          <w:p>
            <w:pPr>
              <w:ind w:left="120"/>
              <w:spacing w:after="0"/>
              <w:rPr>
                <w:sz w:val="20"/>
                <w:szCs w:val="20"/>
                <w:color w:val="auto"/>
              </w:rPr>
            </w:pPr>
            <w:r>
              <w:rPr>
                <w:rFonts w:ascii="Arial" w:cs="Arial" w:eastAsia="Arial" w:hAnsi="Arial"/>
                <w:sz w:val="14"/>
                <w:szCs w:val="14"/>
                <w:b w:val="1"/>
                <w:bCs w:val="1"/>
                <w:color w:val="auto"/>
              </w:rPr>
              <w:t>January 31,</w:t>
            </w:r>
          </w:p>
        </w:tc>
      </w:tr>
      <w:tr>
        <w:trPr>
          <w:trHeight w:val="154"/>
        </w:trPr>
        <w:tc>
          <w:tcPr>
            <w:tcW w:w="6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r>
      <w:tr>
        <w:trPr>
          <w:trHeight w:val="194"/>
        </w:trPr>
        <w:tc>
          <w:tcPr>
            <w:tcW w:w="61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Revenue share payable</w:t>
            </w:r>
          </w:p>
        </w:tc>
        <w:tc>
          <w:tcPr>
            <w:tcW w:w="2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3.6</w:t>
            </w: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4.3</w:t>
            </w:r>
          </w:p>
        </w:tc>
        <w:tc>
          <w:tcPr>
            <w:tcW w:w="60" w:type="dxa"/>
            <w:vAlign w:val="bottom"/>
            <w:tcBorders>
              <w:top w:val="single" w:sz="8" w:color="CCEEFF"/>
            </w:tcBorders>
            <w:shd w:val="clear" w:color="auto" w:fill="CCEEFF"/>
          </w:tcPr>
          <w:p>
            <w:pPr>
              <w:spacing w:after="0"/>
              <w:rPr>
                <w:sz w:val="16"/>
                <w:szCs w:val="16"/>
                <w:color w:val="auto"/>
              </w:rPr>
            </w:pPr>
          </w:p>
        </w:tc>
      </w:tr>
      <w:tr>
        <w:trPr>
          <w:trHeight w:val="200"/>
        </w:trPr>
        <w:tc>
          <w:tcPr>
            <w:tcW w:w="6180" w:type="dxa"/>
            <w:vAlign w:val="bottom"/>
          </w:tcPr>
          <w:p>
            <w:pPr>
              <w:spacing w:after="0" w:line="201" w:lineRule="exact"/>
              <w:rPr>
                <w:sz w:val="20"/>
                <w:szCs w:val="20"/>
                <w:color w:val="auto"/>
              </w:rPr>
            </w:pPr>
            <w:r>
              <w:rPr>
                <w:rFonts w:ascii="Arial" w:cs="Arial" w:eastAsia="Arial" w:hAnsi="Arial"/>
                <w:sz w:val="18"/>
                <w:szCs w:val="18"/>
                <w:color w:val="auto"/>
              </w:rPr>
              <w:t>Accrued operating and general expenses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3.8</w:t>
            </w:r>
          </w:p>
        </w:tc>
        <w:tc>
          <w:tcPr>
            <w:tcW w:w="60" w:type="dxa"/>
            <w:vAlign w:val="bottom"/>
          </w:tcPr>
          <w:p>
            <w:pPr>
              <w:spacing w:after="0"/>
              <w:rPr>
                <w:sz w:val="17"/>
                <w:szCs w:val="17"/>
                <w:color w:val="auto"/>
              </w:rPr>
            </w:pPr>
          </w:p>
        </w:tc>
      </w:tr>
      <w:tr>
        <w:trPr>
          <w:trHeight w:val="200"/>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payroll related expenses</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7"/>
                <w:szCs w:val="17"/>
                <w:color w:val="auto"/>
              </w:rPr>
            </w:pPr>
          </w:p>
        </w:tc>
      </w:tr>
      <w:tr>
        <w:trPr>
          <w:trHeight w:val="200"/>
        </w:trPr>
        <w:tc>
          <w:tcPr>
            <w:tcW w:w="6180" w:type="dxa"/>
            <w:vAlign w:val="bottom"/>
          </w:tcPr>
          <w:p>
            <w:pPr>
              <w:spacing w:after="0" w:line="201" w:lineRule="exact"/>
              <w:rPr>
                <w:sz w:val="20"/>
                <w:szCs w:val="20"/>
                <w:color w:val="auto"/>
              </w:rPr>
            </w:pPr>
            <w:r>
              <w:rPr>
                <w:rFonts w:ascii="Arial" w:cs="Arial" w:eastAsia="Arial" w:hAnsi="Arial"/>
                <w:sz w:val="18"/>
                <w:szCs w:val="18"/>
                <w:color w:val="auto"/>
              </w:rPr>
              <w:t>Sales and other taxes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1.9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r>
      <w:tr>
        <w:trPr>
          <w:trHeight w:val="200"/>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portion of long-term debt</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7"/>
                <w:szCs w:val="17"/>
                <w:color w:val="auto"/>
              </w:rPr>
            </w:pPr>
          </w:p>
        </w:tc>
      </w:tr>
      <w:tr>
        <w:trPr>
          <w:trHeight w:val="207"/>
        </w:trPr>
        <w:tc>
          <w:tcPr>
            <w:tcW w:w="6180" w:type="dxa"/>
            <w:vAlign w:val="bottom"/>
          </w:tcPr>
          <w:p>
            <w:pPr>
              <w:spacing w:after="0" w:line="201" w:lineRule="exact"/>
              <w:rPr>
                <w:sz w:val="20"/>
                <w:szCs w:val="20"/>
                <w:color w:val="auto"/>
              </w:rPr>
            </w:pPr>
            <w:r>
              <w:rPr>
                <w:rFonts w:ascii="Arial" w:cs="Arial" w:eastAsia="Arial" w:hAnsi="Arial"/>
                <w:sz w:val="18"/>
                <w:szCs w:val="18"/>
                <w:color w:val="auto"/>
              </w:rPr>
              <w:t>Gift card liability</w:t>
            </w:r>
          </w:p>
        </w:tc>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00"/>
        </w:trPr>
        <w:tc>
          <w:tcPr>
            <w:tcW w:w="61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Accrued expenses and other current liabilities</w:t>
            </w:r>
          </w:p>
        </w:tc>
        <w:tc>
          <w:tcPr>
            <w:tcW w:w="23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6"/>
              </w:rPr>
              <w:t>14.0</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6"/>
              </w:rPr>
              <w:t>14.1</w:t>
            </w:r>
          </w:p>
        </w:tc>
        <w:tc>
          <w:tcPr>
            <w:tcW w:w="60" w:type="dxa"/>
            <w:vAlign w:val="bottom"/>
            <w:shd w:val="clear" w:color="auto" w:fill="CCEEFF"/>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1" w:lineRule="exact"/>
        <w:rPr>
          <w:sz w:val="20"/>
          <w:szCs w:val="20"/>
          <w:color w:val="auto"/>
        </w:rPr>
      </w:pPr>
    </w:p>
    <w:p>
      <w:pPr>
        <w:ind w:left="700" w:hanging="526"/>
        <w:spacing w:after="0"/>
        <w:tabs>
          <w:tab w:leader="none" w:pos="7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2" w:lineRule="exact"/>
        <w:rPr>
          <w:rFonts w:ascii="Arial" w:cs="Arial" w:eastAsia="Arial" w:hAnsi="Arial"/>
          <w:sz w:val="18"/>
          <w:szCs w:val="18"/>
          <w:b w:val="1"/>
          <w:bCs w:val="1"/>
          <w:color w:val="auto"/>
        </w:rPr>
      </w:pPr>
    </w:p>
    <w:p>
      <w:pPr>
        <w:ind w:left="720" w:right="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80" w:lineRule="exact"/>
        <w:rPr>
          <w:sz w:val="20"/>
          <w:szCs w:val="20"/>
          <w:color w:val="auto"/>
        </w:rPr>
      </w:pPr>
    </w:p>
    <w:p>
      <w:pPr>
        <w:ind w:left="720" w:right="460"/>
        <w:spacing w:after="0" w:line="232" w:lineRule="auto"/>
        <w:rPr>
          <w:sz w:val="20"/>
          <w:szCs w:val="20"/>
          <w:color w:val="auto"/>
        </w:rPr>
      </w:pPr>
      <w:r>
        <w:rPr>
          <w:rFonts w:ascii="Arial" w:cs="Arial" w:eastAsia="Arial" w:hAnsi="Arial"/>
          <w:sz w:val="18"/>
          <w:szCs w:val="18"/>
          <w:color w:val="auto"/>
        </w:rPr>
        <w:t>Observable inputs are based on market data obtained from independent sources. Unobservable inputs reflect the Company’s assessment of the assumptions market participants would use to</w:t>
      </w:r>
    </w:p>
    <w:p>
      <w:pPr>
        <w:spacing w:after="0" w:line="1" w:lineRule="exact"/>
        <w:rPr>
          <w:sz w:val="20"/>
          <w:szCs w:val="20"/>
          <w:color w:val="auto"/>
        </w:rPr>
      </w:pPr>
    </w:p>
    <w:p>
      <w:pPr>
        <w:ind w:left="720" w:right="280"/>
        <w:spacing w:after="0" w:line="239" w:lineRule="auto"/>
        <w:rPr>
          <w:sz w:val="20"/>
          <w:szCs w:val="20"/>
          <w:color w:val="auto"/>
        </w:rPr>
      </w:pPr>
      <w:r>
        <w:rPr>
          <w:rFonts w:ascii="Arial" w:cs="Arial" w:eastAsia="Arial" w:hAnsi="Arial"/>
          <w:sz w:val="18"/>
          <w:szCs w:val="18"/>
          <w:color w:val="auto"/>
        </w:rPr>
        <w:t>value certain financial instruments. This hierarchy requires the Company to use observable market data, when available, and to minimize the use of unobservable inputs when determining fair value.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20"/>
          </w:cols>
          <w:pgMar w:left="320" w:top="456" w:right="5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260"/>
        <w:spacing w:after="0" w:line="239"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w:t>
      </w:r>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8"/>
              </w:rPr>
              <w:t>Description</w:t>
            </w:r>
          </w:p>
        </w:tc>
        <w:tc>
          <w:tcPr>
            <w:tcW w:w="4860" w:type="dxa"/>
            <w:vAlign w:val="bottom"/>
            <w:vMerge w:val="restart"/>
          </w:tcPr>
          <w:p>
            <w:pPr>
              <w:spacing w:after="0"/>
              <w:rPr>
                <w:sz w:val="15"/>
                <w:szCs w:val="15"/>
                <w:color w:val="auto"/>
              </w:rPr>
            </w:pPr>
          </w:p>
        </w:tc>
        <w:tc>
          <w:tcPr>
            <w:tcW w:w="27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Level</w:t>
            </w:r>
          </w:p>
        </w:tc>
        <w:tc>
          <w:tcPr>
            <w:tcW w:w="20" w:type="dxa"/>
            <w:vAlign w:val="bottom"/>
          </w:tcPr>
          <w:p>
            <w:pPr>
              <w:spacing w:after="0"/>
              <w:rPr>
                <w:sz w:val="15"/>
                <w:szCs w:val="15"/>
                <w:color w:val="auto"/>
              </w:rPr>
            </w:pPr>
          </w:p>
        </w:tc>
        <w:tc>
          <w:tcPr>
            <w:tcW w:w="1280" w:type="dxa"/>
            <w:vAlign w:val="bottom"/>
            <w:gridSpan w:val="4"/>
          </w:tcPr>
          <w:p>
            <w:pPr>
              <w:ind w:left="2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0"/>
        </w:trPr>
        <w:tc>
          <w:tcPr>
            <w:tcW w:w="780" w:type="dxa"/>
            <w:vAlign w:val="bottom"/>
            <w:tcBorders>
              <w:bottom w:val="single" w:sz="8" w:color="auto"/>
            </w:tcBorders>
            <w:vMerge w:val="continue"/>
          </w:tcPr>
          <w:p>
            <w:pPr>
              <w:spacing w:after="0"/>
              <w:rPr>
                <w:sz w:val="13"/>
                <w:szCs w:val="13"/>
                <w:color w:val="auto"/>
              </w:rPr>
            </w:pPr>
          </w:p>
        </w:tc>
        <w:tc>
          <w:tcPr>
            <w:tcW w:w="4860" w:type="dxa"/>
            <w:vAlign w:val="bottom"/>
            <w:vMerge w:val="continue"/>
          </w:tcPr>
          <w:p>
            <w:pPr>
              <w:spacing w:after="0"/>
              <w:rPr>
                <w:sz w:val="13"/>
                <w:szCs w:val="13"/>
                <w:color w:val="auto"/>
              </w:rPr>
            </w:pPr>
          </w:p>
        </w:tc>
        <w:tc>
          <w:tcPr>
            <w:tcW w:w="27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6"/>
              </w:rPr>
              <w:t>2020</w:t>
            </w:r>
          </w:p>
        </w:tc>
        <w:tc>
          <w:tcPr>
            <w:tcW w:w="8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64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8"/>
                <w:szCs w:val="18"/>
                <w:color w:val="auto"/>
              </w:rPr>
              <w:t>Liabilities:</w:t>
            </w:r>
          </w:p>
        </w:tc>
        <w:tc>
          <w:tcPr>
            <w:tcW w:w="19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6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Warrant liability – Common stock warrants</w:t>
            </w:r>
          </w:p>
        </w:tc>
        <w:tc>
          <w:tcPr>
            <w:tcW w:w="23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w:t>
            </w:r>
          </w:p>
        </w:tc>
        <w:tc>
          <w:tcPr>
            <w:tcW w:w="420" w:type="dxa"/>
            <w:vAlign w:val="bottom"/>
          </w:tcPr>
          <w:p>
            <w:pPr>
              <w:spacing w:after="0"/>
              <w:rPr>
                <w:sz w:val="17"/>
                <w:szCs w:val="17"/>
                <w:color w:val="auto"/>
              </w:rPr>
            </w:pP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Warrant liability – Preferred stock warrants</w:t>
            </w:r>
          </w:p>
        </w:tc>
        <w:tc>
          <w:tcPr>
            <w:tcW w:w="2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0.6</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spacing w:after="0" w:line="256" w:lineRule="auto"/>
        <w:rPr>
          <w:sz w:val="20"/>
          <w:szCs w:val="20"/>
          <w:color w:val="auto"/>
        </w:rPr>
      </w:pPr>
      <w:r>
        <w:rPr>
          <w:rFonts w:ascii="Arial" w:cs="Arial" w:eastAsia="Arial" w:hAnsi="Arial"/>
          <w:sz w:val="17"/>
          <w:szCs w:val="17"/>
          <w:color w:val="auto"/>
        </w:rPr>
        <w:t>The warrant liabilities are valued using a Black-Scholes option pricing model. The assumptions used in preparing the model include estimates such as volatility, contractual terms, discount rates, dividend yield, expiration dates and risk-free interest rates. This valuation model uses unobservable market share price input on a recurring basis, and therefore is considered a Level 3 liability.</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a rollforward of the fair value of the level 3 liabilities recorded at fair value for the year ended</w:t>
      </w:r>
    </w:p>
    <w:p>
      <w:pPr>
        <w:ind w:left="720"/>
        <w:spacing w:after="0"/>
        <w:rPr>
          <w:sz w:val="20"/>
          <w:szCs w:val="20"/>
          <w:color w:val="auto"/>
        </w:rPr>
      </w:pPr>
      <w:r>
        <w:rPr>
          <w:rFonts w:ascii="Arial" w:cs="Arial" w:eastAsia="Arial" w:hAnsi="Arial"/>
          <w:sz w:val="18"/>
          <w:szCs w:val="18"/>
          <w:color w:val="auto"/>
        </w:rPr>
        <w:t>January 31, 2021:</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Warrant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35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Balance at January 31, 2020</w:t>
            </w:r>
          </w:p>
        </w:tc>
        <w:tc>
          <w:tcPr>
            <w:tcW w:w="29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0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warrants</w:t>
            </w: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11.6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preferred stock warrants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00" w:type="dxa"/>
            <w:vAlign w:val="bottom"/>
          </w:tcPr>
          <w:p>
            <w:pPr>
              <w:ind w:left="340"/>
              <w:spacing w:after="0" w:line="201" w:lineRule="exact"/>
              <w:rPr>
                <w:sz w:val="20"/>
                <w:szCs w:val="20"/>
                <w:color w:val="auto"/>
              </w:rPr>
            </w:pPr>
            <w:r>
              <w:rPr>
                <w:rFonts w:ascii="Arial" w:cs="Arial" w:eastAsia="Arial" w:hAnsi="Arial"/>
                <w:sz w:val="18"/>
                <w:szCs w:val="18"/>
                <w:color w:val="auto"/>
              </w:rPr>
              <w:t>Changes in estimated fair value</w:t>
            </w: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January 31, 2021</w:t>
            </w:r>
          </w:p>
        </w:tc>
        <w:tc>
          <w:tcPr>
            <w:tcW w:w="3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right="320"/>
        <w:spacing w:after="0" w:line="239" w:lineRule="auto"/>
        <w:rPr>
          <w:sz w:val="20"/>
          <w:szCs w:val="20"/>
          <w:color w:val="auto"/>
        </w:rPr>
      </w:pPr>
      <w:r>
        <w:rPr>
          <w:rFonts w:ascii="Arial" w:cs="Arial" w:eastAsia="Arial" w:hAnsi="Arial"/>
          <w:sz w:val="18"/>
          <w:szCs w:val="18"/>
          <w:color w:val="auto"/>
        </w:rPr>
        <w:t>There were no issuances of warrants during the year ended January 31, 2020. The changes in estimated fair value of preferred stock warrants during the years ended January 31, 2020 and January 31, 2021 were not material.</w:t>
      </w:r>
    </w:p>
    <w:p>
      <w:pPr>
        <w:spacing w:after="0" w:line="202" w:lineRule="exact"/>
        <w:rPr>
          <w:sz w:val="20"/>
          <w:szCs w:val="20"/>
          <w:color w:val="auto"/>
        </w:rPr>
      </w:pPr>
    </w:p>
    <w:p>
      <w:pPr>
        <w:ind w:left="720" w:right="80"/>
        <w:spacing w:after="0" w:line="239" w:lineRule="auto"/>
        <w:rPr>
          <w:sz w:val="20"/>
          <w:szCs w:val="20"/>
          <w:color w:val="auto"/>
        </w:rPr>
      </w:pPr>
      <w:r>
        <w:rPr>
          <w:rFonts w:ascii="Arial" w:cs="Arial" w:eastAsia="Arial" w:hAnsi="Arial"/>
          <w:sz w:val="18"/>
          <w:szCs w:val="18"/>
          <w:color w:val="auto"/>
        </w:rPr>
        <w:t>The key assumptions used in the Black-Scholes option pricing model for the valuation of the common stock warrant liabilities were as follows:</w:t>
      </w:r>
    </w:p>
    <w:p>
      <w:pPr>
        <w:spacing w:after="0" w:line="21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3480" w:type="dxa"/>
            <w:vAlign w:val="bottom"/>
          </w:tcPr>
          <w:p>
            <w:pPr>
              <w:spacing w:after="0"/>
              <w:rPr>
                <w:sz w:val="15"/>
                <w:szCs w:val="15"/>
                <w:color w:val="auto"/>
              </w:rPr>
            </w:pPr>
          </w:p>
        </w:tc>
        <w:tc>
          <w:tcPr>
            <w:tcW w:w="6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January 31, 2021</w:t>
            </w:r>
          </w:p>
        </w:tc>
      </w:tr>
      <w:tr>
        <w:trPr>
          <w:trHeight w:val="180"/>
        </w:trPr>
        <w:tc>
          <w:tcPr>
            <w:tcW w:w="34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Valuation assumptions:</w:t>
            </w:r>
          </w:p>
        </w:tc>
        <w:tc>
          <w:tcPr>
            <w:tcW w:w="48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0"/>
        </w:trPr>
        <w:tc>
          <w:tcPr>
            <w:tcW w:w="3480" w:type="dxa"/>
            <w:vAlign w:val="bottom"/>
          </w:tcPr>
          <w:p>
            <w:pPr>
              <w:ind w:left="360"/>
              <w:spacing w:after="0" w:line="201" w:lineRule="exact"/>
              <w:rPr>
                <w:sz w:val="20"/>
                <w:szCs w:val="20"/>
                <w:color w:val="auto"/>
              </w:rPr>
            </w:pPr>
            <w:r>
              <w:rPr>
                <w:rFonts w:ascii="Arial" w:cs="Arial" w:eastAsia="Arial" w:hAnsi="Arial"/>
                <w:sz w:val="18"/>
                <w:szCs w:val="18"/>
                <w:color w:val="auto"/>
              </w:rPr>
              <w:t>Expected dividend yield</w:t>
            </w:r>
          </w:p>
        </w:tc>
        <w:tc>
          <w:tcPr>
            <w:tcW w:w="4860" w:type="dxa"/>
            <w:vAlign w:val="bottom"/>
          </w:tcPr>
          <w:p>
            <w:pPr>
              <w:spacing w:after="0"/>
              <w:rPr>
                <w:sz w:val="17"/>
                <w:szCs w:val="17"/>
                <w:color w:val="auto"/>
              </w:rPr>
            </w:pPr>
          </w:p>
        </w:tc>
        <w:tc>
          <w:tcPr>
            <w:tcW w:w="1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r>
      <w:tr>
        <w:trPr>
          <w:trHeight w:val="200"/>
        </w:trPr>
        <w:tc>
          <w:tcPr>
            <w:tcW w:w="3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Expected volatility</w:t>
            </w:r>
          </w:p>
        </w:tc>
        <w:tc>
          <w:tcPr>
            <w:tcW w:w="62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87.68%</w:t>
            </w:r>
          </w:p>
        </w:tc>
      </w:tr>
      <w:tr>
        <w:trPr>
          <w:trHeight w:val="200"/>
        </w:trPr>
        <w:tc>
          <w:tcPr>
            <w:tcW w:w="3480" w:type="dxa"/>
            <w:vAlign w:val="bottom"/>
          </w:tcPr>
          <w:p>
            <w:pPr>
              <w:ind w:left="360"/>
              <w:spacing w:after="0" w:line="201" w:lineRule="exact"/>
              <w:rPr>
                <w:sz w:val="20"/>
                <w:szCs w:val="20"/>
                <w:color w:val="auto"/>
              </w:rPr>
            </w:pPr>
            <w:r>
              <w:rPr>
                <w:rFonts w:ascii="Arial" w:cs="Arial" w:eastAsia="Arial" w:hAnsi="Arial"/>
                <w:sz w:val="18"/>
                <w:szCs w:val="18"/>
                <w:color w:val="auto"/>
              </w:rPr>
              <w:t>Expected term (in years)</w:t>
            </w:r>
          </w:p>
        </w:tc>
        <w:tc>
          <w:tcPr>
            <w:tcW w:w="6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6.75</w:t>
            </w:r>
          </w:p>
        </w:tc>
        <w:tc>
          <w:tcPr>
            <w:tcW w:w="220" w:type="dxa"/>
            <w:vAlign w:val="bottom"/>
          </w:tcPr>
          <w:p>
            <w:pPr>
              <w:spacing w:after="0"/>
              <w:rPr>
                <w:sz w:val="17"/>
                <w:szCs w:val="17"/>
                <w:color w:val="auto"/>
              </w:rPr>
            </w:pPr>
          </w:p>
        </w:tc>
      </w:tr>
      <w:tr>
        <w:trPr>
          <w:trHeight w:val="200"/>
        </w:trPr>
        <w:tc>
          <w:tcPr>
            <w:tcW w:w="3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Risk-free interest rate</w:t>
            </w:r>
          </w:p>
        </w:tc>
        <w:tc>
          <w:tcPr>
            <w:tcW w:w="62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0.79%</w:t>
            </w:r>
          </w:p>
        </w:tc>
      </w:tr>
      <w:tr>
        <w:trPr>
          <w:trHeight w:val="359"/>
        </w:trPr>
        <w:tc>
          <w:tcPr>
            <w:tcW w:w="3480" w:type="dxa"/>
            <w:vAlign w:val="bottom"/>
          </w:tcPr>
          <w:p>
            <w:pPr>
              <w:spacing w:after="0"/>
              <w:rPr>
                <w:sz w:val="24"/>
                <w:szCs w:val="24"/>
                <w:color w:val="auto"/>
              </w:rPr>
            </w:pPr>
          </w:p>
        </w:tc>
        <w:tc>
          <w:tcPr>
            <w:tcW w:w="6220" w:type="dxa"/>
            <w:vAlign w:val="bottom"/>
            <w:gridSpan w:val="3"/>
          </w:tcPr>
          <w:p>
            <w:pPr>
              <w:jc w:val="right"/>
              <w:ind w:right="4680"/>
              <w:spacing w:after="0"/>
              <w:rPr>
                <w:sz w:val="20"/>
                <w:szCs w:val="20"/>
                <w:color w:val="auto"/>
              </w:rPr>
            </w:pPr>
            <w:r>
              <w:rPr>
                <w:rFonts w:ascii="Arial" w:cs="Arial" w:eastAsia="Arial" w:hAnsi="Arial"/>
                <w:sz w:val="18"/>
                <w:szCs w:val="18"/>
                <w:color w:val="auto"/>
              </w:rPr>
              <w:t>F-29</w:t>
            </w:r>
          </w:p>
        </w:tc>
      </w:tr>
    </w:tbl>
    <w:p>
      <w:pPr>
        <w:sectPr>
          <w:pgSz w:w="11900" w:h="16838" w:orient="portrait"/>
          <w:cols w:equalWidth="0" w:num="1">
            <w:col w:w="11040"/>
          </w:cols>
          <w:pgMar w:left="320" w:top="456" w:right="5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36" w:lineRule="exact"/>
        <w:rPr>
          <w:sz w:val="20"/>
          <w:szCs w:val="20"/>
          <w:color w:val="auto"/>
        </w:rPr>
      </w:pPr>
    </w:p>
    <w:p>
      <w:pPr>
        <w:ind w:left="700" w:hanging="526"/>
        <w:spacing w:after="0"/>
        <w:tabs>
          <w:tab w:leader="none" w:pos="7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redeemable preferred stock:</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January 31, 2020</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4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55"/>
              <w:spacing w:after="0" w:line="141"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4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30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rPr>
              <w:t>Value, Net of</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48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4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Issued and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rPr>
              <w:t>Issuance</w:t>
            </w:r>
          </w:p>
        </w:tc>
        <w:tc>
          <w:tcPr>
            <w:tcW w:w="1260" w:type="dxa"/>
            <w:vAlign w:val="bottom"/>
            <w:gridSpan w:val="4"/>
          </w:tcPr>
          <w:p>
            <w:pPr>
              <w:jc w:val="center"/>
              <w:ind w:left="280"/>
              <w:spacing w:after="0"/>
              <w:rPr>
                <w:sz w:val="20"/>
                <w:szCs w:val="20"/>
                <w:color w:val="auto"/>
              </w:rPr>
            </w:pPr>
            <w:r>
              <w:rPr>
                <w:rFonts w:ascii="Arial" w:cs="Arial" w:eastAsia="Arial" w:hAnsi="Arial"/>
                <w:sz w:val="14"/>
                <w:szCs w:val="14"/>
                <w:b w:val="1"/>
                <w:bCs w:val="1"/>
                <w:color w:val="auto"/>
              </w:rPr>
              <w:t>Liquidation</w:t>
            </w:r>
          </w:p>
        </w:tc>
      </w:tr>
      <w:tr>
        <w:trPr>
          <w:trHeight w:val="174"/>
        </w:trPr>
        <w:tc>
          <w:tcPr>
            <w:tcW w:w="48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Authorized</w:t>
            </w:r>
          </w:p>
        </w:tc>
        <w:tc>
          <w:tcPr>
            <w:tcW w:w="4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rPr>
              <w:t>Costs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94"/>
        </w:trPr>
        <w:tc>
          <w:tcPr>
            <w:tcW w:w="48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Seed Series</w:t>
            </w: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4,375,000</w:t>
            </w:r>
          </w:p>
        </w:tc>
        <w:tc>
          <w:tcPr>
            <w:tcW w:w="4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4,375,000</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1.7</w:t>
            </w: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1.7</w:t>
            </w:r>
          </w:p>
        </w:tc>
        <w:tc>
          <w:tcPr>
            <w:tcW w:w="60" w:type="dxa"/>
            <w:vAlign w:val="bottom"/>
            <w:tcBorders>
              <w:top w:val="single" w:sz="8" w:color="CCEEFF"/>
            </w:tcBorders>
            <w:shd w:val="clear" w:color="auto" w:fill="CCEEFF"/>
          </w:tcPr>
          <w:p>
            <w:pPr>
              <w:spacing w:after="0"/>
              <w:rPr>
                <w:sz w:val="16"/>
                <w:szCs w:val="16"/>
                <w:color w:val="auto"/>
              </w:rPr>
            </w:pPr>
          </w:p>
        </w:tc>
      </w:tr>
      <w:tr>
        <w:trPr>
          <w:trHeight w:val="200"/>
        </w:trPr>
        <w:tc>
          <w:tcPr>
            <w:tcW w:w="4820" w:type="dxa"/>
            <w:vAlign w:val="bottom"/>
          </w:tcPr>
          <w:p>
            <w:pPr>
              <w:spacing w:after="0" w:line="201" w:lineRule="exact"/>
              <w:rPr>
                <w:sz w:val="20"/>
                <w:szCs w:val="20"/>
                <w:color w:val="auto"/>
              </w:rPr>
            </w:pPr>
            <w:r>
              <w:rPr>
                <w:rFonts w:ascii="Arial" w:cs="Arial" w:eastAsia="Arial" w:hAnsi="Arial"/>
                <w:sz w:val="18"/>
                <w:szCs w:val="18"/>
                <w:color w:val="auto"/>
              </w:rPr>
              <w:t>Series A</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5,187,500</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5,187,500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15.0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15.0</w:t>
            </w:r>
          </w:p>
        </w:tc>
        <w:tc>
          <w:tcPr>
            <w:tcW w:w="60" w:type="dxa"/>
            <w:vAlign w:val="bottom"/>
          </w:tcPr>
          <w:p>
            <w:pPr>
              <w:spacing w:after="0"/>
              <w:rPr>
                <w:sz w:val="17"/>
                <w:szCs w:val="17"/>
                <w:color w:val="auto"/>
              </w:rPr>
            </w:pPr>
          </w:p>
        </w:tc>
      </w:tr>
      <w:tr>
        <w:trPr>
          <w:trHeight w:val="200"/>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1,949,256</w:t>
            </w:r>
          </w:p>
        </w:tc>
        <w:tc>
          <w:tcPr>
            <w:tcW w:w="1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1,949,256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15.5</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7"/>
                <w:szCs w:val="17"/>
                <w:color w:val="auto"/>
              </w:rPr>
            </w:pPr>
          </w:p>
        </w:tc>
      </w:tr>
      <w:tr>
        <w:trPr>
          <w:trHeight w:val="200"/>
        </w:trPr>
        <w:tc>
          <w:tcPr>
            <w:tcW w:w="4820" w:type="dxa"/>
            <w:vAlign w:val="bottom"/>
          </w:tcPr>
          <w:p>
            <w:pPr>
              <w:spacing w:after="0" w:line="201" w:lineRule="exact"/>
              <w:rPr>
                <w:sz w:val="20"/>
                <w:szCs w:val="20"/>
                <w:color w:val="auto"/>
              </w:rPr>
            </w:pPr>
            <w:r>
              <w:rPr>
                <w:rFonts w:ascii="Arial" w:cs="Arial" w:eastAsia="Arial" w:hAnsi="Arial"/>
                <w:sz w:val="18"/>
                <w:szCs w:val="18"/>
                <w:color w:val="auto"/>
              </w:rPr>
              <w:t>Series C</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1,861,323</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1,845,569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20.5</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20.5</w:t>
            </w:r>
          </w:p>
        </w:tc>
        <w:tc>
          <w:tcPr>
            <w:tcW w:w="60" w:type="dxa"/>
            <w:vAlign w:val="bottom"/>
          </w:tcPr>
          <w:p>
            <w:pPr>
              <w:spacing w:after="0"/>
              <w:rPr>
                <w:sz w:val="17"/>
                <w:szCs w:val="17"/>
                <w:color w:val="auto"/>
              </w:rPr>
            </w:pPr>
          </w:p>
        </w:tc>
      </w:tr>
      <w:tr>
        <w:trPr>
          <w:trHeight w:val="200"/>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C-1</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351,108</w:t>
            </w:r>
          </w:p>
        </w:tc>
        <w:tc>
          <w:tcPr>
            <w:tcW w:w="1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351,108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7"/>
                <w:szCs w:val="17"/>
                <w:color w:val="auto"/>
              </w:rPr>
            </w:pPr>
          </w:p>
        </w:tc>
      </w:tr>
      <w:tr>
        <w:trPr>
          <w:trHeight w:val="200"/>
        </w:trPr>
        <w:tc>
          <w:tcPr>
            <w:tcW w:w="4820" w:type="dxa"/>
            <w:vAlign w:val="bottom"/>
          </w:tcPr>
          <w:p>
            <w:pPr>
              <w:spacing w:after="0" w:line="201" w:lineRule="exact"/>
              <w:rPr>
                <w:sz w:val="20"/>
                <w:szCs w:val="20"/>
                <w:color w:val="auto"/>
              </w:rPr>
            </w:pPr>
            <w:r>
              <w:rPr>
                <w:rFonts w:ascii="Arial" w:cs="Arial" w:eastAsia="Arial" w:hAnsi="Arial"/>
                <w:sz w:val="18"/>
                <w:szCs w:val="18"/>
                <w:color w:val="auto"/>
              </w:rPr>
              <w:t>Series D</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3,609,493</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3,521,456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59.8</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60.0</w:t>
            </w:r>
          </w:p>
        </w:tc>
        <w:tc>
          <w:tcPr>
            <w:tcW w:w="60" w:type="dxa"/>
            <w:vAlign w:val="bottom"/>
          </w:tcPr>
          <w:p>
            <w:pPr>
              <w:spacing w:after="0"/>
              <w:rPr>
                <w:sz w:val="17"/>
                <w:szCs w:val="17"/>
                <w:color w:val="auto"/>
              </w:rPr>
            </w:pPr>
          </w:p>
        </w:tc>
      </w:tr>
      <w:tr>
        <w:trPr>
          <w:trHeight w:val="200"/>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E</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3,723,110</w:t>
            </w:r>
          </w:p>
        </w:tc>
        <w:tc>
          <w:tcPr>
            <w:tcW w:w="1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3,723,110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81.0</w:t>
            </w:r>
          </w:p>
        </w:tc>
        <w:tc>
          <w:tcPr>
            <w:tcW w:w="60" w:type="dxa"/>
            <w:vAlign w:val="bottom"/>
            <w:shd w:val="clear" w:color="auto" w:fill="CCEEFF"/>
          </w:tcPr>
          <w:p>
            <w:pPr>
              <w:spacing w:after="0"/>
              <w:rPr>
                <w:sz w:val="17"/>
                <w:szCs w:val="17"/>
                <w:color w:val="auto"/>
              </w:rPr>
            </w:pPr>
          </w:p>
        </w:tc>
      </w:tr>
      <w:tr>
        <w:trPr>
          <w:trHeight w:val="207"/>
        </w:trPr>
        <w:tc>
          <w:tcPr>
            <w:tcW w:w="4820" w:type="dxa"/>
            <w:vAlign w:val="bottom"/>
          </w:tcPr>
          <w:p>
            <w:pPr>
              <w:spacing w:after="0" w:line="201" w:lineRule="exact"/>
              <w:rPr>
                <w:sz w:val="20"/>
                <w:szCs w:val="20"/>
                <w:color w:val="auto"/>
              </w:rPr>
            </w:pPr>
            <w:r>
              <w:rPr>
                <w:rFonts w:ascii="Arial" w:cs="Arial" w:eastAsia="Arial" w:hAnsi="Arial"/>
                <w:sz w:val="18"/>
                <w:szCs w:val="18"/>
                <w:color w:val="auto"/>
              </w:rPr>
              <w:t>Series F</w:t>
            </w: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6,039,272</w:t>
            </w:r>
          </w:p>
        </w:tc>
        <w:tc>
          <w:tcPr>
            <w:tcW w:w="42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6,039,272</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133.3</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135.0</w:t>
            </w:r>
          </w:p>
        </w:tc>
        <w:tc>
          <w:tcPr>
            <w:tcW w:w="60" w:type="dxa"/>
            <w:vAlign w:val="bottom"/>
          </w:tcPr>
          <w:p>
            <w:pPr>
              <w:spacing w:after="0"/>
              <w:rPr>
                <w:sz w:val="18"/>
                <w:szCs w:val="18"/>
                <w:color w:val="auto"/>
              </w:rPr>
            </w:pPr>
          </w:p>
        </w:tc>
      </w:tr>
      <w:tr>
        <w:trPr>
          <w:trHeight w:val="200"/>
        </w:trPr>
        <w:tc>
          <w:tcPr>
            <w:tcW w:w="48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27,096,062</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26,992,271</w:t>
            </w:r>
          </w:p>
        </w:tc>
        <w:tc>
          <w:tcPr>
            <w:tcW w:w="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330.</w:t>
            </w:r>
            <w:r>
              <w:rPr>
                <w:rFonts w:ascii="Arial" w:cs="Arial" w:eastAsia="Arial" w:hAnsi="Arial"/>
                <w:sz w:val="18"/>
                <w:szCs w:val="18"/>
                <w:u w:val="single" w:color="auto"/>
                <w:color w:val="auto"/>
              </w:rPr>
              <w:t>5</w:t>
            </w:r>
          </w:p>
        </w:tc>
        <w:tc>
          <w:tcPr>
            <w:tcW w:w="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332.6</w:t>
            </w:r>
          </w:p>
        </w:tc>
        <w:tc>
          <w:tcPr>
            <w:tcW w:w="60" w:type="dxa"/>
            <w:vAlign w:val="bottom"/>
            <w:shd w:val="clear" w:color="auto" w:fill="CCEEFF"/>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48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January 31, 2021</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4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55"/>
              <w:spacing w:after="0" w:line="141"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4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30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rPr>
              <w:t>Value, Net of</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48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4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Issued and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rPr>
              <w:t>Issuance</w:t>
            </w:r>
          </w:p>
        </w:tc>
        <w:tc>
          <w:tcPr>
            <w:tcW w:w="1260" w:type="dxa"/>
            <w:vAlign w:val="bottom"/>
            <w:gridSpan w:val="4"/>
          </w:tcPr>
          <w:p>
            <w:pPr>
              <w:jc w:val="center"/>
              <w:ind w:left="280"/>
              <w:spacing w:after="0"/>
              <w:rPr>
                <w:sz w:val="20"/>
                <w:szCs w:val="20"/>
                <w:color w:val="auto"/>
              </w:rPr>
            </w:pPr>
            <w:r>
              <w:rPr>
                <w:rFonts w:ascii="Arial" w:cs="Arial" w:eastAsia="Arial" w:hAnsi="Arial"/>
                <w:sz w:val="14"/>
                <w:szCs w:val="14"/>
                <w:b w:val="1"/>
                <w:bCs w:val="1"/>
                <w:color w:val="auto"/>
              </w:rPr>
              <w:t>Liquidation</w:t>
            </w:r>
          </w:p>
        </w:tc>
      </w:tr>
      <w:tr>
        <w:trPr>
          <w:trHeight w:val="174"/>
        </w:trPr>
        <w:tc>
          <w:tcPr>
            <w:tcW w:w="48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Authorized</w:t>
            </w:r>
          </w:p>
        </w:tc>
        <w:tc>
          <w:tcPr>
            <w:tcW w:w="4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rPr>
              <w:t>Costs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94"/>
        </w:trPr>
        <w:tc>
          <w:tcPr>
            <w:tcW w:w="48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Seed Series</w:t>
            </w: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4,375,000</w:t>
            </w:r>
          </w:p>
        </w:tc>
        <w:tc>
          <w:tcPr>
            <w:tcW w:w="4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4,375,000</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1.7</w:t>
            </w: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1.7</w:t>
            </w:r>
          </w:p>
        </w:tc>
        <w:tc>
          <w:tcPr>
            <w:tcW w:w="60" w:type="dxa"/>
            <w:vAlign w:val="bottom"/>
            <w:tcBorders>
              <w:top w:val="single" w:sz="8" w:color="CCEEFF"/>
            </w:tcBorders>
            <w:shd w:val="clear" w:color="auto" w:fill="CCEEFF"/>
          </w:tcPr>
          <w:p>
            <w:pPr>
              <w:spacing w:after="0"/>
              <w:rPr>
                <w:sz w:val="16"/>
                <w:szCs w:val="16"/>
                <w:color w:val="auto"/>
              </w:rPr>
            </w:pPr>
          </w:p>
        </w:tc>
      </w:tr>
      <w:tr>
        <w:trPr>
          <w:trHeight w:val="200"/>
        </w:trPr>
        <w:tc>
          <w:tcPr>
            <w:tcW w:w="4820" w:type="dxa"/>
            <w:vAlign w:val="bottom"/>
          </w:tcPr>
          <w:p>
            <w:pPr>
              <w:spacing w:after="0" w:line="201" w:lineRule="exact"/>
              <w:rPr>
                <w:sz w:val="20"/>
                <w:szCs w:val="20"/>
                <w:color w:val="auto"/>
              </w:rPr>
            </w:pPr>
            <w:r>
              <w:rPr>
                <w:rFonts w:ascii="Arial" w:cs="Arial" w:eastAsia="Arial" w:hAnsi="Arial"/>
                <w:sz w:val="18"/>
                <w:szCs w:val="18"/>
                <w:color w:val="auto"/>
              </w:rPr>
              <w:t>Series A</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5,187,500</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5,187,500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15.0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15.0</w:t>
            </w:r>
          </w:p>
        </w:tc>
        <w:tc>
          <w:tcPr>
            <w:tcW w:w="60" w:type="dxa"/>
            <w:vAlign w:val="bottom"/>
          </w:tcPr>
          <w:p>
            <w:pPr>
              <w:spacing w:after="0"/>
              <w:rPr>
                <w:sz w:val="17"/>
                <w:szCs w:val="17"/>
                <w:color w:val="auto"/>
              </w:rPr>
            </w:pPr>
          </w:p>
        </w:tc>
      </w:tr>
      <w:tr>
        <w:trPr>
          <w:trHeight w:val="200"/>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1,949,256</w:t>
            </w:r>
          </w:p>
        </w:tc>
        <w:tc>
          <w:tcPr>
            <w:tcW w:w="1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1,949,256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15.5</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7"/>
                <w:szCs w:val="17"/>
                <w:color w:val="auto"/>
              </w:rPr>
            </w:pPr>
          </w:p>
        </w:tc>
      </w:tr>
      <w:tr>
        <w:trPr>
          <w:trHeight w:val="200"/>
        </w:trPr>
        <w:tc>
          <w:tcPr>
            <w:tcW w:w="4820" w:type="dxa"/>
            <w:vAlign w:val="bottom"/>
          </w:tcPr>
          <w:p>
            <w:pPr>
              <w:spacing w:after="0" w:line="201" w:lineRule="exact"/>
              <w:rPr>
                <w:sz w:val="20"/>
                <w:szCs w:val="20"/>
                <w:color w:val="auto"/>
              </w:rPr>
            </w:pPr>
            <w:r>
              <w:rPr>
                <w:rFonts w:ascii="Arial" w:cs="Arial" w:eastAsia="Arial" w:hAnsi="Arial"/>
                <w:sz w:val="18"/>
                <w:szCs w:val="18"/>
                <w:color w:val="auto"/>
              </w:rPr>
              <w:t>Series C</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1,861,323</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1,845,569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20.5</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20.5</w:t>
            </w:r>
          </w:p>
        </w:tc>
        <w:tc>
          <w:tcPr>
            <w:tcW w:w="60" w:type="dxa"/>
            <w:vAlign w:val="bottom"/>
          </w:tcPr>
          <w:p>
            <w:pPr>
              <w:spacing w:after="0"/>
              <w:rPr>
                <w:sz w:val="17"/>
                <w:szCs w:val="17"/>
                <w:color w:val="auto"/>
              </w:rPr>
            </w:pPr>
          </w:p>
        </w:tc>
      </w:tr>
      <w:tr>
        <w:trPr>
          <w:trHeight w:val="200"/>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C-1</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351,108</w:t>
            </w:r>
          </w:p>
        </w:tc>
        <w:tc>
          <w:tcPr>
            <w:tcW w:w="1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351,108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7"/>
                <w:szCs w:val="17"/>
                <w:color w:val="auto"/>
              </w:rPr>
            </w:pPr>
          </w:p>
        </w:tc>
      </w:tr>
      <w:tr>
        <w:trPr>
          <w:trHeight w:val="200"/>
        </w:trPr>
        <w:tc>
          <w:tcPr>
            <w:tcW w:w="4820" w:type="dxa"/>
            <w:vAlign w:val="bottom"/>
          </w:tcPr>
          <w:p>
            <w:pPr>
              <w:spacing w:after="0" w:line="201" w:lineRule="exact"/>
              <w:rPr>
                <w:sz w:val="20"/>
                <w:szCs w:val="20"/>
                <w:color w:val="auto"/>
              </w:rPr>
            </w:pPr>
            <w:r>
              <w:rPr>
                <w:rFonts w:ascii="Arial" w:cs="Arial" w:eastAsia="Arial" w:hAnsi="Arial"/>
                <w:sz w:val="18"/>
                <w:szCs w:val="18"/>
                <w:color w:val="auto"/>
              </w:rPr>
              <w:t>Series D</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3,609,493</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3,521,456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59.8</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60.0</w:t>
            </w:r>
          </w:p>
        </w:tc>
        <w:tc>
          <w:tcPr>
            <w:tcW w:w="60" w:type="dxa"/>
            <w:vAlign w:val="bottom"/>
          </w:tcPr>
          <w:p>
            <w:pPr>
              <w:spacing w:after="0"/>
              <w:rPr>
                <w:sz w:val="17"/>
                <w:szCs w:val="17"/>
                <w:color w:val="auto"/>
              </w:rPr>
            </w:pPr>
          </w:p>
        </w:tc>
      </w:tr>
      <w:tr>
        <w:trPr>
          <w:trHeight w:val="200"/>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E</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3,723,110</w:t>
            </w:r>
          </w:p>
        </w:tc>
        <w:tc>
          <w:tcPr>
            <w:tcW w:w="1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3,723,110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81.0</w:t>
            </w:r>
          </w:p>
        </w:tc>
        <w:tc>
          <w:tcPr>
            <w:tcW w:w="60" w:type="dxa"/>
            <w:vAlign w:val="bottom"/>
            <w:shd w:val="clear" w:color="auto" w:fill="CCEEFF"/>
          </w:tcPr>
          <w:p>
            <w:pPr>
              <w:spacing w:after="0"/>
              <w:rPr>
                <w:sz w:val="17"/>
                <w:szCs w:val="17"/>
                <w:color w:val="auto"/>
              </w:rPr>
            </w:pPr>
          </w:p>
        </w:tc>
      </w:tr>
      <w:tr>
        <w:trPr>
          <w:trHeight w:val="200"/>
        </w:trPr>
        <w:tc>
          <w:tcPr>
            <w:tcW w:w="4820" w:type="dxa"/>
            <w:vAlign w:val="bottom"/>
          </w:tcPr>
          <w:p>
            <w:pPr>
              <w:spacing w:after="0" w:line="201" w:lineRule="exact"/>
              <w:rPr>
                <w:sz w:val="20"/>
                <w:szCs w:val="20"/>
                <w:color w:val="auto"/>
              </w:rPr>
            </w:pPr>
            <w:r>
              <w:rPr>
                <w:rFonts w:ascii="Arial" w:cs="Arial" w:eastAsia="Arial" w:hAnsi="Arial"/>
                <w:sz w:val="18"/>
                <w:szCs w:val="18"/>
                <w:color w:val="auto"/>
              </w:rPr>
              <w:t>Series F</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6,039,272</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6,039,272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133.3</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135.0</w:t>
            </w:r>
          </w:p>
        </w:tc>
        <w:tc>
          <w:tcPr>
            <w:tcW w:w="60" w:type="dxa"/>
            <w:vAlign w:val="bottom"/>
          </w:tcPr>
          <w:p>
            <w:pPr>
              <w:spacing w:after="0"/>
              <w:rPr>
                <w:sz w:val="17"/>
                <w:szCs w:val="17"/>
                <w:color w:val="auto"/>
              </w:rPr>
            </w:pPr>
          </w:p>
        </w:tc>
      </w:tr>
      <w:tr>
        <w:trPr>
          <w:trHeight w:val="200"/>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G</w:t>
            </w:r>
          </w:p>
        </w:tc>
        <w:tc>
          <w:tcPr>
            <w:tcW w:w="9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8,140,584</w:t>
            </w:r>
          </w:p>
        </w:tc>
        <w:tc>
          <w:tcPr>
            <w:tcW w:w="4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4,145,650</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57.6</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7"/>
                <w:szCs w:val="17"/>
                <w:color w:val="auto"/>
              </w:rPr>
            </w:pPr>
          </w:p>
        </w:tc>
      </w:tr>
      <w:tr>
        <w:trPr>
          <w:trHeight w:val="207"/>
        </w:trPr>
        <w:tc>
          <w:tcPr>
            <w:tcW w:w="4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35,236,646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31,137,921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388.</w:t>
            </w:r>
            <w:r>
              <w:rPr>
                <w:rFonts w:ascii="Arial" w:cs="Arial" w:eastAsia="Arial" w:hAnsi="Arial"/>
                <w:sz w:val="18"/>
                <w:szCs w:val="18"/>
                <w:u w:val="single" w:color="auto"/>
                <w:color w:val="auto"/>
              </w:rPr>
              <w:t>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393.7</w:t>
            </w:r>
          </w:p>
        </w:tc>
        <w:tc>
          <w:tcPr>
            <w:tcW w:w="6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Voting</w:t>
      </w:r>
    </w:p>
    <w:p>
      <w:pPr>
        <w:spacing w:after="0" w:line="122"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The holders of redeemable preferred stock are entitled to vote, together with the holders of common stock, on all matters submitted to stockholders for a vote. Each preferred stockholder is entitled to the number of votes equal to the number of shares of common stock into which each preferred share of stock is convertible at the time of such vote. The holders of redeemable preferred stock are entitled to other specific voting rights, including with respect to the election of directors.</w:t>
      </w:r>
    </w:p>
    <w:p>
      <w:pPr>
        <w:spacing w:after="0" w:line="2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Dividends</w:t>
      </w:r>
    </w:p>
    <w:p>
      <w:pPr>
        <w:spacing w:after="0" w:line="122" w:lineRule="exact"/>
        <w:rPr>
          <w:sz w:val="20"/>
          <w:szCs w:val="20"/>
          <w:color w:val="auto"/>
        </w:rPr>
      </w:pPr>
    </w:p>
    <w:p>
      <w:pPr>
        <w:ind w:left="720" w:right="140"/>
        <w:spacing w:after="0" w:line="239" w:lineRule="auto"/>
        <w:rPr>
          <w:sz w:val="20"/>
          <w:szCs w:val="20"/>
          <w:color w:val="auto"/>
        </w:rPr>
      </w:pPr>
      <w:r>
        <w:rPr>
          <w:rFonts w:ascii="Arial" w:cs="Arial" w:eastAsia="Arial" w:hAnsi="Arial"/>
          <w:sz w:val="18"/>
          <w:szCs w:val="18"/>
          <w:color w:val="auto"/>
        </w:rPr>
        <w:t>The holders of redeemable preferred stock are entitled to receive dividends if and when declared by the Board of Directors. In the event the Board of Directors declares a dividend payable 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40"/>
          </w:cols>
          <w:pgMar w:left="320" w:top="456" w:right="5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400"/>
        <w:spacing w:after="0" w:line="237" w:lineRule="auto"/>
        <w:rPr>
          <w:sz w:val="20"/>
          <w:szCs w:val="20"/>
          <w:color w:val="auto"/>
        </w:rPr>
      </w:pPr>
      <w:r>
        <w:rPr>
          <w:rFonts w:ascii="Arial" w:cs="Arial" w:eastAsia="Arial" w:hAnsi="Arial"/>
          <w:sz w:val="18"/>
          <w:szCs w:val="18"/>
          <w:color w:val="auto"/>
        </w:rPr>
        <w:t>outstanding shares of common stock (other than payable in the form of additional shares of common stock), the holders of redeemable preferred stock shall receive an equivalent dividend. These dividends are payable in preference and priority to any payment of any dividend on common stock. No dividends have been declared since inception.</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2" w:lineRule="exact"/>
        <w:rPr>
          <w:sz w:val="20"/>
          <w:szCs w:val="20"/>
          <w:color w:val="auto"/>
        </w:rPr>
      </w:pPr>
    </w:p>
    <w:p>
      <w:pPr>
        <w:ind w:left="720"/>
        <w:spacing w:after="0" w:line="247" w:lineRule="auto"/>
        <w:rPr>
          <w:sz w:val="20"/>
          <w:szCs w:val="20"/>
          <w:color w:val="auto"/>
        </w:rPr>
      </w:pPr>
      <w:r>
        <w:rPr>
          <w:rFonts w:ascii="Arial" w:cs="Arial" w:eastAsia="Arial" w:hAnsi="Arial"/>
          <w:sz w:val="17"/>
          <w:szCs w:val="17"/>
          <w:color w:val="auto"/>
        </w:rPr>
        <w:t>In the event of any liquidation, dissolution, winding up or other liquidation event of the Company, the holders of Series G are entitled to receive, and in preference to the holders of Seed Series, Series A, Series B, Series C, Series C-1, Series D, Series E, Series F and common stock, an amount equal to $14.740960 per share plus any declared but unpaid dividends. After payments of the preference amounts to the Series G holders, the holders of Series F are entitled to receive, and in preference to the holders of Seed Series, Series A, Series B, Series C, Series C-1, Series D, Series E, and common stock, an amount equal to $22.35369 per share plus any declared but unpaid dividends. After payments of the preference amounts to the Series G and F holders, the holders of Series E are entitled to receive, and in preference to the holders of Seed Series, Series A, Series B, Series C, Series C-1, Series D, and common stock, an amount equal to $21.75600 per share plus any declared but unpaid dividends. After payments of the preference amounts to the Series G, F and Series E holders, the holders of Series D are entitled to receive, and in preference to the holders of Seed Series, Series A, Series B, Series C, Series C-1 and common stock, an amount equal to $17.03841 per share plus any declared but unpaid dividends. After payments of the preference amounts to the Series G, F, Series E and Series D holders, the holders of Seed Series, Series A, Series B, Series C, and Series C-1 shares are entitled to receive, pari passu as to each other and in preference to the holders of common stock, an amount equal to $0.40 per share, $2.8916 per share, $7.9453 per share, $11.10768 per share, and $ 11.10768 per share, respectively, plus any declared but unpaid dividends. Notwithstanding the above, each holder of redeemable preferred stock shall be deemed to have converted such shares into common stock if, as a result of the conversion, such holder would receive, in aggregate, an amount greater than if such holder did not convert.</w:t>
      </w:r>
    </w:p>
    <w:p>
      <w:pPr>
        <w:spacing w:after="0" w:line="2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Conversion</w:t>
      </w:r>
    </w:p>
    <w:p>
      <w:pPr>
        <w:spacing w:after="0" w:line="122" w:lineRule="exact"/>
        <w:rPr>
          <w:sz w:val="20"/>
          <w:szCs w:val="20"/>
          <w:color w:val="auto"/>
        </w:rPr>
      </w:pPr>
    </w:p>
    <w:p>
      <w:pPr>
        <w:ind w:left="720" w:right="40"/>
        <w:spacing w:after="0" w:line="233" w:lineRule="auto"/>
        <w:rPr>
          <w:sz w:val="20"/>
          <w:szCs w:val="20"/>
          <w:color w:val="auto"/>
        </w:rPr>
      </w:pPr>
      <w:r>
        <w:rPr>
          <w:rFonts w:ascii="Arial" w:cs="Arial" w:eastAsia="Arial" w:hAnsi="Arial"/>
          <w:sz w:val="18"/>
          <w:szCs w:val="18"/>
          <w:color w:val="auto"/>
        </w:rPr>
        <w:t>Each share of Seed Series, Series A, Series B, Series C, Series D, Series E, Series F and Series G stock is convertible at any time into common stock at the option of the holder. The conversion ratio is initially one to one, but is subject to proportional adjustment for stock splits, stock dividends and the like, and broad-based weighted-average adjustment for dilutive issuances as contained in the Company’s Eleventh Amended and Restated Certificate of Incorporation, as amended. The redeemable preferred stock will automatically convert upon the closing of an underwritten public offering of at least $17.03841 purchase price and resulting in at least $100.0 million of aggregate gross proceeds to the Company (a “Qualified Public Offering”). Upon an affirmative vote or written consent of the majority of the then outstanding shares of Seed Series, Series A, Series B, and Series C, voting together as a single class, all the shares of the Seed Series, Series A, Series B, and Series C shall be automatically converted to common stock. Upon an affirmative vote or written consent of the majority of the then outstanding shares of Series D, the Series D shall be automatically converted to common stock. Upon an affirmative vote or written consent of a majority of the then outstanding shares of Series E, including Fidelity Puritan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80"/>
          </w:cols>
          <w:pgMar w:left="320" w:top="456"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spacing w:after="0" w:line="233" w:lineRule="auto"/>
        <w:rPr>
          <w:sz w:val="20"/>
          <w:szCs w:val="20"/>
          <w:color w:val="auto"/>
        </w:rPr>
      </w:pPr>
      <w:r>
        <w:rPr>
          <w:rFonts w:ascii="Arial" w:cs="Arial" w:eastAsia="Arial" w:hAnsi="Arial"/>
          <w:sz w:val="18"/>
          <w:szCs w:val="18"/>
          <w:color w:val="auto"/>
        </w:rPr>
        <w:t>Trust: Fidelity Fund as long as it holds the requisite amount of Series E redeemable preferred stock, the Series E shall be automatically converted to common stock. Upon an affirmative vote or written consent of a majority of the then outstanding shares of Series F, including one of Bain (collectively BCIP Venture Associates, BCIP Venture Associates-B and Bain Capital Venture Fund 2009, L.P.) as long as it holds the requisite amount of Series F or Franklin (collectively Franklin Strategic Series - Franklin Small Cap Growth Fund and Franklin Templeton Investment Funds - Franklin Technology Fund) in each case as long as it holds the requisite amount of Series F, the Series F shall be automatically converted to common stock. Upon an affirmative vote or written consent of the majority of the then outstanding shares of Series G, including T. Rowe Investors (collectively holders of redeemable preferred stock that are advisory clients of T. Rowe Price Associates, Inc. or any successor or affiliated registered investment advisor) as long as it holds the requisite amount of Series F or G redeemable preferred stock and Ares as long as it or its affiliates collectively hold the requisite amount of Series G redeemable preferred stock, the Series G shall be automatically converted to common stock.</w:t>
      </w:r>
    </w:p>
    <w:p>
      <w:pPr>
        <w:spacing w:after="0" w:line="207" w:lineRule="exact"/>
        <w:rPr>
          <w:sz w:val="20"/>
          <w:szCs w:val="20"/>
          <w:color w:val="auto"/>
        </w:rPr>
      </w:pPr>
    </w:p>
    <w:p>
      <w:pPr>
        <w:ind w:left="720" w:right="880"/>
        <w:spacing w:after="0" w:line="239" w:lineRule="auto"/>
        <w:rPr>
          <w:sz w:val="20"/>
          <w:szCs w:val="20"/>
          <w:color w:val="auto"/>
        </w:rPr>
      </w:pPr>
      <w:r>
        <w:rPr>
          <w:rFonts w:ascii="Arial" w:cs="Arial" w:eastAsia="Arial" w:hAnsi="Arial"/>
          <w:sz w:val="18"/>
          <w:szCs w:val="18"/>
          <w:color w:val="auto"/>
        </w:rPr>
        <w:t>The issuance of Series G redeemable preferred stock did not result in any anti-dilution adjustments to the other series of redeemable preferred stock.</w:t>
      </w:r>
    </w:p>
    <w:p>
      <w:pPr>
        <w:spacing w:after="0" w:line="202" w:lineRule="exact"/>
        <w:rPr>
          <w:sz w:val="20"/>
          <w:szCs w:val="20"/>
          <w:color w:val="auto"/>
        </w:rPr>
      </w:pPr>
    </w:p>
    <w:p>
      <w:pPr>
        <w:ind w:left="720" w:right="200"/>
        <w:spacing w:after="0" w:line="236" w:lineRule="auto"/>
        <w:rPr>
          <w:sz w:val="20"/>
          <w:szCs w:val="20"/>
          <w:color w:val="auto"/>
        </w:rPr>
      </w:pPr>
      <w:r>
        <w:rPr>
          <w:rFonts w:ascii="Arial" w:cs="Arial" w:eastAsia="Arial" w:hAnsi="Arial"/>
          <w:sz w:val="18"/>
          <w:szCs w:val="18"/>
          <w:color w:val="auto"/>
        </w:rPr>
        <w:t>Other than in a Qualified Public Offering, the Series C-1 is not convertible into common stock; however, upon written notice to the Company by the holder, such stock shall be entitled only to rights applicable to shares of common stock and the holder shall be entitled to receive distributions equal to the amounts that may become payable to holders of common stock as if such Series C-1 shares had been converted, but without actually converting.</w:t>
      </w:r>
    </w:p>
    <w:p>
      <w:pPr>
        <w:spacing w:after="0" w:line="2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Redemption</w:t>
      </w:r>
    </w:p>
    <w:p>
      <w:pPr>
        <w:spacing w:after="0" w:line="122" w:lineRule="exact"/>
        <w:rPr>
          <w:sz w:val="20"/>
          <w:szCs w:val="20"/>
          <w:color w:val="auto"/>
        </w:rPr>
      </w:pPr>
    </w:p>
    <w:p>
      <w:pPr>
        <w:ind w:left="720" w:right="60"/>
        <w:spacing w:after="0" w:line="234" w:lineRule="auto"/>
        <w:rPr>
          <w:sz w:val="20"/>
          <w:szCs w:val="20"/>
          <w:color w:val="auto"/>
        </w:rPr>
      </w:pPr>
      <w:r>
        <w:rPr>
          <w:rFonts w:ascii="Arial" w:cs="Arial" w:eastAsia="Arial" w:hAnsi="Arial"/>
          <w:sz w:val="18"/>
          <w:szCs w:val="18"/>
          <w:color w:val="auto"/>
        </w:rPr>
        <w:t>The redeemable preferred stock is redeemable upon a liquidation event, such as voluntary or involuntary liquidation, dissolution, or winding up of the Company, which is outside of the Company’s control. Accordingly, these shares are considered contingently redeemable and are classified outside of stockholders’ deficit as mezzanine equity on the consolidated balance sheets. Because the occurrence of a liquidation event is not probable as of January 31, 2021, the carrying values of the redeemable preferred stock are not being accreted to their liquidation values. In the event that it becomes probable that our the Company’s redeemable preferred stock will be redeemed, the Company will immediately accrete the carrying values of the redeemable preferred stock to their liquidation values.</w:t>
      </w:r>
    </w:p>
    <w:p>
      <w:pPr>
        <w:spacing w:after="0" w:line="329" w:lineRule="exact"/>
        <w:rPr>
          <w:sz w:val="20"/>
          <w:szCs w:val="20"/>
          <w:color w:val="auto"/>
        </w:rPr>
      </w:pPr>
    </w:p>
    <w:p>
      <w:pPr>
        <w:ind w:left="720" w:right="8580" w:hanging="546"/>
        <w:spacing w:after="0" w:line="390" w:lineRule="auto"/>
        <w:tabs>
          <w:tab w:leader="none" w:pos="709"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Common Stock</w:t>
      </w:r>
    </w:p>
    <w:p>
      <w:pPr>
        <w:spacing w:after="0" w:line="1" w:lineRule="exact"/>
        <w:rPr>
          <w:rFonts w:ascii="Arial" w:cs="Arial" w:eastAsia="Arial" w:hAnsi="Arial"/>
          <w:sz w:val="17"/>
          <w:szCs w:val="17"/>
          <w:b w:val="1"/>
          <w:bCs w:val="1"/>
          <w:color w:val="auto"/>
        </w:rPr>
      </w:pPr>
    </w:p>
    <w:p>
      <w:pPr>
        <w:ind w:left="720" w:right="200"/>
        <w:spacing w:after="0" w:line="235" w:lineRule="auto"/>
        <w:rPr>
          <w:rFonts w:ascii="Arial" w:cs="Arial" w:eastAsia="Arial" w:hAnsi="Arial"/>
          <w:sz w:val="17"/>
          <w:szCs w:val="17"/>
          <w:b w:val="1"/>
          <w:bCs w:val="1"/>
          <w:color w:val="auto"/>
        </w:rPr>
      </w:pPr>
      <w:r>
        <w:rPr>
          <w:rFonts w:ascii="Arial" w:cs="Arial" w:eastAsia="Arial" w:hAnsi="Arial"/>
          <w:sz w:val="18"/>
          <w:szCs w:val="18"/>
          <w:color w:val="auto"/>
        </w:rPr>
        <w:t>Holders of common stock are entitled to one vote per share, dividends if and when declared by the Board of Directors and, upon liquidation, dissolution, winding up or other liquidation event of the Company, all assets available for distribution to common stockholders. There are no redemption provisions with respect to common stock. Common stock is subordinate to redeemable preferred stock with respect to dividend rights and rights upon liquidation, dissolution, winding up, or other liquidation event of the Company.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60"/>
          </w:cols>
          <w:pgMar w:left="320" w:top="456"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Warrants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January 31, 2020 and 2021, the Company had the following outstanding warrants: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January 31, 2020</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400" w:type="dxa"/>
            <w:vAlign w:val="bottom"/>
          </w:tcPr>
          <w:p>
            <w:pPr>
              <w:spacing w:after="0"/>
              <w:rPr>
                <w:sz w:val="12"/>
                <w:szCs w:val="12"/>
                <w:color w:val="auto"/>
              </w:rPr>
            </w:pPr>
          </w:p>
        </w:tc>
        <w:tc>
          <w:tcPr>
            <w:tcW w:w="900" w:type="dxa"/>
            <w:vAlign w:val="bottom"/>
            <w:gridSpan w:val="3"/>
          </w:tcPr>
          <w:p>
            <w:pPr>
              <w:jc w:val="right"/>
              <w:ind w:right="440"/>
              <w:spacing w:after="0" w:line="141" w:lineRule="exact"/>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2"/>
                <w:szCs w:val="12"/>
                <w:color w:val="auto"/>
              </w:rPr>
            </w:pPr>
          </w:p>
        </w:tc>
        <w:tc>
          <w:tcPr>
            <w:tcW w:w="1040" w:type="dxa"/>
            <w:vAlign w:val="bottom"/>
            <w:gridSpan w:val="3"/>
          </w:tcPr>
          <w:p>
            <w:pPr>
              <w:jc w:val="right"/>
              <w:ind w:right="229"/>
              <w:spacing w:after="0" w:line="141"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120" w:type="dxa"/>
            <w:vAlign w:val="bottom"/>
            <w:gridSpan w:val="4"/>
          </w:tcPr>
          <w:p>
            <w:pPr>
              <w:jc w:val="center"/>
              <w:ind w:right="360"/>
              <w:spacing w:after="0" w:line="141" w:lineRule="exact"/>
              <w:rPr>
                <w:sz w:val="20"/>
                <w:szCs w:val="20"/>
                <w:color w:val="auto"/>
              </w:rPr>
            </w:pPr>
            <w:r>
              <w:rPr>
                <w:rFonts w:ascii="Arial" w:cs="Arial" w:eastAsia="Arial" w:hAnsi="Arial"/>
                <w:sz w:val="14"/>
                <w:szCs w:val="14"/>
                <w:b w:val="1"/>
                <w:bCs w:val="1"/>
                <w:color w:val="auto"/>
              </w:rPr>
              <w:t>Class of</w:t>
            </w:r>
          </w:p>
        </w:tc>
        <w:tc>
          <w:tcPr>
            <w:tcW w:w="740" w:type="dxa"/>
            <w:vAlign w:val="bottom"/>
            <w:gridSpan w:val="4"/>
          </w:tcPr>
          <w:p>
            <w:pPr>
              <w:jc w:val="right"/>
              <w:ind w:right="80"/>
              <w:spacing w:after="0" w:line="141" w:lineRule="exact"/>
              <w:rPr>
                <w:sz w:val="20"/>
                <w:szCs w:val="20"/>
                <w:color w:val="auto"/>
              </w:rPr>
            </w:pPr>
            <w:r>
              <w:rPr>
                <w:rFonts w:ascii="Arial" w:cs="Arial" w:eastAsia="Arial" w:hAnsi="Arial"/>
                <w:sz w:val="14"/>
                <w:szCs w:val="14"/>
                <w:b w:val="1"/>
                <w:bCs w:val="1"/>
                <w:color w:val="auto"/>
              </w:rPr>
              <w:t>Exercise</w:t>
            </w:r>
          </w:p>
        </w:tc>
        <w:tc>
          <w:tcPr>
            <w:tcW w:w="340" w:type="dxa"/>
            <w:vAlign w:val="bottom"/>
          </w:tcPr>
          <w:p>
            <w:pPr>
              <w:spacing w:after="0"/>
              <w:rPr>
                <w:sz w:val="12"/>
                <w:szCs w:val="12"/>
                <w:color w:val="auto"/>
              </w:rPr>
            </w:pPr>
          </w:p>
        </w:tc>
        <w:tc>
          <w:tcPr>
            <w:tcW w:w="7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00" w:type="dxa"/>
            <w:vAlign w:val="bottom"/>
          </w:tcPr>
          <w:p>
            <w:pPr>
              <w:ind w:left="1260"/>
              <w:spacing w:after="0"/>
              <w:rPr>
                <w:sz w:val="20"/>
                <w:szCs w:val="20"/>
                <w:color w:val="auto"/>
              </w:rPr>
            </w:pPr>
            <w:r>
              <w:rPr>
                <w:rFonts w:ascii="Arial" w:cs="Arial" w:eastAsia="Arial" w:hAnsi="Arial"/>
                <w:sz w:val="14"/>
                <w:szCs w:val="14"/>
                <w:b w:val="1"/>
                <w:bCs w:val="1"/>
                <w:color w:val="auto"/>
              </w:rPr>
              <w:t>Outstanding Warrants</w:t>
            </w:r>
          </w:p>
        </w:tc>
        <w:tc>
          <w:tcPr>
            <w:tcW w:w="9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5"/>
                <w:szCs w:val="15"/>
                <w:color w:val="auto"/>
              </w:rPr>
            </w:pPr>
          </w:p>
        </w:tc>
        <w:tc>
          <w:tcPr>
            <w:tcW w:w="104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180" w:type="dxa"/>
            <w:vAlign w:val="bottom"/>
            <w:gridSpan w:val="4"/>
          </w:tcPr>
          <w:p>
            <w:pPr>
              <w:ind w:left="340"/>
              <w:spacing w:after="0"/>
              <w:rPr>
                <w:sz w:val="20"/>
                <w:szCs w:val="20"/>
                <w:color w:val="auto"/>
              </w:rPr>
            </w:pPr>
            <w:r>
              <w:rPr>
                <w:rFonts w:ascii="Arial" w:cs="Arial" w:eastAsia="Arial" w:hAnsi="Arial"/>
                <w:sz w:val="14"/>
                <w:szCs w:val="14"/>
                <w:b w:val="1"/>
                <w:bCs w:val="1"/>
                <w:color w:val="auto"/>
              </w:rPr>
              <w:t>at Issuance</w:t>
            </w:r>
          </w:p>
        </w:tc>
        <w:tc>
          <w:tcPr>
            <w:tcW w:w="0" w:type="dxa"/>
            <w:vAlign w:val="bottom"/>
          </w:tcPr>
          <w:p>
            <w:pPr>
              <w:spacing w:after="0"/>
              <w:rPr>
                <w:sz w:val="1"/>
                <w:szCs w:val="1"/>
                <w:color w:val="auto"/>
              </w:rPr>
            </w:pPr>
          </w:p>
        </w:tc>
      </w:tr>
      <w:tr>
        <w:trPr>
          <w:trHeight w:val="180"/>
        </w:trPr>
        <w:tc>
          <w:tcPr>
            <w:tcW w:w="44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Equity classified:</w:t>
            </w:r>
          </w:p>
        </w:tc>
        <w:tc>
          <w:tcPr>
            <w:tcW w:w="2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TriplePoint</w:t>
            </w:r>
          </w:p>
        </w:tc>
        <w:tc>
          <w:tcPr>
            <w:tcW w:w="90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Nov-16</w:t>
            </w:r>
          </w:p>
        </w:tc>
        <w:tc>
          <w:tcPr>
            <w:tcW w:w="9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82,891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right"/>
              <w:ind w:right="340"/>
              <w:spacing w:after="0" w:line="201" w:lineRule="exact"/>
              <w:rPr>
                <w:sz w:val="20"/>
                <w:szCs w:val="20"/>
                <w:color w:val="auto"/>
              </w:rPr>
            </w:pPr>
            <w:r>
              <w:rPr>
                <w:rFonts w:ascii="Arial" w:cs="Arial" w:eastAsia="Arial" w:hAnsi="Arial"/>
                <w:sz w:val="18"/>
                <w:szCs w:val="18"/>
                <w:color w:val="auto"/>
              </w:rPr>
              <w:t>Common</w:t>
            </w:r>
          </w:p>
        </w:tc>
        <w:tc>
          <w:tcPr>
            <w:tcW w:w="6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  7.54</w:t>
            </w:r>
          </w:p>
        </w:tc>
        <w:tc>
          <w:tcPr>
            <w:tcW w:w="80" w:type="dxa"/>
            <w:vAlign w:val="bottom"/>
          </w:tcPr>
          <w:p>
            <w:pPr>
              <w:spacing w:after="0"/>
              <w:rPr>
                <w:sz w:val="17"/>
                <w:szCs w:val="17"/>
                <w:color w:val="auto"/>
              </w:rPr>
            </w:pPr>
          </w:p>
        </w:tc>
        <w:tc>
          <w:tcPr>
            <w:tcW w:w="4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TriplePoint</w:t>
            </w:r>
          </w:p>
        </w:tc>
        <w:tc>
          <w:tcPr>
            <w:tcW w:w="90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Jun-17</w:t>
            </w:r>
          </w:p>
        </w:tc>
        <w:tc>
          <w:tcPr>
            <w:tcW w:w="9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18,236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Common</w:t>
            </w:r>
          </w:p>
        </w:tc>
        <w:tc>
          <w:tcPr>
            <w:tcW w:w="6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TriplePoint</w:t>
            </w:r>
          </w:p>
        </w:tc>
        <w:tc>
          <w:tcPr>
            <w:tcW w:w="90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Sep-17</w:t>
            </w:r>
          </w:p>
        </w:tc>
        <w:tc>
          <w:tcPr>
            <w:tcW w:w="9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14,920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right"/>
              <w:ind w:right="340"/>
              <w:spacing w:after="0" w:line="201" w:lineRule="exact"/>
              <w:rPr>
                <w:sz w:val="20"/>
                <w:szCs w:val="20"/>
                <w:color w:val="auto"/>
              </w:rPr>
            </w:pPr>
            <w:r>
              <w:rPr>
                <w:rFonts w:ascii="Arial" w:cs="Arial" w:eastAsia="Arial" w:hAnsi="Arial"/>
                <w:sz w:val="18"/>
                <w:szCs w:val="18"/>
                <w:color w:val="auto"/>
              </w:rPr>
              <w:t>Common</w:t>
            </w:r>
          </w:p>
        </w:tc>
        <w:tc>
          <w:tcPr>
            <w:tcW w:w="6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7.54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TriplePoint</w:t>
            </w:r>
          </w:p>
        </w:tc>
        <w:tc>
          <w:tcPr>
            <w:tcW w:w="90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Jan-18</w:t>
            </w:r>
          </w:p>
        </w:tc>
        <w:tc>
          <w:tcPr>
            <w:tcW w:w="9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16,578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Common</w:t>
            </w:r>
          </w:p>
        </w:tc>
        <w:tc>
          <w:tcPr>
            <w:tcW w:w="6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TriplePoint</w:t>
            </w:r>
          </w:p>
        </w:tc>
        <w:tc>
          <w:tcPr>
            <w:tcW w:w="90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Apr-18</w:t>
            </w:r>
          </w:p>
        </w:tc>
        <w:tc>
          <w:tcPr>
            <w:tcW w:w="9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16,578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right"/>
              <w:ind w:right="340"/>
              <w:spacing w:after="0" w:line="201" w:lineRule="exact"/>
              <w:rPr>
                <w:sz w:val="20"/>
                <w:szCs w:val="20"/>
                <w:color w:val="auto"/>
              </w:rPr>
            </w:pPr>
            <w:r>
              <w:rPr>
                <w:rFonts w:ascii="Arial" w:cs="Arial" w:eastAsia="Arial" w:hAnsi="Arial"/>
                <w:sz w:val="18"/>
                <w:szCs w:val="18"/>
                <w:color w:val="auto"/>
              </w:rPr>
              <w:t>Common</w:t>
            </w:r>
          </w:p>
        </w:tc>
        <w:tc>
          <w:tcPr>
            <w:tcW w:w="6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7.54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Double Helix (Temasek)</w:t>
            </w:r>
          </w:p>
        </w:tc>
        <w:tc>
          <w:tcPr>
            <w:tcW w:w="90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Jul-18</w:t>
            </w:r>
          </w:p>
        </w:tc>
        <w:tc>
          <w:tcPr>
            <w:tcW w:w="9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730,000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Common</w:t>
            </w:r>
          </w:p>
        </w:tc>
        <w:tc>
          <w:tcPr>
            <w:tcW w:w="6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Double Helix (Temasek)</w:t>
            </w:r>
          </w:p>
        </w:tc>
        <w:tc>
          <w:tcPr>
            <w:tcW w:w="90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Jul-18</w:t>
            </w:r>
          </w:p>
        </w:tc>
        <w:tc>
          <w:tcPr>
            <w:tcW w:w="14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730,000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right"/>
              <w:ind w:right="340"/>
              <w:spacing w:after="0" w:line="201" w:lineRule="exact"/>
              <w:rPr>
                <w:sz w:val="20"/>
                <w:szCs w:val="20"/>
                <w:color w:val="auto"/>
              </w:rPr>
            </w:pPr>
            <w:r>
              <w:rPr>
                <w:rFonts w:ascii="Arial" w:cs="Arial" w:eastAsia="Arial" w:hAnsi="Arial"/>
                <w:sz w:val="18"/>
                <w:szCs w:val="18"/>
                <w:color w:val="auto"/>
              </w:rPr>
              <w:t>Common</w:t>
            </w:r>
          </w:p>
        </w:tc>
        <w:tc>
          <w:tcPr>
            <w:tcW w:w="6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27.40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1,609,203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51"/>
              <w:spacing w:after="0"/>
              <w:rPr>
                <w:sz w:val="20"/>
                <w:szCs w:val="20"/>
                <w:color w:val="auto"/>
              </w:rPr>
            </w:pPr>
            <w:r>
              <w:rPr>
                <w:rFonts w:ascii="Arial" w:cs="Arial" w:eastAsia="Arial" w:hAnsi="Arial"/>
                <w:sz w:val="18"/>
                <w:szCs w:val="18"/>
                <w:color w:val="auto"/>
                <w:w w:val="97"/>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Liability classified:</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Comerica Bank</w:t>
            </w:r>
          </w:p>
        </w:tc>
        <w:tc>
          <w:tcPr>
            <w:tcW w:w="90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Oct-13</w:t>
            </w:r>
          </w:p>
        </w:tc>
        <w:tc>
          <w:tcPr>
            <w:tcW w:w="9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15,754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right"/>
              <w:ind w:right="340"/>
              <w:spacing w:after="0" w:line="201" w:lineRule="exact"/>
              <w:rPr>
                <w:sz w:val="20"/>
                <w:szCs w:val="20"/>
                <w:color w:val="auto"/>
              </w:rPr>
            </w:pPr>
            <w:r>
              <w:rPr>
                <w:rFonts w:ascii="Arial" w:cs="Arial" w:eastAsia="Arial" w:hAnsi="Arial"/>
                <w:sz w:val="18"/>
                <w:szCs w:val="18"/>
                <w:color w:val="auto"/>
              </w:rPr>
              <w:t>Series C</w:t>
            </w:r>
          </w:p>
        </w:tc>
        <w:tc>
          <w:tcPr>
            <w:tcW w:w="6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11.11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TriplePoint</w:t>
            </w:r>
          </w:p>
        </w:tc>
        <w:tc>
          <w:tcPr>
            <w:tcW w:w="90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Nov-15</w:t>
            </w:r>
          </w:p>
        </w:tc>
        <w:tc>
          <w:tcPr>
            <w:tcW w:w="9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35,215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Series D</w:t>
            </w:r>
          </w:p>
        </w:tc>
        <w:tc>
          <w:tcPr>
            <w:tcW w:w="6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TriplePoint</w:t>
            </w:r>
          </w:p>
        </w:tc>
        <w:tc>
          <w:tcPr>
            <w:tcW w:w="90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Jun-16</w:t>
            </w:r>
          </w:p>
        </w:tc>
        <w:tc>
          <w:tcPr>
            <w:tcW w:w="9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28,172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right"/>
              <w:ind w:right="340"/>
              <w:spacing w:after="0" w:line="201" w:lineRule="exact"/>
              <w:rPr>
                <w:sz w:val="20"/>
                <w:szCs w:val="20"/>
                <w:color w:val="auto"/>
              </w:rPr>
            </w:pPr>
            <w:r>
              <w:rPr>
                <w:rFonts w:ascii="Arial" w:cs="Arial" w:eastAsia="Arial" w:hAnsi="Arial"/>
                <w:sz w:val="18"/>
                <w:szCs w:val="18"/>
                <w:color w:val="auto"/>
              </w:rPr>
              <w:t>Series D</w:t>
            </w:r>
          </w:p>
        </w:tc>
        <w:tc>
          <w:tcPr>
            <w:tcW w:w="6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17.04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TriplePoint</w:t>
            </w:r>
          </w:p>
        </w:tc>
        <w:tc>
          <w:tcPr>
            <w:tcW w:w="90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Sep-16</w:t>
            </w: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24,650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Series D</w:t>
            </w:r>
          </w:p>
        </w:tc>
        <w:tc>
          <w:tcPr>
            <w:tcW w:w="6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103,791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January 31, 2021</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9"/>
              <w:spacing w:after="0" w:line="141"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ind w:left="100"/>
              <w:spacing w:after="0" w:line="141" w:lineRule="exact"/>
              <w:rPr>
                <w:sz w:val="20"/>
                <w:szCs w:val="20"/>
                <w:color w:val="auto"/>
              </w:rPr>
            </w:pPr>
            <w:r>
              <w:rPr>
                <w:rFonts w:ascii="Arial" w:cs="Arial" w:eastAsia="Arial" w:hAnsi="Arial"/>
                <w:sz w:val="14"/>
                <w:szCs w:val="14"/>
                <w:b w:val="1"/>
                <w:bCs w:val="1"/>
                <w:color w:val="auto"/>
              </w:rPr>
              <w:t>Class of</w:t>
            </w:r>
          </w:p>
        </w:tc>
        <w:tc>
          <w:tcPr>
            <w:tcW w:w="80" w:type="dxa"/>
            <w:vAlign w:val="bottom"/>
          </w:tcPr>
          <w:p>
            <w:pPr>
              <w:spacing w:after="0"/>
              <w:rPr>
                <w:sz w:val="12"/>
                <w:szCs w:val="12"/>
                <w:color w:val="auto"/>
              </w:rPr>
            </w:pPr>
          </w:p>
        </w:tc>
        <w:tc>
          <w:tcPr>
            <w:tcW w:w="660" w:type="dxa"/>
            <w:vAlign w:val="bottom"/>
            <w:gridSpan w:val="3"/>
          </w:tcPr>
          <w:p>
            <w:pPr>
              <w:jc w:val="right"/>
              <w:spacing w:after="0" w:line="141" w:lineRule="exact"/>
              <w:rPr>
                <w:sz w:val="20"/>
                <w:szCs w:val="20"/>
                <w:color w:val="auto"/>
              </w:rPr>
            </w:pPr>
            <w:r>
              <w:rPr>
                <w:rFonts w:ascii="Arial" w:cs="Arial" w:eastAsia="Arial" w:hAnsi="Arial"/>
                <w:sz w:val="14"/>
                <w:szCs w:val="14"/>
                <w:b w:val="1"/>
                <w:bCs w:val="1"/>
                <w:color w:val="auto"/>
              </w:rPr>
              <w:t>Exercise</w:t>
            </w:r>
          </w:p>
        </w:tc>
        <w:tc>
          <w:tcPr>
            <w:tcW w:w="340" w:type="dxa"/>
            <w:vAlign w:val="bottom"/>
          </w:tcPr>
          <w:p>
            <w:pPr>
              <w:spacing w:after="0"/>
              <w:rPr>
                <w:sz w:val="12"/>
                <w:szCs w:val="12"/>
                <w:color w:val="auto"/>
              </w:rPr>
            </w:pPr>
          </w:p>
        </w:tc>
        <w:tc>
          <w:tcPr>
            <w:tcW w:w="7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00" w:type="dxa"/>
            <w:vAlign w:val="bottom"/>
          </w:tcPr>
          <w:p>
            <w:pPr>
              <w:ind w:left="1440"/>
              <w:spacing w:after="0"/>
              <w:rPr>
                <w:sz w:val="20"/>
                <w:szCs w:val="20"/>
                <w:color w:val="auto"/>
              </w:rPr>
            </w:pPr>
            <w:r>
              <w:rPr>
                <w:rFonts w:ascii="Arial" w:cs="Arial" w:eastAsia="Arial" w:hAnsi="Arial"/>
                <w:sz w:val="14"/>
                <w:szCs w:val="14"/>
                <w:b w:val="1"/>
                <w:bCs w:val="1"/>
                <w:color w:val="auto"/>
              </w:rPr>
              <w:t>Outstanding Warrants</w:t>
            </w:r>
          </w:p>
        </w:tc>
        <w:tc>
          <w:tcPr>
            <w:tcW w:w="2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180" w:type="dxa"/>
            <w:vAlign w:val="bottom"/>
            <w:gridSpan w:val="4"/>
          </w:tcPr>
          <w:p>
            <w:pPr>
              <w:ind w:left="340"/>
              <w:spacing w:after="0"/>
              <w:rPr>
                <w:sz w:val="20"/>
                <w:szCs w:val="20"/>
                <w:color w:val="auto"/>
              </w:rPr>
            </w:pPr>
            <w:r>
              <w:rPr>
                <w:rFonts w:ascii="Arial" w:cs="Arial" w:eastAsia="Arial" w:hAnsi="Arial"/>
                <w:sz w:val="14"/>
                <w:szCs w:val="14"/>
                <w:b w:val="1"/>
                <w:bCs w:val="1"/>
                <w:color w:val="auto"/>
              </w:rPr>
              <w:t>at Issuance</w:t>
            </w:r>
          </w:p>
        </w:tc>
        <w:tc>
          <w:tcPr>
            <w:tcW w:w="0" w:type="dxa"/>
            <w:vAlign w:val="bottom"/>
          </w:tcPr>
          <w:p>
            <w:pPr>
              <w:spacing w:after="0"/>
              <w:rPr>
                <w:sz w:val="1"/>
                <w:szCs w:val="1"/>
                <w:color w:val="auto"/>
              </w:rPr>
            </w:pPr>
          </w:p>
        </w:tc>
      </w:tr>
      <w:tr>
        <w:trPr>
          <w:trHeight w:val="180"/>
        </w:trPr>
        <w:tc>
          <w:tcPr>
            <w:tcW w:w="44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Equity classified:</w:t>
            </w:r>
          </w:p>
        </w:tc>
        <w:tc>
          <w:tcPr>
            <w:tcW w:w="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TriplePoint</w:t>
            </w:r>
          </w:p>
        </w:tc>
        <w:tc>
          <w:tcPr>
            <w:tcW w:w="26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Nov-16</w:t>
            </w:r>
          </w:p>
        </w:tc>
        <w:tc>
          <w:tcPr>
            <w:tcW w:w="11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82,891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Common</w:t>
            </w:r>
          </w:p>
        </w:tc>
        <w:tc>
          <w:tcPr>
            <w:tcW w:w="7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  7.54</w:t>
            </w:r>
          </w:p>
        </w:tc>
        <w:tc>
          <w:tcPr>
            <w:tcW w:w="4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TriplePoint</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Jun-17</w:t>
            </w:r>
          </w:p>
        </w:tc>
        <w:tc>
          <w:tcPr>
            <w:tcW w:w="118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18,236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Common</w:t>
            </w:r>
          </w:p>
        </w:tc>
        <w:tc>
          <w:tcPr>
            <w:tcW w:w="7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TriplePoint</w:t>
            </w:r>
          </w:p>
        </w:tc>
        <w:tc>
          <w:tcPr>
            <w:tcW w:w="26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Sep-17</w:t>
            </w:r>
          </w:p>
        </w:tc>
        <w:tc>
          <w:tcPr>
            <w:tcW w:w="11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14,920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Common</w:t>
            </w:r>
          </w:p>
        </w:tc>
        <w:tc>
          <w:tcPr>
            <w:tcW w:w="7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7.54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TriplePoint</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Jan-18</w:t>
            </w:r>
          </w:p>
        </w:tc>
        <w:tc>
          <w:tcPr>
            <w:tcW w:w="118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16,578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Common</w:t>
            </w:r>
          </w:p>
        </w:tc>
        <w:tc>
          <w:tcPr>
            <w:tcW w:w="7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TriplePoint</w:t>
            </w:r>
          </w:p>
        </w:tc>
        <w:tc>
          <w:tcPr>
            <w:tcW w:w="26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Apr-18</w:t>
            </w:r>
          </w:p>
        </w:tc>
        <w:tc>
          <w:tcPr>
            <w:tcW w:w="11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16,578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Common</w:t>
            </w:r>
          </w:p>
        </w:tc>
        <w:tc>
          <w:tcPr>
            <w:tcW w:w="7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7.54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Double Helix (Temasek)</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Jul-18</w:t>
            </w:r>
          </w:p>
        </w:tc>
        <w:tc>
          <w:tcPr>
            <w:tcW w:w="118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730,000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Common</w:t>
            </w:r>
          </w:p>
        </w:tc>
        <w:tc>
          <w:tcPr>
            <w:tcW w:w="7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Pr>
          <w:p>
            <w:pPr>
              <w:spacing w:after="0" w:line="201" w:lineRule="exact"/>
              <w:rPr>
                <w:sz w:val="20"/>
                <w:szCs w:val="20"/>
                <w:color w:val="auto"/>
              </w:rPr>
            </w:pPr>
            <w:r>
              <w:rPr>
                <w:rFonts w:ascii="Arial" w:cs="Arial" w:eastAsia="Arial" w:hAnsi="Arial"/>
                <w:sz w:val="18"/>
                <w:szCs w:val="18"/>
                <w:color w:val="auto"/>
              </w:rPr>
              <w:t>Double Helix (Temasek)</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Jul-18</w:t>
            </w:r>
          </w:p>
        </w:tc>
        <w:tc>
          <w:tcPr>
            <w:tcW w:w="320" w:type="dxa"/>
            <w:vAlign w:val="bottom"/>
            <w:gridSpan w:val="2"/>
          </w:tcPr>
          <w:p>
            <w:pPr>
              <w:spacing w:after="0"/>
              <w:rPr>
                <w:sz w:val="18"/>
                <w:szCs w:val="18"/>
                <w:color w:val="auto"/>
              </w:rPr>
            </w:pPr>
          </w:p>
        </w:tc>
        <w:tc>
          <w:tcPr>
            <w:tcW w:w="86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730,000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Common</w:t>
            </w:r>
          </w:p>
        </w:tc>
        <w:tc>
          <w:tcPr>
            <w:tcW w:w="7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27.40</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1,609,203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Liability classified:</w:t>
            </w: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TriplePoint</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Nov-15</w:t>
            </w:r>
          </w:p>
        </w:tc>
        <w:tc>
          <w:tcPr>
            <w:tcW w:w="118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35,215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Series D</w:t>
            </w:r>
          </w:p>
        </w:tc>
        <w:tc>
          <w:tcPr>
            <w:tcW w:w="7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17.04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TriplePoint</w:t>
            </w:r>
          </w:p>
        </w:tc>
        <w:tc>
          <w:tcPr>
            <w:tcW w:w="26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Jun-16</w:t>
            </w:r>
          </w:p>
        </w:tc>
        <w:tc>
          <w:tcPr>
            <w:tcW w:w="11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28,172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Series D</w:t>
            </w:r>
          </w:p>
        </w:tc>
        <w:tc>
          <w:tcPr>
            <w:tcW w:w="7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17.04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TriplePoint</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Sep-16</w:t>
            </w:r>
          </w:p>
        </w:tc>
        <w:tc>
          <w:tcPr>
            <w:tcW w:w="118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24,650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Series D</w:t>
            </w:r>
          </w:p>
        </w:tc>
        <w:tc>
          <w:tcPr>
            <w:tcW w:w="7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17.04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line="201" w:lineRule="exact"/>
              <w:rPr>
                <w:sz w:val="20"/>
                <w:szCs w:val="20"/>
                <w:color w:val="auto"/>
              </w:rPr>
            </w:pPr>
            <w:r>
              <w:rPr>
                <w:rFonts w:ascii="Arial" w:cs="Arial" w:eastAsia="Arial" w:hAnsi="Arial"/>
                <w:sz w:val="18"/>
                <w:szCs w:val="18"/>
                <w:color w:val="auto"/>
              </w:rPr>
              <w:t>10 Jay</w:t>
            </w:r>
          </w:p>
        </w:tc>
        <w:tc>
          <w:tcPr>
            <w:tcW w:w="26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Oct-20</w:t>
            </w:r>
          </w:p>
        </w:tc>
        <w:tc>
          <w:tcPr>
            <w:tcW w:w="11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76,627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Series G</w:t>
            </w:r>
          </w:p>
        </w:tc>
        <w:tc>
          <w:tcPr>
            <w:tcW w:w="7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14.74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Ares</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Oct-20</w:t>
            </w:r>
          </w:p>
        </w:tc>
        <w:tc>
          <w:tcPr>
            <w:tcW w:w="320" w:type="dxa"/>
            <w:vAlign w:val="bottom"/>
            <w:gridSpan w:val="2"/>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1,651,701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Common</w:t>
            </w:r>
          </w:p>
        </w:tc>
        <w:tc>
          <w:tcPr>
            <w:tcW w:w="7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1,816,365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fair value is estimated using the Black-Scholes option pricing model. The fair value is subjective and is affected by changes in inputs to the valuation model including the fair value per</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940"/>
          </w:cols>
          <w:pgMar w:left="320" w:top="456" w:right="6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right="260"/>
        <w:spacing w:after="0" w:line="239" w:lineRule="auto"/>
        <w:rPr>
          <w:sz w:val="20"/>
          <w:szCs w:val="20"/>
          <w:color w:val="auto"/>
        </w:rPr>
      </w:pPr>
      <w:r>
        <w:rPr>
          <w:rFonts w:ascii="Arial" w:cs="Arial" w:eastAsia="Arial" w:hAnsi="Arial"/>
          <w:sz w:val="18"/>
          <w:szCs w:val="18"/>
          <w:color w:val="auto"/>
        </w:rPr>
        <w:t>share of the underlying stock, the expected term of each warrant, volatility of the Company’s stock and peer company stock, and risk-free rates based on U.S. Treasury yield curves.</w:t>
      </w:r>
    </w:p>
    <w:p>
      <w:pPr>
        <w:spacing w:after="0" w:line="95" w:lineRule="exact"/>
        <w:rPr>
          <w:sz w:val="20"/>
          <w:szCs w:val="20"/>
          <w:color w:val="auto"/>
        </w:rPr>
      </w:pPr>
    </w:p>
    <w:p>
      <w:pPr>
        <w:ind w:left="720" w:right="100"/>
        <w:spacing w:after="0" w:line="235" w:lineRule="auto"/>
        <w:rPr>
          <w:sz w:val="20"/>
          <w:szCs w:val="20"/>
          <w:color w:val="auto"/>
        </w:rPr>
      </w:pPr>
      <w:r>
        <w:rPr>
          <w:rFonts w:ascii="Arial" w:cs="Arial" w:eastAsia="Arial" w:hAnsi="Arial"/>
          <w:sz w:val="18"/>
          <w:szCs w:val="18"/>
          <w:color w:val="auto"/>
        </w:rPr>
        <w:t>The outstanding common stock warrants issued to Ares include a provision in which the holder can receive additional warrant shares upon subsequent issuances of Series G redeemable preferred stock. This feature precludes the warrants from meeting the criteria to be classified in stockholders’ equity and therefore, the warrants are accounted for as derivative liabilities in accordance with ASC 815-40. This provision expires in October 2021. The common stock warrants issued to Ares were allocated a portion of the proceeds received from the Ares Financing Transaction equal to their fair value.</w:t>
      </w:r>
    </w:p>
    <w:p>
      <w:pPr>
        <w:spacing w:after="0" w:line="95"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The Company issued preferred and common stock warrants in conjunction with the issuance of long-term debt. The preferred stock warrants are accounted for as liabilities primarily because the shares underlying the warrants contain contingent redemption features outside the control of the Company. The liability classified warrants are subject to remeasurement at each balance sheet date. With each such re-measurement, the liability classified warrants are adjusted to current fair value recognized as a gain or loss within other income / (expense), net in the consolidated statements of operations. The Company will reassess the classification of the warrants at each balance sheet date. If the classification changes as a result of events during the period, the warrants will be reclassified as of the date of the event that causes the reclassification.</w:t>
      </w:r>
    </w:p>
    <w:p>
      <w:pPr>
        <w:spacing w:after="0" w:line="97"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At January 31, 2020 and 2021, all common stock warrants, with the exception of Ares Facility common stock warrants, were recorded as additional paid in capital and all preferred stock warrants were recorded as liabilities. Equity classified contracts are not subsequently remeasured unless reclassification is required from equity to liability classification.</w:t>
      </w:r>
    </w:p>
    <w:p>
      <w:pPr>
        <w:spacing w:after="0" w:line="327" w:lineRule="exact"/>
        <w:rPr>
          <w:sz w:val="20"/>
          <w:szCs w:val="20"/>
          <w:color w:val="auto"/>
        </w:rPr>
      </w:pPr>
    </w:p>
    <w:p>
      <w:pPr>
        <w:ind w:left="700" w:hanging="526"/>
        <w:spacing w:after="0"/>
        <w:tabs>
          <w:tab w:leader="none" w:pos="7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w:t>
      </w:r>
    </w:p>
    <w:p>
      <w:pPr>
        <w:spacing w:after="0" w:line="122" w:lineRule="exact"/>
        <w:rPr>
          <w:rFonts w:ascii="Arial" w:cs="Arial" w:eastAsia="Arial" w:hAnsi="Arial"/>
          <w:sz w:val="18"/>
          <w:szCs w:val="18"/>
          <w:b w:val="1"/>
          <w:bCs w:val="1"/>
          <w:color w:val="auto"/>
        </w:rPr>
      </w:pPr>
    </w:p>
    <w:p>
      <w:pPr>
        <w:ind w:left="720" w:right="40"/>
        <w:spacing w:after="0" w:line="233"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pursuant to which the Company’s Board of Directors may grant stock options or nonvested shares to employees and service providers. In 2019, the Company adopted a new stock incentive plan (the “2019 Plan”) pursuant to which the Company’s Board of Directors may grant equity, including stock options, RSUs or nonvested shares, to employees and service providers. The Company has granted RSUs and stock options, each of which is settleable in shares. The 2019 Plan, as amended, authorizes grants to purchase up to 13,469,648 shares of common stock. Stock options can be granted with an exercise price less than, equal to or greater than the stock’s fair value at the date of grant. Most stock option awards have a 10-year term, and vest and become fully exercisable after 4 years of service from the date of grant. RSU awards have a 10-year term and have two vesting requirements in order to vest – a time-based requirement and a liquidity event requirement, inclusive of an IPO event. RSUs typically have a 4-year time-based vesting requirement. No RSUs will vest if only one (or if neither) of such requirements is satisfied on or before the end of the 10-year term. Any forfeitures of equity awards granted under the 2009 Plan are automatically transferred to the 2019 Plan.</w:t>
      </w:r>
    </w:p>
    <w:p>
      <w:pPr>
        <w:spacing w:after="0" w:line="100" w:lineRule="exact"/>
        <w:rPr>
          <w:rFonts w:ascii="Arial" w:cs="Arial" w:eastAsia="Arial" w:hAnsi="Arial"/>
          <w:sz w:val="18"/>
          <w:szCs w:val="18"/>
          <w:b w:val="1"/>
          <w:bCs w:val="1"/>
          <w:color w:val="auto"/>
        </w:rPr>
      </w:pPr>
    </w:p>
    <w:p>
      <w:pPr>
        <w:ind w:left="720" w:right="200"/>
        <w:spacing w:after="0" w:line="256" w:lineRule="auto"/>
        <w:rPr>
          <w:rFonts w:ascii="Arial" w:cs="Arial" w:eastAsia="Arial" w:hAnsi="Arial"/>
          <w:sz w:val="18"/>
          <w:szCs w:val="18"/>
          <w:b w:val="1"/>
          <w:bCs w:val="1"/>
          <w:color w:val="auto"/>
        </w:rPr>
      </w:pPr>
      <w:r>
        <w:rPr>
          <w:rFonts w:ascii="Arial" w:cs="Arial" w:eastAsia="Arial" w:hAnsi="Arial"/>
          <w:sz w:val="17"/>
          <w:szCs w:val="17"/>
          <w:color w:val="auto"/>
        </w:rPr>
        <w:t>At January 31, 2020 and 2021, there were 582,258 and 2,459,983 shares available, respectively, for the Company to grant under the 2019 Plan. The grant date fair value of each option award is estimated on the date of grant using the Black-Scholes option pricing model. The option pricing model considers several variables and assumptions in estimating the fair value of stock-based</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60"/>
          </w:cols>
          <w:pgMar w:left="320" w:top="456"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awards. The Company uses Company-specific historical data to estimate the expected term of the option, such as employee option exercise and employee post vesting departure behavior. Since the Company’s shares are not publicly traded and its shares are infrequently traded privately,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in fiscal years 2019 and 2020 were as follows:</w: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8"/>
          </w:tcPr>
          <w:p>
            <w:pPr>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60" w:type="dxa"/>
            <w:vAlign w:val="bottom"/>
          </w:tcPr>
          <w:p>
            <w:pPr>
              <w:spacing w:after="0"/>
              <w:rPr>
                <w:sz w:val="13"/>
                <w:szCs w:val="13"/>
                <w:color w:val="auto"/>
              </w:rPr>
            </w:pPr>
          </w:p>
        </w:tc>
        <w:tc>
          <w:tcPr>
            <w:tcW w:w="49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04"/>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3"/>
              <w:spacing w:after="0" w:line="154"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0"/>
        </w:trPr>
        <w:tc>
          <w:tcPr>
            <w:tcW w:w="60" w:type="dxa"/>
            <w:vAlign w:val="bottom"/>
          </w:tcPr>
          <w:p>
            <w:pPr>
              <w:spacing w:after="0"/>
              <w:rPr>
                <w:sz w:val="15"/>
                <w:szCs w:val="15"/>
                <w:color w:val="auto"/>
              </w:rPr>
            </w:pPr>
          </w:p>
        </w:tc>
        <w:tc>
          <w:tcPr>
            <w:tcW w:w="490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Valuation assumptions:</w:t>
            </w: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0"/>
        </w:trPr>
        <w:tc>
          <w:tcPr>
            <w:tcW w:w="60" w:type="dxa"/>
            <w:vAlign w:val="bottom"/>
          </w:tcPr>
          <w:p>
            <w:pPr>
              <w:spacing w:after="0"/>
              <w:rPr>
                <w:sz w:val="17"/>
                <w:szCs w:val="17"/>
                <w:color w:val="auto"/>
              </w:rPr>
            </w:pPr>
          </w:p>
        </w:tc>
        <w:tc>
          <w:tcPr>
            <w:tcW w:w="4900" w:type="dxa"/>
            <w:vAlign w:val="bottom"/>
          </w:tcPr>
          <w:p>
            <w:pPr>
              <w:ind w:left="360"/>
              <w:spacing w:after="0" w:line="201" w:lineRule="exact"/>
              <w:rPr>
                <w:sz w:val="20"/>
                <w:szCs w:val="20"/>
                <w:color w:val="auto"/>
              </w:rPr>
            </w:pPr>
            <w:r>
              <w:rPr>
                <w:rFonts w:ascii="Arial" w:cs="Arial" w:eastAsia="Arial" w:hAnsi="Arial"/>
                <w:sz w:val="18"/>
                <w:szCs w:val="18"/>
                <w:color w:val="auto"/>
              </w:rPr>
              <w:t>Expected dividend yield</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 %</w:t>
            </w:r>
          </w:p>
        </w:tc>
      </w:tr>
      <w:tr>
        <w:trPr>
          <w:trHeight w:val="200"/>
        </w:trPr>
        <w:tc>
          <w:tcPr>
            <w:tcW w:w="60" w:type="dxa"/>
            <w:vAlign w:val="bottom"/>
          </w:tcPr>
          <w:p>
            <w:pPr>
              <w:spacing w:after="0"/>
              <w:rPr>
                <w:sz w:val="17"/>
                <w:szCs w:val="17"/>
                <w:color w:val="auto"/>
              </w:rPr>
            </w:pPr>
          </w:p>
        </w:tc>
        <w:tc>
          <w:tcPr>
            <w:tcW w:w="4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Expected volatility</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56.04%</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63.91%</w:t>
            </w:r>
          </w:p>
        </w:tc>
        <w:tc>
          <w:tcPr>
            <w:tcW w:w="60" w:type="dxa"/>
            <w:vAlign w:val="bottom"/>
            <w:shd w:val="clear" w:color="auto" w:fill="CCEEFF"/>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4900" w:type="dxa"/>
            <w:vAlign w:val="bottom"/>
          </w:tcPr>
          <w:p>
            <w:pPr>
              <w:ind w:left="360"/>
              <w:spacing w:after="0" w:line="201" w:lineRule="exact"/>
              <w:rPr>
                <w:sz w:val="20"/>
                <w:szCs w:val="20"/>
                <w:color w:val="auto"/>
              </w:rPr>
            </w:pPr>
            <w:r>
              <w:rPr>
                <w:rFonts w:ascii="Arial" w:cs="Arial" w:eastAsia="Arial" w:hAnsi="Arial"/>
                <w:sz w:val="18"/>
                <w:szCs w:val="18"/>
                <w:color w:val="auto"/>
              </w:rPr>
              <w:t>Expected term (in years)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6.10</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4.89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4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1.91%</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7"/>
                <w:szCs w:val="17"/>
                <w:color w:val="auto"/>
              </w:rPr>
            </w:pPr>
          </w:p>
        </w:tc>
      </w:tr>
      <w:tr>
        <w:trPr>
          <w:trHeight w:val="426"/>
        </w:trPr>
        <w:tc>
          <w:tcPr>
            <w:tcW w:w="4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7"/>
        </w:trPr>
        <w:tc>
          <w:tcPr>
            <w:tcW w:w="496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6"/>
        </w:trPr>
        <w:tc>
          <w:tcPr>
            <w:tcW w:w="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4"/>
                <w:szCs w:val="14"/>
                <w:b w:val="1"/>
                <w:bCs w:val="1"/>
                <w:color w:val="auto"/>
              </w:rPr>
              <w:t>Weighted</w:t>
            </w: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3"/>
                <w:szCs w:val="13"/>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Contract</w:t>
            </w: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3"/>
                <w:szCs w:val="13"/>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3"/>
                <w:szCs w:val="13"/>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3"/>
                <w:szCs w:val="13"/>
                <w:color w:val="auto"/>
              </w:rPr>
            </w:pPr>
          </w:p>
        </w:tc>
        <w:tc>
          <w:tcPr>
            <w:tcW w:w="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Intrinsic</w:t>
            </w:r>
          </w:p>
        </w:tc>
      </w:tr>
      <w:tr>
        <w:trPr>
          <w:trHeight w:val="174"/>
        </w:trPr>
        <w:tc>
          <w:tcPr>
            <w:tcW w:w="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Price</w:t>
            </w:r>
          </w:p>
        </w:tc>
        <w:tc>
          <w:tcPr>
            <w:tcW w:w="22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Value</w:t>
            </w:r>
          </w:p>
        </w:tc>
      </w:tr>
      <w:tr>
        <w:trPr>
          <w:trHeight w:val="194"/>
        </w:trPr>
        <w:tc>
          <w:tcPr>
            <w:tcW w:w="60" w:type="dxa"/>
            <w:vAlign w:val="bottom"/>
          </w:tcPr>
          <w:p>
            <w:pPr>
              <w:spacing w:after="0"/>
              <w:rPr>
                <w:sz w:val="16"/>
                <w:szCs w:val="16"/>
                <w:color w:val="auto"/>
              </w:rPr>
            </w:pPr>
          </w:p>
        </w:tc>
        <w:tc>
          <w:tcPr>
            <w:tcW w:w="49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Balances at January 31, 2019</w:t>
            </w: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5,355,557</w:t>
            </w: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7.82</w:t>
            </w: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7.78</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24.7</w:t>
            </w:r>
          </w:p>
        </w:tc>
        <w:tc>
          <w:tcPr>
            <w:tcW w:w="60" w:type="dxa"/>
            <w:vAlign w:val="bottom"/>
            <w:tcBorders>
              <w:top w:val="single" w:sz="8" w:color="CCEEFF"/>
            </w:tcBorders>
            <w:shd w:val="clear" w:color="auto" w:fill="CCEEFF"/>
          </w:tcPr>
          <w:p>
            <w:pPr>
              <w:spacing w:after="0"/>
              <w:rPr>
                <w:sz w:val="16"/>
                <w:szCs w:val="16"/>
                <w:color w:val="auto"/>
              </w:rPr>
            </w:pPr>
          </w:p>
        </w:tc>
      </w:tr>
      <w:tr>
        <w:trPr>
          <w:trHeight w:val="200"/>
        </w:trPr>
        <w:tc>
          <w:tcPr>
            <w:tcW w:w="60" w:type="dxa"/>
            <w:vAlign w:val="bottom"/>
          </w:tcPr>
          <w:p>
            <w:pPr>
              <w:spacing w:after="0"/>
              <w:rPr>
                <w:sz w:val="17"/>
                <w:szCs w:val="17"/>
                <w:color w:val="auto"/>
              </w:rPr>
            </w:pPr>
          </w:p>
        </w:tc>
        <w:tc>
          <w:tcPr>
            <w:tcW w:w="4900" w:type="dxa"/>
            <w:vAlign w:val="bottom"/>
          </w:tcPr>
          <w:p>
            <w:pPr>
              <w:ind w:left="360"/>
              <w:spacing w:after="0" w:line="201"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2,310,773</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13.43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4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(270,978)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6.56</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60" w:type="dxa"/>
            <w:vAlign w:val="bottom"/>
          </w:tcPr>
          <w:p>
            <w:pPr>
              <w:spacing w:after="0"/>
              <w:rPr>
                <w:sz w:val="18"/>
                <w:szCs w:val="18"/>
                <w:color w:val="auto"/>
              </w:rPr>
            </w:pPr>
          </w:p>
        </w:tc>
        <w:tc>
          <w:tcPr>
            <w:tcW w:w="4900" w:type="dxa"/>
            <w:vAlign w:val="bottom"/>
          </w:tcPr>
          <w:p>
            <w:pPr>
              <w:ind w:left="360"/>
              <w:spacing w:after="0" w:line="201" w:lineRule="exact"/>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(371,818)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11.56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6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January 31, 2020</w:t>
            </w:r>
          </w:p>
        </w:tc>
        <w:tc>
          <w:tcPr>
            <w:tcW w:w="9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7,023,534</w:t>
            </w:r>
          </w:p>
        </w:tc>
        <w:tc>
          <w:tcPr>
            <w:tcW w:w="3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9.52</w:t>
            </w: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7.31</w:t>
            </w:r>
          </w:p>
        </w:tc>
        <w:tc>
          <w:tcPr>
            <w:tcW w:w="4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4900" w:type="dxa"/>
            <w:vAlign w:val="bottom"/>
          </w:tcPr>
          <w:p>
            <w:pPr>
              <w:ind w:left="360"/>
              <w:spacing w:after="0" w:line="201" w:lineRule="exact"/>
              <w:rPr>
                <w:sz w:val="20"/>
                <w:szCs w:val="20"/>
                <w:color w:val="auto"/>
              </w:rPr>
            </w:pPr>
            <w:r>
              <w:rPr>
                <w:rFonts w:ascii="Arial" w:cs="Arial" w:eastAsia="Arial" w:hAnsi="Arial"/>
                <w:sz w:val="18"/>
                <w:szCs w:val="18"/>
                <w:color w:val="auto"/>
              </w:rPr>
              <w:t>Granted (1)</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3,153,275</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7.47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4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(84,885)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6.81</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60" w:type="dxa"/>
            <w:vAlign w:val="bottom"/>
          </w:tcPr>
          <w:p>
            <w:pPr>
              <w:spacing w:after="0"/>
              <w:rPr>
                <w:sz w:val="18"/>
                <w:szCs w:val="18"/>
                <w:color w:val="auto"/>
              </w:rPr>
            </w:pPr>
          </w:p>
        </w:tc>
        <w:tc>
          <w:tcPr>
            <w:tcW w:w="4900" w:type="dxa"/>
            <w:vAlign w:val="bottom"/>
          </w:tcPr>
          <w:p>
            <w:pPr>
              <w:ind w:left="360"/>
              <w:spacing w:after="0" w:line="201" w:lineRule="exact"/>
              <w:rPr>
                <w:sz w:val="20"/>
                <w:szCs w:val="20"/>
                <w:color w:val="auto"/>
              </w:rPr>
            </w:pPr>
            <w:r>
              <w:rPr>
                <w:rFonts w:ascii="Arial" w:cs="Arial" w:eastAsia="Arial" w:hAnsi="Arial"/>
                <w:sz w:val="18"/>
                <w:szCs w:val="18"/>
                <w:color w:val="auto"/>
              </w:rPr>
              <w:t>Forfeited (1)</w:t>
            </w:r>
          </w:p>
        </w:tc>
        <w:tc>
          <w:tcPr>
            <w:tcW w:w="12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(4,031,817)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12.16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6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January 31, 2021</w:t>
            </w:r>
          </w:p>
        </w:tc>
        <w:tc>
          <w:tcPr>
            <w:tcW w:w="9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6,060,107</w:t>
            </w:r>
          </w:p>
        </w:tc>
        <w:tc>
          <w:tcPr>
            <w:tcW w:w="3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6.76</w:t>
            </w: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6.45</w:t>
            </w:r>
          </w:p>
        </w:tc>
        <w:tc>
          <w:tcPr>
            <w:tcW w:w="4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7"/>
                <w:szCs w:val="17"/>
                <w:color w:val="auto"/>
              </w:rPr>
            </w:pPr>
          </w:p>
        </w:tc>
      </w:tr>
      <w:tr>
        <w:trPr>
          <w:trHeight w:val="20"/>
        </w:trPr>
        <w:tc>
          <w:tcPr>
            <w:tcW w:w="496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4960" w:type="dxa"/>
            <w:vAlign w:val="bottom"/>
            <w:gridSpan w:val="2"/>
          </w:tcPr>
          <w:p>
            <w:pPr>
              <w:ind w:left="60"/>
              <w:spacing w:after="0" w:line="206" w:lineRule="exact"/>
              <w:rPr>
                <w:sz w:val="20"/>
                <w:szCs w:val="20"/>
                <w:color w:val="auto"/>
              </w:rPr>
            </w:pPr>
            <w:r>
              <w:rPr>
                <w:rFonts w:ascii="Arial" w:cs="Arial" w:eastAsia="Arial" w:hAnsi="Arial"/>
                <w:sz w:val="18"/>
                <w:szCs w:val="18"/>
                <w:color w:val="auto"/>
              </w:rPr>
              <w:t>Exercisable at January 31, 2021</w:t>
            </w:r>
          </w:p>
        </w:tc>
        <w:tc>
          <w:tcPr>
            <w:tcW w:w="920" w:type="dxa"/>
            <w:vAlign w:val="bottom"/>
          </w:tcPr>
          <w:p>
            <w:pPr>
              <w:jc w:val="right"/>
              <w:spacing w:after="0" w:line="206" w:lineRule="exact"/>
              <w:rPr>
                <w:sz w:val="20"/>
                <w:szCs w:val="20"/>
                <w:color w:val="auto"/>
              </w:rPr>
            </w:pPr>
            <w:r>
              <w:rPr>
                <w:rFonts w:ascii="Arial" w:cs="Arial" w:eastAsia="Arial" w:hAnsi="Arial"/>
                <w:sz w:val="18"/>
                <w:szCs w:val="18"/>
                <w:color w:val="auto"/>
              </w:rPr>
              <w:t>4,036,611</w:t>
            </w:r>
          </w:p>
        </w:tc>
        <w:tc>
          <w:tcPr>
            <w:tcW w:w="320" w:type="dxa"/>
            <w:vAlign w:val="bottom"/>
          </w:tcPr>
          <w:p>
            <w:pPr>
              <w:spacing w:after="0"/>
              <w:rPr>
                <w:sz w:val="17"/>
                <w:szCs w:val="17"/>
                <w:color w:val="auto"/>
              </w:rPr>
            </w:pPr>
          </w:p>
        </w:tc>
        <w:tc>
          <w:tcPr>
            <w:tcW w:w="420" w:type="dxa"/>
            <w:vAlign w:val="bottom"/>
            <w:gridSpan w:val="2"/>
          </w:tcPr>
          <w:p>
            <w:pPr>
              <w:ind w:left="300"/>
              <w:spacing w:after="0" w:line="206"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6" w:lineRule="exact"/>
              <w:rPr>
                <w:sz w:val="20"/>
                <w:szCs w:val="20"/>
                <w:color w:val="auto"/>
              </w:rPr>
            </w:pPr>
            <w:r>
              <w:rPr>
                <w:rFonts w:ascii="Arial" w:cs="Arial" w:eastAsia="Arial" w:hAnsi="Arial"/>
                <w:sz w:val="18"/>
                <w:szCs w:val="18"/>
                <w:color w:val="auto"/>
              </w:rPr>
              <w:t>6.49</w:t>
            </w:r>
          </w:p>
        </w:tc>
        <w:tc>
          <w:tcPr>
            <w:tcW w:w="340" w:type="dxa"/>
            <w:vAlign w:val="bottom"/>
          </w:tcPr>
          <w:p>
            <w:pPr>
              <w:spacing w:after="0"/>
              <w:rPr>
                <w:sz w:val="17"/>
                <w:szCs w:val="17"/>
                <w:color w:val="auto"/>
              </w:rPr>
            </w:pPr>
          </w:p>
        </w:tc>
        <w:tc>
          <w:tcPr>
            <w:tcW w:w="960" w:type="dxa"/>
            <w:vAlign w:val="bottom"/>
            <w:gridSpan w:val="3"/>
          </w:tcPr>
          <w:p>
            <w:pPr>
              <w:jc w:val="right"/>
              <w:spacing w:after="0" w:line="206" w:lineRule="exact"/>
              <w:rPr>
                <w:sz w:val="20"/>
                <w:szCs w:val="20"/>
                <w:color w:val="auto"/>
              </w:rPr>
            </w:pPr>
            <w:r>
              <w:rPr>
                <w:rFonts w:ascii="Arial" w:cs="Arial" w:eastAsia="Arial" w:hAnsi="Arial"/>
                <w:sz w:val="18"/>
                <w:szCs w:val="18"/>
                <w:color w:val="auto"/>
              </w:rPr>
              <w:t>5.53</w:t>
            </w:r>
          </w:p>
        </w:tc>
        <w:tc>
          <w:tcPr>
            <w:tcW w:w="420" w:type="dxa"/>
            <w:vAlign w:val="bottom"/>
          </w:tcPr>
          <w:p>
            <w:pPr>
              <w:spacing w:after="0"/>
              <w:rPr>
                <w:sz w:val="17"/>
                <w:szCs w:val="17"/>
                <w:color w:val="auto"/>
              </w:rPr>
            </w:pPr>
          </w:p>
        </w:tc>
        <w:tc>
          <w:tcPr>
            <w:tcW w:w="2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r>
    </w:tbl>
    <w:p>
      <w:pPr>
        <w:spacing w:after="0" w:line="8" w:lineRule="exact"/>
        <w:rPr>
          <w:sz w:val="20"/>
          <w:szCs w:val="20"/>
          <w:color w:val="auto"/>
        </w:rPr>
      </w:pPr>
    </w:p>
    <w:p>
      <w:pPr>
        <w:ind w:left="1340" w:hanging="632"/>
        <w:spacing w:after="0"/>
        <w:tabs>
          <w:tab w:leader="none" w:pos="1340" w:val="left"/>
        </w:tabs>
        <w:numPr>
          <w:ilvl w:val="0"/>
          <w:numId w:val="183"/>
        </w:numPr>
        <w:rPr>
          <w:rFonts w:ascii="Arial" w:cs="Arial" w:eastAsia="Arial" w:hAnsi="Arial"/>
          <w:sz w:val="24"/>
          <w:szCs w:val="24"/>
          <w:color w:val="auto"/>
          <w:vertAlign w:val="superscript"/>
        </w:rPr>
      </w:pPr>
      <w:r>
        <w:rPr>
          <w:rFonts w:ascii="Arial" w:cs="Arial" w:eastAsia="Arial" w:hAnsi="Arial"/>
          <w:sz w:val="14"/>
          <w:szCs w:val="14"/>
          <w:color w:val="auto"/>
        </w:rPr>
        <w:t>Includes options that were canceled and re-granted as part of the option repricing modification, as further discussed below.</w:t>
      </w:r>
    </w:p>
    <w:p>
      <w:pPr>
        <w:spacing w:after="0" w:line="91" w:lineRule="exact"/>
        <w:rPr>
          <w:sz w:val="20"/>
          <w:szCs w:val="20"/>
          <w:color w:val="auto"/>
        </w:rPr>
      </w:pPr>
    </w:p>
    <w:p>
      <w:pPr>
        <w:ind w:left="720" w:right="120"/>
        <w:spacing w:after="0" w:line="237" w:lineRule="auto"/>
        <w:rPr>
          <w:sz w:val="20"/>
          <w:szCs w:val="20"/>
          <w:color w:val="auto"/>
        </w:rPr>
      </w:pPr>
      <w:r>
        <w:rPr>
          <w:rFonts w:ascii="Arial" w:cs="Arial" w:eastAsia="Arial" w:hAnsi="Arial"/>
          <w:sz w:val="18"/>
          <w:szCs w:val="18"/>
          <w:color w:val="auto"/>
        </w:rPr>
        <w:t>The weighted average grant date fair values of stock options granted during fiscal years 2019 and 2020 were $7.21 and $1.53, as adjusted for the option repricing modification as further discussed below, respectively. The total intrinsic value of stock options exercised during the fiscal years 2019 and 2020 were $1.9 million and $0.3 million, respectively.</w:t>
      </w:r>
    </w:p>
    <w:p>
      <w:pPr>
        <w:spacing w:after="0" w:line="95" w:lineRule="exact"/>
        <w:rPr>
          <w:sz w:val="20"/>
          <w:szCs w:val="20"/>
          <w:color w:val="auto"/>
        </w:rPr>
      </w:pPr>
    </w:p>
    <w:p>
      <w:pPr>
        <w:ind w:left="720" w:right="460"/>
        <w:spacing w:after="0" w:line="237" w:lineRule="auto"/>
        <w:rPr>
          <w:sz w:val="20"/>
          <w:szCs w:val="20"/>
          <w:color w:val="auto"/>
        </w:rPr>
      </w:pPr>
      <w:r>
        <w:rPr>
          <w:rFonts w:ascii="Arial" w:cs="Arial" w:eastAsia="Arial" w:hAnsi="Arial"/>
          <w:sz w:val="18"/>
          <w:szCs w:val="18"/>
          <w:color w:val="auto"/>
        </w:rPr>
        <w:t>At January 31, 2020 and 2021, there were $13.0 million and $9.6 million of unrecognized compensation costs related to stock options granted under the Plan and are expected to be recognized over a weighted average period of 2.82 and 2.23 years, respectively.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40"/>
          </w:cols>
          <w:pgMar w:left="320" w:top="456" w:right="5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uses authorized and unissued shares to satisfy exercising of stock option awards.</w:t>
      </w:r>
    </w:p>
    <w:p>
      <w:pPr>
        <w:spacing w:after="0" w:line="100" w:lineRule="exact"/>
        <w:rPr>
          <w:sz w:val="20"/>
          <w:szCs w:val="20"/>
          <w:color w:val="auto"/>
        </w:rPr>
      </w:pPr>
    </w:p>
    <w:p>
      <w:pPr>
        <w:ind w:left="720"/>
        <w:spacing w:after="0" w:line="233" w:lineRule="auto"/>
        <w:rPr>
          <w:sz w:val="20"/>
          <w:szCs w:val="20"/>
          <w:color w:val="auto"/>
        </w:rPr>
      </w:pPr>
      <w:r>
        <w:rPr>
          <w:rFonts w:ascii="Arial" w:cs="Arial" w:eastAsia="Arial" w:hAnsi="Arial"/>
          <w:sz w:val="18"/>
          <w:szCs w:val="18"/>
          <w:color w:val="auto"/>
        </w:rPr>
        <w:t>On October 26, 2020, the Company’s Board approved a one-time stock option repricing, which repriced certain outstanding stock options held by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 pricing model at the date of the modification, and $1.2 million was recognized related to vested options as incremental compensation expense during the year ended January 31, 2021. The Company will recognize the remaining $1.1 million of incremental compensation costs on a straight-line basis over the remaining requisite service period.</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RSUs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RSUs activity during the periods indicated is as follows: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Weighted</w:t>
            </w:r>
          </w:p>
        </w:tc>
      </w:tr>
      <w:tr>
        <w:trPr>
          <w:trHeight w:val="160"/>
        </w:trPr>
        <w:tc>
          <w:tcPr>
            <w:tcW w:w="7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w:t>
            </w:r>
          </w:p>
        </w:tc>
      </w:tr>
      <w:tr>
        <w:trPr>
          <w:trHeight w:val="160"/>
        </w:trPr>
        <w:tc>
          <w:tcPr>
            <w:tcW w:w="7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tcPr>
          <w:p>
            <w:pPr>
              <w:jc w:val="center"/>
              <w:ind w:left="100"/>
              <w:spacing w:after="0"/>
              <w:rPr>
                <w:sz w:val="20"/>
                <w:szCs w:val="20"/>
                <w:color w:val="auto"/>
              </w:rPr>
            </w:pPr>
            <w:r>
              <w:rPr>
                <w:rFonts w:ascii="Arial" w:cs="Arial" w:eastAsia="Arial" w:hAnsi="Arial"/>
                <w:sz w:val="14"/>
                <w:szCs w:val="14"/>
                <w:b w:val="1"/>
                <w:bCs w:val="1"/>
                <w:color w:val="auto"/>
              </w:rPr>
              <w:t>Grant-Date</w:t>
            </w:r>
          </w:p>
        </w:tc>
      </w:tr>
      <w:tr>
        <w:trPr>
          <w:trHeight w:val="160"/>
        </w:trPr>
        <w:tc>
          <w:tcPr>
            <w:tcW w:w="754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3"/>
                <w:szCs w:val="13"/>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Fair Value</w:t>
            </w:r>
          </w:p>
        </w:tc>
      </w:tr>
      <w:tr>
        <w:trPr>
          <w:trHeight w:val="174"/>
        </w:trPr>
        <w:tc>
          <w:tcPr>
            <w:tcW w:w="754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per Share</w:t>
            </w:r>
          </w:p>
        </w:tc>
      </w:tr>
      <w:tr>
        <w:trPr>
          <w:trHeight w:val="194"/>
        </w:trPr>
        <w:tc>
          <w:tcPr>
            <w:tcW w:w="75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Unvested and outstanding at February 1, 2020</w:t>
            </w:r>
          </w:p>
        </w:tc>
        <w:tc>
          <w:tcPr>
            <w:tcW w:w="860" w:type="dxa"/>
            <w:vAlign w:val="bottom"/>
            <w:tcBorders>
              <w:top w:val="single" w:sz="8" w:color="auto"/>
            </w:tcBorders>
            <w:shd w:val="clear" w:color="auto" w:fill="CCEEFF"/>
          </w:tcPr>
          <w:p>
            <w:pPr>
              <w:jc w:val="right"/>
              <w:ind w:right="37"/>
              <w:spacing w:after="0" w:line="194"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5"/>
              <w:spacing w:after="0" w:line="19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0"/>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1,689,217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12.29</w:t>
            </w:r>
          </w:p>
        </w:tc>
        <w:tc>
          <w:tcPr>
            <w:tcW w:w="60" w:type="dxa"/>
            <w:vAlign w:val="bottom"/>
          </w:tcPr>
          <w:p>
            <w:pPr>
              <w:spacing w:after="0"/>
              <w:rPr>
                <w:sz w:val="17"/>
                <w:szCs w:val="17"/>
                <w:color w:val="auto"/>
              </w:rPr>
            </w:pPr>
          </w:p>
        </w:tc>
      </w:tr>
      <w:tr>
        <w:trPr>
          <w:trHeight w:val="200"/>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(179,616)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13.34</w:t>
            </w:r>
          </w:p>
        </w:tc>
        <w:tc>
          <w:tcPr>
            <w:tcW w:w="60" w:type="dxa"/>
            <w:vAlign w:val="bottom"/>
            <w:shd w:val="clear" w:color="auto" w:fill="CCEEFF"/>
          </w:tcPr>
          <w:p>
            <w:pPr>
              <w:spacing w:after="0"/>
              <w:rPr>
                <w:sz w:val="17"/>
                <w:szCs w:val="17"/>
                <w:color w:val="auto"/>
              </w:rPr>
            </w:pPr>
          </w:p>
        </w:tc>
      </w:tr>
      <w:tr>
        <w:trPr>
          <w:trHeight w:val="207"/>
        </w:trPr>
        <w:tc>
          <w:tcPr>
            <w:tcW w:w="7540" w:type="dxa"/>
            <w:vAlign w:val="bottom"/>
          </w:tcPr>
          <w:p>
            <w:pPr>
              <w:spacing w:after="0"/>
              <w:rPr>
                <w:sz w:val="20"/>
                <w:szCs w:val="20"/>
                <w:color w:val="auto"/>
              </w:rPr>
            </w:pPr>
            <w:r>
              <w:rPr>
                <w:rFonts w:ascii="Arial" w:cs="Arial" w:eastAsia="Arial" w:hAnsi="Arial"/>
                <w:sz w:val="18"/>
                <w:szCs w:val="18"/>
                <w:color w:val="auto"/>
              </w:rPr>
              <w:t>Unvested and outstanding at January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1,509,601</w:t>
            </w:r>
          </w:p>
        </w:tc>
        <w:tc>
          <w:tcPr>
            <w:tcW w:w="260" w:type="dxa"/>
            <w:vAlign w:val="bottom"/>
          </w:tcPr>
          <w:p>
            <w:pPr>
              <w:spacing w:after="0"/>
              <w:rPr>
                <w:sz w:val="18"/>
                <w:szCs w:val="18"/>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12.17</w:t>
            </w:r>
          </w:p>
        </w:tc>
        <w:tc>
          <w:tcPr>
            <w:tcW w:w="6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9"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The total unrecorded share based compensation expense related to these awards was $12.7 million as of January 31, 2021. The total unrecorded share based compensation expense relating to RSUs for which the time-based service vesting condition had been satisfied or partially satisfied as of January 31, 2021 was $7.6 million, which represents the amount of cumulative compensation expense that would have been recognized in our financial statements had the initial public offering been determined to be probable at January 31, 2021.</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classification of share-based compensation by line item within the consolidated statements of operations is as follows: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38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3800" w:type="dxa"/>
            <w:vAlign w:val="bottom"/>
            <w:tcBorders>
              <w:bottom w:val="single" w:sz="8" w:color="CCEEFF"/>
            </w:tcBorders>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7"/>
              <w:spacing w:after="0" w:line="154"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4"/>
        </w:trPr>
        <w:tc>
          <w:tcPr>
            <w:tcW w:w="38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Technology</w:t>
            </w:r>
          </w:p>
        </w:tc>
        <w:tc>
          <w:tcPr>
            <w:tcW w:w="35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1.7</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6"/>
                <w:szCs w:val="16"/>
                <w:color w:val="auto"/>
              </w:rPr>
            </w:pPr>
          </w:p>
        </w:tc>
      </w:tr>
      <w:tr>
        <w:trPr>
          <w:trHeight w:val="200"/>
        </w:trPr>
        <w:tc>
          <w:tcPr>
            <w:tcW w:w="3800" w:type="dxa"/>
            <w:vAlign w:val="bottom"/>
          </w:tcPr>
          <w:p>
            <w:pPr>
              <w:spacing w:after="0" w:line="201" w:lineRule="exact"/>
              <w:rPr>
                <w:sz w:val="20"/>
                <w:szCs w:val="20"/>
                <w:color w:val="auto"/>
              </w:rPr>
            </w:pPr>
            <w:r>
              <w:rPr>
                <w:rFonts w:ascii="Arial" w:cs="Arial" w:eastAsia="Arial" w:hAnsi="Arial"/>
                <w:sz w:val="18"/>
                <w:szCs w:val="18"/>
                <w:color w:val="auto"/>
              </w:rPr>
              <w:t>Marketing</w:t>
            </w: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0.4</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0.4</w:t>
            </w:r>
          </w:p>
        </w:tc>
        <w:tc>
          <w:tcPr>
            <w:tcW w:w="60" w:type="dxa"/>
            <w:vAlign w:val="bottom"/>
          </w:tcPr>
          <w:p>
            <w:pPr>
              <w:spacing w:after="0"/>
              <w:rPr>
                <w:sz w:val="17"/>
                <w:szCs w:val="17"/>
                <w:color w:val="auto"/>
              </w:rPr>
            </w:pPr>
          </w:p>
        </w:tc>
      </w:tr>
      <w:tr>
        <w:trPr>
          <w:trHeight w:val="200"/>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3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4.7</w:t>
            </w:r>
          </w:p>
        </w:tc>
        <w:tc>
          <w:tcPr>
            <w:tcW w:w="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7"/>
                <w:szCs w:val="17"/>
                <w:color w:val="auto"/>
              </w:rPr>
            </w:pPr>
          </w:p>
        </w:tc>
      </w:tr>
      <w:tr>
        <w:trPr>
          <w:trHeight w:val="207"/>
        </w:trPr>
        <w:tc>
          <w:tcPr>
            <w:tcW w:w="3800" w:type="dxa"/>
            <w:vAlign w:val="bottom"/>
          </w:tcPr>
          <w:p>
            <w:pPr>
              <w:ind w:left="360"/>
              <w:spacing w:after="0"/>
              <w:rPr>
                <w:sz w:val="20"/>
                <w:szCs w:val="20"/>
                <w:color w:val="auto"/>
              </w:rPr>
            </w:pPr>
            <w:r>
              <w:rPr>
                <w:rFonts w:ascii="Arial" w:cs="Arial" w:eastAsia="Arial" w:hAnsi="Arial"/>
                <w:sz w:val="18"/>
                <w:szCs w:val="18"/>
                <w:color w:val="auto"/>
              </w:rPr>
              <w:t>Total share-based compensation</w:t>
            </w:r>
          </w:p>
        </w:tc>
        <w:tc>
          <w:tcPr>
            <w:tcW w:w="3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3800" w:type="dxa"/>
            <w:vAlign w:val="bottom"/>
          </w:tcPr>
          <w:p>
            <w:pPr>
              <w:spacing w:after="0"/>
              <w:rPr>
                <w:sz w:val="24"/>
                <w:szCs w:val="24"/>
                <w:color w:val="auto"/>
              </w:rPr>
            </w:pPr>
          </w:p>
        </w:tc>
        <w:tc>
          <w:tcPr>
            <w:tcW w:w="3720" w:type="dxa"/>
            <w:vAlign w:val="bottom"/>
            <w:gridSpan w:val="2"/>
          </w:tcPr>
          <w:p>
            <w:pPr>
              <w:jc w:val="right"/>
              <w:ind w:right="2411"/>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320" w:top="456" w:right="5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36" w:lineRule="exact"/>
        <w:rPr>
          <w:sz w:val="20"/>
          <w:szCs w:val="20"/>
          <w:color w:val="auto"/>
        </w:rPr>
      </w:pPr>
    </w:p>
    <w:p>
      <w:pPr>
        <w:ind w:left="700" w:hanging="526"/>
        <w:spacing w:after="0"/>
        <w:tabs>
          <w:tab w:leader="none" w:pos="70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2" w:lineRule="exact"/>
        <w:rPr>
          <w:rFonts w:ascii="Arial" w:cs="Arial" w:eastAsia="Arial" w:hAnsi="Arial"/>
          <w:sz w:val="18"/>
          <w:szCs w:val="18"/>
          <w:b w:val="1"/>
          <w:bCs w:val="1"/>
          <w:color w:val="auto"/>
        </w:rPr>
      </w:pPr>
    </w:p>
    <w:p>
      <w:pPr>
        <w:ind w:left="720" w:right="68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participating securities. The Company has one class of common stock.</w:t>
      </w:r>
    </w:p>
    <w:p>
      <w:pPr>
        <w:spacing w:after="0" w:line="20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6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62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8"/>
              <w:spacing w:after="0" w:line="154"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5"/>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80"/>
        </w:trPr>
        <w:tc>
          <w:tcPr>
            <w:tcW w:w="622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Numerator:</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0"/>
        </w:trPr>
        <w:tc>
          <w:tcPr>
            <w:tcW w:w="6220" w:type="dxa"/>
            <w:vAlign w:val="bottom"/>
          </w:tcPr>
          <w:p>
            <w:pPr>
              <w:ind w:left="360"/>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(153.9)</w:t>
            </w:r>
          </w:p>
        </w:tc>
        <w:tc>
          <w:tcPr>
            <w:tcW w:w="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(171.1)</w:t>
            </w:r>
          </w:p>
        </w:tc>
      </w:tr>
      <w:tr>
        <w:trPr>
          <w:trHeight w:val="20"/>
        </w:trPr>
        <w:tc>
          <w:tcPr>
            <w:tcW w:w="6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62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Denominator:</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0"/>
        </w:trPr>
        <w:tc>
          <w:tcPr>
            <w:tcW w:w="6220" w:type="dxa"/>
            <w:vAlign w:val="bottom"/>
          </w:tcPr>
          <w:p>
            <w:pPr>
              <w:ind w:left="360"/>
              <w:spacing w:after="0" w:line="200" w:lineRule="exact"/>
              <w:rPr>
                <w:sz w:val="20"/>
                <w:szCs w:val="20"/>
                <w:color w:val="auto"/>
              </w:rPr>
            </w:pPr>
            <w:r>
              <w:rPr>
                <w:rFonts w:ascii="Arial" w:cs="Arial" w:eastAsia="Arial" w:hAnsi="Arial"/>
                <w:sz w:val="18"/>
                <w:szCs w:val="18"/>
                <w:color w:val="auto"/>
              </w:rPr>
              <w:t>Weighted-average shares used in computing net loss per share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220" w:type="dxa"/>
            <w:vAlign w:val="bottom"/>
          </w:tcPr>
          <w:p>
            <w:pPr>
              <w:ind w:left="52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10,964,634</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11,138,851</w:t>
            </w:r>
          </w:p>
        </w:tc>
        <w:tc>
          <w:tcPr>
            <w:tcW w:w="120" w:type="dxa"/>
            <w:vAlign w:val="bottom"/>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62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8"/>
                <w:szCs w:val="18"/>
                <w:color w:val="auto"/>
              </w:rPr>
              <w:t>(14.04)</w:t>
            </w:r>
          </w:p>
        </w:tc>
        <w:tc>
          <w:tcPr>
            <w:tcW w:w="5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(15.36)</w:t>
            </w:r>
          </w:p>
        </w:tc>
      </w:tr>
      <w:tr>
        <w:trPr>
          <w:trHeight w:val="20"/>
        </w:trPr>
        <w:tc>
          <w:tcPr>
            <w:tcW w:w="6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ind w:left="720"/>
        <w:spacing w:after="0" w:line="267" w:lineRule="auto"/>
        <w:rPr>
          <w:sz w:val="20"/>
          <w:szCs w:val="20"/>
          <w:color w:val="auto"/>
        </w:rPr>
      </w:pPr>
      <w:r>
        <w:rPr>
          <w:rFonts w:ascii="Arial" w:cs="Arial" w:eastAsia="Arial" w:hAnsi="Arial"/>
          <w:sz w:val="17"/>
          <w:szCs w:val="17"/>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94"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16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8"/>
              </w:rPr>
              <w:t>January 31,</w:t>
            </w: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70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16"/>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4"/>
        </w:trPr>
        <w:tc>
          <w:tcPr>
            <w:tcW w:w="70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Redeemable preferred stock</w:t>
            </w:r>
          </w:p>
        </w:tc>
        <w:tc>
          <w:tcPr>
            <w:tcW w:w="1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26,992,271</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5"/>
              </w:rPr>
              <w:t>31,137,921</w:t>
            </w:r>
          </w:p>
        </w:tc>
        <w:tc>
          <w:tcPr>
            <w:tcW w:w="60" w:type="dxa"/>
            <w:vAlign w:val="bottom"/>
            <w:shd w:val="clear" w:color="auto" w:fill="CCEEFF"/>
          </w:tcPr>
          <w:p>
            <w:pPr>
              <w:spacing w:after="0"/>
              <w:rPr>
                <w:sz w:val="16"/>
                <w:szCs w:val="16"/>
                <w:color w:val="auto"/>
              </w:rPr>
            </w:pPr>
          </w:p>
        </w:tc>
      </w:tr>
      <w:tr>
        <w:trPr>
          <w:trHeight w:val="200"/>
        </w:trPr>
        <w:tc>
          <w:tcPr>
            <w:tcW w:w="7060" w:type="dxa"/>
            <w:vAlign w:val="bottom"/>
          </w:tcPr>
          <w:p>
            <w:pPr>
              <w:spacing w:after="0" w:line="201" w:lineRule="exact"/>
              <w:rPr>
                <w:sz w:val="20"/>
                <w:szCs w:val="20"/>
                <w:color w:val="auto"/>
              </w:rPr>
            </w:pPr>
            <w:r>
              <w:rPr>
                <w:rFonts w:ascii="Arial" w:cs="Arial" w:eastAsia="Arial" w:hAnsi="Arial"/>
                <w:sz w:val="18"/>
                <w:szCs w:val="18"/>
                <w:color w:val="auto"/>
              </w:rPr>
              <w:t>Stock options</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7,023,534</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6,060,107</w:t>
            </w:r>
          </w:p>
        </w:tc>
        <w:tc>
          <w:tcPr>
            <w:tcW w:w="60" w:type="dxa"/>
            <w:vAlign w:val="bottom"/>
          </w:tcPr>
          <w:p>
            <w:pPr>
              <w:spacing w:after="0"/>
              <w:rPr>
                <w:sz w:val="17"/>
                <w:szCs w:val="17"/>
                <w:color w:val="auto"/>
              </w:rPr>
            </w:pPr>
          </w:p>
        </w:tc>
      </w:tr>
      <w:tr>
        <w:trPr>
          <w:trHeight w:val="200"/>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warrants</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879,203</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2,530,904</w:t>
            </w:r>
          </w:p>
        </w:tc>
        <w:tc>
          <w:tcPr>
            <w:tcW w:w="60" w:type="dxa"/>
            <w:vAlign w:val="bottom"/>
            <w:shd w:val="clear" w:color="auto" w:fill="CCEEFF"/>
          </w:tcPr>
          <w:p>
            <w:pPr>
              <w:spacing w:after="0"/>
              <w:rPr>
                <w:sz w:val="17"/>
                <w:szCs w:val="17"/>
                <w:color w:val="auto"/>
              </w:rPr>
            </w:pPr>
          </w:p>
        </w:tc>
      </w:tr>
      <w:tr>
        <w:trPr>
          <w:trHeight w:val="207"/>
        </w:trPr>
        <w:tc>
          <w:tcPr>
            <w:tcW w:w="7060" w:type="dxa"/>
            <w:vAlign w:val="bottom"/>
          </w:tcPr>
          <w:p>
            <w:pPr>
              <w:spacing w:after="0" w:line="201" w:lineRule="exact"/>
              <w:rPr>
                <w:sz w:val="20"/>
                <w:szCs w:val="20"/>
                <w:color w:val="auto"/>
              </w:rPr>
            </w:pPr>
            <w:r>
              <w:rPr>
                <w:rFonts w:ascii="Arial" w:cs="Arial" w:eastAsia="Arial" w:hAnsi="Arial"/>
                <w:sz w:val="18"/>
                <w:szCs w:val="18"/>
                <w:color w:val="auto"/>
              </w:rPr>
              <w:t>Preferred stock warrants</w:t>
            </w:r>
          </w:p>
        </w:tc>
        <w:tc>
          <w:tcPr>
            <w:tcW w:w="11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103,791</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164,664</w:t>
            </w:r>
          </w:p>
        </w:tc>
        <w:tc>
          <w:tcPr>
            <w:tcW w:w="60" w:type="dxa"/>
            <w:vAlign w:val="bottom"/>
          </w:tcPr>
          <w:p>
            <w:pPr>
              <w:spacing w:after="0"/>
              <w:rPr>
                <w:sz w:val="18"/>
                <w:szCs w:val="18"/>
                <w:color w:val="auto"/>
              </w:rPr>
            </w:pPr>
          </w:p>
        </w:tc>
      </w:tr>
      <w:tr>
        <w:trPr>
          <w:trHeight w:val="200"/>
        </w:trPr>
        <w:tc>
          <w:tcPr>
            <w:tcW w:w="7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34,998,799</w:t>
            </w: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39,893,596</w:t>
            </w:r>
          </w:p>
        </w:tc>
        <w:tc>
          <w:tcPr>
            <w:tcW w:w="60" w:type="dxa"/>
            <w:vAlign w:val="bottom"/>
            <w:shd w:val="clear" w:color="auto" w:fill="CCEEFF"/>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left="720" w:right="20"/>
        <w:spacing w:after="0" w:line="239" w:lineRule="auto"/>
        <w:rPr>
          <w:sz w:val="20"/>
          <w:szCs w:val="20"/>
          <w:color w:val="auto"/>
        </w:rPr>
      </w:pPr>
      <w:r>
        <w:rPr>
          <w:rFonts w:ascii="Arial" w:cs="Arial" w:eastAsia="Arial" w:hAnsi="Arial"/>
          <w:sz w:val="18"/>
          <w:szCs w:val="18"/>
          <w:color w:val="auto"/>
        </w:rPr>
        <w:t>At January 31, 2021, RSUs to be settled in 1,509,601 shares of common stock were excluded from the table above because they are subject to performance-based vesting conditions that were not achieved as of such date.</w:t>
      </w:r>
    </w:p>
    <w:p>
      <w:pPr>
        <w:spacing w:after="0" w:line="327" w:lineRule="exact"/>
        <w:rPr>
          <w:sz w:val="20"/>
          <w:szCs w:val="20"/>
          <w:color w:val="auto"/>
        </w:rPr>
      </w:pPr>
    </w:p>
    <w:p>
      <w:pPr>
        <w:ind w:left="700" w:hanging="526"/>
        <w:spacing w:after="0"/>
        <w:tabs>
          <w:tab w:leader="none" w:pos="70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disclosures for the years ended January 31, 2020 and 2021, are as follows: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3780" w:type="dxa"/>
            <w:vAlign w:val="bottom"/>
            <w:tcBorders>
              <w:bottom w:val="single" w:sz="8" w:color="CCEEFF"/>
            </w:tcBorders>
          </w:tcPr>
          <w:p>
            <w:pPr>
              <w:spacing w:after="0"/>
              <w:rPr>
                <w:sz w:val="13"/>
                <w:szCs w:val="13"/>
                <w:color w:val="auto"/>
              </w:rPr>
            </w:pPr>
          </w:p>
        </w:tc>
        <w:tc>
          <w:tcPr>
            <w:tcW w:w="36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8"/>
              <w:spacing w:after="0" w:line="154"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80"/>
        </w:trPr>
        <w:tc>
          <w:tcPr>
            <w:tcW w:w="378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Cash payments for:</w:t>
            </w:r>
          </w:p>
        </w:tc>
        <w:tc>
          <w:tcPr>
            <w:tcW w:w="3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0"/>
        </w:trPr>
        <w:tc>
          <w:tcPr>
            <w:tcW w:w="3780" w:type="dxa"/>
            <w:vAlign w:val="bottom"/>
          </w:tcPr>
          <w:p>
            <w:pPr>
              <w:ind w:left="360"/>
              <w:spacing w:after="0" w:line="201" w:lineRule="exact"/>
              <w:rPr>
                <w:sz w:val="20"/>
                <w:szCs w:val="20"/>
                <w:color w:val="auto"/>
              </w:rPr>
            </w:pPr>
            <w:r>
              <w:rPr>
                <w:rFonts w:ascii="Arial" w:cs="Arial" w:eastAsia="Arial" w:hAnsi="Arial"/>
                <w:sz w:val="18"/>
                <w:szCs w:val="18"/>
                <w:color w:val="auto"/>
              </w:rPr>
              <w:t>Interest paid on loans</w:t>
            </w:r>
          </w:p>
        </w:tc>
        <w:tc>
          <w:tcPr>
            <w:tcW w:w="3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r>
      <w:tr>
        <w:trPr>
          <w:trHeight w:val="200"/>
        </w:trPr>
        <w:tc>
          <w:tcPr>
            <w:tcW w:w="3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paid on financing leases</w:t>
            </w:r>
          </w:p>
        </w:tc>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w:t>
            </w:r>
          </w:p>
        </w:tc>
      </w:tr>
      <w:tr>
        <w:trPr>
          <w:trHeight w:val="213"/>
        </w:trPr>
        <w:tc>
          <w:tcPr>
            <w:tcW w:w="3780" w:type="dxa"/>
            <w:vAlign w:val="bottom"/>
          </w:tcPr>
          <w:p>
            <w:pPr>
              <w:ind w:left="360"/>
              <w:spacing w:after="0"/>
              <w:rPr>
                <w:sz w:val="20"/>
                <w:szCs w:val="20"/>
                <w:color w:val="auto"/>
              </w:rPr>
            </w:pPr>
            <w:r>
              <w:rPr>
                <w:rFonts w:ascii="Arial" w:cs="Arial" w:eastAsia="Arial" w:hAnsi="Arial"/>
                <w:sz w:val="18"/>
                <w:szCs w:val="18"/>
                <w:color w:val="auto"/>
              </w:rPr>
              <w:t>Fixed operating leases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r>
        <w:trPr>
          <w:trHeight w:val="346"/>
        </w:trPr>
        <w:tc>
          <w:tcPr>
            <w:tcW w:w="3780" w:type="dxa"/>
            <w:vAlign w:val="bottom"/>
          </w:tcPr>
          <w:p>
            <w:pPr>
              <w:spacing w:after="0"/>
              <w:rPr>
                <w:sz w:val="24"/>
                <w:szCs w:val="24"/>
                <w:color w:val="auto"/>
              </w:rPr>
            </w:pPr>
          </w:p>
        </w:tc>
        <w:tc>
          <w:tcPr>
            <w:tcW w:w="3740" w:type="dxa"/>
            <w:vAlign w:val="bottom"/>
            <w:gridSpan w:val="2"/>
          </w:tcPr>
          <w:p>
            <w:pPr>
              <w:jc w:val="right"/>
              <w:ind w:right="2500"/>
              <w:spacing w:after="0"/>
              <w:rPr>
                <w:sz w:val="20"/>
                <w:szCs w:val="20"/>
                <w:color w:val="auto"/>
              </w:rPr>
            </w:pPr>
            <w:r>
              <w:rPr>
                <w:rFonts w:ascii="Arial" w:cs="Arial" w:eastAsia="Arial" w:hAnsi="Arial"/>
                <w:sz w:val="18"/>
                <w:szCs w:val="18"/>
                <w:color w:val="auto"/>
              </w:rPr>
              <w:t>F-37</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00"/>
          </w:cols>
          <w:pgMar w:left="320" w:top="456" w:right="6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RENT THE RUNWAY, INC.</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30480</wp:posOffset>
            </wp:positionV>
            <wp:extent cx="69215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146"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7460" w:type="dxa"/>
            <w:vAlign w:val="bottom"/>
          </w:tcPr>
          <w:p>
            <w:pPr>
              <w:spacing w:after="0"/>
              <w:rPr>
                <w:sz w:val="15"/>
                <w:szCs w:val="15"/>
                <w:color w:val="auto"/>
              </w:rPr>
            </w:pPr>
          </w:p>
        </w:tc>
        <w:tc>
          <w:tcPr>
            <w:tcW w:w="224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January 31,</w:t>
            </w:r>
          </w:p>
        </w:tc>
      </w:tr>
      <w:tr>
        <w:trPr>
          <w:trHeight w:val="154"/>
        </w:trPr>
        <w:tc>
          <w:tcPr>
            <w:tcW w:w="74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4"/>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80"/>
        </w:trPr>
        <w:tc>
          <w:tcPr>
            <w:tcW w:w="746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Non-cash financing and investing activities:</w:t>
            </w: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0"/>
        </w:trPr>
        <w:tc>
          <w:tcPr>
            <w:tcW w:w="7460" w:type="dxa"/>
            <w:vAlign w:val="bottom"/>
          </w:tcPr>
          <w:p>
            <w:pPr>
              <w:ind w:left="360"/>
              <w:spacing w:after="0" w:line="201" w:lineRule="exact"/>
              <w:rPr>
                <w:sz w:val="20"/>
                <w:szCs w:val="20"/>
                <w:color w:val="auto"/>
              </w:rPr>
            </w:pPr>
            <w:r>
              <w:rPr>
                <w:rFonts w:ascii="Arial" w:cs="Arial" w:eastAsia="Arial" w:hAnsi="Arial"/>
                <w:sz w:val="18"/>
                <w:szCs w:val="18"/>
                <w:color w:val="auto"/>
              </w:rPr>
              <w:t>Financing leases right-of-use asset amortization</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7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0.2</w:t>
            </w:r>
          </w:p>
        </w:tc>
        <w:tc>
          <w:tcPr>
            <w:tcW w:w="60" w:type="dxa"/>
            <w:vAlign w:val="bottom"/>
          </w:tcPr>
          <w:p>
            <w:pPr>
              <w:spacing w:after="0"/>
              <w:rPr>
                <w:sz w:val="17"/>
                <w:szCs w:val="17"/>
                <w:color w:val="auto"/>
              </w:rPr>
            </w:pPr>
          </w:p>
        </w:tc>
      </w:tr>
      <w:tr>
        <w:trPr>
          <w:trHeight w:val="200"/>
        </w:trPr>
        <w:tc>
          <w:tcPr>
            <w:tcW w:w="7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ROU assets obtained in exchange for lease liabilities (1)</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40.0</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r>
      <w:tr>
        <w:trPr>
          <w:trHeight w:val="200"/>
        </w:trPr>
        <w:tc>
          <w:tcPr>
            <w:tcW w:w="7460" w:type="dxa"/>
            <w:vAlign w:val="bottom"/>
          </w:tcPr>
          <w:p>
            <w:pPr>
              <w:ind w:left="360"/>
              <w:spacing w:after="0" w:line="200" w:lineRule="exact"/>
              <w:rPr>
                <w:sz w:val="20"/>
                <w:szCs w:val="20"/>
                <w:color w:val="auto"/>
              </w:rPr>
            </w:pPr>
            <w:r>
              <w:rPr>
                <w:rFonts w:ascii="Arial" w:cs="Arial" w:eastAsia="Arial" w:hAnsi="Arial"/>
                <w:sz w:val="18"/>
                <w:szCs w:val="18"/>
                <w:color w:val="auto"/>
              </w:rPr>
              <w:t>Adjustments to ROU assets or lease liabilities due to modification or other</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7460" w:type="dxa"/>
            <w:vAlign w:val="bottom"/>
          </w:tcPr>
          <w:p>
            <w:pPr>
              <w:ind w:left="520"/>
              <w:spacing w:after="0" w:line="201" w:lineRule="exact"/>
              <w:rPr>
                <w:sz w:val="20"/>
                <w:szCs w:val="20"/>
                <w:color w:val="auto"/>
              </w:rPr>
            </w:pPr>
            <w:r>
              <w:rPr>
                <w:rFonts w:ascii="Arial" w:cs="Arial" w:eastAsia="Arial" w:hAnsi="Arial"/>
                <w:sz w:val="18"/>
                <w:szCs w:val="18"/>
                <w:color w:val="auto"/>
              </w:rPr>
              <w:t>reassessment events</w:t>
            </w:r>
          </w:p>
        </w:tc>
        <w:tc>
          <w:tcPr>
            <w:tcW w:w="14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5.2</w:t>
            </w:r>
          </w:p>
        </w:tc>
        <w:tc>
          <w:tcPr>
            <w:tcW w:w="60" w:type="dxa"/>
            <w:vAlign w:val="bottom"/>
          </w:tcPr>
          <w:p>
            <w:pPr>
              <w:spacing w:after="0"/>
              <w:rPr>
                <w:sz w:val="17"/>
                <w:szCs w:val="17"/>
                <w:color w:val="auto"/>
              </w:rPr>
            </w:pPr>
          </w:p>
        </w:tc>
      </w:tr>
      <w:tr>
        <w:trPr>
          <w:trHeight w:val="200"/>
        </w:trPr>
        <w:tc>
          <w:tcPr>
            <w:tcW w:w="7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Purchases of fixed assets not yet settled</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7"/>
                <w:szCs w:val="17"/>
                <w:color w:val="auto"/>
              </w:rPr>
            </w:pPr>
          </w:p>
        </w:tc>
      </w:tr>
      <w:tr>
        <w:trPr>
          <w:trHeight w:val="213"/>
        </w:trPr>
        <w:tc>
          <w:tcPr>
            <w:tcW w:w="7460" w:type="dxa"/>
            <w:vAlign w:val="bottom"/>
          </w:tcPr>
          <w:p>
            <w:pPr>
              <w:ind w:left="360"/>
              <w:spacing w:after="0"/>
              <w:rPr>
                <w:sz w:val="20"/>
                <w:szCs w:val="20"/>
                <w:color w:val="auto"/>
              </w:rPr>
            </w:pPr>
            <w:r>
              <w:rPr>
                <w:rFonts w:ascii="Arial" w:cs="Arial" w:eastAsia="Arial" w:hAnsi="Arial"/>
                <w:sz w:val="18"/>
                <w:szCs w:val="18"/>
                <w:color w:val="auto"/>
              </w:rPr>
              <w:t>Purchases of rental product not yet settled</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bl>
    <w:p>
      <w:pPr>
        <w:spacing w:after="0" w:line="7" w:lineRule="exact"/>
        <w:rPr>
          <w:sz w:val="20"/>
          <w:szCs w:val="20"/>
          <w:color w:val="auto"/>
        </w:rPr>
      </w:pPr>
    </w:p>
    <w:p>
      <w:pPr>
        <w:ind w:left="1340" w:hanging="632"/>
        <w:spacing w:after="0"/>
        <w:tabs>
          <w:tab w:leader="none" w:pos="1340" w:val="left"/>
        </w:tabs>
        <w:numPr>
          <w:ilvl w:val="1"/>
          <w:numId w:val="186"/>
        </w:numPr>
        <w:rPr>
          <w:rFonts w:ascii="Arial" w:cs="Arial" w:eastAsia="Arial" w:hAnsi="Arial"/>
          <w:sz w:val="24"/>
          <w:szCs w:val="24"/>
          <w:color w:val="auto"/>
          <w:vertAlign w:val="superscript"/>
        </w:rPr>
      </w:pPr>
      <w:r>
        <w:rPr>
          <w:rFonts w:ascii="Arial" w:cs="Arial" w:eastAsia="Arial" w:hAnsi="Arial"/>
          <w:sz w:val="14"/>
          <w:szCs w:val="14"/>
          <w:color w:val="auto"/>
        </w:rPr>
        <w:t>Includes non-cash ROU assets obtained in exchange for lease liabilities in accordance with the adoption of ASC 842 as of February 1, 2019.</w:t>
      </w:r>
    </w:p>
    <w:p>
      <w:pPr>
        <w:spacing w:after="0" w:line="322" w:lineRule="exact"/>
        <w:rPr>
          <w:rFonts w:ascii="Arial" w:cs="Arial" w:eastAsia="Arial" w:hAnsi="Arial"/>
          <w:sz w:val="24"/>
          <w:szCs w:val="24"/>
          <w:color w:val="auto"/>
          <w:vertAlign w:val="superscript"/>
        </w:rPr>
      </w:pPr>
    </w:p>
    <w:p>
      <w:pPr>
        <w:ind w:left="700" w:hanging="526"/>
        <w:spacing w:after="0"/>
        <w:tabs>
          <w:tab w:leader="none" w:pos="7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2" w:lineRule="exact"/>
        <w:rPr>
          <w:rFonts w:ascii="Arial" w:cs="Arial" w:eastAsia="Arial" w:hAnsi="Arial"/>
          <w:sz w:val="18"/>
          <w:szCs w:val="18"/>
          <w:b w:val="1"/>
          <w:bCs w:val="1"/>
          <w:color w:val="auto"/>
        </w:rPr>
      </w:pPr>
    </w:p>
    <w:p>
      <w:pPr>
        <w:ind w:left="720" w:right="16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at January 31, 2020 and 2021 of $10.5 million and $13.9 million, respectively (see Note 2), primarily to satisfy security deposit requirements on its leases (see Note 4). At January 31, 2020, the Company had the ability and intent to redeem the restricted cash balances and issue letters of credit to satisfy security deposit requirements on its leases. Additionally, at January 31, 2020 and 2021, the Company had non-cash collateralized standby outstanding letters of credit of $1.7 million and $0, respectively.</w:t>
      </w:r>
    </w:p>
    <w:p>
      <w:pPr>
        <w:spacing w:after="0" w:line="9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At January 31, 2021, there was no litigation or contingency with at least a reasonable possibility of a material loss.</w:t>
      </w:r>
    </w:p>
    <w:p>
      <w:pPr>
        <w:spacing w:after="0" w:line="332" w:lineRule="exact"/>
        <w:rPr>
          <w:rFonts w:ascii="Arial" w:cs="Arial" w:eastAsia="Arial" w:hAnsi="Arial"/>
          <w:sz w:val="18"/>
          <w:szCs w:val="18"/>
          <w:b w:val="1"/>
          <w:bCs w:val="1"/>
          <w:color w:val="auto"/>
        </w:rPr>
      </w:pPr>
    </w:p>
    <w:p>
      <w:pPr>
        <w:ind w:left="700" w:hanging="526"/>
        <w:spacing w:after="0"/>
        <w:tabs>
          <w:tab w:leader="none" w:pos="7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2" w:lineRule="exact"/>
        <w:rPr>
          <w:rFonts w:ascii="Arial" w:cs="Arial" w:eastAsia="Arial" w:hAnsi="Arial"/>
          <w:sz w:val="18"/>
          <w:szCs w:val="18"/>
          <w:b w:val="1"/>
          <w:bCs w:val="1"/>
          <w:color w:val="auto"/>
        </w:rPr>
      </w:pPr>
    </w:p>
    <w:p>
      <w:pPr>
        <w:ind w:left="720" w:right="5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Subsequent events have been evaluated through July 16, 2021, which is the date the consolidated financial statements were available to be issued.</w:t>
      </w:r>
    </w:p>
    <w:p>
      <w:pPr>
        <w:spacing w:after="0" w:line="95"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In April and May 2021, the Company issued an additional 1,360,914 Series G redeemable preferred stock at $14.74096 per share, for a total amount of $20.1 million. Along with this transaction, an additional 40,828 common stock warrants were issued to Ares, representing 3.0% of the Series G redeemable preferred stock issuance. Concurrently, the Company entered into the first amendment to the Ares Facility. The Company’s EBITDA definition and cure provisions were amended to allow for the application of the April and May 2021 Series G proceeds cumulatively for the quarters ending July 31, 2021 through October 31, 2022.</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80"/>
          </w:cols>
          <w:pgMar w:left="320" w:top="456" w:right="499" w:bottom="1440" w:gutter="0" w:footer="0" w:header="0"/>
        </w:sectPr>
      </w:pPr>
    </w:p>
    <w:bookmarkStart w:id="223" w:name="page224"/>
    <w:bookmarkEnd w:id="2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248285</wp:posOffset>
            </wp:positionV>
            <wp:extent cx="692150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21500" cy="2540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307975</wp:posOffset>
            </wp:positionV>
            <wp:extent cx="69215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60"/>
          </w:cols>
          <w:pgMar w:left="320" w:top="456"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8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1114425</wp:posOffset>
            </wp:positionV>
            <wp:extent cx="145034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50340" cy="825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4168140</wp:posOffset>
            </wp:positionV>
            <wp:extent cx="14503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50340" cy="825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1461770</wp:posOffset>
            </wp:positionV>
            <wp:extent cx="1696720" cy="2324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69672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tabs>
          <w:tab w:leader="none" w:pos="5860" w:val="left"/>
          <w:tab w:leader="none" w:pos="9640" w:val="left"/>
        </w:tabs>
        <w:rPr>
          <w:sz w:val="20"/>
          <w:szCs w:val="20"/>
          <w:color w:val="auto"/>
        </w:rPr>
      </w:pPr>
      <w:r>
        <w:rPr>
          <w:rFonts w:ascii="Arial" w:cs="Arial" w:eastAsia="Arial" w:hAnsi="Arial"/>
          <w:sz w:val="28"/>
          <w:szCs w:val="28"/>
          <w:b w:val="1"/>
          <w:bCs w:val="1"/>
          <w:color w:val="auto"/>
        </w:rPr>
        <w:t>Goldman Sachs &amp; Co. LLC</w:t>
      </w:r>
      <w:r>
        <w:rPr>
          <w:sz w:val="20"/>
          <w:szCs w:val="20"/>
          <w:color w:val="auto"/>
        </w:rPr>
        <w:tab/>
      </w:r>
      <w:r>
        <w:rPr>
          <w:rFonts w:ascii="Arial" w:cs="Arial" w:eastAsia="Arial" w:hAnsi="Arial"/>
          <w:sz w:val="28"/>
          <w:szCs w:val="28"/>
          <w:b w:val="1"/>
          <w:bCs w:val="1"/>
          <w:color w:val="auto"/>
        </w:rPr>
        <w:t>Morgan Stanley</w:t>
      </w:r>
      <w:r>
        <w:rPr>
          <w:sz w:val="20"/>
          <w:szCs w:val="20"/>
          <w:color w:val="auto"/>
        </w:rPr>
        <w:tab/>
      </w:r>
      <w:r>
        <w:rPr>
          <w:rFonts w:ascii="Arial" w:cs="Arial" w:eastAsia="Arial" w:hAnsi="Arial"/>
          <w:sz w:val="28"/>
          <w:szCs w:val="28"/>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440055</wp:posOffset>
            </wp:positionV>
            <wp:extent cx="69215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490855</wp:posOffset>
            </wp:positionV>
            <wp:extent cx="692150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21500" cy="25400"/>
                    </a:xfrm>
                    <a:prstGeom prst="rect">
                      <a:avLst/>
                    </a:prstGeom>
                    <a:noFill/>
                  </pic:spPr>
                </pic:pic>
              </a:graphicData>
            </a:graphic>
          </wp:anchor>
        </w:drawing>
      </w:r>
    </w:p>
    <w:p>
      <w:pPr>
        <w:sectPr>
          <w:pgSz w:w="11900" w:h="16838" w:orient="portrait"/>
          <w:cols w:equalWidth="0" w:num="1">
            <w:col w:w="10860"/>
          </w:cols>
          <w:pgMar w:left="320" w:top="456" w:right="719" w:bottom="1440" w:gutter="0" w:footer="0" w:header="0"/>
          <w:type w:val="continuous"/>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2" w:lineRule="exact"/>
        <w:rPr>
          <w:sz w:val="20"/>
          <w:szCs w:val="20"/>
          <w:color w:val="auto"/>
        </w:rPr>
      </w:pPr>
    </w:p>
    <w:p>
      <w:pPr>
        <w:ind w:left="180" w:right="140" w:firstLine="545"/>
        <w:spacing w:after="0" w:line="237" w:lineRule="auto"/>
        <w:rPr>
          <w:sz w:val="20"/>
          <w:szCs w:val="20"/>
          <w:color w:val="auto"/>
        </w:rPr>
      </w:pPr>
      <w:r>
        <w:rPr>
          <w:rFonts w:ascii="Arial" w:cs="Arial" w:eastAsia="Arial" w:hAnsi="Arial"/>
          <w:sz w:val="18"/>
          <w:szCs w:val="18"/>
          <w:color w:val="auto"/>
        </w:rPr>
        <w:t>The following table sets forth all fees and expenses, other than the underwriting discount, payable solely by Rent the Runway, Inc. in connection with the offer and sale of the securities being registered. All amounts are estimated except the SEC registration fee, the Financial Industry Regulatory Authority, Inc., or FINRA, filing fee and the exchange listing fee.</w:t>
      </w: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10300" w:type="dxa"/>
            <w:vAlign w:val="bottom"/>
          </w:tcPr>
          <w:p>
            <w:pPr>
              <w:spacing w:after="0"/>
              <w:rPr>
                <w:sz w:val="15"/>
                <w:szCs w:val="15"/>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8"/>
              </w:rPr>
              <w:t>Amount</w:t>
            </w:r>
          </w:p>
        </w:tc>
      </w:tr>
      <w:tr>
        <w:trPr>
          <w:trHeight w:val="194"/>
        </w:trPr>
        <w:tc>
          <w:tcPr>
            <w:tcW w:w="103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0"/>
        </w:trPr>
        <w:tc>
          <w:tcPr>
            <w:tcW w:w="10300" w:type="dxa"/>
            <w:vAlign w:val="bottom"/>
          </w:tcPr>
          <w:p>
            <w:pPr>
              <w:spacing w:after="0" w:line="201" w:lineRule="exact"/>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0"/>
        </w:trPr>
        <w:tc>
          <w:tcPr>
            <w:tcW w:w="10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Exchange listing fee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0"/>
        </w:trPr>
        <w:tc>
          <w:tcPr>
            <w:tcW w:w="10300" w:type="dxa"/>
            <w:vAlign w:val="bottom"/>
          </w:tcPr>
          <w:p>
            <w:pPr>
              <w:spacing w:after="0" w:line="201" w:lineRule="exact"/>
              <w:rPr>
                <w:sz w:val="20"/>
                <w:szCs w:val="20"/>
                <w:color w:val="auto"/>
              </w:rPr>
            </w:pPr>
            <w:r>
              <w:rPr>
                <w:rFonts w:ascii="Arial" w:cs="Arial" w:eastAsia="Arial" w:hAnsi="Arial"/>
                <w:sz w:val="18"/>
                <w:szCs w:val="18"/>
                <w:color w:val="auto"/>
              </w:rPr>
              <w:t>Printing fees and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0"/>
        </w:trPr>
        <w:tc>
          <w:tcPr>
            <w:tcW w:w="10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0"/>
        </w:trPr>
        <w:tc>
          <w:tcPr>
            <w:tcW w:w="10300" w:type="dxa"/>
            <w:vAlign w:val="bottom"/>
          </w:tcPr>
          <w:p>
            <w:pPr>
              <w:spacing w:after="0" w:line="201" w:lineRule="exact"/>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0"/>
        </w:trPr>
        <w:tc>
          <w:tcPr>
            <w:tcW w:w="10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Custodian, transfer agent, and registrar fees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0"/>
        </w:trPr>
        <w:tc>
          <w:tcPr>
            <w:tcW w:w="10300" w:type="dxa"/>
            <w:vAlign w:val="bottom"/>
          </w:tcPr>
          <w:p>
            <w:pPr>
              <w:spacing w:after="0" w:line="201" w:lineRule="exact"/>
              <w:rPr>
                <w:sz w:val="20"/>
                <w:szCs w:val="20"/>
                <w:color w:val="auto"/>
              </w:rPr>
            </w:pPr>
            <w:r>
              <w:rPr>
                <w:rFonts w:ascii="Arial" w:cs="Arial" w:eastAsia="Arial" w:hAnsi="Arial"/>
                <w:sz w:val="18"/>
                <w:szCs w:val="18"/>
                <w:color w:val="auto"/>
              </w:rPr>
              <w:t>Other advisors’ fees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0"/>
        </w:trPr>
        <w:tc>
          <w:tcPr>
            <w:tcW w:w="10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Miscellaneous fees and expenses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103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85" w:lineRule="exact"/>
        <w:rPr>
          <w:sz w:val="20"/>
          <w:szCs w:val="20"/>
          <w:color w:val="auto"/>
        </w:rPr>
      </w:pPr>
    </w:p>
    <w:p>
      <w:pPr>
        <w:ind w:left="600" w:hanging="426"/>
        <w:spacing w:after="0"/>
        <w:tabs>
          <w:tab w:leader="none" w:pos="60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2" w:lineRule="exact"/>
        <w:rPr>
          <w:sz w:val="20"/>
          <w:szCs w:val="20"/>
          <w:color w:val="auto"/>
        </w:rPr>
      </w:pPr>
    </w:p>
    <w:p>
      <w:pPr>
        <w:ind w:left="180" w:right="240" w:firstLine="545"/>
        <w:spacing w:after="0" w:line="234"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Charter that will be in effect immediately following the effectiveness of the registration statement of which this prospectus forms a part permits indemnification of our directors, officers, employees, and other agents to the maximum extent permitted by the Delaware General Corporation Law, and our Amended Bylaws that will be in effect immediately following the effectiveness of the registration statement of which this prospectus forms a part provide that we will indemnify our directors and officers and permit us to indemnify our employees and other agents, in each case to the maximum extent permitted by the Delaware General Corporation Law.</w:t>
      </w:r>
    </w:p>
    <w:p>
      <w:pPr>
        <w:spacing w:after="0" w:line="202" w:lineRule="exact"/>
        <w:rPr>
          <w:sz w:val="20"/>
          <w:szCs w:val="20"/>
          <w:color w:val="auto"/>
        </w:rPr>
      </w:pPr>
    </w:p>
    <w:p>
      <w:pPr>
        <w:ind w:left="180" w:firstLine="545"/>
        <w:spacing w:after="0" w:line="235"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ours, provided that such director or officer acted in good faith and in a manner that the director or officer reasonably believed to be in, or not opposed to, our best interest.</w:t>
      </w:r>
    </w:p>
    <w:p>
      <w:pPr>
        <w:spacing w:after="0" w:line="202" w:lineRule="exact"/>
        <w:rPr>
          <w:sz w:val="20"/>
          <w:szCs w:val="20"/>
          <w:color w:val="auto"/>
        </w:rPr>
      </w:pPr>
    </w:p>
    <w:p>
      <w:pPr>
        <w:ind w:left="180" w:right="200" w:firstLine="545"/>
        <w:spacing w:after="0" w:line="236" w:lineRule="auto"/>
        <w:rPr>
          <w:sz w:val="20"/>
          <w:szCs w:val="20"/>
          <w:color w:val="auto"/>
        </w:rPr>
      </w:pPr>
      <w:r>
        <w:rPr>
          <w:rFonts w:ascii="Arial" w:cs="Arial" w:eastAsia="Arial" w:hAnsi="Arial"/>
          <w:sz w:val="18"/>
          <w:szCs w:val="18"/>
          <w:color w:val="auto"/>
        </w:rPr>
        <w:t>The indemnification provisions in our Amended Charter, Amended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6"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80" w:right="120"/>
        <w:spacing w:after="0" w:line="236" w:lineRule="auto"/>
        <w:rPr>
          <w:sz w:val="20"/>
          <w:szCs w:val="20"/>
          <w:color w:val="auto"/>
        </w:rPr>
      </w:pPr>
      <w:r>
        <w:rPr>
          <w:rFonts w:ascii="Arial" w:cs="Arial" w:eastAsia="Arial" w:hAnsi="Arial"/>
          <w:sz w:val="18"/>
          <w:szCs w:val="18"/>
          <w:color w:val="auto"/>
        </w:rPr>
        <w:t>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201" w:lineRule="exact"/>
        <w:rPr>
          <w:sz w:val="20"/>
          <w:szCs w:val="20"/>
          <w:color w:val="auto"/>
        </w:rPr>
      </w:pPr>
    </w:p>
    <w:p>
      <w:pPr>
        <w:ind w:left="180" w:right="140" w:firstLine="545"/>
        <w:spacing w:after="0" w:line="239"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02" w:lineRule="exact"/>
        <w:rPr>
          <w:sz w:val="20"/>
          <w:szCs w:val="20"/>
          <w:color w:val="auto"/>
        </w:rPr>
      </w:pPr>
    </w:p>
    <w:p>
      <w:pPr>
        <w:ind w:left="180" w:right="40" w:firstLine="545"/>
        <w:spacing w:after="0" w:line="239"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the past three years, we issued the following securities which that were not registered under the Securities Act:</w:t>
      </w:r>
    </w:p>
    <w:p>
      <w:pPr>
        <w:spacing w:after="0" w:line="185" w:lineRule="exact"/>
        <w:rPr>
          <w:sz w:val="20"/>
          <w:szCs w:val="20"/>
          <w:color w:val="auto"/>
        </w:rPr>
      </w:pPr>
    </w:p>
    <w:p>
      <w:pPr>
        <w:ind w:left="180" w:right="80" w:firstLine="545"/>
        <w:spacing w:after="0" w:line="264" w:lineRule="auto"/>
        <w:rPr>
          <w:sz w:val="20"/>
          <w:szCs w:val="20"/>
          <w:color w:val="auto"/>
        </w:rPr>
      </w:pPr>
      <w:r>
        <w:rPr>
          <w:rFonts w:ascii="Arial" w:cs="Arial" w:eastAsia="Arial" w:hAnsi="Arial"/>
          <w:sz w:val="18"/>
          <w:szCs w:val="18"/>
          <w:b w:val="1"/>
          <w:bCs w:val="1"/>
          <w:i w:val="1"/>
          <w:iCs w:val="1"/>
          <w:color w:val="auto"/>
        </w:rPr>
        <w:t>Preferred Stock Issuances</w:t>
      </w:r>
      <w:r>
        <w:rPr>
          <w:rFonts w:ascii="Arial" w:cs="Arial" w:eastAsia="Arial" w:hAnsi="Arial"/>
          <w:sz w:val="18"/>
          <w:szCs w:val="18"/>
          <w:color w:val="auto"/>
        </w:rPr>
        <w:t>. Between December 2016 and February 2019, we issued an aggregate of 3,723,110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E redeemable preferred stock at a purchase price of $21.7560 per share, for an aggregate purchase price of $81.0 million.</w:t>
      </w:r>
    </w:p>
    <w:p>
      <w:pPr>
        <w:spacing w:after="0" w:line="181" w:lineRule="exact"/>
        <w:rPr>
          <w:sz w:val="20"/>
          <w:szCs w:val="20"/>
          <w:color w:val="auto"/>
        </w:rPr>
      </w:pPr>
    </w:p>
    <w:p>
      <w:pPr>
        <w:ind w:left="180" w:right="20" w:firstLine="545"/>
        <w:spacing w:after="0" w:line="239" w:lineRule="auto"/>
        <w:rPr>
          <w:sz w:val="20"/>
          <w:szCs w:val="20"/>
          <w:color w:val="auto"/>
        </w:rPr>
      </w:pPr>
      <w:r>
        <w:rPr>
          <w:rFonts w:ascii="Arial" w:cs="Arial" w:eastAsia="Arial" w:hAnsi="Arial"/>
          <w:sz w:val="18"/>
          <w:szCs w:val="18"/>
          <w:color w:val="auto"/>
        </w:rPr>
        <w:t>Between March 2019 and January 2020, we issued an aggregate of 6,039,272 shares of our Series F redeemable preferred stock at a purchase price of $22.3537 per share, for an aggregate purchase price of $135.0 million.</w:t>
      </w:r>
    </w:p>
    <w:p>
      <w:pPr>
        <w:spacing w:after="0" w:line="202" w:lineRule="exact"/>
        <w:rPr>
          <w:sz w:val="20"/>
          <w:szCs w:val="20"/>
          <w:color w:val="auto"/>
        </w:rPr>
      </w:pPr>
    </w:p>
    <w:p>
      <w:pPr>
        <w:ind w:left="180" w:right="80" w:firstLine="545"/>
        <w:spacing w:after="0" w:line="239" w:lineRule="auto"/>
        <w:rPr>
          <w:sz w:val="20"/>
          <w:szCs w:val="20"/>
          <w:color w:val="auto"/>
        </w:rPr>
      </w:pPr>
      <w:r>
        <w:rPr>
          <w:rFonts w:ascii="Arial" w:cs="Arial" w:eastAsia="Arial" w:hAnsi="Arial"/>
          <w:sz w:val="18"/>
          <w:szCs w:val="18"/>
          <w:color w:val="auto"/>
        </w:rPr>
        <w:t>Between April 2020 and May 2021, we issued an aggregate of 5,506,564 shares of our Series G redeemable preferred stock at a purchase price of $14.74096 per share, for an aggregate purchase price of $81.2 million.</w:t>
      </w:r>
    </w:p>
    <w:p>
      <w:pPr>
        <w:spacing w:after="0" w:line="180" w:lineRule="exact"/>
        <w:rPr>
          <w:sz w:val="20"/>
          <w:szCs w:val="20"/>
          <w:color w:val="auto"/>
        </w:rPr>
      </w:pPr>
    </w:p>
    <w:p>
      <w:pPr>
        <w:jc w:val="both"/>
        <w:ind w:left="180" w:right="360" w:firstLine="545"/>
        <w:spacing w:after="0" w:line="248" w:lineRule="auto"/>
        <w:rPr>
          <w:sz w:val="20"/>
          <w:szCs w:val="20"/>
          <w:color w:val="auto"/>
        </w:rPr>
      </w:pPr>
      <w:r>
        <w:rPr>
          <w:rFonts w:ascii="Arial" w:cs="Arial" w:eastAsia="Arial" w:hAnsi="Arial"/>
          <w:sz w:val="18"/>
          <w:szCs w:val="18"/>
          <w:b w:val="1"/>
          <w:bCs w:val="1"/>
          <w:i w:val="1"/>
          <w:iCs w:val="1"/>
          <w:color w:val="auto"/>
        </w:rPr>
        <w:t xml:space="preserve">Plan-Related Issuances. </w:t>
      </w:r>
      <w:r>
        <w:rPr>
          <w:rFonts w:ascii="Arial" w:cs="Arial" w:eastAsia="Arial" w:hAnsi="Arial"/>
          <w:sz w:val="18"/>
          <w:szCs w:val="18"/>
          <w:color w:val="auto"/>
        </w:rPr>
        <w:t>Since June 30, 2018, we granted to certain directors, officers, employees, consultants,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options to purchase an aggregate of 7,730,369 shares of our common stock under our 2009 Plan and 2019 Plan at exercise prices ranging from $6.76 to $14.51 per share, including the 20,000 Designer Collective Grants.</w:t>
      </w:r>
    </w:p>
    <w:p>
      <w:pPr>
        <w:spacing w:after="0" w:line="195" w:lineRule="exact"/>
        <w:rPr>
          <w:sz w:val="20"/>
          <w:szCs w:val="20"/>
          <w:color w:val="auto"/>
        </w:rPr>
      </w:pPr>
    </w:p>
    <w:p>
      <w:pPr>
        <w:ind w:left="180" w:firstLine="545"/>
        <w:spacing w:after="0" w:line="239" w:lineRule="auto"/>
        <w:rPr>
          <w:sz w:val="20"/>
          <w:szCs w:val="20"/>
          <w:color w:val="auto"/>
        </w:rPr>
      </w:pPr>
      <w:r>
        <w:rPr>
          <w:rFonts w:ascii="Arial" w:cs="Arial" w:eastAsia="Arial" w:hAnsi="Arial"/>
          <w:sz w:val="18"/>
          <w:szCs w:val="18"/>
          <w:color w:val="auto"/>
        </w:rPr>
        <w:t>Since June 30, 2018, we granted to certain directors, officers, employees, consultants, and other service providers restricted stock units covering an aggregate of 2,431,768 shares of our common stock under our 2009 Plan and our 2019 Plan.</w:t>
      </w:r>
    </w:p>
    <w:p>
      <w:pPr>
        <w:spacing w:after="0" w:line="180" w:lineRule="exact"/>
        <w:rPr>
          <w:sz w:val="20"/>
          <w:szCs w:val="20"/>
          <w:color w:val="auto"/>
        </w:rPr>
      </w:pPr>
    </w:p>
    <w:p>
      <w:pPr>
        <w:ind w:left="180" w:right="520" w:firstLine="545"/>
        <w:spacing w:after="0" w:line="264" w:lineRule="auto"/>
        <w:rPr>
          <w:sz w:val="20"/>
          <w:szCs w:val="20"/>
          <w:color w:val="auto"/>
        </w:rPr>
      </w:pPr>
      <w:r>
        <w:rPr>
          <w:rFonts w:ascii="Arial" w:cs="Arial" w:eastAsia="Arial" w:hAnsi="Arial"/>
          <w:sz w:val="18"/>
          <w:szCs w:val="18"/>
          <w:b w:val="1"/>
          <w:bCs w:val="1"/>
          <w:i w:val="1"/>
          <w:iCs w:val="1"/>
          <w:color w:val="auto"/>
        </w:rPr>
        <w:t xml:space="preserve">Warrant Issuances. </w:t>
      </w:r>
      <w:r>
        <w:rPr>
          <w:rFonts w:ascii="Arial" w:cs="Arial" w:eastAsia="Arial" w:hAnsi="Arial"/>
          <w:sz w:val="18"/>
          <w:szCs w:val="18"/>
          <w:color w:val="auto"/>
        </w:rPr>
        <w:t>Since June 30, 2018, we issued warrants to purchase up to an aggregate of 1,692,529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to accredited investors at an exercise price of $0.01 per share.</w:t>
      </w:r>
    </w:p>
    <w:p>
      <w:pPr>
        <w:spacing w:after="0" w:line="163" w:lineRule="exact"/>
        <w:rPr>
          <w:sz w:val="20"/>
          <w:szCs w:val="20"/>
          <w:color w:val="auto"/>
        </w:rPr>
      </w:pPr>
    </w:p>
    <w:p>
      <w:pPr>
        <w:ind w:left="180" w:right="600" w:firstLine="545"/>
        <w:spacing w:after="0" w:line="260" w:lineRule="auto"/>
        <w:rPr>
          <w:sz w:val="20"/>
          <w:szCs w:val="20"/>
          <w:color w:val="auto"/>
        </w:rPr>
      </w:pPr>
      <w:r>
        <w:rPr>
          <w:rFonts w:ascii="Arial" w:cs="Arial" w:eastAsia="Arial" w:hAnsi="Arial"/>
          <w:sz w:val="18"/>
          <w:szCs w:val="18"/>
          <w:color w:val="auto"/>
        </w:rPr>
        <w:t xml:space="preserve">Since June 30, 2018, we issued one warrant to purchase up to an aggregate of 76,627 shares of our Series G </w:t>
      </w:r>
      <w:r>
        <w:rPr>
          <w:rFonts w:ascii="Arial" w:cs="Arial" w:eastAsia="Arial" w:hAnsi="Arial"/>
          <w:sz w:val="18"/>
          <w:szCs w:val="18"/>
          <w:i w:val="1"/>
          <w:iCs w:val="1"/>
          <w:color w:val="auto"/>
        </w:rPr>
        <w:t>redeemable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preferred </w:t>
      </w:r>
      <w:r>
        <w:rPr>
          <w:rFonts w:ascii="Arial" w:cs="Arial" w:eastAsia="Arial" w:hAnsi="Arial"/>
          <w:sz w:val="18"/>
          <w:szCs w:val="18"/>
          <w:color w:val="auto"/>
        </w:rPr>
        <w:t>stock at an exercise price of $14.7410 per share.</w:t>
      </w:r>
    </w:p>
    <w:p>
      <w:pPr>
        <w:spacing w:after="0" w:line="184" w:lineRule="exact"/>
        <w:rPr>
          <w:sz w:val="20"/>
          <w:szCs w:val="20"/>
          <w:color w:val="auto"/>
        </w:rPr>
      </w:pPr>
    </w:p>
    <w:p>
      <w:pPr>
        <w:ind w:left="180" w:right="520" w:firstLine="545"/>
        <w:spacing w:after="0" w:line="267" w:lineRule="auto"/>
        <w:rPr>
          <w:sz w:val="20"/>
          <w:szCs w:val="20"/>
          <w:color w:val="auto"/>
        </w:rPr>
      </w:pPr>
      <w:r>
        <w:rPr>
          <w:rFonts w:ascii="Arial" w:cs="Arial" w:eastAsia="Arial" w:hAnsi="Arial"/>
          <w:sz w:val="17"/>
          <w:szCs w:val="17"/>
          <w:color w:val="auto"/>
        </w:rPr>
        <w:t>Since June 30, 2018, we issued 17,296 shares of our Series B redeemable preferred stock upon the exercise of warrants to purchase shares of our Series B redeemable preferred stock to an accredited investor at an exercise price of $7.9453 per share.</w:t>
      </w:r>
    </w:p>
    <w:p>
      <w:pPr>
        <w:spacing w:after="0" w:line="180" w:lineRule="exact"/>
        <w:rPr>
          <w:sz w:val="20"/>
          <w:szCs w:val="20"/>
          <w:color w:val="auto"/>
        </w:rPr>
      </w:pPr>
    </w:p>
    <w:p>
      <w:pPr>
        <w:ind w:left="180" w:right="500" w:firstLine="545"/>
        <w:spacing w:after="0" w:line="267" w:lineRule="auto"/>
        <w:rPr>
          <w:sz w:val="20"/>
          <w:szCs w:val="20"/>
          <w:color w:val="auto"/>
        </w:rPr>
      </w:pPr>
      <w:r>
        <w:rPr>
          <w:rFonts w:ascii="Arial" w:cs="Arial" w:eastAsia="Arial" w:hAnsi="Arial"/>
          <w:sz w:val="17"/>
          <w:szCs w:val="17"/>
          <w:color w:val="auto"/>
        </w:rPr>
        <w:t>Since June 30, 2018, we issued 76,627 shares of our Series G redeemable preferred stock upon the exercise of warrants to purchase shares of our Series G redeemable preferred stock to an accredited investor at an exercise price of $14.7410 per share.</w:t>
      </w:r>
    </w:p>
    <w:p>
      <w:pPr>
        <w:spacing w:after="0" w:line="1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60"/>
          </w:cols>
          <w:pgMar w:left="320" w:top="456" w:right="6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80" w:firstLine="545"/>
        <w:spacing w:after="0" w:line="234" w:lineRule="auto"/>
        <w:rPr>
          <w:sz w:val="20"/>
          <w:szCs w:val="20"/>
          <w:color w:val="auto"/>
        </w:rPr>
      </w:pPr>
      <w:r>
        <w:rPr>
          <w:rFonts w:ascii="Arial" w:cs="Arial" w:eastAsia="Arial" w:hAnsi="Arial"/>
          <w:sz w:val="18"/>
          <w:szCs w:val="18"/>
          <w:color w:val="auto"/>
        </w:rPr>
        <w:t>None of the transactions listed above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100" w:type="dxa"/>
            <w:vAlign w:val="bottom"/>
          </w:tcPr>
          <w:p>
            <w:pPr>
              <w:spacing w:after="0"/>
              <w:rPr>
                <w:sz w:val="14"/>
                <w:szCs w:val="14"/>
                <w:color w:val="auto"/>
              </w:rPr>
            </w:pPr>
          </w:p>
        </w:tc>
      </w:tr>
      <w:tr>
        <w:trPr>
          <w:trHeight w:val="174"/>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10320" w:type="dxa"/>
            <w:vAlign w:val="bottom"/>
            <w:gridSpan w:val="3"/>
          </w:tcPr>
          <w:p>
            <w:pPr>
              <w:ind w:left="74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313"/>
        </w:trPr>
        <w:tc>
          <w:tcPr>
            <w:tcW w:w="54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Form of Underwriting Agreement.</w:t>
            </w:r>
          </w:p>
        </w:tc>
      </w:tr>
      <w:tr>
        <w:trPr>
          <w:trHeight w:val="294"/>
        </w:trPr>
        <w:tc>
          <w:tcPr>
            <w:tcW w:w="54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w w:val="98"/>
              </w:rPr>
              <w:t>Eleventh Amended and Restated Certificate of Incorporation of the Registrant, dated as of October 26, 2020, as amended</w:t>
            </w:r>
          </w:p>
        </w:tc>
      </w:tr>
      <w:tr>
        <w:trPr>
          <w:trHeight w:val="200"/>
        </w:trPr>
        <w:tc>
          <w:tcPr>
            <w:tcW w:w="540" w:type="dxa"/>
            <w:vAlign w:val="bottom"/>
          </w:tcPr>
          <w:p>
            <w:pPr>
              <w:spacing w:after="0"/>
              <w:rPr>
                <w:sz w:val="17"/>
                <w:szCs w:val="17"/>
                <w:color w:val="auto"/>
              </w:rPr>
            </w:pPr>
          </w:p>
        </w:tc>
        <w:tc>
          <w:tcPr>
            <w:tcW w:w="103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by that first certificate of amendment to the Eleventh Amended and Restated Certificate of Incorporation, dated as of</w:t>
            </w:r>
          </w:p>
        </w:tc>
      </w:tr>
      <w:tr>
        <w:trPr>
          <w:trHeight w:val="200"/>
        </w:trPr>
        <w:tc>
          <w:tcPr>
            <w:tcW w:w="540" w:type="dxa"/>
            <w:vAlign w:val="bottom"/>
          </w:tcPr>
          <w:p>
            <w:pPr>
              <w:spacing w:after="0"/>
              <w:rPr>
                <w:sz w:val="17"/>
                <w:szCs w:val="17"/>
                <w:color w:val="auto"/>
              </w:rPr>
            </w:pPr>
          </w:p>
        </w:tc>
        <w:tc>
          <w:tcPr>
            <w:tcW w:w="103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March 22, 2021 and that second certificate of amendment to the Eleventh Amended and Restated Certificate of</w:t>
            </w:r>
          </w:p>
        </w:tc>
      </w:tr>
      <w:tr>
        <w:trPr>
          <w:trHeight w:val="213"/>
        </w:trPr>
        <w:tc>
          <w:tcPr>
            <w:tcW w:w="540" w:type="dxa"/>
            <w:vAlign w:val="bottom"/>
          </w:tcPr>
          <w:p>
            <w:pPr>
              <w:spacing w:after="0"/>
              <w:rPr>
                <w:sz w:val="18"/>
                <w:szCs w:val="18"/>
                <w:color w:val="auto"/>
              </w:rPr>
            </w:pP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Incorporation, dated April 30, 2021, as currently in effect.</w:t>
            </w:r>
          </w:p>
        </w:tc>
      </w:tr>
      <w:tr>
        <w:trPr>
          <w:trHeight w:val="307"/>
        </w:trPr>
        <w:tc>
          <w:tcPr>
            <w:tcW w:w="54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Third Amended and Restated Bylaws of the Registrant, as currently in effect.</w:t>
            </w:r>
          </w:p>
        </w:tc>
      </w:tr>
      <w:tr>
        <w:trPr>
          <w:trHeight w:val="294"/>
        </w:trPr>
        <w:tc>
          <w:tcPr>
            <w:tcW w:w="5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w w:val="98"/>
              </w:rPr>
              <w:t>Form of Amended and Restated Certificate of Incorporation of the Registrant, to be effective following the effectiveness of</w:t>
            </w:r>
          </w:p>
        </w:tc>
      </w:tr>
      <w:tr>
        <w:trPr>
          <w:trHeight w:val="213"/>
        </w:trPr>
        <w:tc>
          <w:tcPr>
            <w:tcW w:w="540" w:type="dxa"/>
            <w:vAlign w:val="bottom"/>
          </w:tcPr>
          <w:p>
            <w:pPr>
              <w:spacing w:after="0"/>
              <w:rPr>
                <w:sz w:val="18"/>
                <w:szCs w:val="18"/>
                <w:color w:val="auto"/>
              </w:rPr>
            </w:pP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this registration statement.</w:t>
            </w:r>
          </w:p>
        </w:tc>
      </w:tr>
      <w:tr>
        <w:trPr>
          <w:trHeight w:val="294"/>
        </w:trPr>
        <w:tc>
          <w:tcPr>
            <w:tcW w:w="540" w:type="dxa"/>
            <w:vAlign w:val="bottom"/>
          </w:tcPr>
          <w:p>
            <w:pPr>
              <w:jc w:val="right"/>
              <w:ind w:right="53"/>
              <w:spacing w:after="0"/>
              <w:rPr>
                <w:sz w:val="20"/>
                <w:szCs w:val="20"/>
                <w:color w:val="auto"/>
              </w:rPr>
            </w:pPr>
            <w:r>
              <w:rPr>
                <w:rFonts w:ascii="Arial" w:cs="Arial" w:eastAsia="Arial" w:hAnsi="Arial"/>
                <w:sz w:val="18"/>
                <w:szCs w:val="18"/>
                <w:color w:val="auto"/>
              </w:rPr>
              <w:t>3.4*</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Form of Amended and Restated Bylaws of the Registrant, to be effective following the effectiveness of this registration</w:t>
            </w:r>
          </w:p>
        </w:tc>
      </w:tr>
      <w:tr>
        <w:trPr>
          <w:trHeight w:val="213"/>
        </w:trPr>
        <w:tc>
          <w:tcPr>
            <w:tcW w:w="540" w:type="dxa"/>
            <w:vAlign w:val="bottom"/>
          </w:tcPr>
          <w:p>
            <w:pPr>
              <w:spacing w:after="0"/>
              <w:rPr>
                <w:sz w:val="18"/>
                <w:szCs w:val="18"/>
                <w:color w:val="auto"/>
              </w:rPr>
            </w:pP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statement.</w:t>
            </w:r>
          </w:p>
        </w:tc>
      </w:tr>
      <w:tr>
        <w:trPr>
          <w:trHeight w:val="307"/>
        </w:trPr>
        <w:tc>
          <w:tcPr>
            <w:tcW w:w="54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Specimen Class A common stock certificate of the Registrant.</w:t>
            </w:r>
          </w:p>
        </w:tc>
      </w:tr>
      <w:tr>
        <w:trPr>
          <w:trHeight w:val="294"/>
        </w:trPr>
        <w:tc>
          <w:tcPr>
            <w:tcW w:w="54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Eighth Amended and Restated Investors’ Rights Agreement, or the IRA, by and among the Registrant and certain of its</w:t>
            </w:r>
          </w:p>
        </w:tc>
      </w:tr>
      <w:tr>
        <w:trPr>
          <w:trHeight w:val="200"/>
        </w:trPr>
        <w:tc>
          <w:tcPr>
            <w:tcW w:w="540" w:type="dxa"/>
            <w:vAlign w:val="bottom"/>
          </w:tcPr>
          <w:p>
            <w:pPr>
              <w:spacing w:after="0"/>
              <w:rPr>
                <w:sz w:val="17"/>
                <w:szCs w:val="17"/>
                <w:color w:val="auto"/>
              </w:rPr>
            </w:pPr>
          </w:p>
        </w:tc>
        <w:tc>
          <w:tcPr>
            <w:tcW w:w="103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stockholders, dated April 30, 2020, as amended by that amendment No. 1 to the IRA, dated October 26, 2020 and that</w:t>
            </w:r>
          </w:p>
        </w:tc>
      </w:tr>
      <w:tr>
        <w:trPr>
          <w:trHeight w:val="213"/>
        </w:trPr>
        <w:tc>
          <w:tcPr>
            <w:tcW w:w="540" w:type="dxa"/>
            <w:vAlign w:val="bottom"/>
          </w:tcPr>
          <w:p>
            <w:pPr>
              <w:spacing w:after="0"/>
              <w:rPr>
                <w:sz w:val="18"/>
                <w:szCs w:val="18"/>
                <w:color w:val="auto"/>
              </w:rPr>
            </w:pP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amendment No. 2 to the IRA, dated April 30, 2021.</w:t>
            </w:r>
          </w:p>
        </w:tc>
      </w:tr>
      <w:tr>
        <w:trPr>
          <w:trHeight w:val="307"/>
        </w:trPr>
        <w:tc>
          <w:tcPr>
            <w:tcW w:w="54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Opinion of Latham &amp; Watkins LLP.</w:t>
            </w:r>
          </w:p>
        </w:tc>
      </w:tr>
      <w:tr>
        <w:trPr>
          <w:trHeight w:val="307"/>
        </w:trPr>
        <w:tc>
          <w:tcPr>
            <w:tcW w:w="540" w:type="dxa"/>
            <w:vAlign w:val="bottom"/>
          </w:tcPr>
          <w:p>
            <w:pPr>
              <w:jc w:val="right"/>
              <w:ind w:right="53"/>
              <w:spacing w:after="0"/>
              <w:rPr>
                <w:sz w:val="20"/>
                <w:szCs w:val="20"/>
                <w:color w:val="auto"/>
              </w:rPr>
            </w:pPr>
            <w:r>
              <w:rPr>
                <w:rFonts w:ascii="Arial" w:cs="Arial" w:eastAsia="Arial" w:hAnsi="Arial"/>
                <w:sz w:val="18"/>
                <w:szCs w:val="18"/>
                <w:color w:val="auto"/>
                <w:w w:val="90"/>
              </w:rPr>
              <w:t>10.1*</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07"/>
        </w:trPr>
        <w:tc>
          <w:tcPr>
            <w:tcW w:w="540" w:type="dxa"/>
            <w:vAlign w:val="bottom"/>
          </w:tcPr>
          <w:p>
            <w:pPr>
              <w:jc w:val="right"/>
              <w:spacing w:after="0"/>
              <w:rPr>
                <w:sz w:val="20"/>
                <w:szCs w:val="20"/>
                <w:color w:val="auto"/>
              </w:rPr>
            </w:pPr>
            <w:r>
              <w:rPr>
                <w:rFonts w:ascii="Arial" w:cs="Arial" w:eastAsia="Arial" w:hAnsi="Arial"/>
                <w:sz w:val="18"/>
                <w:szCs w:val="18"/>
                <w:color w:val="auto"/>
                <w:w w:val="95"/>
              </w:rPr>
              <w:t>10.2*+</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2009 Stock Incentive Plan.</w:t>
            </w:r>
          </w:p>
        </w:tc>
      </w:tr>
      <w:tr>
        <w:trPr>
          <w:trHeight w:val="307"/>
        </w:trPr>
        <w:tc>
          <w:tcPr>
            <w:tcW w:w="540" w:type="dxa"/>
            <w:vAlign w:val="bottom"/>
          </w:tcPr>
          <w:p>
            <w:pPr>
              <w:jc w:val="right"/>
              <w:spacing w:after="0"/>
              <w:rPr>
                <w:sz w:val="20"/>
                <w:szCs w:val="20"/>
                <w:color w:val="auto"/>
              </w:rPr>
            </w:pPr>
            <w:r>
              <w:rPr>
                <w:rFonts w:ascii="Arial" w:cs="Arial" w:eastAsia="Arial" w:hAnsi="Arial"/>
                <w:sz w:val="18"/>
                <w:szCs w:val="18"/>
                <w:color w:val="auto"/>
                <w:w w:val="95"/>
              </w:rPr>
              <w:t>10.3*+</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Form of Incentive Stock Option Agreement (2009 Plan).</w:t>
            </w:r>
          </w:p>
        </w:tc>
      </w:tr>
      <w:tr>
        <w:trPr>
          <w:trHeight w:val="307"/>
        </w:trPr>
        <w:tc>
          <w:tcPr>
            <w:tcW w:w="540" w:type="dxa"/>
            <w:vAlign w:val="bottom"/>
          </w:tcPr>
          <w:p>
            <w:pPr>
              <w:jc w:val="right"/>
              <w:spacing w:after="0"/>
              <w:rPr>
                <w:sz w:val="20"/>
                <w:szCs w:val="20"/>
                <w:color w:val="auto"/>
              </w:rPr>
            </w:pPr>
            <w:r>
              <w:rPr>
                <w:rFonts w:ascii="Arial" w:cs="Arial" w:eastAsia="Arial" w:hAnsi="Arial"/>
                <w:sz w:val="18"/>
                <w:szCs w:val="18"/>
                <w:color w:val="auto"/>
                <w:w w:val="95"/>
              </w:rPr>
              <w:t>10.4*+</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Form of Nonstatutory Stock Option Agreement (2009 Plan).</w:t>
            </w:r>
          </w:p>
        </w:tc>
      </w:tr>
      <w:tr>
        <w:trPr>
          <w:trHeight w:val="307"/>
        </w:trPr>
        <w:tc>
          <w:tcPr>
            <w:tcW w:w="540" w:type="dxa"/>
            <w:vAlign w:val="bottom"/>
          </w:tcPr>
          <w:p>
            <w:pPr>
              <w:jc w:val="right"/>
              <w:spacing w:after="0"/>
              <w:rPr>
                <w:sz w:val="20"/>
                <w:szCs w:val="20"/>
                <w:color w:val="auto"/>
              </w:rPr>
            </w:pPr>
            <w:r>
              <w:rPr>
                <w:rFonts w:ascii="Arial" w:cs="Arial" w:eastAsia="Arial" w:hAnsi="Arial"/>
                <w:sz w:val="18"/>
                <w:szCs w:val="18"/>
                <w:color w:val="auto"/>
                <w:w w:val="95"/>
              </w:rPr>
              <w:t>10.5*+</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2019 Stock Incentive Plan.</w:t>
            </w:r>
          </w:p>
        </w:tc>
      </w:tr>
      <w:tr>
        <w:trPr>
          <w:trHeight w:val="307"/>
        </w:trPr>
        <w:tc>
          <w:tcPr>
            <w:tcW w:w="540" w:type="dxa"/>
            <w:vAlign w:val="bottom"/>
          </w:tcPr>
          <w:p>
            <w:pPr>
              <w:jc w:val="right"/>
              <w:spacing w:after="0"/>
              <w:rPr>
                <w:sz w:val="20"/>
                <w:szCs w:val="20"/>
                <w:color w:val="auto"/>
              </w:rPr>
            </w:pPr>
            <w:r>
              <w:rPr>
                <w:rFonts w:ascii="Arial" w:cs="Arial" w:eastAsia="Arial" w:hAnsi="Arial"/>
                <w:sz w:val="18"/>
                <w:szCs w:val="18"/>
                <w:color w:val="auto"/>
                <w:w w:val="95"/>
              </w:rPr>
              <w:t>10.6*+</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Form of Incentive Stock Option Agreement (2019 Plan).</w:t>
            </w:r>
          </w:p>
        </w:tc>
      </w:tr>
      <w:tr>
        <w:trPr>
          <w:trHeight w:val="307"/>
        </w:trPr>
        <w:tc>
          <w:tcPr>
            <w:tcW w:w="540" w:type="dxa"/>
            <w:vAlign w:val="bottom"/>
          </w:tcPr>
          <w:p>
            <w:pPr>
              <w:jc w:val="right"/>
              <w:spacing w:after="0"/>
              <w:rPr>
                <w:sz w:val="20"/>
                <w:szCs w:val="20"/>
                <w:color w:val="auto"/>
              </w:rPr>
            </w:pPr>
            <w:r>
              <w:rPr>
                <w:rFonts w:ascii="Arial" w:cs="Arial" w:eastAsia="Arial" w:hAnsi="Arial"/>
                <w:sz w:val="18"/>
                <w:szCs w:val="18"/>
                <w:color w:val="auto"/>
                <w:w w:val="95"/>
              </w:rPr>
              <w:t>10.7*+</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Form of Nonstatutory Stock Option Agreement (2019 Plan).</w:t>
            </w:r>
          </w:p>
        </w:tc>
      </w:tr>
      <w:tr>
        <w:trPr>
          <w:trHeight w:val="307"/>
        </w:trPr>
        <w:tc>
          <w:tcPr>
            <w:tcW w:w="540" w:type="dxa"/>
            <w:vAlign w:val="bottom"/>
          </w:tcPr>
          <w:p>
            <w:pPr>
              <w:jc w:val="right"/>
              <w:spacing w:after="0"/>
              <w:rPr>
                <w:sz w:val="20"/>
                <w:szCs w:val="20"/>
                <w:color w:val="auto"/>
              </w:rPr>
            </w:pPr>
            <w:r>
              <w:rPr>
                <w:rFonts w:ascii="Arial" w:cs="Arial" w:eastAsia="Arial" w:hAnsi="Arial"/>
                <w:sz w:val="18"/>
                <w:szCs w:val="18"/>
                <w:color w:val="auto"/>
                <w:w w:val="95"/>
              </w:rPr>
              <w:t>10.8*+</w:t>
            </w:r>
          </w:p>
        </w:tc>
        <w:tc>
          <w:tcPr>
            <w:tcW w:w="10320" w:type="dxa"/>
            <w:vAlign w:val="bottom"/>
            <w:gridSpan w:val="3"/>
          </w:tcPr>
          <w:p>
            <w:pPr>
              <w:ind w:left="740"/>
              <w:spacing w:after="0"/>
              <w:rPr>
                <w:sz w:val="20"/>
                <w:szCs w:val="20"/>
                <w:color w:val="auto"/>
              </w:rPr>
            </w:pPr>
            <w:r>
              <w:rPr>
                <w:rFonts w:ascii="Arial" w:cs="Arial" w:eastAsia="Arial" w:hAnsi="Arial"/>
                <w:sz w:val="18"/>
                <w:szCs w:val="18"/>
                <w:color w:val="auto"/>
              </w:rPr>
              <w:t>Form of Restricted Stock Unit Agreement (2019 Plan).</w:t>
            </w:r>
          </w:p>
        </w:tc>
      </w:tr>
      <w:tr>
        <w:trPr>
          <w:trHeight w:val="347"/>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100" w:type="dxa"/>
            <w:vAlign w:val="bottom"/>
          </w:tcPr>
          <w:p>
            <w:pPr>
              <w:ind w:left="25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080"/>
          </w:cols>
          <w:pgMar w:left="320" w:top="456"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74"/>
        </w:trPr>
        <w:tc>
          <w:tcPr>
            <w:tcW w:w="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7500" w:type="dxa"/>
            <w:vAlign w:val="bottom"/>
            <w:gridSpan w:val="3"/>
          </w:tcPr>
          <w:p>
            <w:pPr>
              <w:ind w:left="300"/>
              <w:spacing w:after="0"/>
              <w:rPr>
                <w:sz w:val="20"/>
                <w:szCs w:val="20"/>
                <w:color w:val="auto"/>
              </w:rPr>
            </w:pPr>
            <w:r>
              <w:rPr>
                <w:rFonts w:ascii="Arial" w:cs="Arial" w:eastAsia="Arial" w:hAnsi="Arial"/>
                <w:sz w:val="14"/>
                <w:szCs w:val="14"/>
                <w:b w:val="1"/>
                <w:bCs w:val="1"/>
                <w:color w:val="auto"/>
              </w:rPr>
              <w:t>Description of Exhibit</w:t>
            </w:r>
          </w:p>
        </w:tc>
        <w:tc>
          <w:tcPr>
            <w:tcW w:w="23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13"/>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2021 Incentive Award Plan.</w:t>
            </w:r>
          </w:p>
        </w:tc>
        <w:tc>
          <w:tcPr>
            <w:tcW w:w="2360" w:type="dxa"/>
            <w:vAlign w:val="bottom"/>
          </w:tcPr>
          <w:p>
            <w:pPr>
              <w:spacing w:after="0"/>
              <w:rPr>
                <w:sz w:val="24"/>
                <w:szCs w:val="24"/>
                <w:color w:val="auto"/>
              </w:rPr>
            </w:pPr>
          </w:p>
        </w:tc>
      </w:tr>
      <w:tr>
        <w:trPr>
          <w:trHeight w:val="307"/>
        </w:trPr>
        <w:tc>
          <w:tcPr>
            <w:tcW w:w="940" w:type="dxa"/>
            <w:vAlign w:val="bottom"/>
            <w:gridSpan w:val="3"/>
          </w:tcPr>
          <w:p>
            <w:pPr>
              <w:spacing w:after="0"/>
              <w:rPr>
                <w:sz w:val="20"/>
                <w:szCs w:val="20"/>
                <w:color w:val="auto"/>
              </w:rPr>
            </w:pPr>
            <w:r>
              <w:rPr>
                <w:rFonts w:ascii="Arial" w:cs="Arial" w:eastAsia="Arial" w:hAnsi="Arial"/>
                <w:sz w:val="18"/>
                <w:szCs w:val="18"/>
                <w:color w:val="auto"/>
              </w:rPr>
              <w:t>10.10*+</w:t>
            </w: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(2021 Plan).</w:t>
            </w:r>
          </w:p>
        </w:tc>
        <w:tc>
          <w:tcPr>
            <w:tcW w:w="2360" w:type="dxa"/>
            <w:vAlign w:val="bottom"/>
          </w:tcPr>
          <w:p>
            <w:pPr>
              <w:spacing w:after="0"/>
              <w:rPr>
                <w:sz w:val="24"/>
                <w:szCs w:val="24"/>
                <w:color w:val="auto"/>
              </w:rPr>
            </w:pPr>
          </w:p>
        </w:tc>
      </w:tr>
      <w:tr>
        <w:trPr>
          <w:trHeight w:val="307"/>
        </w:trPr>
        <w:tc>
          <w:tcPr>
            <w:tcW w:w="940" w:type="dxa"/>
            <w:vAlign w:val="bottom"/>
            <w:gridSpan w:val="3"/>
          </w:tcPr>
          <w:p>
            <w:pPr>
              <w:spacing w:after="0"/>
              <w:rPr>
                <w:sz w:val="20"/>
                <w:szCs w:val="20"/>
                <w:color w:val="auto"/>
              </w:rPr>
            </w:pPr>
            <w:r>
              <w:rPr>
                <w:rFonts w:ascii="Arial" w:cs="Arial" w:eastAsia="Arial" w:hAnsi="Arial"/>
                <w:sz w:val="18"/>
                <w:szCs w:val="18"/>
                <w:color w:val="auto"/>
              </w:rPr>
              <w:t>10.11*+</w:t>
            </w: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Unit Agreement (2021 Plan).</w:t>
            </w:r>
          </w:p>
        </w:tc>
        <w:tc>
          <w:tcPr>
            <w:tcW w:w="2360" w:type="dxa"/>
            <w:vAlign w:val="bottom"/>
          </w:tcPr>
          <w:p>
            <w:pPr>
              <w:spacing w:after="0"/>
              <w:rPr>
                <w:sz w:val="24"/>
                <w:szCs w:val="24"/>
                <w:color w:val="auto"/>
              </w:rPr>
            </w:pPr>
          </w:p>
        </w:tc>
      </w:tr>
      <w:tr>
        <w:trPr>
          <w:trHeight w:val="307"/>
        </w:trPr>
        <w:tc>
          <w:tcPr>
            <w:tcW w:w="940" w:type="dxa"/>
            <w:vAlign w:val="bottom"/>
            <w:gridSpan w:val="3"/>
          </w:tcPr>
          <w:p>
            <w:pPr>
              <w:spacing w:after="0"/>
              <w:rPr>
                <w:sz w:val="20"/>
                <w:szCs w:val="20"/>
                <w:color w:val="auto"/>
              </w:rPr>
            </w:pPr>
            <w:r>
              <w:rPr>
                <w:rFonts w:ascii="Arial" w:cs="Arial" w:eastAsia="Arial" w:hAnsi="Arial"/>
                <w:sz w:val="18"/>
                <w:szCs w:val="18"/>
                <w:color w:val="auto"/>
              </w:rPr>
              <w:t>10.12*+</w:t>
            </w: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Non-Employee Director Compensation Policy.</w:t>
            </w:r>
          </w:p>
        </w:tc>
        <w:tc>
          <w:tcPr>
            <w:tcW w:w="2360" w:type="dxa"/>
            <w:vAlign w:val="bottom"/>
          </w:tcPr>
          <w:p>
            <w:pPr>
              <w:spacing w:after="0"/>
              <w:rPr>
                <w:sz w:val="24"/>
                <w:szCs w:val="24"/>
                <w:color w:val="auto"/>
              </w:rPr>
            </w:pPr>
          </w:p>
        </w:tc>
      </w:tr>
      <w:tr>
        <w:trPr>
          <w:trHeight w:val="307"/>
        </w:trPr>
        <w:tc>
          <w:tcPr>
            <w:tcW w:w="940" w:type="dxa"/>
            <w:vAlign w:val="bottom"/>
            <w:gridSpan w:val="3"/>
          </w:tcPr>
          <w:p>
            <w:pPr>
              <w:spacing w:after="0"/>
              <w:rPr>
                <w:sz w:val="20"/>
                <w:szCs w:val="20"/>
                <w:color w:val="auto"/>
              </w:rPr>
            </w:pPr>
            <w:r>
              <w:rPr>
                <w:rFonts w:ascii="Arial" w:cs="Arial" w:eastAsia="Arial" w:hAnsi="Arial"/>
                <w:sz w:val="18"/>
                <w:szCs w:val="18"/>
                <w:color w:val="auto"/>
              </w:rPr>
              <w:t>10.13*+</w:t>
            </w: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Employment Agreement, by and between the Registrant and Jennifer Y. Hyman, dated</w:t>
            </w:r>
          </w:p>
        </w:tc>
        <w:tc>
          <w:tcPr>
            <w:tcW w:w="2360" w:type="dxa"/>
            <w:vAlign w:val="bottom"/>
          </w:tcPr>
          <w:p>
            <w:pPr>
              <w:jc w:val="right"/>
              <w:ind w:right="1671"/>
              <w:spacing w:after="0"/>
              <w:rPr>
                <w:sz w:val="20"/>
                <w:szCs w:val="20"/>
                <w:color w:val="auto"/>
              </w:rPr>
            </w:pPr>
            <w:r>
              <w:rPr>
                <w:rFonts w:ascii="Arial" w:cs="Arial" w:eastAsia="Arial" w:hAnsi="Arial"/>
                <w:sz w:val="18"/>
                <w:szCs w:val="18"/>
                <w:color w:val="auto"/>
              </w:rPr>
              <w:t>, 2021.</w:t>
            </w:r>
          </w:p>
        </w:tc>
      </w:tr>
      <w:tr>
        <w:trPr>
          <w:trHeight w:val="307"/>
        </w:trPr>
        <w:tc>
          <w:tcPr>
            <w:tcW w:w="940" w:type="dxa"/>
            <w:vAlign w:val="bottom"/>
            <w:gridSpan w:val="3"/>
          </w:tcPr>
          <w:p>
            <w:pPr>
              <w:spacing w:after="0"/>
              <w:rPr>
                <w:sz w:val="20"/>
                <w:szCs w:val="20"/>
                <w:color w:val="auto"/>
              </w:rPr>
            </w:pPr>
            <w:r>
              <w:rPr>
                <w:rFonts w:ascii="Arial" w:cs="Arial" w:eastAsia="Arial" w:hAnsi="Arial"/>
                <w:sz w:val="18"/>
                <w:szCs w:val="18"/>
                <w:color w:val="auto"/>
              </w:rPr>
              <w:t>10.14*+</w:t>
            </w: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Offer Letter, by and between the Registrant and Scarlett O’Sullivan, dated September 4, 2015.</w:t>
            </w:r>
          </w:p>
        </w:tc>
      </w:tr>
      <w:tr>
        <w:trPr>
          <w:trHeight w:val="307"/>
        </w:trPr>
        <w:tc>
          <w:tcPr>
            <w:tcW w:w="940" w:type="dxa"/>
            <w:vAlign w:val="bottom"/>
            <w:gridSpan w:val="3"/>
          </w:tcPr>
          <w:p>
            <w:pPr>
              <w:spacing w:after="0"/>
              <w:rPr>
                <w:sz w:val="20"/>
                <w:szCs w:val="20"/>
                <w:color w:val="auto"/>
              </w:rPr>
            </w:pPr>
            <w:r>
              <w:rPr>
                <w:rFonts w:ascii="Arial" w:cs="Arial" w:eastAsia="Arial" w:hAnsi="Arial"/>
                <w:sz w:val="18"/>
                <w:szCs w:val="18"/>
                <w:color w:val="auto"/>
              </w:rPr>
              <w:t>10.15*+</w:t>
            </w: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w w:val="99"/>
              </w:rPr>
              <w:t>Offer Letter, by and between the Registrant and Anushka Salinas, dated January 20, 2017.</w:t>
            </w:r>
          </w:p>
        </w:tc>
        <w:tc>
          <w:tcPr>
            <w:tcW w:w="2360" w:type="dxa"/>
            <w:vAlign w:val="bottom"/>
          </w:tcPr>
          <w:p>
            <w:pPr>
              <w:spacing w:after="0"/>
              <w:rPr>
                <w:sz w:val="24"/>
                <w:szCs w:val="24"/>
                <w:color w:val="auto"/>
              </w:rPr>
            </w:pPr>
          </w:p>
        </w:tc>
      </w:tr>
      <w:tr>
        <w:trPr>
          <w:trHeight w:val="307"/>
        </w:trPr>
        <w:tc>
          <w:tcPr>
            <w:tcW w:w="940" w:type="dxa"/>
            <w:vAlign w:val="bottom"/>
            <w:gridSpan w:val="3"/>
          </w:tcPr>
          <w:p>
            <w:pPr>
              <w:spacing w:after="0"/>
              <w:rPr>
                <w:sz w:val="20"/>
                <w:szCs w:val="20"/>
                <w:color w:val="auto"/>
              </w:rPr>
            </w:pPr>
            <w:r>
              <w:rPr>
                <w:rFonts w:ascii="Arial" w:cs="Arial" w:eastAsia="Arial" w:hAnsi="Arial"/>
                <w:sz w:val="18"/>
                <w:szCs w:val="18"/>
                <w:color w:val="auto"/>
              </w:rPr>
              <w:t>10.16*+</w:t>
            </w: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Offer Letter, by and between the Registrant and Brian Donato, dated January 17, 2020.</w:t>
            </w:r>
          </w:p>
        </w:tc>
        <w:tc>
          <w:tcPr>
            <w:tcW w:w="2360" w:type="dxa"/>
            <w:vAlign w:val="bottom"/>
          </w:tcPr>
          <w:p>
            <w:pPr>
              <w:spacing w:after="0"/>
              <w:rPr>
                <w:sz w:val="24"/>
                <w:szCs w:val="24"/>
                <w:color w:val="auto"/>
              </w:rPr>
            </w:pPr>
          </w:p>
        </w:tc>
      </w:tr>
      <w:tr>
        <w:trPr>
          <w:trHeight w:val="294"/>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24"/>
                <w:szCs w:val="24"/>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Credit Agreement, dated as of October 26, 2020, as amended on April 30, 2021, by and among the Registrant, as</w:t>
            </w:r>
          </w:p>
        </w:tc>
      </w:tr>
      <w:tr>
        <w:trPr>
          <w:trHeight w:val="213"/>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borrower, the lenders from time to time party thereto, as lenders, and Alter Domus (US) LLC, as administrative agent.</w:t>
            </w:r>
          </w:p>
        </w:tc>
      </w:tr>
      <w:tr>
        <w:trPr>
          <w:trHeight w:val="294"/>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24"/>
                <w:szCs w:val="24"/>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Credit Agreement, dated as of July 23, 2018 (as amended on December 21, 2018, April 24, 2019, November 26, 2019,</w:t>
            </w:r>
          </w:p>
        </w:tc>
      </w:tr>
      <w:tr>
        <w:trPr>
          <w:trHeight w:val="200"/>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gridSpan w:val="4"/>
          </w:tcPr>
          <w:p>
            <w:pPr>
              <w:ind w:left="300"/>
              <w:spacing w:after="0" w:line="201" w:lineRule="exact"/>
              <w:rPr>
                <w:sz w:val="20"/>
                <w:szCs w:val="20"/>
                <w:color w:val="auto"/>
              </w:rPr>
            </w:pPr>
            <w:r>
              <w:rPr>
                <w:rFonts w:ascii="Arial" w:cs="Arial" w:eastAsia="Arial" w:hAnsi="Arial"/>
                <w:sz w:val="18"/>
                <w:szCs w:val="18"/>
                <w:color w:val="auto"/>
              </w:rPr>
              <w:t>June 2, 2020, August 18, 2020 and October 26, 2020, and as may be further amended, restated, supplemented or</w:t>
            </w:r>
          </w:p>
        </w:tc>
      </w:tr>
      <w:tr>
        <w:trPr>
          <w:trHeight w:val="200"/>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gridSpan w:val="4"/>
          </w:tcPr>
          <w:p>
            <w:pPr>
              <w:ind w:left="300"/>
              <w:spacing w:after="0" w:line="201" w:lineRule="exact"/>
              <w:rPr>
                <w:sz w:val="20"/>
                <w:szCs w:val="20"/>
                <w:color w:val="auto"/>
              </w:rPr>
            </w:pPr>
            <w:r>
              <w:rPr>
                <w:rFonts w:ascii="Arial" w:cs="Arial" w:eastAsia="Arial" w:hAnsi="Arial"/>
                <w:sz w:val="18"/>
                <w:szCs w:val="18"/>
                <w:color w:val="auto"/>
                <w:w w:val="99"/>
              </w:rPr>
              <w:t>otherwise modified in accordance with the terms thereof) and the Specified Subordination Agreement, by and among the</w:t>
            </w:r>
          </w:p>
        </w:tc>
      </w:tr>
      <w:tr>
        <w:trPr>
          <w:trHeight w:val="213"/>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Registrant, the lenders from time to time party thereto and Double Helix Pte Ltd, as administrative agent.</w:t>
            </w:r>
          </w:p>
        </w:tc>
      </w:tr>
      <w:tr>
        <w:trPr>
          <w:trHeight w:val="294"/>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360" w:type="dxa"/>
            <w:vAlign w:val="bottom"/>
          </w:tcPr>
          <w:p>
            <w:pPr>
              <w:spacing w:after="0"/>
              <w:rPr>
                <w:sz w:val="24"/>
                <w:szCs w:val="24"/>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w w:val="98"/>
              </w:rPr>
              <w:t>Lease, dated as of July 7, 2014 as amended by that certain Lease Modification Agreement, dated April 28, 2020, each by</w:t>
            </w:r>
          </w:p>
        </w:tc>
      </w:tr>
      <w:tr>
        <w:trPr>
          <w:trHeight w:val="213"/>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and between Hartz Metro Leasehold I LLC and the Registrant.</w:t>
            </w:r>
          </w:p>
        </w:tc>
        <w:tc>
          <w:tcPr>
            <w:tcW w:w="2360" w:type="dxa"/>
            <w:vAlign w:val="bottom"/>
          </w:tcPr>
          <w:p>
            <w:pPr>
              <w:spacing w:after="0"/>
              <w:rPr>
                <w:sz w:val="18"/>
                <w:szCs w:val="18"/>
                <w:color w:val="auto"/>
              </w:rPr>
            </w:pPr>
          </w:p>
        </w:tc>
      </w:tr>
      <w:tr>
        <w:trPr>
          <w:trHeight w:val="294"/>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360" w:type="dxa"/>
            <w:vAlign w:val="bottom"/>
          </w:tcPr>
          <w:p>
            <w:pPr>
              <w:spacing w:after="0"/>
              <w:rPr>
                <w:sz w:val="24"/>
                <w:szCs w:val="24"/>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Lease, dated as of February 7, 2017 as amended by that certain Lease Modification Agreement, dated April 28, 2020,</w:t>
            </w:r>
          </w:p>
        </w:tc>
      </w:tr>
      <w:tr>
        <w:trPr>
          <w:trHeight w:val="213"/>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each by and between Hartz Metro Leasehold I LLC and the Registrant.</w:t>
            </w:r>
          </w:p>
        </w:tc>
        <w:tc>
          <w:tcPr>
            <w:tcW w:w="2360" w:type="dxa"/>
            <w:vAlign w:val="bottom"/>
          </w:tcPr>
          <w:p>
            <w:pPr>
              <w:spacing w:after="0"/>
              <w:rPr>
                <w:sz w:val="18"/>
                <w:szCs w:val="18"/>
                <w:color w:val="auto"/>
              </w:rPr>
            </w:pPr>
          </w:p>
        </w:tc>
      </w:tr>
      <w:tr>
        <w:trPr>
          <w:trHeight w:val="294"/>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360" w:type="dxa"/>
            <w:vAlign w:val="bottom"/>
          </w:tcPr>
          <w:p>
            <w:pPr>
              <w:spacing w:after="0"/>
              <w:rPr>
                <w:sz w:val="24"/>
                <w:szCs w:val="24"/>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Industrial Lease, dated March 31, 2018, as amended by that certain First Amendment to Industrial Lease, dated</w:t>
            </w:r>
          </w:p>
        </w:tc>
      </w:tr>
      <w:tr>
        <w:trPr>
          <w:trHeight w:val="213"/>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August 31, 2020, by and between TRPF COOPER I-20 LLC and the Registrant.</w:t>
            </w:r>
          </w:p>
        </w:tc>
        <w:tc>
          <w:tcPr>
            <w:tcW w:w="2360" w:type="dxa"/>
            <w:vAlign w:val="bottom"/>
          </w:tcPr>
          <w:p>
            <w:pPr>
              <w:spacing w:after="0"/>
              <w:rPr>
                <w:sz w:val="18"/>
                <w:szCs w:val="18"/>
                <w:color w:val="auto"/>
              </w:rPr>
            </w:pPr>
          </w:p>
        </w:tc>
      </w:tr>
      <w:tr>
        <w:trPr>
          <w:trHeight w:val="294"/>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24"/>
                <w:szCs w:val="24"/>
                <w:color w:val="auto"/>
              </w:rPr>
            </w:pPr>
          </w:p>
        </w:tc>
        <w:tc>
          <w:tcPr>
            <w:tcW w:w="9860" w:type="dxa"/>
            <w:vAlign w:val="bottom"/>
            <w:gridSpan w:val="4"/>
          </w:tcPr>
          <w:p>
            <w:pPr>
              <w:ind w:left="300"/>
              <w:spacing w:after="0"/>
              <w:rPr>
                <w:sz w:val="20"/>
                <w:szCs w:val="20"/>
                <w:color w:val="auto"/>
              </w:rPr>
            </w:pPr>
            <w:r>
              <w:rPr>
                <w:rFonts w:ascii="Arial" w:cs="Arial" w:eastAsia="Arial" w:hAnsi="Arial"/>
                <w:sz w:val="18"/>
                <w:szCs w:val="18"/>
                <w:color w:val="auto"/>
              </w:rPr>
              <w:t>Lease, dated as of April 1, 2019, as amended by that certain First Amendment of Lease, dated December 10, 2020, by</w:t>
            </w:r>
          </w:p>
        </w:tc>
      </w:tr>
      <w:tr>
        <w:trPr>
          <w:trHeight w:val="213"/>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and between 10 Jay Master Tenant LLC and the Registrant.</w:t>
            </w:r>
          </w:p>
        </w:tc>
        <w:tc>
          <w:tcPr>
            <w:tcW w:w="2360" w:type="dxa"/>
            <w:vAlign w:val="bottom"/>
          </w:tcPr>
          <w:p>
            <w:pPr>
              <w:spacing w:after="0"/>
              <w:rPr>
                <w:sz w:val="18"/>
                <w:szCs w:val="18"/>
                <w:color w:val="auto"/>
              </w:rPr>
            </w:pPr>
          </w:p>
        </w:tc>
      </w:tr>
      <w:tr>
        <w:trPr>
          <w:trHeight w:val="307"/>
        </w:trPr>
        <w:tc>
          <w:tcPr>
            <w:tcW w:w="580" w:type="dxa"/>
            <w:vAlign w:val="bottom"/>
            <w:gridSpan w:val="2"/>
          </w:tcPr>
          <w:p>
            <w:pPr>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24"/>
                <w:szCs w:val="24"/>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Letter regarding change in certifying accountant.</w:t>
            </w:r>
          </w:p>
        </w:tc>
        <w:tc>
          <w:tcPr>
            <w:tcW w:w="2360" w:type="dxa"/>
            <w:vAlign w:val="bottom"/>
          </w:tcPr>
          <w:p>
            <w:pPr>
              <w:spacing w:after="0"/>
              <w:rPr>
                <w:sz w:val="24"/>
                <w:szCs w:val="24"/>
                <w:color w:val="auto"/>
              </w:rPr>
            </w:pPr>
          </w:p>
        </w:tc>
      </w:tr>
      <w:tr>
        <w:trPr>
          <w:trHeight w:val="307"/>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List of subsidiaries of the Registrant.</w:t>
            </w:r>
          </w:p>
        </w:tc>
        <w:tc>
          <w:tcPr>
            <w:tcW w:w="2360" w:type="dxa"/>
            <w:vAlign w:val="bottom"/>
          </w:tcPr>
          <w:p>
            <w:pPr>
              <w:spacing w:after="0"/>
              <w:rPr>
                <w:sz w:val="24"/>
                <w:szCs w:val="24"/>
                <w:color w:val="auto"/>
              </w:rPr>
            </w:pPr>
          </w:p>
        </w:tc>
      </w:tr>
      <w:tr>
        <w:trPr>
          <w:trHeight w:val="307"/>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2360" w:type="dxa"/>
            <w:vAlign w:val="bottom"/>
          </w:tcPr>
          <w:p>
            <w:pPr>
              <w:spacing w:after="0"/>
              <w:rPr>
                <w:sz w:val="24"/>
                <w:szCs w:val="24"/>
                <w:color w:val="auto"/>
              </w:rPr>
            </w:pPr>
          </w:p>
        </w:tc>
      </w:tr>
      <w:tr>
        <w:trPr>
          <w:trHeight w:val="307"/>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Consent of Latham &amp; Watkins LLP (included in Exhibit 5.1).</w:t>
            </w:r>
          </w:p>
        </w:tc>
        <w:tc>
          <w:tcPr>
            <w:tcW w:w="2360" w:type="dxa"/>
            <w:vAlign w:val="bottom"/>
          </w:tcPr>
          <w:p>
            <w:pPr>
              <w:spacing w:after="0"/>
              <w:rPr>
                <w:sz w:val="24"/>
                <w:szCs w:val="24"/>
                <w:color w:val="auto"/>
              </w:rPr>
            </w:pPr>
          </w:p>
        </w:tc>
      </w:tr>
      <w:tr>
        <w:trPr>
          <w:trHeight w:val="307"/>
        </w:trPr>
        <w:tc>
          <w:tcPr>
            <w:tcW w:w="580" w:type="dxa"/>
            <w:vAlign w:val="bottom"/>
            <w:gridSpan w:val="2"/>
          </w:tcPr>
          <w:p>
            <w:pPr>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24"/>
                <w:szCs w:val="24"/>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Consent of Green Story Inc.</w:t>
            </w:r>
          </w:p>
        </w:tc>
        <w:tc>
          <w:tcPr>
            <w:tcW w:w="2360" w:type="dxa"/>
            <w:vAlign w:val="bottom"/>
          </w:tcPr>
          <w:p>
            <w:pPr>
              <w:spacing w:after="0"/>
              <w:rPr>
                <w:sz w:val="24"/>
                <w:szCs w:val="24"/>
                <w:color w:val="auto"/>
              </w:rPr>
            </w:pPr>
          </w:p>
        </w:tc>
      </w:tr>
      <w:tr>
        <w:trPr>
          <w:trHeight w:val="307"/>
        </w:trPr>
        <w:tc>
          <w:tcPr>
            <w:tcW w:w="580" w:type="dxa"/>
            <w:vAlign w:val="bottom"/>
            <w:gridSpan w:val="2"/>
          </w:tcPr>
          <w:p>
            <w:pPr>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24"/>
                <w:szCs w:val="24"/>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Consent of SgT Limited.</w:t>
            </w:r>
          </w:p>
        </w:tc>
        <w:tc>
          <w:tcPr>
            <w:tcW w:w="2360" w:type="dxa"/>
            <w:vAlign w:val="bottom"/>
          </w:tcPr>
          <w:p>
            <w:pPr>
              <w:spacing w:after="0"/>
              <w:rPr>
                <w:sz w:val="24"/>
                <w:szCs w:val="24"/>
                <w:color w:val="auto"/>
              </w:rPr>
            </w:pPr>
          </w:p>
        </w:tc>
      </w:tr>
      <w:tr>
        <w:trPr>
          <w:trHeight w:val="307"/>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7500" w:type="dxa"/>
            <w:vAlign w:val="bottom"/>
            <w:gridSpan w:val="3"/>
          </w:tcPr>
          <w:p>
            <w:pPr>
              <w:ind w:left="300"/>
              <w:spacing w:after="0"/>
              <w:rPr>
                <w:sz w:val="20"/>
                <w:szCs w:val="20"/>
                <w:color w:val="auto"/>
              </w:rPr>
            </w:pPr>
            <w:r>
              <w:rPr>
                <w:rFonts w:ascii="Arial" w:cs="Arial" w:eastAsia="Arial" w:hAnsi="Arial"/>
                <w:sz w:val="18"/>
                <w:szCs w:val="18"/>
                <w:color w:val="auto"/>
              </w:rPr>
              <w:t>Power of Attorney (included on signature page).</w:t>
            </w:r>
          </w:p>
        </w:tc>
        <w:tc>
          <w:tcPr>
            <w:tcW w:w="2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153670</wp:posOffset>
            </wp:positionV>
            <wp:extent cx="7550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79" w:lineRule="exact"/>
        <w:rPr>
          <w:sz w:val="20"/>
          <w:szCs w:val="20"/>
          <w:color w:val="auto"/>
        </w:rPr>
      </w:pPr>
    </w:p>
    <w:p>
      <w:pPr>
        <w:ind w:left="600" w:hanging="426"/>
        <w:spacing w:after="0"/>
        <w:tabs>
          <w:tab w:leader="none" w:pos="6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To be filed by amendment.</w:t>
      </w:r>
    </w:p>
    <w:p>
      <w:pPr>
        <w:ind w:left="600" w:hanging="426"/>
        <w:spacing w:after="0"/>
        <w:tabs>
          <w:tab w:leader="none" w:pos="60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80"/>
          </w:cols>
          <w:pgMar w:left="320" w:top="456" w:right="5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 Financial Statement Schedules.</w:t>
      </w:r>
    </w:p>
    <w:p>
      <w:pPr>
        <w:spacing w:after="0" w:line="207" w:lineRule="exact"/>
        <w:rPr>
          <w:sz w:val="20"/>
          <w:szCs w:val="20"/>
          <w:color w:val="auto"/>
        </w:rPr>
      </w:pPr>
    </w:p>
    <w:p>
      <w:pPr>
        <w:ind w:left="180" w:right="140" w:firstLine="545"/>
        <w:spacing w:after="0" w:line="239"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undersigned Registrant hereby undertakes:</w:t>
      </w:r>
    </w:p>
    <w:p>
      <w:pPr>
        <w:spacing w:after="0" w:line="207" w:lineRule="exact"/>
        <w:rPr>
          <w:sz w:val="20"/>
          <w:szCs w:val="20"/>
          <w:color w:val="auto"/>
        </w:rPr>
      </w:pPr>
    </w:p>
    <w:p>
      <w:pPr>
        <w:ind w:left="980" w:hanging="261"/>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0" w:lineRule="exact"/>
        <w:rPr>
          <w:rFonts w:ascii="Arial" w:cs="Arial" w:eastAsia="Arial" w:hAnsi="Arial"/>
          <w:sz w:val="18"/>
          <w:szCs w:val="18"/>
          <w:color w:val="auto"/>
        </w:rPr>
      </w:pPr>
    </w:p>
    <w:p>
      <w:pPr>
        <w:ind w:left="1440" w:hanging="204"/>
        <w:spacing w:after="0"/>
        <w:tabs>
          <w:tab w:leader="none" w:pos="14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00" w:lineRule="exact"/>
        <w:rPr>
          <w:rFonts w:ascii="Arial" w:cs="Arial" w:eastAsia="Arial" w:hAnsi="Arial"/>
          <w:sz w:val="18"/>
          <w:szCs w:val="18"/>
          <w:color w:val="auto"/>
        </w:rPr>
      </w:pPr>
    </w:p>
    <w:p>
      <w:pPr>
        <w:jc w:val="both"/>
        <w:ind w:left="720" w:right="240" w:firstLine="516"/>
        <w:spacing w:after="0" w:line="237" w:lineRule="auto"/>
        <w:tabs>
          <w:tab w:leader="none" w:pos="148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which, individually or in the aggregate, represent a fundamental change in the information set forth in the registration statement;</w:t>
      </w:r>
    </w:p>
    <w:p>
      <w:pPr>
        <w:spacing w:after="0" w:line="94" w:lineRule="exact"/>
        <w:rPr>
          <w:rFonts w:ascii="Arial" w:cs="Arial" w:eastAsia="Arial" w:hAnsi="Arial"/>
          <w:sz w:val="18"/>
          <w:szCs w:val="18"/>
          <w:color w:val="auto"/>
        </w:rPr>
      </w:pPr>
    </w:p>
    <w:p>
      <w:pPr>
        <w:ind w:left="720" w:right="420" w:firstLine="516"/>
        <w:spacing w:after="0" w:line="239" w:lineRule="auto"/>
        <w:tabs>
          <w:tab w:leader="none" w:pos="152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2" w:lineRule="exact"/>
        <w:rPr>
          <w:rFonts w:ascii="Arial" w:cs="Arial" w:eastAsia="Arial" w:hAnsi="Arial"/>
          <w:sz w:val="18"/>
          <w:szCs w:val="18"/>
          <w:color w:val="auto"/>
        </w:rPr>
      </w:pPr>
    </w:p>
    <w:p>
      <w:pPr>
        <w:jc w:val="both"/>
        <w:ind w:left="180" w:firstLine="539"/>
        <w:spacing w:after="0" w:line="237" w:lineRule="auto"/>
        <w:tabs>
          <w:tab w:leader="none" w:pos="99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w:t>
      </w:r>
    </w:p>
    <w:p>
      <w:pPr>
        <w:spacing w:after="0" w:line="201" w:lineRule="exact"/>
        <w:rPr>
          <w:rFonts w:ascii="Arial" w:cs="Arial" w:eastAsia="Arial" w:hAnsi="Arial"/>
          <w:sz w:val="18"/>
          <w:szCs w:val="18"/>
          <w:color w:val="auto"/>
        </w:rPr>
      </w:pPr>
    </w:p>
    <w:p>
      <w:pPr>
        <w:ind w:left="180" w:firstLine="539"/>
        <w:spacing w:after="0" w:line="239" w:lineRule="auto"/>
        <w:tabs>
          <w:tab w:leader="none" w:pos="99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2" w:lineRule="exact"/>
        <w:rPr>
          <w:sz w:val="20"/>
          <w:szCs w:val="20"/>
          <w:color w:val="auto"/>
        </w:rPr>
      </w:pPr>
    </w:p>
    <w:p>
      <w:pPr>
        <w:ind w:left="180" w:firstLine="545"/>
        <w:spacing w:after="0" w:line="23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undersigned Registrant hereby undertakes that:</w:t>
      </w:r>
    </w:p>
    <w:p>
      <w:pPr>
        <w:spacing w:after="0" w:line="207" w:lineRule="exact"/>
        <w:rPr>
          <w:sz w:val="20"/>
          <w:szCs w:val="20"/>
          <w:color w:val="auto"/>
        </w:rPr>
      </w:pPr>
    </w:p>
    <w:p>
      <w:pPr>
        <w:ind w:left="180" w:right="280" w:firstLine="539"/>
        <w:spacing w:after="0" w:line="236" w:lineRule="auto"/>
        <w:tabs>
          <w:tab w:leader="none" w:pos="99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1" w:lineRule="exact"/>
        <w:rPr>
          <w:rFonts w:ascii="Arial" w:cs="Arial" w:eastAsia="Arial" w:hAnsi="Arial"/>
          <w:sz w:val="18"/>
          <w:szCs w:val="18"/>
          <w:color w:val="auto"/>
        </w:rPr>
      </w:pPr>
    </w:p>
    <w:p>
      <w:pPr>
        <w:ind w:left="180" w:right="20" w:firstLine="539"/>
        <w:spacing w:after="0" w:line="237" w:lineRule="auto"/>
        <w:tabs>
          <w:tab w:leader="none" w:pos="99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40"/>
          </w:cols>
          <w:pgMar w:left="320" w:top="456" w:right="5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w:t>
      </w:r>
    </w:p>
    <w:tbl>
      <w:tblPr>
        <w:tblLayout w:type="fixed"/>
        <w:tblInd w:w="180" w:type="dxa"/>
        <w:tblCellMar>
          <w:top w:w="0" w:type="dxa"/>
          <w:left w:w="0" w:type="dxa"/>
          <w:bottom w:w="0" w:type="dxa"/>
          <w:right w:w="0" w:type="dxa"/>
        </w:tblCellMar>
      </w:tblPr>
      <w:tr>
        <w:trPr>
          <w:trHeight w:val="213"/>
        </w:trPr>
        <w:tc>
          <w:tcPr>
            <w:tcW w:w="8980" w:type="dxa"/>
            <w:vAlign w:val="bottom"/>
            <w:gridSpan w:val="2"/>
          </w:tcPr>
          <w:p>
            <w:pPr>
              <w:spacing w:after="0"/>
              <w:rPr>
                <w:sz w:val="20"/>
                <w:szCs w:val="20"/>
                <w:color w:val="auto"/>
              </w:rPr>
            </w:pPr>
            <w:r>
              <w:rPr>
                <w:rFonts w:ascii="Arial" w:cs="Arial" w:eastAsia="Arial" w:hAnsi="Arial"/>
                <w:sz w:val="18"/>
                <w:szCs w:val="18"/>
                <w:color w:val="auto"/>
              </w:rPr>
              <w:t>on its behalf by the undersigned, thereunto duly authorized, in the City of Brooklyn, State of New York, on</w:t>
            </w:r>
          </w:p>
        </w:tc>
        <w:tc>
          <w:tcPr>
            <w:tcW w:w="1920" w:type="dxa"/>
            <w:vAlign w:val="bottom"/>
          </w:tcPr>
          <w:p>
            <w:pPr>
              <w:jc w:val="right"/>
              <w:ind w:right="1491"/>
              <w:spacing w:after="0"/>
              <w:rPr>
                <w:sz w:val="20"/>
                <w:szCs w:val="20"/>
                <w:color w:val="auto"/>
              </w:rPr>
            </w:pPr>
            <w:r>
              <w:rPr>
                <w:rFonts w:ascii="Arial" w:cs="Arial" w:eastAsia="Arial" w:hAnsi="Arial"/>
                <w:sz w:val="18"/>
                <w:szCs w:val="18"/>
                <w:color w:val="auto"/>
              </w:rPr>
              <w:t>.</w:t>
            </w:r>
          </w:p>
        </w:tc>
      </w:tr>
      <w:tr>
        <w:trPr>
          <w:trHeight w:val="441"/>
        </w:trPr>
        <w:tc>
          <w:tcPr>
            <w:tcW w:w="8980" w:type="dxa"/>
            <w:vAlign w:val="bottom"/>
            <w:gridSpan w:val="2"/>
          </w:tcPr>
          <w:p>
            <w:pPr>
              <w:ind w:left="6540"/>
              <w:spacing w:after="0"/>
              <w:rPr>
                <w:sz w:val="20"/>
                <w:szCs w:val="20"/>
                <w:color w:val="auto"/>
              </w:rPr>
            </w:pPr>
            <w:r>
              <w:rPr>
                <w:rFonts w:ascii="Arial" w:cs="Arial" w:eastAsia="Arial" w:hAnsi="Arial"/>
                <w:sz w:val="18"/>
                <w:szCs w:val="18"/>
                <w:b w:val="1"/>
                <w:bCs w:val="1"/>
                <w:color w:val="auto"/>
              </w:rPr>
              <w:t>RENT THE RUNWAY, INC.</w:t>
            </w:r>
          </w:p>
        </w:tc>
        <w:tc>
          <w:tcPr>
            <w:tcW w:w="1920" w:type="dxa"/>
            <w:vAlign w:val="bottom"/>
          </w:tcPr>
          <w:p>
            <w:pPr>
              <w:spacing w:after="0"/>
              <w:rPr>
                <w:sz w:val="24"/>
                <w:szCs w:val="24"/>
                <w:color w:val="auto"/>
              </w:rPr>
            </w:pPr>
          </w:p>
        </w:tc>
      </w:tr>
      <w:tr>
        <w:trPr>
          <w:trHeight w:val="402"/>
        </w:trPr>
        <w:tc>
          <w:tcPr>
            <w:tcW w:w="8980" w:type="dxa"/>
            <w:vAlign w:val="bottom"/>
            <w:gridSpan w:val="2"/>
          </w:tcPr>
          <w:p>
            <w:pPr>
              <w:ind w:left="6540"/>
              <w:spacing w:after="0"/>
              <w:rPr>
                <w:sz w:val="20"/>
                <w:szCs w:val="20"/>
                <w:color w:val="auto"/>
              </w:rPr>
            </w:pPr>
            <w:r>
              <w:rPr>
                <w:rFonts w:ascii="Arial" w:cs="Arial" w:eastAsia="Arial" w:hAnsi="Arial"/>
                <w:sz w:val="18"/>
                <w:szCs w:val="18"/>
                <w:color w:val="auto"/>
              </w:rPr>
              <w:t>By:</w:t>
            </w:r>
          </w:p>
        </w:tc>
        <w:tc>
          <w:tcPr>
            <w:tcW w:w="1920" w:type="dxa"/>
            <w:vAlign w:val="bottom"/>
          </w:tcPr>
          <w:p>
            <w:pPr>
              <w:spacing w:after="0"/>
              <w:rPr>
                <w:sz w:val="24"/>
                <w:szCs w:val="24"/>
                <w:color w:val="auto"/>
              </w:rPr>
            </w:pPr>
          </w:p>
        </w:tc>
      </w:tr>
      <w:tr>
        <w:trPr>
          <w:trHeight w:val="193"/>
        </w:trPr>
        <w:tc>
          <w:tcPr>
            <w:tcW w:w="6860" w:type="dxa"/>
            <w:vAlign w:val="bottom"/>
          </w:tcPr>
          <w:p>
            <w:pPr>
              <w:spacing w:after="0"/>
              <w:rPr>
                <w:sz w:val="16"/>
                <w:szCs w:val="16"/>
                <w:color w:val="auto"/>
              </w:rPr>
            </w:pPr>
          </w:p>
        </w:tc>
        <w:tc>
          <w:tcPr>
            <w:tcW w:w="2120" w:type="dxa"/>
            <w:vAlign w:val="bottom"/>
            <w:tcBorders>
              <w:top w:val="single" w:sz="8" w:color="auto"/>
            </w:tcBorders>
          </w:tcPr>
          <w:p>
            <w:pPr>
              <w:ind w:left="40"/>
              <w:spacing w:after="0" w:line="193" w:lineRule="exact"/>
              <w:rPr>
                <w:sz w:val="20"/>
                <w:szCs w:val="20"/>
                <w:color w:val="auto"/>
              </w:rPr>
            </w:pPr>
            <w:r>
              <w:rPr>
                <w:rFonts w:ascii="Arial" w:cs="Arial" w:eastAsia="Arial" w:hAnsi="Arial"/>
                <w:sz w:val="18"/>
                <w:szCs w:val="18"/>
                <w:color w:val="auto"/>
              </w:rPr>
              <w:t>Jennifer Y. Hyman</w:t>
            </w:r>
          </w:p>
        </w:tc>
        <w:tc>
          <w:tcPr>
            <w:tcW w:w="1920" w:type="dxa"/>
            <w:vAlign w:val="bottom"/>
            <w:tcBorders>
              <w:top w:val="single" w:sz="8" w:color="auto"/>
            </w:tcBorders>
          </w:tcPr>
          <w:p>
            <w:pPr>
              <w:spacing w:after="0"/>
              <w:rPr>
                <w:sz w:val="16"/>
                <w:szCs w:val="16"/>
                <w:color w:val="auto"/>
              </w:rPr>
            </w:pPr>
          </w:p>
        </w:tc>
      </w:tr>
      <w:tr>
        <w:trPr>
          <w:trHeight w:val="213"/>
        </w:trPr>
        <w:tc>
          <w:tcPr>
            <w:tcW w:w="686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1920" w:type="dxa"/>
            <w:vAlign w:val="bottom"/>
          </w:tcPr>
          <w:p>
            <w:pPr>
              <w:spacing w:after="0"/>
              <w:rPr>
                <w:sz w:val="18"/>
                <w:szCs w:val="18"/>
                <w:color w:val="auto"/>
              </w:rPr>
            </w:pPr>
          </w:p>
        </w:tc>
      </w:tr>
    </w:tbl>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80" w:right="80" w:firstLine="545"/>
        <w:spacing w:after="0" w:line="23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Jennifer Y. Hyman and Scarlett O’Sullivan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08" w:lineRule="exact"/>
        <w:rPr>
          <w:sz w:val="20"/>
          <w:szCs w:val="20"/>
          <w:color w:val="auto"/>
        </w:rPr>
      </w:pPr>
    </w:p>
    <w:p>
      <w:pPr>
        <w:ind w:left="180" w:right="140" w:firstLine="545"/>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30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9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Date</w:t>
            </w:r>
          </w:p>
        </w:tc>
      </w:tr>
      <w:tr>
        <w:trPr>
          <w:trHeight w:val="387"/>
        </w:trPr>
        <w:tc>
          <w:tcPr>
            <w:tcW w:w="4280" w:type="dxa"/>
            <w:vAlign w:val="bottom"/>
            <w:tcBorders>
              <w:bottom w:val="single" w:sz="8" w:color="auto"/>
            </w:tcBorders>
          </w:tcPr>
          <w:p>
            <w:pPr>
              <w:spacing w:after="0"/>
              <w:rPr>
                <w:sz w:val="24"/>
                <w:szCs w:val="24"/>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w:t>
            </w:r>
          </w:p>
        </w:tc>
        <w:tc>
          <w:tcPr>
            <w:tcW w:w="1980" w:type="dxa"/>
            <w:vAlign w:val="bottom"/>
          </w:tcPr>
          <w:p>
            <w:pPr>
              <w:spacing w:after="0"/>
              <w:rPr>
                <w:sz w:val="24"/>
                <w:szCs w:val="24"/>
                <w:color w:val="auto"/>
              </w:rPr>
            </w:pPr>
          </w:p>
        </w:tc>
      </w:tr>
      <w:tr>
        <w:trPr>
          <w:trHeight w:val="213"/>
        </w:trPr>
        <w:tc>
          <w:tcPr>
            <w:tcW w:w="4280" w:type="dxa"/>
            <w:vAlign w:val="bottom"/>
          </w:tcPr>
          <w:p>
            <w:pPr>
              <w:jc w:val="center"/>
              <w:spacing w:after="0"/>
              <w:rPr>
                <w:sz w:val="20"/>
                <w:szCs w:val="20"/>
                <w:color w:val="auto"/>
              </w:rPr>
            </w:pPr>
            <w:r>
              <w:rPr>
                <w:rFonts w:ascii="Arial" w:cs="Arial" w:eastAsia="Arial" w:hAnsi="Arial"/>
                <w:sz w:val="18"/>
                <w:szCs w:val="18"/>
                <w:color w:val="auto"/>
                <w:w w:val="97"/>
              </w:rPr>
              <w:t>Jennifer Y. Hyman</w:t>
            </w:r>
          </w:p>
        </w:tc>
        <w:tc>
          <w:tcPr>
            <w:tcW w:w="4640" w:type="dxa"/>
            <w:vAlign w:val="bottom"/>
            <w:gridSpan w:val="3"/>
          </w:tcPr>
          <w:p>
            <w:pPr>
              <w:ind w:left="100"/>
              <w:spacing w:after="0" w:line="199" w:lineRule="exact"/>
              <w:rPr>
                <w:sz w:val="20"/>
                <w:szCs w:val="20"/>
                <w:color w:val="auto"/>
              </w:rPr>
            </w:pPr>
            <w:r>
              <w:rPr>
                <w:rFonts w:ascii="Arial" w:cs="Arial" w:eastAsia="Arial" w:hAnsi="Arial"/>
                <w:sz w:val="18"/>
                <w:szCs w:val="18"/>
                <w:i w:val="1"/>
                <w:iCs w:val="1"/>
                <w:color w:val="auto"/>
              </w:rPr>
              <w:t>Executive Officer)</w:t>
            </w:r>
          </w:p>
        </w:tc>
        <w:tc>
          <w:tcPr>
            <w:tcW w:w="1980" w:type="dxa"/>
            <w:vAlign w:val="bottom"/>
          </w:tcPr>
          <w:p>
            <w:pPr>
              <w:spacing w:after="0"/>
              <w:rPr>
                <w:sz w:val="18"/>
                <w:szCs w:val="18"/>
                <w:color w:val="auto"/>
              </w:rPr>
            </w:pPr>
          </w:p>
        </w:tc>
      </w:tr>
      <w:tr>
        <w:trPr>
          <w:trHeight w:val="408"/>
        </w:trPr>
        <w:tc>
          <w:tcPr>
            <w:tcW w:w="4280" w:type="dxa"/>
            <w:vAlign w:val="bottom"/>
            <w:tcBorders>
              <w:bottom w:val="single" w:sz="8" w:color="auto"/>
            </w:tcBorders>
          </w:tcPr>
          <w:p>
            <w:pPr>
              <w:spacing w:after="0"/>
              <w:rPr>
                <w:sz w:val="24"/>
                <w:szCs w:val="24"/>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1980" w:type="dxa"/>
            <w:vAlign w:val="bottom"/>
          </w:tcPr>
          <w:p>
            <w:pPr>
              <w:spacing w:after="0"/>
              <w:rPr>
                <w:sz w:val="24"/>
                <w:szCs w:val="24"/>
                <w:color w:val="auto"/>
              </w:rPr>
            </w:pPr>
          </w:p>
        </w:tc>
      </w:tr>
      <w:tr>
        <w:trPr>
          <w:trHeight w:val="213"/>
        </w:trPr>
        <w:tc>
          <w:tcPr>
            <w:tcW w:w="4280" w:type="dxa"/>
            <w:vAlign w:val="bottom"/>
          </w:tcPr>
          <w:p>
            <w:pPr>
              <w:jc w:val="center"/>
              <w:spacing w:after="0"/>
              <w:rPr>
                <w:sz w:val="20"/>
                <w:szCs w:val="20"/>
                <w:color w:val="auto"/>
              </w:rPr>
            </w:pPr>
            <w:r>
              <w:rPr>
                <w:rFonts w:ascii="Arial" w:cs="Arial" w:eastAsia="Arial" w:hAnsi="Arial"/>
                <w:sz w:val="18"/>
                <w:szCs w:val="18"/>
                <w:color w:val="auto"/>
                <w:w w:val="97"/>
              </w:rPr>
              <w:t>Scarlett O’Sullivan</w:t>
            </w:r>
          </w:p>
        </w:tc>
        <w:tc>
          <w:tcPr>
            <w:tcW w:w="4640" w:type="dxa"/>
            <w:vAlign w:val="bottom"/>
            <w:gridSpan w:val="3"/>
          </w:tcPr>
          <w:p>
            <w:pPr>
              <w:ind w:left="100"/>
              <w:spacing w:after="0" w:line="199" w:lineRule="exact"/>
              <w:rPr>
                <w:sz w:val="20"/>
                <w:szCs w:val="20"/>
                <w:color w:val="auto"/>
              </w:rPr>
            </w:pPr>
            <w:r>
              <w:rPr>
                <w:rFonts w:ascii="Arial" w:cs="Arial" w:eastAsia="Arial" w:hAnsi="Arial"/>
                <w:sz w:val="18"/>
                <w:szCs w:val="18"/>
                <w:i w:val="1"/>
                <w:iCs w:val="1"/>
                <w:color w:val="auto"/>
              </w:rPr>
              <w:t>Principal Accounting Officer)</w:t>
            </w:r>
          </w:p>
        </w:tc>
        <w:tc>
          <w:tcPr>
            <w:tcW w:w="1980" w:type="dxa"/>
            <w:vAlign w:val="bottom"/>
          </w:tcPr>
          <w:p>
            <w:pPr>
              <w:spacing w:after="0"/>
              <w:rPr>
                <w:sz w:val="18"/>
                <w:szCs w:val="18"/>
                <w:color w:val="auto"/>
              </w:rPr>
            </w:pPr>
          </w:p>
        </w:tc>
      </w:tr>
      <w:tr>
        <w:trPr>
          <w:trHeight w:val="415"/>
        </w:trPr>
        <w:tc>
          <w:tcPr>
            <w:tcW w:w="4280" w:type="dxa"/>
            <w:vAlign w:val="bottom"/>
            <w:tcBorders>
              <w:bottom w:val="single" w:sz="8" w:color="auto"/>
            </w:tcBorders>
          </w:tcPr>
          <w:p>
            <w:pPr>
              <w:spacing w:after="0"/>
              <w:rPr>
                <w:sz w:val="24"/>
                <w:szCs w:val="24"/>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4"/>
                <w:szCs w:val="24"/>
                <w:color w:val="auto"/>
              </w:rPr>
            </w:pPr>
          </w:p>
        </w:tc>
      </w:tr>
      <w:tr>
        <w:trPr>
          <w:trHeight w:val="207"/>
        </w:trPr>
        <w:tc>
          <w:tcPr>
            <w:tcW w:w="4280" w:type="dxa"/>
            <w:vAlign w:val="bottom"/>
          </w:tcPr>
          <w:p>
            <w:pPr>
              <w:jc w:val="center"/>
              <w:spacing w:after="0"/>
              <w:rPr>
                <w:sz w:val="20"/>
                <w:szCs w:val="20"/>
                <w:color w:val="auto"/>
              </w:rPr>
            </w:pPr>
            <w:r>
              <w:rPr>
                <w:rFonts w:ascii="Arial" w:cs="Arial" w:eastAsia="Arial" w:hAnsi="Arial"/>
                <w:sz w:val="18"/>
                <w:szCs w:val="18"/>
                <w:color w:val="auto"/>
                <w:w w:val="96"/>
              </w:rPr>
              <w:t>Tim Bixby</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15"/>
        </w:trPr>
        <w:tc>
          <w:tcPr>
            <w:tcW w:w="4280" w:type="dxa"/>
            <w:vAlign w:val="bottom"/>
            <w:tcBorders>
              <w:bottom w:val="single" w:sz="8" w:color="auto"/>
            </w:tcBorders>
          </w:tcPr>
          <w:p>
            <w:pPr>
              <w:spacing w:after="0"/>
              <w:rPr>
                <w:sz w:val="24"/>
                <w:szCs w:val="24"/>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4"/>
                <w:szCs w:val="24"/>
                <w:color w:val="auto"/>
              </w:rPr>
            </w:pPr>
          </w:p>
        </w:tc>
      </w:tr>
      <w:tr>
        <w:trPr>
          <w:trHeight w:val="207"/>
        </w:trPr>
        <w:tc>
          <w:tcPr>
            <w:tcW w:w="4280" w:type="dxa"/>
            <w:vAlign w:val="bottom"/>
          </w:tcPr>
          <w:p>
            <w:pPr>
              <w:jc w:val="center"/>
              <w:spacing w:after="0"/>
              <w:rPr>
                <w:sz w:val="20"/>
                <w:szCs w:val="20"/>
                <w:color w:val="auto"/>
              </w:rPr>
            </w:pPr>
            <w:r>
              <w:rPr>
                <w:rFonts w:ascii="Arial" w:cs="Arial" w:eastAsia="Arial" w:hAnsi="Arial"/>
                <w:sz w:val="18"/>
                <w:szCs w:val="18"/>
                <w:color w:val="auto"/>
                <w:w w:val="99"/>
              </w:rPr>
              <w:t>Jennifer Fleiss</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15"/>
        </w:trPr>
        <w:tc>
          <w:tcPr>
            <w:tcW w:w="4280" w:type="dxa"/>
            <w:vAlign w:val="bottom"/>
            <w:tcBorders>
              <w:bottom w:val="single" w:sz="8" w:color="auto"/>
            </w:tcBorders>
          </w:tcPr>
          <w:p>
            <w:pPr>
              <w:spacing w:after="0"/>
              <w:rPr>
                <w:sz w:val="24"/>
                <w:szCs w:val="24"/>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4"/>
                <w:szCs w:val="24"/>
                <w:color w:val="auto"/>
              </w:rPr>
            </w:pPr>
          </w:p>
        </w:tc>
      </w:tr>
      <w:tr>
        <w:trPr>
          <w:trHeight w:val="207"/>
        </w:trPr>
        <w:tc>
          <w:tcPr>
            <w:tcW w:w="4280" w:type="dxa"/>
            <w:vAlign w:val="bottom"/>
          </w:tcPr>
          <w:p>
            <w:pPr>
              <w:jc w:val="center"/>
              <w:spacing w:after="0"/>
              <w:rPr>
                <w:sz w:val="20"/>
                <w:szCs w:val="20"/>
                <w:color w:val="auto"/>
              </w:rPr>
            </w:pPr>
            <w:r>
              <w:rPr>
                <w:rFonts w:ascii="Arial" w:cs="Arial" w:eastAsia="Arial" w:hAnsi="Arial"/>
                <w:sz w:val="18"/>
                <w:szCs w:val="18"/>
                <w:color w:val="auto"/>
                <w:w w:val="98"/>
              </w:rPr>
              <w:t>Scott Friend</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60"/>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II-6</w:t>
            </w:r>
          </w:p>
        </w:tc>
        <w:tc>
          <w:tcPr>
            <w:tcW w:w="198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-3175</wp:posOffset>
            </wp:positionV>
            <wp:extent cx="27228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Melanie Harris</w:t>
      </w: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-3175</wp:posOffset>
            </wp:positionV>
            <wp:extent cx="27228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Beth Kaplan</w:t>
      </w: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-3175</wp:posOffset>
            </wp:positionV>
            <wp:extent cx="27228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Dan Nova</w:t>
      </w: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-3175</wp:posOffset>
            </wp:positionV>
            <wp:extent cx="27228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Gwyneth Paltrow</w:t>
      </w: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-3175</wp:posOffset>
            </wp:positionV>
            <wp:extent cx="27228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Carley Roney</w:t>
      </w: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-3175</wp:posOffset>
            </wp:positionV>
            <wp:extent cx="27228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Dan Rosensweig</w:t>
      </w: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-3175</wp:posOffset>
            </wp:positionV>
            <wp:extent cx="27228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Mike Roth</w:t>
      </w:r>
    </w:p>
    <w:p>
      <w:pPr>
        <w:spacing w:after="0" w:line="15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139"/>
          </w:cols>
          <w:pgMar w:left="320" w:top="456" w:right="1440" w:bottom="1440" w:gutter="0" w:footer="0" w:header="0"/>
        </w:sectPr>
      </w:pPr>
    </w:p>
    <w:bookmarkStart w:id="231" w:name="page232"/>
    <w:bookmarkEnd w:id="231"/>
    <w:p>
      <w:pPr>
        <w:ind w:left="9980"/>
        <w:spacing w:after="0"/>
        <w:rPr>
          <w:sz w:val="20"/>
          <w:szCs w:val="20"/>
          <w:color w:val="auto"/>
        </w:rPr>
      </w:pPr>
      <w:r>
        <w:rPr>
          <w:rFonts w:ascii="Arial" w:cs="Arial" w:eastAsia="Arial" w:hAnsi="Arial"/>
          <w:sz w:val="16"/>
          <w:szCs w:val="16"/>
          <w:b w:val="1"/>
          <w:bCs w:val="1"/>
          <w:color w:val="auto"/>
        </w:rPr>
        <w:t>Exhibit 23.3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Green Story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12,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We hereby consent to the references to our name, and to the use of information, data and statements from our assessment prepared by us and SgT Group and provided to Rent the Runway, Inc. (the “ </w:t>
      </w:r>
      <w:r>
        <w:rPr>
          <w:rFonts w:ascii="Arial" w:cs="Arial" w:eastAsia="Arial" w:hAnsi="Arial"/>
          <w:sz w:val="16"/>
          <w:szCs w:val="16"/>
          <w:u w:val="single" w:color="auto"/>
          <w:color w:val="auto"/>
        </w:rPr>
        <w:t>Company</w:t>
      </w:r>
      <w:r>
        <w:rPr>
          <w:rFonts w:ascii="Arial" w:cs="Arial" w:eastAsia="Arial" w:hAnsi="Arial"/>
          <w:sz w:val="16"/>
          <w:szCs w:val="16"/>
          <w:color w:val="auto"/>
        </w:rPr>
        <w:t>”), including our “Life Cycle Assessment (LCA) of Linear and Rental Systems (Owning vs Rental of Apparel)”, dated March 2021, and the addendum supplemented in July 2021 prepared by us, and extracts or extrapolations of any other information, data and statements prepared by us and provided to the Company in each of (i) the registration statement on Form S-1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in relation to the initial public offering of the Company filed with the United States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under the Securities Act of 1933, as amended, (ii) any drafts thereof or amendments thereto submitted or filed with the SEC, (iii) any written correspondence by the Company with the SEC and (iv) institutional and retail road shows and other activities in connection with any securities offerings and other marketing and fundraising activities by the Company. In granting such consent, we represent that, to our knowledge, the statements made in such research report are accurate statements of Green Story Inc.’s research results and independent estimates and opinion as of the date delivered to the Company, and fairly present the matters referred to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also hereby consent to the filing of this letter as an exhibit to the Registration Statement and any amendments thereto.</w:t>
      </w:r>
    </w:p>
    <w:p>
      <w:pPr>
        <w:spacing w:after="0" w:line="24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Sincerely,</w:t>
      </w:r>
    </w:p>
    <w:p>
      <w:pPr>
        <w:spacing w:after="0" w:line="21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GREEN STORY INC.</w:t>
      </w:r>
    </w:p>
    <w:p>
      <w:pPr>
        <w:spacing w:after="0" w:line="224"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Akhil Sivanandan</w:t>
      </w:r>
    </w:p>
    <w:p>
      <w:pPr>
        <w:spacing w:after="0" w:line="22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Akhil Sivanandan</w:t>
      </w:r>
    </w:p>
    <w:p>
      <w:pPr>
        <w:spacing w:after="0" w:line="220"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Co-founder</w:t>
      </w:r>
    </w:p>
    <w:p>
      <w:pPr>
        <w:sectPr>
          <w:pgSz w:w="11900" w:h="16838" w:orient="portrait"/>
          <w:cols w:equalWidth="0" w:num="1">
            <w:col w:w="10900"/>
          </w:cols>
          <w:pgMar w:left="500" w:top="121" w:right="499" w:bottom="1440" w:gutter="0" w:footer="0" w:header="0"/>
        </w:sectPr>
      </w:pPr>
    </w:p>
    <w:bookmarkStart w:id="232" w:name="page233"/>
    <w:bookmarkEnd w:id="232"/>
    <w:p>
      <w:pPr>
        <w:ind w:left="9986"/>
        <w:spacing w:after="0"/>
        <w:rPr>
          <w:sz w:val="20"/>
          <w:szCs w:val="20"/>
          <w:color w:val="auto"/>
        </w:rPr>
      </w:pPr>
      <w:r>
        <w:rPr>
          <w:rFonts w:ascii="Arial" w:cs="Arial" w:eastAsia="Arial" w:hAnsi="Arial"/>
          <w:sz w:val="16"/>
          <w:szCs w:val="16"/>
          <w:b w:val="1"/>
          <w:bCs w:val="1"/>
          <w:color w:val="auto"/>
        </w:rPr>
        <w:t>Exhibit 23.4</w:t>
      </w: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Consent of SgT Limited</w:t>
      </w:r>
    </w:p>
    <w:p>
      <w:pPr>
        <w:spacing w:after="0" w:line="224" w:lineRule="exact"/>
        <w:rPr>
          <w:sz w:val="20"/>
          <w:szCs w:val="20"/>
          <w:color w:val="auto"/>
        </w:rPr>
      </w:pPr>
    </w:p>
    <w:p>
      <w:pPr>
        <w:ind w:left="6"/>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color w:val="auto"/>
        </w:rPr>
        <w:t>10 Jay Street</w:t>
      </w:r>
    </w:p>
    <w:p>
      <w:pPr>
        <w:spacing w:after="0" w:line="7" w:lineRule="exact"/>
        <w:rPr>
          <w:sz w:val="20"/>
          <w:szCs w:val="20"/>
          <w:color w:val="auto"/>
        </w:rPr>
      </w:pPr>
    </w:p>
    <w:p>
      <w:pPr>
        <w:ind w:left="6"/>
        <w:spacing w:after="0"/>
        <w:rPr>
          <w:sz w:val="20"/>
          <w:szCs w:val="20"/>
          <w:color w:val="auto"/>
        </w:rPr>
      </w:pPr>
      <w:r>
        <w:rPr>
          <w:rFonts w:ascii="Arial" w:cs="Arial" w:eastAsia="Arial" w:hAnsi="Arial"/>
          <w:sz w:val="18"/>
          <w:szCs w:val="18"/>
          <w:color w:val="auto"/>
        </w:rPr>
        <w:t>Brooklyn, NY 11201</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20, 2021</w:t>
      </w:r>
    </w:p>
    <w:p>
      <w:pPr>
        <w:spacing w:after="0" w:line="220" w:lineRule="exact"/>
        <w:rPr>
          <w:sz w:val="20"/>
          <w:szCs w:val="20"/>
          <w:color w:val="auto"/>
        </w:rPr>
      </w:pPr>
    </w:p>
    <w:p>
      <w:pPr>
        <w:ind w:left="6"/>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left="6" w:right="160"/>
        <w:spacing w:after="0" w:line="281" w:lineRule="auto"/>
        <w:rPr>
          <w:sz w:val="20"/>
          <w:szCs w:val="20"/>
          <w:color w:val="auto"/>
        </w:rPr>
      </w:pPr>
      <w:r>
        <w:rPr>
          <w:rFonts w:ascii="Arial" w:cs="Arial" w:eastAsia="Arial" w:hAnsi="Arial"/>
          <w:sz w:val="16"/>
          <w:szCs w:val="16"/>
          <w:color w:val="auto"/>
        </w:rPr>
        <w:t xml:space="preserve">We hereby consent to the references to our name, and to the use of information, data and statements from our assessment prepared by us and Green Story Inc. and provided to Rent the Runway, Inc. (the “ </w:t>
      </w:r>
      <w:r>
        <w:rPr>
          <w:rFonts w:ascii="Arial" w:cs="Arial" w:eastAsia="Arial" w:hAnsi="Arial"/>
          <w:sz w:val="16"/>
          <w:szCs w:val="16"/>
          <w:u w:val="single" w:color="auto"/>
          <w:color w:val="auto"/>
        </w:rPr>
        <w:t>Company</w:t>
      </w:r>
      <w:r>
        <w:rPr>
          <w:rFonts w:ascii="Arial" w:cs="Arial" w:eastAsia="Arial" w:hAnsi="Arial"/>
          <w:sz w:val="16"/>
          <w:szCs w:val="16"/>
          <w:color w:val="auto"/>
        </w:rPr>
        <w:t>”), including our “Life Cycle Assessment (LCA) of Linear and Rental Systems (Owning vs Rental of Apparel)”, dated March 2021, and extracts or extrapolations of any other information, data and statements prepared by us and provided to the Company in each of (i) the registration statement on Form S-1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 relation to the initial public offering of the Company filed with the United States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under the Securities Act of 1933, as amended, (ii) any drafts thereof or amendments thereto submitted or filed with the SEC, (iii) any written correspondence by the Company with the SEC and</w:t>
      </w:r>
    </w:p>
    <w:p>
      <w:pPr>
        <w:spacing w:after="0" w:line="3" w:lineRule="exact"/>
        <w:rPr>
          <w:sz w:val="20"/>
          <w:szCs w:val="20"/>
          <w:color w:val="auto"/>
        </w:rPr>
      </w:pPr>
    </w:p>
    <w:p>
      <w:pPr>
        <w:ind w:left="6" w:right="60" w:hanging="6"/>
        <w:spacing w:after="0" w:line="250" w:lineRule="auto"/>
        <w:tabs>
          <w:tab w:leader="none" w:pos="30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institutional and retail road shows and other activities in connection with any securities offerings and other marketing and fundraising activities by the Company. In granting such consent, we represent that, to our knowledge, the statements made in such research report are accurate statements of SgT Group’s research results and independent estimates and opinion as of the date delivered to the Company, and fairly present the matters referred to therein.</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also hereby consent to the filing of this letter as an exhibit to the Registration Statement and any amendments thereto.</w:t>
      </w:r>
    </w:p>
    <w:p>
      <w:pPr>
        <w:spacing w:after="0" w:line="247" w:lineRule="exact"/>
        <w:rPr>
          <w:sz w:val="20"/>
          <w:szCs w:val="20"/>
          <w:color w:val="auto"/>
        </w:rPr>
      </w:pPr>
    </w:p>
    <w:p>
      <w:pPr>
        <w:ind w:left="6546"/>
        <w:spacing w:after="0"/>
        <w:rPr>
          <w:sz w:val="20"/>
          <w:szCs w:val="20"/>
          <w:color w:val="auto"/>
        </w:rPr>
      </w:pPr>
      <w:r>
        <w:rPr>
          <w:rFonts w:ascii="Arial" w:cs="Arial" w:eastAsia="Arial" w:hAnsi="Arial"/>
          <w:sz w:val="18"/>
          <w:szCs w:val="18"/>
          <w:color w:val="auto"/>
        </w:rPr>
        <w:t>Sincerely,</w:t>
      </w:r>
    </w:p>
    <w:p>
      <w:pPr>
        <w:spacing w:after="0" w:line="216" w:lineRule="exact"/>
        <w:rPr>
          <w:sz w:val="20"/>
          <w:szCs w:val="20"/>
          <w:color w:val="auto"/>
        </w:rPr>
      </w:pPr>
    </w:p>
    <w:p>
      <w:pPr>
        <w:ind w:left="6546"/>
        <w:spacing w:after="0"/>
        <w:rPr>
          <w:sz w:val="20"/>
          <w:szCs w:val="20"/>
          <w:color w:val="auto"/>
        </w:rPr>
      </w:pPr>
      <w:r>
        <w:rPr>
          <w:rFonts w:ascii="Arial" w:cs="Arial" w:eastAsia="Arial" w:hAnsi="Arial"/>
          <w:sz w:val="18"/>
          <w:szCs w:val="18"/>
          <w:b w:val="1"/>
          <w:bCs w:val="1"/>
          <w:color w:val="auto"/>
        </w:rPr>
        <w:t>SgT Limited</w:t>
      </w:r>
    </w:p>
    <w:p>
      <w:pPr>
        <w:spacing w:after="0" w:line="224" w:lineRule="exact"/>
        <w:rPr>
          <w:sz w:val="20"/>
          <w:szCs w:val="20"/>
          <w:color w:val="auto"/>
        </w:rPr>
      </w:pPr>
    </w:p>
    <w:p>
      <w:pPr>
        <w:ind w:left="6546"/>
        <w:spacing w:after="0"/>
        <w:tabs>
          <w:tab w:leader="none" w:pos="7106"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Marie-Annabell Mermaz</w:t>
      </w:r>
    </w:p>
    <w:p>
      <w:pPr>
        <w:spacing w:after="0" w:line="220" w:lineRule="exact"/>
        <w:rPr>
          <w:sz w:val="20"/>
          <w:szCs w:val="20"/>
          <w:color w:val="auto"/>
        </w:rPr>
      </w:pPr>
    </w:p>
    <w:p>
      <w:pPr>
        <w:ind w:left="6546"/>
        <w:spacing w:after="0"/>
        <w:rPr>
          <w:sz w:val="20"/>
          <w:szCs w:val="20"/>
          <w:color w:val="auto"/>
        </w:rPr>
      </w:pPr>
      <w:r>
        <w:rPr>
          <w:rFonts w:ascii="Arial" w:cs="Arial" w:eastAsia="Arial" w:hAnsi="Arial"/>
          <w:sz w:val="18"/>
          <w:szCs w:val="18"/>
          <w:color w:val="auto"/>
        </w:rPr>
        <w:t>Name: Marie-Annabelle Mermaz</w:t>
      </w:r>
    </w:p>
    <w:p>
      <w:pPr>
        <w:spacing w:after="0" w:line="220" w:lineRule="exact"/>
        <w:rPr>
          <w:sz w:val="20"/>
          <w:szCs w:val="20"/>
          <w:color w:val="auto"/>
        </w:rPr>
      </w:pPr>
    </w:p>
    <w:p>
      <w:pPr>
        <w:ind w:left="6546"/>
        <w:spacing w:after="0"/>
        <w:tabs>
          <w:tab w:leader="none" w:pos="7106" w:val="left"/>
        </w:tabs>
        <w:rPr>
          <w:sz w:val="20"/>
          <w:szCs w:val="20"/>
          <w:color w:val="auto"/>
        </w:rPr>
      </w:pPr>
      <w:r>
        <w:rPr>
          <w:rFonts w:ascii="Arial" w:cs="Arial" w:eastAsia="Arial" w:hAnsi="Arial"/>
          <w:sz w:val="18"/>
          <w:szCs w:val="18"/>
          <w:color w:val="auto"/>
        </w:rPr>
        <w:t>Title:</w:t>
        <w:tab/>
        <w:t>CEO &amp; Director</w:t>
      </w:r>
    </w:p>
    <w:sectPr>
      <w:pgSz w:w="11900" w:h="16838" w:orient="portrait"/>
      <w:cols w:equalWidth="0" w:num="1">
        <w:col w:w="10906"/>
      </w:cols>
      <w:pgMar w:left="494"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1)"/>
      <w:numFmt w:val="decimal"/>
      <w:start w:val="1"/>
    </w:lvl>
  </w:abstractNum>
  <w:abstractNum w:abstractNumId="1">
    <w:nsid w:val="488AC1A"/>
    <w:multiLevelType w:val="hybridMultilevel"/>
    <w:lvl w:ilvl="0">
      <w:lvlJc w:val="left"/>
      <w:lvlText w:val="(%1)"/>
      <w:numFmt w:val="decimal"/>
      <w:start w:val="1"/>
    </w:lvl>
  </w:abstractNum>
  <w:abstractNum w:abstractNumId="2">
    <w:nsid w:val="5FB8011C"/>
    <w:multiLevelType w:val="hybridMultilevel"/>
    <w:lvl w:ilvl="0">
      <w:lvlJc w:val="left"/>
      <w:lvlText w:val="1"/>
      <w:numFmt w:val="bullet"/>
      <w:start w:val="1"/>
    </w:lvl>
  </w:abstractNum>
  <w:abstractNum w:abstractNumId="3">
    <w:nsid w:val="6AA78F7F"/>
    <w:multiLevelType w:val="hybridMultilevel"/>
    <w:lvl w:ilvl="0">
      <w:lvlJc w:val="left"/>
      <w:lvlText w:val="2"/>
      <w:numFmt w:val="bullet"/>
      <w:start w:val="1"/>
    </w:lvl>
  </w:abstractNum>
  <w:abstractNum w:abstractNumId="4">
    <w:nsid w:val="7672BD23"/>
    <w:multiLevelType w:val="hybridMultilevel"/>
    <w:lvl w:ilvl="0">
      <w:lvlJc w:val="left"/>
      <w:lvlText w:val="•"/>
      <w:numFmt w:val="bullet"/>
      <w:start w:val="1"/>
    </w:lvl>
  </w:abstractNum>
  <w:abstractNum w:abstractNumId="5">
    <w:nsid w:val="6FC75AF8"/>
    <w:multiLevelType w:val="hybridMultilevel"/>
    <w:lvl w:ilvl="0">
      <w:lvlJc w:val="left"/>
      <w:lvlText w:val="•"/>
      <w:numFmt w:val="bullet"/>
      <w:start w:val="1"/>
    </w:lvl>
  </w:abstractNum>
  <w:abstractNum w:abstractNumId="6">
    <w:nsid w:val="6A5F7029"/>
    <w:multiLevelType w:val="hybridMultilevel"/>
    <w:lvl w:ilvl="0">
      <w:lvlJc w:val="left"/>
      <w:lvlText w:val="•"/>
      <w:numFmt w:val="bullet"/>
      <w:start w:val="1"/>
    </w:lvl>
  </w:abstractNum>
  <w:abstractNum w:abstractNumId="7">
    <w:nsid w:val="7D5E18F8"/>
    <w:multiLevelType w:val="hybridMultilevel"/>
    <w:lvl w:ilvl="0">
      <w:lvlJc w:val="left"/>
      <w:lvlText w:val="3"/>
      <w:numFmt w:val="bullet"/>
      <w:start w:val="1"/>
    </w:lvl>
  </w:abstractNum>
  <w:abstractNum w:abstractNumId="8">
    <w:nsid w:val="5F3534A4"/>
    <w:multiLevelType w:val="hybridMultilevel"/>
    <w:lvl w:ilvl="0">
      <w:lvlJc w:val="left"/>
      <w:lvlText w:val="4"/>
      <w:numFmt w:val="bullet"/>
      <w:start w:val="1"/>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5"/>
      <w:numFmt w:val="bullet"/>
      <w:start w:val="1"/>
    </w:lvl>
  </w:abstractNum>
  <w:abstractNum w:abstractNumId="12">
    <w:nsid w:val="3FA62ACA"/>
    <w:multiLevelType w:val="hybridMultilevel"/>
    <w:lvl w:ilvl="0">
      <w:lvlJc w:val="left"/>
      <w:lvlText w:val="6"/>
      <w:numFmt w:val="bullet"/>
      <w:start w:val="1"/>
    </w:lvl>
  </w:abstractNum>
  <w:abstractNum w:abstractNumId="13">
    <w:nsid w:val="14FCE74E"/>
    <w:multiLevelType w:val="hybridMultilevel"/>
    <w:lvl w:ilvl="0">
      <w:lvlJc w:val="left"/>
      <w:lvlText w:val="7"/>
      <w:numFmt w:val="bullet"/>
      <w:start w:val="1"/>
    </w:lvl>
  </w:abstractNum>
  <w:abstractNum w:abstractNumId="14">
    <w:nsid w:val="6A3DD3E8"/>
    <w:multiLevelType w:val="hybridMultilevel"/>
    <w:lvl w:ilvl="0">
      <w:lvlJc w:val="left"/>
      <w:lvlText w:val="8"/>
      <w:numFmt w:val="bullet"/>
      <w:start w:val="1"/>
    </w:lvl>
  </w:abstractNum>
  <w:abstractNum w:abstractNumId="15">
    <w:nsid w:val="71C91298"/>
    <w:multiLevelType w:val="hybridMultilevel"/>
    <w:lvl w:ilvl="0">
      <w:lvlJc w:val="left"/>
      <w:lvlText w:val="9"/>
      <w:numFmt w:val="bullet"/>
      <w:start w:val="1"/>
    </w:lvl>
  </w:abstractNum>
  <w:abstractNum w:abstractNumId="16">
    <w:nsid w:val="9DAF632"/>
    <w:multiLevelType w:val="hybridMultilevel"/>
    <w:lvl w:ilvl="0">
      <w:lvlJc w:val="left"/>
      <w:lvlText w:val="%1"/>
      <w:numFmt w:val="decimal"/>
      <w:start w:val="10"/>
    </w:lvl>
  </w:abstractNum>
  <w:abstractNum w:abstractNumId="17">
    <w:nsid w:val="53299938"/>
    <w:multiLevelType w:val="hybridMultilevel"/>
    <w:lvl w:ilvl="0">
      <w:lvlJc w:val="left"/>
      <w:lvlText w:val="•"/>
      <w:numFmt w:val="bullet"/>
      <w:start w:val="1"/>
    </w:lvl>
  </w:abstractNum>
  <w:abstractNum w:abstractNumId="18">
    <w:nsid w:val="1FBFE8E0"/>
    <w:multiLevelType w:val="hybridMultilevel"/>
    <w:lvl w:ilvl="0">
      <w:lvlJc w:val="left"/>
      <w:lvlText w:val="•"/>
      <w:numFmt w:val="bullet"/>
      <w:start w:val="1"/>
    </w:lvl>
  </w:abstractNum>
  <w:abstractNum w:abstractNumId="19">
    <w:nsid w:val="5092CA79"/>
    <w:multiLevelType w:val="hybridMultilevel"/>
    <w:lvl w:ilvl="0">
      <w:lvlJc w:val="left"/>
      <w:lvlText w:val="%1"/>
      <w:numFmt w:val="decimal"/>
      <w:start w:val="14"/>
    </w:lvl>
  </w:abstractNum>
  <w:abstractNum w:abstractNumId="20">
    <w:nsid w:val="1D545C4D"/>
    <w:multiLevelType w:val="hybridMultilevel"/>
    <w:lvl w:ilvl="0">
      <w:lvlJc w:val="left"/>
      <w:lvlText w:val="•"/>
      <w:numFmt w:val="bullet"/>
      <w:start w:val="1"/>
    </w:lvl>
  </w:abstractNum>
  <w:abstractNum w:abstractNumId="21">
    <w:nsid w:val="59ADEA3D"/>
    <w:multiLevelType w:val="hybridMultilevel"/>
    <w:lvl w:ilvl="0">
      <w:lvlJc w:val="left"/>
      <w:lvlText w:val="•"/>
      <w:numFmt w:val="bullet"/>
      <w:start w:val="1"/>
    </w:lvl>
  </w:abstractNum>
  <w:abstractNum w:abstractNumId="22">
    <w:nsid w:val="288F1A34"/>
    <w:multiLevelType w:val="hybridMultilevel"/>
    <w:lvl w:ilvl="0">
      <w:lvlJc w:val="left"/>
      <w:lvlText w:val="%1"/>
      <w:numFmt w:val="decimal"/>
      <w:start w:val="15"/>
    </w:lvl>
  </w:abstractNum>
  <w:abstractNum w:abstractNumId="23">
    <w:nsid w:val="2A155DBC"/>
    <w:multiLevelType w:val="hybridMultilevel"/>
    <w:lvl w:ilvl="0">
      <w:lvlJc w:val="left"/>
      <w:lvlText w:val="•"/>
      <w:numFmt w:val="bullet"/>
      <w:start w:val="1"/>
    </w:lvl>
  </w:abstractNum>
  <w:abstractNum w:abstractNumId="24">
    <w:nsid w:val="1D9F6E5F"/>
    <w:multiLevelType w:val="hybridMultilevel"/>
    <w:lvl w:ilvl="0">
      <w:lvlJc w:val="left"/>
      <w:lvlText w:val="%1"/>
      <w:numFmt w:val="decimal"/>
      <w:start w:val="16"/>
    </w:lvl>
  </w:abstractNum>
  <w:abstractNum w:abstractNumId="25">
    <w:nsid w:val="97E1B4E"/>
    <w:multiLevelType w:val="hybridMultilevel"/>
    <w:lvl w:ilvl="0">
      <w:lvlJc w:val="left"/>
      <w:lvlText w:val="•"/>
      <w:numFmt w:val="bullet"/>
      <w:start w:val="1"/>
    </w:lvl>
  </w:abstractNum>
  <w:abstractNum w:abstractNumId="26">
    <w:nsid w:val="51088277"/>
    <w:multiLevelType w:val="hybridMultilevel"/>
    <w:lvl w:ilvl="0">
      <w:lvlJc w:val="left"/>
      <w:lvlText w:val="•"/>
      <w:numFmt w:val="bullet"/>
      <w:start w:val="1"/>
    </w:lvl>
  </w:abstractNum>
  <w:abstractNum w:abstractNumId="27">
    <w:nsid w:val="1CA0C5FA"/>
    <w:multiLevelType w:val="hybridMultilevel"/>
    <w:lvl w:ilvl="0">
      <w:lvlJc w:val="left"/>
      <w:lvlText w:val="•"/>
      <w:numFmt w:val="bullet"/>
      <w:start w:val="1"/>
    </w:lvl>
  </w:abstractNum>
  <w:abstractNum w:abstractNumId="28">
    <w:nsid w:val="53584BCB"/>
    <w:multiLevelType w:val="hybridMultilevel"/>
    <w:lvl w:ilvl="0">
      <w:lvlJc w:val="left"/>
      <w:lvlText w:val="•"/>
      <w:numFmt w:val="bullet"/>
      <w:start w:val="1"/>
    </w:lvl>
  </w:abstractNum>
  <w:abstractNum w:abstractNumId="29">
    <w:nsid w:val="415E286C"/>
    <w:multiLevelType w:val="hybridMultilevel"/>
    <w:lvl w:ilvl="0">
      <w:lvlJc w:val="left"/>
      <w:lvlText w:val="•"/>
      <w:numFmt w:val="bullet"/>
      <w:start w:val="1"/>
    </w:lvl>
  </w:abstractNum>
  <w:abstractNum w:abstractNumId="30">
    <w:nsid w:val="7C58FD05"/>
    <w:multiLevelType w:val="hybridMultilevel"/>
    <w:lvl w:ilvl="0">
      <w:lvlJc w:val="left"/>
      <w:lvlText w:val="•"/>
      <w:numFmt w:val="bullet"/>
      <w:start w:val="1"/>
    </w:lvl>
  </w:abstractNum>
  <w:abstractNum w:abstractNumId="31">
    <w:nsid w:val="23D86AAC"/>
    <w:multiLevelType w:val="hybridMultilevel"/>
    <w:lvl w:ilvl="0">
      <w:lvlJc w:val="left"/>
      <w:lvlText w:val="$"/>
      <w:numFmt w:val="bullet"/>
      <w:start w:val="1"/>
    </w:lvl>
  </w:abstractNum>
  <w:abstractNum w:abstractNumId="32">
    <w:nsid w:val="45E6D486"/>
    <w:multiLevelType w:val="hybridMultilevel"/>
    <w:lvl w:ilvl="0">
      <w:lvlJc w:val="left"/>
      <w:lvlText w:val="$"/>
      <w:numFmt w:val="bullet"/>
      <w:start w:val="1"/>
    </w:lvl>
  </w:abstractNum>
  <w:abstractNum w:abstractNumId="33">
    <w:nsid w:val="5C10FE21"/>
    <w:multiLevelType w:val="hybridMultilevel"/>
    <w:lvl w:ilvl="0">
      <w:lvlJc w:val="left"/>
      <w:lvlText w:val="•"/>
      <w:numFmt w:val="bullet"/>
      <w:start w:val="1"/>
    </w:lvl>
  </w:abstractNum>
  <w:abstractNum w:abstractNumId="34">
    <w:nsid w:val="E7FFA2B"/>
    <w:multiLevelType w:val="hybridMultilevel"/>
    <w:lvl w:ilvl="0">
      <w:lvlJc w:val="left"/>
      <w:lvlText w:val="•"/>
      <w:numFmt w:val="bullet"/>
      <w:start w:val="1"/>
    </w:lvl>
  </w:abstractNum>
  <w:abstractNum w:abstractNumId="35">
    <w:nsid w:val="3C5991AA"/>
    <w:multiLevelType w:val="hybridMultilevel"/>
    <w:lvl w:ilvl="0">
      <w:lvlJc w:val="left"/>
      <w:lvlText w:val="(%1)"/>
      <w:numFmt w:val="decimal"/>
      <w:start w:val="1"/>
    </w:lvl>
  </w:abstractNum>
  <w:abstractNum w:abstractNumId="36">
    <w:nsid w:val="4BD8591A"/>
    <w:multiLevelType w:val="hybridMultilevel"/>
    <w:lvl w:ilvl="0">
      <w:lvlJc w:val="left"/>
      <w:lvlText w:val="(%1)"/>
      <w:numFmt w:val="decimal"/>
      <w:start w:val="1"/>
    </w:lvl>
  </w:abstractNum>
  <w:abstractNum w:abstractNumId="37">
    <w:nsid w:val="78DF6A55"/>
    <w:multiLevelType w:val="hybridMultilevel"/>
    <w:lvl w:ilvl="0">
      <w:lvlJc w:val="left"/>
      <w:lvlText w:val="(%1)"/>
      <w:numFmt w:val="decimal"/>
      <w:start w:val="1"/>
    </w:lvl>
  </w:abstractNum>
  <w:abstractNum w:abstractNumId="38">
    <w:nsid w:val="39B7AAA2"/>
    <w:multiLevelType w:val="hybridMultilevel"/>
    <w:lvl w:ilvl="0">
      <w:lvlJc w:val="left"/>
      <w:lvlText w:val="•"/>
      <w:numFmt w:val="bullet"/>
      <w:start w:val="1"/>
    </w:lvl>
  </w:abstractNum>
  <w:abstractNum w:abstractNumId="39">
    <w:nsid w:val="2B0D8DBE"/>
    <w:multiLevelType w:val="hybridMultilevel"/>
    <w:lvl w:ilvl="0">
      <w:lvlJc w:val="left"/>
      <w:lvlText w:val="•"/>
      <w:numFmt w:val="bullet"/>
      <w:start w:val="1"/>
    </w:lvl>
  </w:abstractNum>
  <w:abstractNum w:abstractNumId="40">
    <w:nsid w:val="6C80EC70"/>
    <w:multiLevelType w:val="hybridMultilevel"/>
    <w:lvl w:ilvl="0">
      <w:lvlJc w:val="left"/>
      <w:lvlText w:val="•"/>
      <w:numFmt w:val="bullet"/>
      <w:start w:val="1"/>
    </w:lvl>
  </w:abstractNum>
  <w:abstractNum w:abstractNumId="41">
    <w:nsid w:val="379E21B5"/>
    <w:multiLevelType w:val="hybridMultilevel"/>
    <w:lvl w:ilvl="0">
      <w:lvlJc w:val="left"/>
      <w:lvlText w:val="•"/>
      <w:numFmt w:val="bullet"/>
      <w:start w:val="1"/>
    </w:lvl>
  </w:abstractNum>
  <w:abstractNum w:abstractNumId="42">
    <w:nsid w:val="69E373"/>
    <w:multiLevelType w:val="hybridMultilevel"/>
    <w:lvl w:ilvl="0">
      <w:lvlJc w:val="left"/>
      <w:lvlText w:val="•"/>
      <w:numFmt w:val="bullet"/>
      <w:start w:val="1"/>
    </w:lvl>
  </w:abstractNum>
  <w:abstractNum w:abstractNumId="43">
    <w:nsid w:val="2C27173B"/>
    <w:multiLevelType w:val="hybridMultilevel"/>
    <w:lvl w:ilvl="0">
      <w:lvlJc w:val="left"/>
      <w:lvlText w:val="•"/>
      <w:numFmt w:val="bullet"/>
      <w:start w:val="1"/>
    </w:lvl>
  </w:abstractNum>
  <w:abstractNum w:abstractNumId="44">
    <w:nsid w:val="4C9B0904"/>
    <w:multiLevelType w:val="hybridMultilevel"/>
    <w:lvl w:ilvl="0">
      <w:lvlJc w:val="left"/>
      <w:lvlText w:val="•"/>
      <w:numFmt w:val="bullet"/>
      <w:start w:val="1"/>
    </w:lvl>
  </w:abstractNum>
  <w:abstractNum w:abstractNumId="45">
    <w:nsid w:val="6AA7B75C"/>
    <w:multiLevelType w:val="hybridMultilevel"/>
    <w:lvl w:ilvl="0">
      <w:lvlJc w:val="left"/>
      <w:lvlText w:val="(%1)"/>
      <w:numFmt w:val="decimal"/>
      <w:start w:val="1"/>
    </w:lvl>
  </w:abstractNum>
  <w:abstractNum w:abstractNumId="46">
    <w:nsid w:val="1DF029D3"/>
    <w:multiLevelType w:val="hybridMultilevel"/>
    <w:lvl w:ilvl="0">
      <w:lvlJc w:val="left"/>
      <w:lvlText w:val="•"/>
      <w:numFmt w:val="bullet"/>
      <w:start w:val="1"/>
    </w:lvl>
  </w:abstractNum>
  <w:abstractNum w:abstractNumId="47">
    <w:nsid w:val="5675FF36"/>
    <w:multiLevelType w:val="hybridMultilevel"/>
    <w:lvl w:ilvl="0">
      <w:lvlJc w:val="left"/>
      <w:lvlText w:val="•"/>
      <w:numFmt w:val="bullet"/>
      <w:start w:val="1"/>
    </w:lvl>
  </w:abstractNum>
  <w:abstractNum w:abstractNumId="48">
    <w:nsid w:val="3DD15094"/>
    <w:multiLevelType w:val="hybridMultilevel"/>
    <w:lvl w:ilvl="0">
      <w:lvlJc w:val="left"/>
      <w:lvlText w:val="•"/>
      <w:numFmt w:val="bullet"/>
      <w:start w:val="1"/>
    </w:lvl>
  </w:abstractNum>
  <w:abstractNum w:abstractNumId="49">
    <w:nsid w:val="3DB012B3"/>
    <w:multiLevelType w:val="hybridMultilevel"/>
    <w:lvl w:ilvl="0">
      <w:lvlJc w:val="left"/>
      <w:lvlText w:val="•"/>
      <w:numFmt w:val="bullet"/>
      <w:start w:val="1"/>
    </w:lvl>
  </w:abstractNum>
  <w:abstractNum w:abstractNumId="50">
    <w:nsid w:val="2708C9AF"/>
    <w:multiLevelType w:val="hybridMultilevel"/>
    <w:lvl w:ilvl="0">
      <w:lvlJc w:val="left"/>
      <w:lvlText w:val="•"/>
      <w:numFmt w:val="bullet"/>
      <w:start w:val="1"/>
    </w:lvl>
  </w:abstractNum>
  <w:abstractNum w:abstractNumId="51">
    <w:nsid w:val="5B25ACE2"/>
    <w:multiLevelType w:val="hybridMultilevel"/>
    <w:lvl w:ilvl="0">
      <w:lvlJc w:val="left"/>
      <w:lvlText w:val="•"/>
      <w:numFmt w:val="bullet"/>
      <w:start w:val="1"/>
    </w:lvl>
  </w:abstractNum>
  <w:abstractNum w:abstractNumId="52">
    <w:nsid w:val="175DFCF0"/>
    <w:multiLevelType w:val="hybridMultilevel"/>
    <w:lvl w:ilvl="0">
      <w:lvlJc w:val="left"/>
      <w:lvlText w:val="•"/>
      <w:numFmt w:val="bullet"/>
      <w:start w:val="1"/>
    </w:lvl>
  </w:abstractNum>
  <w:abstractNum w:abstractNumId="53">
    <w:nsid w:val="4F97E3E4"/>
    <w:multiLevelType w:val="hybridMultilevel"/>
    <w:lvl w:ilvl="0">
      <w:lvlJc w:val="left"/>
      <w:lvlText w:val="•"/>
      <w:numFmt w:val="bullet"/>
      <w:start w:val="1"/>
    </w:lvl>
  </w:abstractNum>
  <w:abstractNum w:abstractNumId="54">
    <w:nsid w:val="53B0A9E"/>
    <w:multiLevelType w:val="hybridMultilevel"/>
    <w:lvl w:ilvl="0">
      <w:lvlJc w:val="left"/>
      <w:lvlText w:val="•"/>
      <w:numFmt w:val="bullet"/>
      <w:start w:val="1"/>
    </w:lvl>
  </w:abstractNum>
  <w:abstractNum w:abstractNumId="55">
    <w:nsid w:val="34FD6B4F"/>
    <w:multiLevelType w:val="hybridMultilevel"/>
    <w:lvl w:ilvl="0">
      <w:lvlJc w:val="left"/>
      <w:lvlText w:val="•"/>
      <w:numFmt w:val="bullet"/>
      <w:start w:val="1"/>
    </w:lvl>
  </w:abstractNum>
  <w:abstractNum w:abstractNumId="56">
    <w:nsid w:val="5915FF32"/>
    <w:multiLevelType w:val="hybridMultilevel"/>
    <w:lvl w:ilvl="0">
      <w:lvlJc w:val="left"/>
      <w:lvlText w:val="•"/>
      <w:numFmt w:val="bullet"/>
      <w:start w:val="1"/>
    </w:lvl>
  </w:abstractNum>
  <w:abstractNum w:abstractNumId="57">
    <w:nsid w:val="56438D15"/>
    <w:multiLevelType w:val="hybridMultilevel"/>
    <w:lvl w:ilvl="0">
      <w:lvlJc w:val="left"/>
      <w:lvlText w:val="•"/>
      <w:numFmt w:val="bullet"/>
      <w:start w:val="1"/>
    </w:lvl>
  </w:abstractNum>
  <w:abstractNum w:abstractNumId="58">
    <w:nsid w:val="519E3149"/>
    <w:multiLevelType w:val="hybridMultilevel"/>
    <w:lvl w:ilvl="0">
      <w:lvlJc w:val="left"/>
      <w:lvlText w:val="•"/>
      <w:numFmt w:val="bullet"/>
      <w:start w:val="1"/>
    </w:lvl>
  </w:abstractNum>
  <w:abstractNum w:abstractNumId="59">
    <w:nsid w:val="2C6E4AFD"/>
    <w:multiLevelType w:val="hybridMultilevel"/>
    <w:lvl w:ilvl="0">
      <w:lvlJc w:val="left"/>
      <w:lvlText w:val="•"/>
      <w:numFmt w:val="bullet"/>
      <w:start w:val="1"/>
    </w:lvl>
  </w:abstractNum>
  <w:abstractNum w:abstractNumId="60">
    <w:nsid w:val="17A1B582"/>
    <w:multiLevelType w:val="hybridMultilevel"/>
    <w:lvl w:ilvl="0">
      <w:lvlJc w:val="left"/>
      <w:lvlText w:val="•"/>
      <w:numFmt w:val="bullet"/>
      <w:start w:val="1"/>
    </w:lvl>
  </w:abstractNum>
  <w:abstractNum w:abstractNumId="61">
    <w:nsid w:val="4DF72E4E"/>
    <w:multiLevelType w:val="hybridMultilevel"/>
    <w:lvl w:ilvl="0">
      <w:lvlJc w:val="left"/>
      <w:lvlText w:val="•"/>
      <w:numFmt w:val="bullet"/>
      <w:start w:val="1"/>
    </w:lvl>
  </w:abstractNum>
  <w:abstractNum w:abstractNumId="62">
    <w:nsid w:val="5046B5A9"/>
    <w:multiLevelType w:val="hybridMultilevel"/>
    <w:lvl w:ilvl="0">
      <w:lvlJc w:val="left"/>
      <w:lvlText w:val="•"/>
      <w:numFmt w:val="bullet"/>
      <w:start w:val="1"/>
    </w:lvl>
  </w:abstractNum>
  <w:abstractNum w:abstractNumId="63">
    <w:nsid w:val="5D888A08"/>
    <w:multiLevelType w:val="hybridMultilevel"/>
    <w:lvl w:ilvl="0">
      <w:lvlJc w:val="left"/>
      <w:lvlText w:val="(%1)"/>
      <w:numFmt w:val="decimal"/>
      <w:start w:val="1"/>
    </w:lvl>
  </w:abstractNum>
  <w:abstractNum w:abstractNumId="64">
    <w:nsid w:val="2A082C70"/>
    <w:multiLevelType w:val="hybridMultilevel"/>
    <w:lvl w:ilvl="0">
      <w:lvlJc w:val="left"/>
      <w:lvlText w:val="(%1)"/>
      <w:numFmt w:val="decimal"/>
      <w:start w:val="2"/>
    </w:lvl>
  </w:abstractNum>
  <w:abstractNum w:abstractNumId="65">
    <w:nsid w:val="5EC6AFD4"/>
    <w:multiLevelType w:val="hybridMultilevel"/>
    <w:lvl w:ilvl="0">
      <w:lvlJc w:val="left"/>
      <w:lvlText w:val="$"/>
      <w:numFmt w:val="bullet"/>
      <w:start w:val="1"/>
    </w:lvl>
  </w:abstractNum>
  <w:abstractNum w:abstractNumId="66">
    <w:nsid w:val="19E21BB2"/>
    <w:multiLevelType w:val="hybridMultilevel"/>
    <w:lvl w:ilvl="0">
      <w:lvlJc w:val="left"/>
      <w:lvlText w:val="•"/>
      <w:numFmt w:val="bullet"/>
      <w:start w:val="1"/>
    </w:lvl>
  </w:abstractNum>
  <w:abstractNum w:abstractNumId="67">
    <w:nsid w:val="75E0858A"/>
    <w:multiLevelType w:val="hybridMultilevel"/>
    <w:lvl w:ilvl="0">
      <w:lvlJc w:val="left"/>
      <w:lvlText w:val="•"/>
      <w:numFmt w:val="bullet"/>
      <w:start w:val="1"/>
    </w:lvl>
  </w:abstractNum>
  <w:abstractNum w:abstractNumId="68">
    <w:nsid w:val="57A61A29"/>
    <w:multiLevelType w:val="hybridMultilevel"/>
    <w:lvl w:ilvl="0">
      <w:lvlJc w:val="left"/>
      <w:lvlText w:val="•"/>
      <w:numFmt w:val="bullet"/>
      <w:start w:val="1"/>
    </w:lvl>
  </w:abstractNum>
  <w:abstractNum w:abstractNumId="69">
    <w:nsid w:val="5399C654"/>
    <w:multiLevelType w:val="hybridMultilevel"/>
    <w:lvl w:ilvl="0">
      <w:lvlJc w:val="left"/>
      <w:lvlText w:val="•"/>
      <w:numFmt w:val="bullet"/>
      <w:start w:val="1"/>
    </w:lvl>
  </w:abstractNum>
  <w:abstractNum w:abstractNumId="70">
    <w:nsid w:val="20EE1348"/>
    <w:multiLevelType w:val="hybridMultilevel"/>
    <w:lvl w:ilvl="0">
      <w:lvlJc w:val="left"/>
      <w:lvlText w:val="•"/>
      <w:numFmt w:val="bullet"/>
      <w:start w:val="1"/>
    </w:lvl>
  </w:abstractNum>
  <w:abstractNum w:abstractNumId="71">
    <w:nsid w:val="4427069A"/>
    <w:multiLevelType w:val="hybridMultilevel"/>
    <w:lvl w:ilvl="0">
      <w:lvlJc w:val="left"/>
      <w:lvlText w:val="•"/>
      <w:numFmt w:val="bullet"/>
      <w:start w:val="1"/>
    </w:lvl>
  </w:abstractNum>
  <w:abstractNum w:abstractNumId="72">
    <w:nsid w:val="B37E80A"/>
    <w:multiLevelType w:val="hybridMultilevel"/>
    <w:lvl w:ilvl="0">
      <w:lvlJc w:val="left"/>
      <w:lvlText w:val="•"/>
      <w:numFmt w:val="bullet"/>
      <w:start w:val="1"/>
    </w:lvl>
  </w:abstractNum>
  <w:abstractNum w:abstractNumId="73">
    <w:nsid w:val="2157F6BC"/>
    <w:multiLevelType w:val="hybridMultilevel"/>
    <w:lvl w:ilvl="0">
      <w:lvlJc w:val="left"/>
      <w:lvlText w:val="•"/>
      <w:numFmt w:val="bullet"/>
      <w:start w:val="1"/>
    </w:lvl>
  </w:abstractNum>
  <w:abstractNum w:abstractNumId="74">
    <w:nsid w:val="704E1DD5"/>
    <w:multiLevelType w:val="hybridMultilevel"/>
    <w:lvl w:ilvl="0">
      <w:lvlJc w:val="left"/>
      <w:lvlText w:val="•"/>
      <w:numFmt w:val="bullet"/>
      <w:start w:val="1"/>
    </w:lvl>
  </w:abstractNum>
  <w:abstractNum w:abstractNumId="75">
    <w:nsid w:val="57D2F10E"/>
    <w:multiLevelType w:val="hybridMultilevel"/>
    <w:lvl w:ilvl="0">
      <w:lvlJc w:val="left"/>
      <w:lvlText w:val="•"/>
      <w:numFmt w:val="bullet"/>
      <w:start w:val="1"/>
    </w:lvl>
  </w:abstractNum>
  <w:abstractNum w:abstractNumId="76">
    <w:nsid w:val="BFFAE18"/>
    <w:multiLevelType w:val="hybridMultilevel"/>
    <w:lvl w:ilvl="0">
      <w:lvlJc w:val="left"/>
      <w:lvlText w:val="(%1)"/>
      <w:numFmt w:val="decimal"/>
      <w:start w:val="1"/>
    </w:lvl>
  </w:abstractNum>
  <w:abstractNum w:abstractNumId="77">
    <w:nsid w:val="E3E47A8"/>
    <w:multiLevelType w:val="hybridMultilevel"/>
    <w:lvl w:ilvl="0">
      <w:lvlJc w:val="left"/>
      <w:lvlText w:val="•"/>
      <w:numFmt w:val="bullet"/>
      <w:start w:val="1"/>
    </w:lvl>
  </w:abstractNum>
  <w:abstractNum w:abstractNumId="78">
    <w:nsid w:val="2E48F044"/>
    <w:multiLevelType w:val="hybridMultilevel"/>
    <w:lvl w:ilvl="0">
      <w:lvlJc w:val="left"/>
      <w:lvlText w:val="•"/>
      <w:numFmt w:val="bullet"/>
      <w:start w:val="1"/>
    </w:lvl>
  </w:abstractNum>
  <w:abstractNum w:abstractNumId="79">
    <w:nsid w:val="49D0FEAC"/>
    <w:multiLevelType w:val="hybridMultilevel"/>
    <w:lvl w:ilvl="0">
      <w:lvlJc w:val="left"/>
      <w:lvlText w:val="•"/>
      <w:numFmt w:val="bullet"/>
      <w:start w:val="1"/>
    </w:lvl>
  </w:abstractNum>
  <w:abstractNum w:abstractNumId="80">
    <w:nsid w:val="4BEE5A5B"/>
    <w:multiLevelType w:val="hybridMultilevel"/>
    <w:lvl w:ilvl="0">
      <w:lvlJc w:val="left"/>
      <w:lvlText w:val="•"/>
      <w:numFmt w:val="bullet"/>
      <w:start w:val="1"/>
    </w:lvl>
  </w:abstractNum>
  <w:abstractNum w:abstractNumId="81">
    <w:nsid w:val="5551B9F3"/>
    <w:multiLevelType w:val="hybridMultilevel"/>
    <w:lvl w:ilvl="0">
      <w:lvlJc w:val="left"/>
      <w:lvlText w:val="•"/>
      <w:numFmt w:val="bullet"/>
      <w:start w:val="1"/>
    </w:lvl>
  </w:abstractNum>
  <w:abstractNum w:abstractNumId="82">
    <w:nsid w:val="24F6AB8E"/>
    <w:multiLevelType w:val="hybridMultilevel"/>
    <w:lvl w:ilvl="0">
      <w:lvlJc w:val="left"/>
      <w:lvlText w:val="•"/>
      <w:numFmt w:val="bullet"/>
      <w:start w:val="1"/>
    </w:lvl>
  </w:abstractNum>
  <w:abstractNum w:abstractNumId="83">
    <w:nsid w:val="634C574C"/>
    <w:multiLevelType w:val="hybridMultilevel"/>
    <w:lvl w:ilvl="0">
      <w:lvlJc w:val="left"/>
      <w:lvlText w:val="•"/>
      <w:numFmt w:val="bullet"/>
      <w:start w:val="1"/>
    </w:lvl>
  </w:abstractNum>
  <w:abstractNum w:abstractNumId="84">
    <w:nsid w:val="24E99DD7"/>
    <w:multiLevelType w:val="hybridMultilevel"/>
    <w:lvl w:ilvl="0">
      <w:lvlJc w:val="left"/>
      <w:lvlText w:val="%1."/>
      <w:numFmt w:val="decimal"/>
      <w:start w:val="1"/>
    </w:lvl>
  </w:abstractNum>
  <w:abstractNum w:abstractNumId="85">
    <w:nsid w:val="2A31B62D"/>
    <w:multiLevelType w:val="hybridMultilevel"/>
    <w:lvl w:ilvl="0">
      <w:lvlJc w:val="left"/>
      <w:lvlText w:val="%1."/>
      <w:numFmt w:val="decimal"/>
      <w:start w:val="9"/>
    </w:lvl>
  </w:abstractNum>
  <w:abstractNum w:abstractNumId="86">
    <w:nsid w:val="1849C29B"/>
    <w:multiLevelType w:val="hybridMultilevel"/>
    <w:lvl w:ilvl="0">
      <w:lvlJc w:val="left"/>
      <w:lvlText w:val="(%1)"/>
      <w:numFmt w:val="decimal"/>
      <w:start w:val="1"/>
    </w:lvl>
  </w:abstractNum>
  <w:abstractNum w:abstractNumId="87">
    <w:nsid w:val="7DFF9D09"/>
    <w:multiLevelType w:val="hybridMultilevel"/>
    <w:lvl w:ilvl="0">
      <w:lvlJc w:val="left"/>
      <w:lvlText w:val="(%1)"/>
      <w:numFmt w:val="decimal"/>
      <w:start w:val="1"/>
    </w:lvl>
  </w:abstractNum>
  <w:abstractNum w:abstractNumId="88">
    <w:nsid w:val="754342"/>
    <w:multiLevelType w:val="hybridMultilevel"/>
    <w:lvl w:ilvl="0">
      <w:lvlJc w:val="left"/>
      <w:lvlText w:val="(%1)"/>
      <w:numFmt w:val="decimal"/>
      <w:start w:val="5"/>
    </w:lvl>
  </w:abstractNum>
  <w:abstractNum w:abstractNumId="89">
    <w:nsid w:val="69E7F3E5"/>
    <w:multiLevelType w:val="hybridMultilevel"/>
    <w:lvl w:ilvl="0">
      <w:lvlJc w:val="left"/>
      <w:lvlText w:val="(%1)"/>
      <w:numFmt w:val="decimal"/>
      <w:start w:val="1"/>
    </w:lvl>
  </w:abstractNum>
  <w:abstractNum w:abstractNumId="90">
    <w:nsid w:val="2A6DE806"/>
    <w:multiLevelType w:val="hybridMultilevel"/>
    <w:lvl w:ilvl="0">
      <w:lvlJc w:val="left"/>
      <w:lvlText w:val="•"/>
      <w:numFmt w:val="bullet"/>
      <w:start w:val="1"/>
    </w:lvl>
  </w:abstractNum>
  <w:abstractNum w:abstractNumId="91">
    <w:nsid w:val="1816F8C4"/>
    <w:multiLevelType w:val="hybridMultilevel"/>
    <w:lvl w:ilvl="0">
      <w:lvlJc w:val="left"/>
      <w:lvlText w:val="%1"/>
      <w:numFmt w:val="decimal"/>
      <w:start w:val="17"/>
    </w:lvl>
  </w:abstractNum>
  <w:abstractNum w:abstractNumId="92">
    <w:nsid w:val="37DF2233"/>
    <w:multiLevelType w:val="hybridMultilevel"/>
    <w:lvl w:ilvl="0">
      <w:lvlJc w:val="left"/>
      <w:lvlText w:val="•"/>
      <w:numFmt w:val="bullet"/>
      <w:start w:val="1"/>
    </w:lvl>
  </w:abstractNum>
  <w:abstractNum w:abstractNumId="93">
    <w:nsid w:val="7AB49DAF"/>
    <w:multiLevelType w:val="hybridMultilevel"/>
    <w:lvl w:ilvl="0">
      <w:lvlJc w:val="left"/>
      <w:lvlText w:val="•"/>
      <w:numFmt w:val="bullet"/>
      <w:start w:val="1"/>
    </w:lvl>
  </w:abstractNum>
  <w:abstractNum w:abstractNumId="94">
    <w:nsid w:val="759F82CD"/>
    <w:multiLevelType w:val="hybridMultilevel"/>
    <w:lvl w:ilvl="0">
      <w:lvlJc w:val="left"/>
      <w:lvlText w:val="•"/>
      <w:numFmt w:val="bullet"/>
      <w:start w:val="1"/>
    </w:lvl>
  </w:abstractNum>
  <w:abstractNum w:abstractNumId="95">
    <w:nsid w:val="61E74EA3"/>
    <w:multiLevelType w:val="hybridMultilevel"/>
    <w:lvl w:ilvl="0">
      <w:lvlJc w:val="left"/>
      <w:lvlText w:val="%1"/>
      <w:numFmt w:val="decimal"/>
      <w:start w:val="18"/>
    </w:lvl>
  </w:abstractNum>
  <w:abstractNum w:abstractNumId="96">
    <w:nsid w:val="597B4D84"/>
    <w:multiLevelType w:val="hybridMultilevel"/>
    <w:lvl w:ilvl="0">
      <w:lvlJc w:val="left"/>
      <w:lvlText w:val="•"/>
      <w:numFmt w:val="bullet"/>
      <w:start w:val="1"/>
    </w:lvl>
  </w:abstractNum>
  <w:abstractNum w:abstractNumId="97">
    <w:nsid w:val="F819E7F"/>
    <w:multiLevelType w:val="hybridMultilevel"/>
    <w:lvl w:ilvl="0">
      <w:lvlJc w:val="left"/>
      <w:lvlText w:val="•"/>
      <w:numFmt w:val="bullet"/>
      <w:start w:val="1"/>
    </w:lvl>
  </w:abstractNum>
  <w:abstractNum w:abstractNumId="98">
    <w:nsid w:val="57C7D42D"/>
    <w:multiLevelType w:val="hybridMultilevel"/>
    <w:lvl w:ilvl="0">
      <w:lvlJc w:val="left"/>
      <w:lvlText w:val="%1"/>
      <w:numFmt w:val="decimal"/>
      <w:start w:val="22"/>
    </w:lvl>
  </w:abstractNum>
  <w:abstractNum w:abstractNumId="99">
    <w:nsid w:val="312167AD"/>
    <w:multiLevelType w:val="hybridMultilevel"/>
    <w:lvl w:ilvl="0">
      <w:lvlJc w:val="left"/>
      <w:lvlText w:val="•"/>
      <w:numFmt w:val="bullet"/>
      <w:start w:val="1"/>
    </w:lvl>
  </w:abstractNum>
  <w:abstractNum w:abstractNumId="100">
    <w:nsid w:val="631B64D4"/>
    <w:multiLevelType w:val="hybridMultilevel"/>
    <w:lvl w:ilvl="0">
      <w:lvlJc w:val="left"/>
      <w:lvlText w:val="•"/>
      <w:numFmt w:val="bullet"/>
      <w:start w:val="1"/>
    </w:lvl>
  </w:abstractNum>
  <w:abstractNum w:abstractNumId="101">
    <w:nsid w:val="78B5E776"/>
    <w:multiLevelType w:val="hybridMultilevel"/>
    <w:lvl w:ilvl="0">
      <w:lvlJc w:val="left"/>
      <w:lvlText w:val="•"/>
      <w:numFmt w:val="bullet"/>
      <w:start w:val="1"/>
    </w:lvl>
  </w:abstractNum>
  <w:abstractNum w:abstractNumId="102">
    <w:nsid w:val="75486E47"/>
    <w:multiLevelType w:val="hybridMultilevel"/>
    <w:lvl w:ilvl="0">
      <w:lvlJc w:val="left"/>
      <w:lvlText w:val="%1"/>
      <w:numFmt w:val="decimal"/>
      <w:start w:val="24"/>
    </w:lvl>
  </w:abstractNum>
  <w:abstractNum w:abstractNumId="103">
    <w:nsid w:val="6E534CDE"/>
    <w:multiLevelType w:val="hybridMultilevel"/>
    <w:lvl w:ilvl="0">
      <w:lvlJc w:val="left"/>
      <w:lvlText w:val="•"/>
      <w:numFmt w:val="bullet"/>
      <w:start w:val="1"/>
    </w:lvl>
  </w:abstractNum>
  <w:abstractNum w:abstractNumId="104">
    <w:nsid w:val="1A0DDE32"/>
    <w:multiLevelType w:val="hybridMultilevel"/>
    <w:lvl w:ilvl="0">
      <w:lvlJc w:val="left"/>
      <w:lvlText w:val="%1"/>
      <w:numFmt w:val="decimal"/>
      <w:start w:val="25"/>
    </w:lvl>
  </w:abstractNum>
  <w:abstractNum w:abstractNumId="105">
    <w:nsid w:val="65968C1C"/>
    <w:multiLevelType w:val="hybridMultilevel"/>
    <w:lvl w:ilvl="0">
      <w:lvlJc w:val="left"/>
      <w:lvlText w:val="•"/>
      <w:numFmt w:val="bullet"/>
      <w:start w:val="1"/>
    </w:lvl>
  </w:abstractNum>
  <w:abstractNum w:abstractNumId="106">
    <w:nsid w:val="46263DEC"/>
    <w:multiLevelType w:val="hybridMultilevel"/>
    <w:lvl w:ilvl="0">
      <w:lvlJc w:val="left"/>
      <w:lvlText w:val="•"/>
      <w:numFmt w:val="bullet"/>
      <w:start w:val="1"/>
    </w:lvl>
  </w:abstractNum>
  <w:abstractNum w:abstractNumId="107">
    <w:nsid w:val="260D8C4A"/>
    <w:multiLevelType w:val="hybridMultilevel"/>
    <w:lvl w:ilvl="0">
      <w:lvlJc w:val="left"/>
      <w:lvlText w:val="•"/>
      <w:numFmt w:val="bullet"/>
      <w:start w:val="1"/>
    </w:lvl>
  </w:abstractNum>
  <w:abstractNum w:abstractNumId="108">
    <w:nsid w:val="73D4D3C4"/>
    <w:multiLevelType w:val="hybridMultilevel"/>
    <w:lvl w:ilvl="0">
      <w:lvlJc w:val="left"/>
      <w:lvlText w:val="•"/>
      <w:numFmt w:val="bullet"/>
      <w:start w:val="1"/>
    </w:lvl>
  </w:abstractNum>
  <w:abstractNum w:abstractNumId="109">
    <w:nsid w:val="746F2E30"/>
    <w:multiLevelType w:val="hybridMultilevel"/>
    <w:lvl w:ilvl="0">
      <w:lvlJc w:val="left"/>
      <w:lvlText w:val="•"/>
      <w:numFmt w:val="bullet"/>
      <w:start w:val="1"/>
    </w:lvl>
  </w:abstractNum>
  <w:abstractNum w:abstractNumId="110">
    <w:nsid w:val="6FDE8AF6"/>
    <w:multiLevelType w:val="hybridMultilevel"/>
    <w:lvl w:ilvl="0">
      <w:lvlJc w:val="left"/>
      <w:lvlText w:val="•"/>
      <w:numFmt w:val="bullet"/>
      <w:start w:val="1"/>
    </w:lvl>
  </w:abstractNum>
  <w:abstractNum w:abstractNumId="111">
    <w:nsid w:val="3FC32E20"/>
    <w:multiLevelType w:val="hybridMultilevel"/>
    <w:lvl w:ilvl="0">
      <w:lvlJc w:val="left"/>
      <w:lvlText w:val="•"/>
      <w:numFmt w:val="bullet"/>
      <w:start w:val="1"/>
    </w:lvl>
  </w:abstractNum>
  <w:abstractNum w:abstractNumId="112">
    <w:nsid w:val="49C0E823"/>
    <w:multiLevelType w:val="hybridMultilevel"/>
    <w:lvl w:ilvl="0">
      <w:lvlJc w:val="left"/>
      <w:lvlText w:val="%1"/>
      <w:numFmt w:val="decimal"/>
      <w:start w:val="26"/>
    </w:lvl>
  </w:abstractNum>
  <w:abstractNum w:abstractNumId="113">
    <w:nsid w:val="14D53685"/>
    <w:multiLevelType w:val="hybridMultilevel"/>
    <w:lvl w:ilvl="0">
      <w:lvlJc w:val="left"/>
      <w:lvlText w:val="•"/>
      <w:numFmt w:val="bullet"/>
      <w:start w:val="1"/>
    </w:lvl>
  </w:abstractNum>
  <w:abstractNum w:abstractNumId="114">
    <w:nsid w:val="230F856C"/>
    <w:multiLevelType w:val="hybridMultilevel"/>
    <w:lvl w:ilvl="0">
      <w:lvlJc w:val="left"/>
      <w:lvlText w:val="•"/>
      <w:numFmt w:val="bullet"/>
      <w:start w:val="1"/>
    </w:lvl>
  </w:abstractNum>
  <w:abstractNum w:abstractNumId="115">
    <w:nsid w:val="6EAA85FB"/>
    <w:multiLevelType w:val="hybridMultilevel"/>
    <w:lvl w:ilvl="0">
      <w:lvlJc w:val="left"/>
      <w:lvlText w:val="•"/>
      <w:numFmt w:val="bullet"/>
      <w:start w:val="1"/>
    </w:lvl>
  </w:abstractNum>
  <w:abstractNum w:abstractNumId="116">
    <w:nsid w:val="3F06ECB2"/>
    <w:multiLevelType w:val="hybridMultilevel"/>
    <w:lvl w:ilvl="0">
      <w:lvlJc w:val="left"/>
      <w:lvlText w:val="•"/>
      <w:numFmt w:val="bullet"/>
      <w:start w:val="1"/>
    </w:lvl>
  </w:abstractNum>
  <w:abstractNum w:abstractNumId="117">
    <w:nsid w:val="3B594807"/>
    <w:multiLevelType w:val="hybridMultilevel"/>
    <w:lvl w:ilvl="0">
      <w:lvlJc w:val="left"/>
      <w:lvlText w:val="•"/>
      <w:numFmt w:val="bullet"/>
      <w:start w:val="1"/>
    </w:lvl>
  </w:abstractNum>
  <w:abstractNum w:abstractNumId="118">
    <w:nsid w:val="6CAA2304"/>
    <w:multiLevelType w:val="hybridMultilevel"/>
    <w:lvl w:ilvl="0">
      <w:lvlJc w:val="left"/>
      <w:lvlText w:val="•"/>
      <w:numFmt w:val="bullet"/>
      <w:start w:val="1"/>
    </w:lvl>
  </w:abstractNum>
  <w:abstractNum w:abstractNumId="119">
    <w:nsid w:val="3F7C2FF4"/>
    <w:multiLevelType w:val="hybridMultilevel"/>
    <w:lvl w:ilvl="0">
      <w:lvlJc w:val="left"/>
      <w:lvlText w:val="•"/>
      <w:numFmt w:val="bullet"/>
      <w:start w:val="1"/>
    </w:lvl>
  </w:abstractNum>
  <w:abstractNum w:abstractNumId="120">
    <w:nsid w:val="25413BEC"/>
    <w:multiLevelType w:val="hybridMultilevel"/>
    <w:lvl w:ilvl="0">
      <w:lvlJc w:val="left"/>
      <w:lvlText w:val="•"/>
      <w:numFmt w:val="bullet"/>
      <w:start w:val="1"/>
    </w:lvl>
    <w:lvl w:ilvl="1">
      <w:lvlJc w:val="left"/>
      <w:lvlText w:val="•"/>
      <w:numFmt w:val="bullet"/>
      <w:start w:val="1"/>
    </w:lvl>
  </w:abstractNum>
  <w:abstractNum w:abstractNumId="121">
    <w:nsid w:val="17180B0B"/>
    <w:multiLevelType w:val="hybridMultilevel"/>
    <w:lvl w:ilvl="0">
      <w:lvlJc w:val="left"/>
      <w:lvlText w:val="•"/>
      <w:numFmt w:val="bullet"/>
      <w:start w:val="1"/>
    </w:lvl>
  </w:abstractNum>
  <w:abstractNum w:abstractNumId="122">
    <w:nsid w:val="579328B9"/>
    <w:multiLevelType w:val="hybridMultilevel"/>
    <w:lvl w:ilvl="0">
      <w:lvlJc w:val="left"/>
      <w:lvlText w:val="•"/>
      <w:numFmt w:val="bullet"/>
      <w:start w:val="1"/>
    </w:lvl>
  </w:abstractNum>
  <w:abstractNum w:abstractNumId="123">
    <w:nsid w:val="5D205E20"/>
    <w:multiLevelType w:val="hybridMultilevel"/>
    <w:lvl w:ilvl="0">
      <w:lvlJc w:val="left"/>
      <w:lvlText w:val="%1"/>
      <w:numFmt w:val="decimal"/>
      <w:start w:val="27"/>
    </w:lvl>
  </w:abstractNum>
  <w:abstractNum w:abstractNumId="124">
    <w:nsid w:val="11CCA8BA"/>
    <w:multiLevelType w:val="hybridMultilevel"/>
    <w:lvl w:ilvl="0">
      <w:lvlJc w:val="left"/>
      <w:lvlText w:val="•"/>
      <w:numFmt w:val="bullet"/>
      <w:start w:val="1"/>
    </w:lvl>
  </w:abstractNum>
  <w:abstractNum w:abstractNumId="125">
    <w:nsid w:val="4D32AB86"/>
    <w:multiLevelType w:val="hybridMultilevel"/>
    <w:lvl w:ilvl="0">
      <w:lvlJc w:val="left"/>
      <w:lvlText w:val="%1"/>
      <w:numFmt w:val="decimal"/>
      <w:start w:val="28"/>
    </w:lvl>
  </w:abstractNum>
  <w:abstractNum w:abstractNumId="126">
    <w:nsid w:val="3F07ACC3"/>
    <w:multiLevelType w:val="hybridMultilevel"/>
    <w:lvl w:ilvl="0">
      <w:lvlJc w:val="left"/>
      <w:lvlText w:val="•"/>
      <w:numFmt w:val="bullet"/>
      <w:start w:val="1"/>
    </w:lvl>
  </w:abstractNum>
  <w:abstractNum w:abstractNumId="127">
    <w:nsid w:val="6B47F63E"/>
    <w:multiLevelType w:val="hybridMultilevel"/>
    <w:lvl w:ilvl="0">
      <w:lvlJc w:val="left"/>
      <w:lvlText w:val="%1"/>
      <w:numFmt w:val="decimal"/>
      <w:start w:val="31"/>
    </w:lvl>
  </w:abstractNum>
  <w:abstractNum w:abstractNumId="128">
    <w:nsid w:val="5CB44A05"/>
    <w:multiLevelType w:val="hybridMultilevel"/>
    <w:lvl w:ilvl="0">
      <w:lvlJc w:val="left"/>
      <w:lvlText w:val="•"/>
      <w:numFmt w:val="bullet"/>
      <w:start w:val="1"/>
    </w:lvl>
  </w:abstractNum>
  <w:abstractNum w:abstractNumId="129">
    <w:nsid w:val="16CF80F1"/>
    <w:multiLevelType w:val="hybridMultilevel"/>
    <w:lvl w:ilvl="0">
      <w:lvlJc w:val="left"/>
      <w:lvlText w:val="•"/>
      <w:numFmt w:val="bullet"/>
      <w:start w:val="1"/>
    </w:lvl>
    <w:lvl w:ilvl="1">
      <w:lvlJc w:val="left"/>
      <w:lvlText w:val="•"/>
      <w:numFmt w:val="bullet"/>
      <w:start w:val="1"/>
    </w:lvl>
  </w:abstractNum>
  <w:abstractNum w:abstractNumId="130">
    <w:nsid w:val="1C695DEC"/>
    <w:multiLevelType w:val="hybridMultilevel"/>
    <w:lvl w:ilvl="0">
      <w:lvlJc w:val="left"/>
      <w:lvlText w:val="%1"/>
      <w:numFmt w:val="decimal"/>
      <w:start w:val="35"/>
    </w:lvl>
  </w:abstractNum>
  <w:abstractNum w:abstractNumId="131">
    <w:nsid w:val="3FCFAED9"/>
    <w:multiLevelType w:val="hybridMultilevel"/>
    <w:lvl w:ilvl="0">
      <w:lvlJc w:val="left"/>
      <w:lvlText w:val="%1"/>
      <w:numFmt w:val="decimal"/>
      <w:start w:val="40"/>
    </w:lvl>
  </w:abstractNum>
  <w:abstractNum w:abstractNumId="132">
    <w:nsid w:val="F856867"/>
    <w:multiLevelType w:val="hybridMultilevel"/>
    <w:lvl w:ilvl="0">
      <w:lvlJc w:val="left"/>
      <w:lvlText w:val="•"/>
      <w:numFmt w:val="bullet"/>
      <w:start w:val="1"/>
    </w:lvl>
  </w:abstractNum>
  <w:abstractNum w:abstractNumId="133">
    <w:nsid w:val="11B1CC33"/>
    <w:multiLevelType w:val="hybridMultilevel"/>
    <w:lvl w:ilvl="0">
      <w:lvlJc w:val="left"/>
      <w:lvlText w:val="%1"/>
      <w:numFmt w:val="decimal"/>
      <w:start w:val="44"/>
    </w:lvl>
  </w:abstractNum>
  <w:abstractNum w:abstractNumId="134">
    <w:nsid w:val="2E22FBB7"/>
    <w:multiLevelType w:val="hybridMultilevel"/>
    <w:lvl w:ilvl="0">
      <w:lvlJc w:val="left"/>
      <w:lvlText w:val="•"/>
      <w:numFmt w:val="bullet"/>
      <w:start w:val="1"/>
    </w:lvl>
  </w:abstractNum>
  <w:abstractNum w:abstractNumId="135">
    <w:nsid w:val="29934699"/>
    <w:multiLevelType w:val="hybridMultilevel"/>
    <w:lvl w:ilvl="0">
      <w:lvlJc w:val="left"/>
      <w:lvlText w:val="•"/>
      <w:numFmt w:val="bullet"/>
      <w:start w:val="1"/>
    </w:lvl>
  </w:abstractNum>
  <w:abstractNum w:abstractNumId="136">
    <w:nsid w:val="77485850"/>
    <w:multiLevelType w:val="hybridMultilevel"/>
    <w:lvl w:ilvl="0">
      <w:lvlJc w:val="left"/>
      <w:lvlText w:val="\emdash "/>
      <w:numFmt w:val="bullet"/>
      <w:start w:val="1"/>
    </w:lvl>
  </w:abstractNum>
  <w:abstractNum w:abstractNumId="137">
    <w:nsid w:val="744939A3"/>
    <w:multiLevelType w:val="hybridMultilevel"/>
    <w:lvl w:ilvl="0">
      <w:lvlJc w:val="left"/>
      <w:lvlText w:val="•"/>
      <w:numFmt w:val="bullet"/>
      <w:start w:val="1"/>
    </w:lvl>
  </w:abstractNum>
  <w:abstractNum w:abstractNumId="138">
    <w:nsid w:val="4FA0D2E3"/>
    <w:multiLevelType w:val="hybridMultilevel"/>
    <w:lvl w:ilvl="0">
      <w:lvlJc w:val="left"/>
      <w:lvlText w:val="%1"/>
      <w:numFmt w:val="decimal"/>
      <w:start w:val="46"/>
    </w:lvl>
  </w:abstractNum>
  <w:abstractNum w:abstractNumId="139">
    <w:nsid w:val="6B1D2C14"/>
    <w:multiLevelType w:val="hybridMultilevel"/>
    <w:lvl w:ilvl="0">
      <w:lvlJc w:val="left"/>
      <w:lvlText w:val="•"/>
      <w:numFmt w:val="bullet"/>
      <w:start w:val="1"/>
    </w:lvl>
  </w:abstractNum>
  <w:abstractNum w:abstractNumId="140">
    <w:nsid w:val="68B867D3"/>
    <w:multiLevelType w:val="hybridMultilevel"/>
    <w:lvl w:ilvl="0">
      <w:lvlJc w:val="left"/>
      <w:lvlText w:val="•"/>
      <w:numFmt w:val="bullet"/>
      <w:start w:val="1"/>
    </w:lvl>
  </w:abstractNum>
  <w:abstractNum w:abstractNumId="141">
    <w:nsid w:val="3F7F5DD9"/>
    <w:multiLevelType w:val="hybridMultilevel"/>
    <w:lvl w:ilvl="0">
      <w:lvlJc w:val="left"/>
      <w:lvlText w:val="•"/>
      <w:numFmt w:val="bullet"/>
      <w:start w:val="1"/>
    </w:lvl>
  </w:abstractNum>
  <w:abstractNum w:abstractNumId="142">
    <w:nsid w:val="2AE05A34"/>
    <w:multiLevelType w:val="hybridMultilevel"/>
    <w:lvl w:ilvl="0">
      <w:lvlJc w:val="left"/>
      <w:lvlText w:val="•"/>
      <w:numFmt w:val="bullet"/>
      <w:start w:val="1"/>
    </w:lvl>
  </w:abstractNum>
  <w:abstractNum w:abstractNumId="143">
    <w:nsid w:val="32794FF7"/>
    <w:multiLevelType w:val="hybridMultilevel"/>
    <w:lvl w:ilvl="0">
      <w:lvlJc w:val="left"/>
      <w:lvlText w:val="•"/>
      <w:numFmt w:val="bullet"/>
      <w:start w:val="1"/>
    </w:lvl>
  </w:abstractNum>
  <w:abstractNum w:abstractNumId="144">
    <w:nsid w:val="5454945E"/>
    <w:multiLevelType w:val="hybridMultilevel"/>
    <w:lvl w:ilvl="0">
      <w:lvlJc w:val="left"/>
      <w:lvlText w:val="(%1)"/>
      <w:numFmt w:val="decimal"/>
      <w:start w:val="1"/>
    </w:lvl>
  </w:abstractNum>
  <w:abstractNum w:abstractNumId="145">
    <w:nsid w:val="4DEFDFA0"/>
    <w:multiLevelType w:val="hybridMultilevel"/>
    <w:lvl w:ilvl="0">
      <w:lvlJc w:val="left"/>
      <w:lvlText w:val="•"/>
      <w:numFmt w:val="bullet"/>
      <w:start w:val="1"/>
    </w:lvl>
  </w:abstractNum>
  <w:abstractNum w:abstractNumId="146">
    <w:nsid w:val="2123D5F2"/>
    <w:multiLevelType w:val="hybridMultilevel"/>
    <w:lvl w:ilvl="0">
      <w:lvlJc w:val="left"/>
      <w:lvlText w:val="•"/>
      <w:numFmt w:val="bullet"/>
      <w:start w:val="1"/>
    </w:lvl>
  </w:abstractNum>
  <w:abstractNum w:abstractNumId="147">
    <w:nsid w:val="135B8110"/>
    <w:multiLevelType w:val="hybridMultilevel"/>
    <w:lvl w:ilvl="0">
      <w:lvlJc w:val="left"/>
      <w:lvlText w:val="•"/>
      <w:numFmt w:val="bullet"/>
      <w:start w:val="1"/>
    </w:lvl>
  </w:abstractNum>
  <w:abstractNum w:abstractNumId="148">
    <w:nsid w:val="94927A8"/>
    <w:multiLevelType w:val="hybridMultilevel"/>
    <w:lvl w:ilvl="0">
      <w:lvlJc w:val="left"/>
      <w:lvlText w:val="•"/>
      <w:numFmt w:val="bullet"/>
      <w:start w:val="1"/>
    </w:lvl>
  </w:abstractNum>
  <w:abstractNum w:abstractNumId="149">
    <w:nsid w:val="DCDF8F6"/>
    <w:multiLevelType w:val="hybridMultilevel"/>
    <w:lvl w:ilvl="0">
      <w:lvlJc w:val="left"/>
      <w:lvlText w:val="(%1)"/>
      <w:numFmt w:val="decimal"/>
      <w:start w:val="1"/>
    </w:lvl>
  </w:abstractNum>
  <w:abstractNum w:abstractNumId="150">
    <w:nsid w:val="52D7B105"/>
    <w:multiLevelType w:val="hybridMultilevel"/>
    <w:lvl w:ilvl="0">
      <w:lvlJc w:val="left"/>
      <w:lvlText w:val="(%1)"/>
      <w:numFmt w:val="decimal"/>
      <w:start w:val="4"/>
    </w:lvl>
  </w:abstractNum>
  <w:abstractNum w:abstractNumId="151">
    <w:nsid w:val="2E8A6394"/>
    <w:multiLevelType w:val="hybridMultilevel"/>
    <w:lvl w:ilvl="0">
      <w:lvlJc w:val="left"/>
      <w:lvlText w:val="•"/>
      <w:numFmt w:val="bullet"/>
      <w:start w:val="1"/>
    </w:lvl>
  </w:abstractNum>
  <w:abstractNum w:abstractNumId="152">
    <w:nsid w:val="24E60401"/>
    <w:multiLevelType w:val="hybridMultilevel"/>
    <w:lvl w:ilvl="0">
      <w:lvlJc w:val="left"/>
      <w:lvlText w:val="(%1)"/>
      <w:numFmt w:val="decimal"/>
      <w:start w:val="1"/>
    </w:lvl>
  </w:abstractNum>
  <w:abstractNum w:abstractNumId="153">
    <w:nsid w:val="2A6AD9BE"/>
    <w:multiLevelType w:val="hybridMultilevel"/>
    <w:lvl w:ilvl="0">
      <w:lvlJc w:val="left"/>
      <w:lvlText w:val="(%1)"/>
      <w:numFmt w:val="decimal"/>
      <w:start w:val="1"/>
    </w:lvl>
  </w:abstractNum>
  <w:abstractNum w:abstractNumId="154">
    <w:nsid w:val="BAAC1B4"/>
    <w:multiLevelType w:val="hybridMultilevel"/>
    <w:lvl w:ilvl="0">
      <w:lvlJc w:val="left"/>
      <w:lvlText w:val="•"/>
      <w:numFmt w:val="bullet"/>
      <w:start w:val="1"/>
    </w:lvl>
  </w:abstractNum>
  <w:abstractNum w:abstractNumId="155">
    <w:nsid w:val="36B2ACBC"/>
    <w:multiLevelType w:val="hybridMultilevel"/>
    <w:lvl w:ilvl="0">
      <w:lvlJc w:val="left"/>
      <w:lvlText w:val="(%1)"/>
      <w:numFmt w:val="decimal"/>
      <w:start w:val="1"/>
    </w:lvl>
  </w:abstractNum>
  <w:abstractNum w:abstractNumId="156">
    <w:nsid w:val="779D8544"/>
    <w:multiLevelType w:val="hybridMultilevel"/>
    <w:lvl w:ilvl="0">
      <w:lvlJc w:val="left"/>
      <w:lvlText w:val="(%1)"/>
      <w:numFmt w:val="decimal"/>
      <w:start w:val="1"/>
    </w:lvl>
  </w:abstractNum>
  <w:abstractNum w:abstractNumId="157">
    <w:nsid w:val="4AB26E78"/>
    <w:multiLevelType w:val="hybridMultilevel"/>
    <w:lvl w:ilvl="0">
      <w:lvlJc w:val="left"/>
      <w:lvlText w:val="(%1)"/>
      <w:numFmt w:val="decimal"/>
      <w:start w:val="1"/>
    </w:lvl>
  </w:abstractNum>
  <w:abstractNum w:abstractNumId="158">
    <w:nsid w:val="21FAA2FA"/>
    <w:multiLevelType w:val="hybridMultilevel"/>
    <w:lvl w:ilvl="0">
      <w:lvlJc w:val="left"/>
      <w:lvlText w:val="-"/>
      <w:numFmt w:val="bullet"/>
      <w:start w:val="1"/>
    </w:lvl>
  </w:abstractNum>
  <w:abstractNum w:abstractNumId="159">
    <w:nsid w:val="5451CF49"/>
    <w:multiLevelType w:val="hybridMultilevel"/>
    <w:lvl w:ilvl="0">
      <w:lvlJc w:val="left"/>
      <w:lvlText w:val="•"/>
      <w:numFmt w:val="bullet"/>
      <w:start w:val="1"/>
    </w:lvl>
  </w:abstractNum>
  <w:abstractNum w:abstractNumId="160">
    <w:nsid w:val="6181EF69"/>
    <w:multiLevelType w:val="hybridMultilevel"/>
    <w:lvl w:ilvl="0">
      <w:lvlJc w:val="left"/>
      <w:lvlText w:val="*"/>
      <w:numFmt w:val="bullet"/>
      <w:start w:val="1"/>
    </w:lvl>
  </w:abstractNum>
  <w:abstractNum w:abstractNumId="161">
    <w:nsid w:val="3E6400E6"/>
    <w:multiLevelType w:val="hybridMultilevel"/>
    <w:lvl w:ilvl="0">
      <w:lvlJc w:val="left"/>
      <w:lvlText w:val="(%1)"/>
      <w:numFmt w:val="decimal"/>
      <w:start w:val="1"/>
    </w:lvl>
  </w:abstractNum>
  <w:abstractNum w:abstractNumId="162">
    <w:nsid w:val="14217E23"/>
    <w:multiLevelType w:val="hybridMultilevel"/>
    <w:lvl w:ilvl="0">
      <w:lvlJc w:val="left"/>
      <w:lvlText w:val="(%1)"/>
      <w:numFmt w:val="decimal"/>
      <w:start w:val="2"/>
    </w:lvl>
  </w:abstractNum>
  <w:abstractNum w:abstractNumId="163">
    <w:nsid w:val="710757D0"/>
    <w:multiLevelType w:val="hybridMultilevel"/>
    <w:lvl w:ilvl="0">
      <w:lvlJc w:val="left"/>
      <w:lvlText w:val="•"/>
      <w:numFmt w:val="bullet"/>
      <w:start w:val="1"/>
    </w:lvl>
  </w:abstractNum>
  <w:abstractNum w:abstractNumId="164">
    <w:nsid w:val="5015CD1A"/>
    <w:multiLevelType w:val="hybridMultilevel"/>
    <w:lvl w:ilvl="0">
      <w:lvlJc w:val="left"/>
      <w:lvlText w:val="•"/>
      <w:numFmt w:val="bullet"/>
      <w:start w:val="1"/>
    </w:lvl>
  </w:abstractNum>
  <w:abstractNum w:abstractNumId="165">
    <w:nsid w:val="424479DA"/>
    <w:multiLevelType w:val="hybridMultilevel"/>
    <w:lvl w:ilvl="0">
      <w:lvlJc w:val="left"/>
      <w:lvlText w:val="•"/>
      <w:numFmt w:val="bullet"/>
      <w:start w:val="1"/>
    </w:lvl>
  </w:abstractNum>
  <w:abstractNum w:abstractNumId="166">
    <w:nsid w:val="1A9A9E69"/>
    <w:multiLevelType w:val="hybridMultilevel"/>
    <w:lvl w:ilvl="0">
      <w:lvlJc w:val="left"/>
      <w:lvlText w:val="$"/>
      <w:numFmt w:val="bullet"/>
      <w:start w:val="1"/>
    </w:lvl>
  </w:abstractNum>
  <w:abstractNum w:abstractNumId="167">
    <w:nsid w:val="475E256A"/>
    <w:multiLevelType w:val="hybridMultilevel"/>
    <w:lvl w:ilvl="0">
      <w:lvlJc w:val="left"/>
      <w:lvlText w:val="(%1)"/>
      <w:numFmt w:val="lowerLetter"/>
      <w:start w:val="1"/>
    </w:lvl>
  </w:abstractNum>
  <w:abstractNum w:abstractNumId="168">
    <w:nsid w:val="368DB37E"/>
    <w:multiLevelType w:val="hybridMultilevel"/>
    <w:lvl w:ilvl="0">
      <w:lvlJc w:val="left"/>
      <w:lvlText w:val="(%1)"/>
      <w:numFmt w:val="lowerLetter"/>
      <w:start w:val="1"/>
    </w:lvl>
  </w:abstractNum>
  <w:abstractNum w:abstractNumId="169">
    <w:nsid w:val="6A3B714C"/>
    <w:multiLevelType w:val="hybridMultilevel"/>
    <w:lvl w:ilvl="0">
      <w:lvlJc w:val="left"/>
      <w:lvlText w:val="(%1)"/>
      <w:numFmt w:val="lowerRoman"/>
      <w:start w:val="3"/>
    </w:lvl>
  </w:abstractNum>
  <w:abstractNum w:abstractNumId="170">
    <w:nsid w:val="327B517E"/>
    <w:multiLevelType w:val="hybridMultilevel"/>
    <w:lvl w:ilvl="0">
      <w:lvlJc w:val="left"/>
      <w:lvlText w:val="%1."/>
      <w:numFmt w:val="decimal"/>
      <w:start w:val="1"/>
    </w:lvl>
  </w:abstractNum>
  <w:abstractNum w:abstractNumId="171">
    <w:nsid w:val="1F461B51"/>
    <w:multiLevelType w:val="hybridMultilevel"/>
    <w:lvl w:ilvl="0">
      <w:lvlJc w:val="left"/>
      <w:lvlText w:val="(%1)"/>
      <w:numFmt w:val="lowerRoman"/>
      <w:start w:val="2"/>
    </w:lvl>
  </w:abstractNum>
  <w:abstractNum w:abstractNumId="172">
    <w:nsid w:val="29BACF25"/>
    <w:multiLevelType w:val="hybridMultilevel"/>
    <w:lvl w:ilvl="0">
      <w:lvlJc w:val="left"/>
      <w:lvlText w:val="%1."/>
      <w:numFmt w:val="decimal"/>
      <w:start w:val="3"/>
    </w:lvl>
  </w:abstractNum>
  <w:abstractNum w:abstractNumId="173">
    <w:nsid w:val="5D5BABB3"/>
    <w:multiLevelType w:val="hybridMultilevel"/>
    <w:lvl w:ilvl="0">
      <w:lvlJc w:val="left"/>
      <w:lvlText w:val="%1."/>
      <w:numFmt w:val="decimal"/>
      <w:start w:val="6"/>
    </w:lvl>
  </w:abstractNum>
  <w:abstractNum w:abstractNumId="174">
    <w:nsid w:val="51BF6B48"/>
    <w:multiLevelType w:val="hybridMultilevel"/>
    <w:lvl w:ilvl="0">
      <w:lvlJc w:val="left"/>
      <w:lvlText w:val="%1."/>
      <w:numFmt w:val="decimal"/>
      <w:start w:val="7"/>
    </w:lvl>
  </w:abstractNum>
  <w:abstractNum w:abstractNumId="175">
    <w:nsid w:val="7E0F6384"/>
    <w:multiLevelType w:val="hybridMultilevel"/>
    <w:lvl w:ilvl="0">
      <w:lvlJc w:val="left"/>
      <w:lvlText w:val="%1."/>
      <w:numFmt w:val="decimal"/>
      <w:start w:val="8"/>
    </w:lvl>
  </w:abstractNum>
  <w:abstractNum w:abstractNumId="176">
    <w:nsid w:val="2B4B8B53"/>
    <w:multiLevelType w:val="hybridMultilevel"/>
    <w:lvl w:ilvl="0">
      <w:lvlJc w:val="left"/>
      <w:lvlText w:val="(%1)"/>
      <w:numFmt w:val="decimal"/>
      <w:start w:val="1"/>
    </w:lvl>
  </w:abstractNum>
  <w:abstractNum w:abstractNumId="177">
    <w:nsid w:val="72E3413A"/>
    <w:multiLevelType w:val="hybridMultilevel"/>
    <w:lvl w:ilvl="0">
      <w:lvlJc w:val="left"/>
      <w:lvlText w:val="%1."/>
      <w:numFmt w:val="decimal"/>
      <w:start w:val="9"/>
    </w:lvl>
  </w:abstractNum>
  <w:abstractNum w:abstractNumId="178">
    <w:nsid w:val="116AE494"/>
    <w:multiLevelType w:val="hybridMultilevel"/>
    <w:lvl w:ilvl="0">
      <w:lvlJc w:val="left"/>
      <w:lvlText w:val="%1."/>
      <w:numFmt w:val="decimal"/>
      <w:start w:val="10"/>
    </w:lvl>
  </w:abstractNum>
  <w:abstractNum w:abstractNumId="179">
    <w:nsid w:val="3494B2FB"/>
    <w:multiLevelType w:val="hybridMultilevel"/>
    <w:lvl w:ilvl="0">
      <w:lvlJc w:val="left"/>
      <w:lvlText w:val="%1."/>
      <w:numFmt w:val="decimal"/>
      <w:start w:val="11"/>
    </w:lvl>
  </w:abstractNum>
  <w:abstractNum w:abstractNumId="180">
    <w:nsid w:val="B13A31"/>
    <w:multiLevelType w:val="hybridMultilevel"/>
    <w:lvl w:ilvl="0">
      <w:lvlJc w:val="left"/>
      <w:lvlText w:val="%1."/>
      <w:numFmt w:val="decimal"/>
      <w:start w:val="12"/>
    </w:lvl>
  </w:abstractNum>
  <w:abstractNum w:abstractNumId="181">
    <w:nsid w:val="64429599"/>
    <w:multiLevelType w:val="hybridMultilevel"/>
    <w:lvl w:ilvl="0">
      <w:lvlJc w:val="left"/>
      <w:lvlText w:val="%1."/>
      <w:numFmt w:val="decimal"/>
      <w:start w:val="13"/>
    </w:lvl>
  </w:abstractNum>
  <w:abstractNum w:abstractNumId="182">
    <w:nsid w:val="631F1690"/>
    <w:multiLevelType w:val="hybridMultilevel"/>
    <w:lvl w:ilvl="0">
      <w:lvlJc w:val="left"/>
      <w:lvlText w:val="(%1)"/>
      <w:numFmt w:val="decimal"/>
      <w:start w:val="1"/>
    </w:lvl>
  </w:abstractNum>
  <w:abstractNum w:abstractNumId="183">
    <w:nsid w:val="25973E32"/>
    <w:multiLevelType w:val="hybridMultilevel"/>
    <w:lvl w:ilvl="0">
      <w:lvlJc w:val="left"/>
      <w:lvlText w:val="%1."/>
      <w:numFmt w:val="decimal"/>
      <w:start w:val="14"/>
    </w:lvl>
  </w:abstractNum>
  <w:abstractNum w:abstractNumId="184">
    <w:nsid w:val="EAD6F57"/>
    <w:multiLevelType w:val="hybridMultilevel"/>
    <w:lvl w:ilvl="0">
      <w:lvlJc w:val="left"/>
      <w:lvlText w:val="%1."/>
      <w:numFmt w:val="decimal"/>
      <w:start w:val="15"/>
    </w:lvl>
  </w:abstractNum>
  <w:abstractNum w:abstractNumId="185">
    <w:nsid w:val="6EC9D844"/>
    <w:multiLevelType w:val="hybridMultilevel"/>
    <w:lvl w:ilvl="0">
      <w:lvlJc w:val="left"/>
      <w:lvlText w:val="%1"/>
      <w:numFmt w:val="decimal"/>
      <w:start w:val="1"/>
    </w:lvl>
    <w:lvl w:ilvl="1">
      <w:lvlJc w:val="left"/>
      <w:lvlText w:val="(%2)"/>
      <w:numFmt w:val="decimal"/>
      <w:start w:val="1"/>
    </w:lvl>
  </w:abstractNum>
  <w:abstractNum w:abstractNumId="186">
    <w:nsid w:val="5C49EAEE"/>
    <w:multiLevelType w:val="hybridMultilevel"/>
    <w:lvl w:ilvl="0">
      <w:lvlJc w:val="left"/>
      <w:lvlText w:val="%1."/>
      <w:numFmt w:val="decimal"/>
      <w:start w:val="16"/>
    </w:lvl>
    <w:lvl w:ilvl="1">
      <w:lvlJc w:val="left"/>
      <w:lvlText w:val="%2"/>
      <w:numFmt w:val="decimal"/>
      <w:start w:val="1"/>
    </w:lvl>
  </w:abstractNum>
  <w:abstractNum w:abstractNumId="187">
    <w:nsid w:val="64AF49B"/>
    <w:multiLevelType w:val="hybridMultilevel"/>
    <w:lvl w:ilvl="0">
      <w:lvlJc w:val="left"/>
      <w:lvlText w:val="*"/>
      <w:numFmt w:val="bullet"/>
      <w:start w:val="1"/>
    </w:lvl>
  </w:abstractNum>
  <w:abstractNum w:abstractNumId="188">
    <w:nsid w:val="397C46BC"/>
    <w:multiLevelType w:val="hybridMultilevel"/>
    <w:lvl w:ilvl="0">
      <w:lvlJc w:val="left"/>
      <w:lvlText w:val="*"/>
      <w:numFmt w:val="bullet"/>
      <w:start w:val="1"/>
    </w:lvl>
  </w:abstractNum>
  <w:abstractNum w:abstractNumId="189">
    <w:nsid w:val="7E448DE9"/>
    <w:multiLevelType w:val="hybridMultilevel"/>
    <w:lvl w:ilvl="0">
      <w:lvlJc w:val="left"/>
      <w:lvlText w:val="+"/>
      <w:numFmt w:val="bullet"/>
      <w:start w:val="1"/>
    </w:lvl>
  </w:abstractNum>
  <w:abstractNum w:abstractNumId="190">
    <w:nsid w:val="5A9CC3E5"/>
    <w:multiLevelType w:val="hybridMultilevel"/>
    <w:lvl w:ilvl="0">
      <w:lvlJc w:val="left"/>
      <w:lvlText w:val="(%1)"/>
      <w:numFmt w:val="decimal"/>
      <w:start w:val="1"/>
    </w:lvl>
    <w:lvl w:ilvl="1">
      <w:lvlJc w:val="left"/>
      <w:lvlText w:val="(%2)"/>
      <w:numFmt w:val="lowerRoman"/>
      <w:start w:val="1"/>
    </w:lvl>
  </w:abstractNum>
  <w:abstractNum w:abstractNumId="191">
    <w:nsid w:val="1AFE3625"/>
    <w:multiLevelType w:val="hybridMultilevel"/>
    <w:lvl w:ilvl="0">
      <w:lvlJc w:val="left"/>
      <w:lvlText w:val="(%1)"/>
      <w:numFmt w:val="decimal"/>
      <w:start w:val="1"/>
    </w:lvl>
  </w:abstractNum>
  <w:abstractNum w:abstractNumId="192">
    <w:nsid w:val="3CA88EC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2021-10-08T15:04:59Z</dcterms:created>
  <dcterms:modified xsi:type="dcterms:W3CDTF">2021-10-08T15:04:59Z</dcterms:modified>
</cp:coreProperties>
</file>