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001-40958</w:t>
            </w:r>
          </w:p>
        </w:tc>
        <w:tc>
          <w:tcPr>
            <w:tcW w:w="1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80-0376379</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9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21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9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9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9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19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960" w:type="dxa"/>
            <w:vAlign w:val="bottom"/>
          </w:tcPr>
          <w:p>
            <w:pPr>
              <w:spacing w:after="0"/>
              <w:rPr>
                <w:sz w:val="24"/>
                <w:szCs w:val="24"/>
                <w:color w:val="auto"/>
              </w:rPr>
            </w:pPr>
          </w:p>
        </w:tc>
      </w:tr>
      <w:tr>
        <w:trPr>
          <w:trHeight w:val="410"/>
        </w:trPr>
        <w:tc>
          <w:tcPr>
            <w:tcW w:w="21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1960" w:type="dxa"/>
            <w:vAlign w:val="bottom"/>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9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spacing w:after="0"/>
              <w:rPr>
                <w:sz w:val="18"/>
                <w:szCs w:val="18"/>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7"/>
        </w:trPr>
        <w:tc>
          <w:tcPr>
            <w:tcW w:w="36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$0.001 par value per</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NASDAQ</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010" w:right="339" w:bottom="446"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1160" w:right="80" w:hanging="1160"/>
        <w:spacing w:after="0" w:line="286"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Jennifer Hyman Resignation</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May 12, 2026, Jennifer Hyman resigned as Chief Executive Officer and President of Rent the Runway, Inc. (the “Company”) and as a member of the Company’s board of directors (the “Board”), effective as of May 15, 2026 (the “Separation Date”). In connection with Ms. Hyman’s resignation, the Company entered into a Separation, Advisor and Release Agreement with Ms. Hyman on May 12, 2026 (the “Separation, Advisor and Release Agreement”) and a side letter agreement (the “Side Letter”). Ms. Hyman’s resignation was not the result of any disagreement with the Company on any matter relating to its operations, policies or practices.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Separation, Advisor and Release Agreement provides that, following the Separation Date, Ms. Hyman will provide advisory services to the Company as an independent contractor through January 31, 2027, in exchange for a monthly advisory fee of $62,500 (pro-rated for any partial months). In addition, subject to her compliance with certain restrictive covenants and her execution of a general release of claims in favor of the Company and its affiliates, Ms. Hyman will be eligible for the following payments and benefits: (i) the “Closing Payment” of $1,587,500, which was paid to Ms. Hyman on or about October 28, 2025, pursuant to the Company’s Transaction Bonus Plan, as amended, will vest and no longer be subject to clawback by the Company, (ii) 103,047 restricted stock units will accelerate and vest as of the Separation Date, (iii) a number of the restricted stock units granted to Ms. Hyman on December 16, 2025, having an aggregate value of $375,000 (the “Retained RSUs”) will remain outstanding and eligible to vest on January 31, 2027, subject to Ms. Hyman’s continued service with the Company through January 31, 2027 (with all other equity awards held by Ms. Hyman on the Separation Date automatically forfeiting as of the Separation Date), (iv) subsidized continuation coverage under the Company’s medical, dental and/or vision plans, at the same pre-tax cost as applicable to the Company’s senior-most executives from June 1, 2026, through November 30, 2027 (or, if earlier, the date upon which Ms. Hyman becomes eligible for comparable group welfare benefits from a subsequent employer), and (v) a lifetime subscription to the Company’s wardrobe rental service for as long as such services are offered by the Company. In the event of certain events, including Ms. Hyman’s termination without cause by the Company or upon a change in control, any unpaid portion of the advisory fee that would have otherwise been earned through January 31, 2027, will accelerate and the Retained RSUs will accelerate and vest, in each case, as of the date of such event. In addition, on May 12, 2026, Ms. Hyman and her affiliates entered into the Side Letter pursuant to which, among other things, they agreed to terminate any and all of their respective rights under the Investor Rights Agreement, dated as of August 20, 2025, including rights to designate a director and a board observer to the Board.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Teri Bariquit as Interim Chief Executive Officer and President</w:t>
      </w:r>
    </w:p>
    <w:p>
      <w:pPr>
        <w:spacing w:after="0" w:line="225" w:lineRule="exact"/>
        <w:rPr>
          <w:sz w:val="20"/>
          <w:szCs w:val="20"/>
          <w:color w:val="auto"/>
        </w:rPr>
      </w:pPr>
    </w:p>
    <w:p>
      <w:pPr>
        <w:jc w:val="both"/>
        <w:ind w:right="720"/>
        <w:spacing w:after="0" w:line="312" w:lineRule="auto"/>
        <w:rPr>
          <w:sz w:val="20"/>
          <w:szCs w:val="20"/>
          <w:color w:val="auto"/>
        </w:rPr>
      </w:pPr>
      <w:r>
        <w:rPr>
          <w:rFonts w:ascii="Times New Roman" w:cs="Times New Roman" w:eastAsia="Times New Roman" w:hAnsi="Times New Roman"/>
          <w:sz w:val="17"/>
          <w:szCs w:val="17"/>
          <w:color w:val="auto"/>
        </w:rPr>
        <w:t>On May 12, 2026 Teri Bariquit, age 65, who is a member of our Board, was appointed as the interim Chief Executive Officer and President of the Company, effective as of the Separation Date until the Board appoints a permanent Chief Executive Officer and President to succeed Ms. Hyman.</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Ms. Bariquit has served as a member of our Board since October 2025. Ms. Bariquit is a seasoned fashion retail executive and advisor with more than 37 years of experience at Nordstrom, Inc. (JWN), where she most recently served as Chief Merchandising Officer from 2019 to 2023. From December 2023 to October 2025, Ms. Bariquit served as an independent advisor and consultant.</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her appointment as our interim Chief Executive Officer and President, on May 12, 2026, we entered into a Statement of Work No. 2 (the “SOW”) under that certain Consulting Services Agreement, by and between the Company and Ms. Bariquit, dated as of November 1, 2025 (the “Consulting Agreement”). Pursuant to the SOW, Ms. Bariquit will provide consulting services to the Company as its interim Chief Executive Officer and President and will be eligible to receive a monthly consulting fee of $50,000 (pro-rated for any partial months) during her service as our interim Chief Executive Officer and President, an annual bonus of up to $125,000 (subject to her continued service as our interim Chief Executive Officer and President or as a member of the Board through the payment date), a performance stock unit award comprising 100,000 shares (assuming maximum performance is achieved) of the Company’s Class A common stock (which will be subject to satisfaction of certain performance- and service-based vesting requirements), and reimbursement of travel and business-related expenses in connection with her service as our interim Chief Executive Officer and President. The SOW will automatically terminate on the date that Ms. Bariquit stops providing services to the Company as its interim Chief Executive Officer and President.</w:t>
      </w:r>
    </w:p>
    <w:p>
      <w:pPr>
        <w:spacing w:after="0" w:line="18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on May 12, 2026, we entered into a Statement of Work No. 3 under the Consulting Services Agreement with Ms. Bariquit, which will be effective on the date that she no longer provides services as our interim Chief Executive Officer and President and provides that Ms. Bariquit will render consulting services to the Company in exchange for a monthly consulting fee of $10,000 (pro-rated for any partial months).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foregoing summaries of the terms of the Separation, Advisor and Release Agreement, the Side Letter, Statement of Work No. 2 and Statement of Work No. 3 are each qualified in their entirety by reference to the complete texts of the Separation, Advisor and Release Agreement, the Side Letter, Statement of Work No. 2 and Statement of Work No. 3, copies of which are filed as Exhibit 10.1, Exhibit 10.2, Exhibit 10.3 and Exhibit 10.4 to this Current Report on Form 8-K (“Form 8-K”) respectively, and incorporated by reference herein.</w:t>
      </w:r>
    </w:p>
    <w:p>
      <w:pPr>
        <w:spacing w:after="0" w:line="180"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Other than as disclosed above, there is no other arrangement or understanding between Ms. Bariquit and any other person pursuant to which she was appointed as the interim Chief Executive Officer and President. There are no family relationships between Ms. Bariquit and any director or executive officer of the Company, and she is not a party to any transaction that is required to be reported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 w:name="page4"/>
    <w:bookmarkEnd w:id="3"/>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13, 2026, the Company issued a press release reporting Ms. Hyman’s resignation and Ms. Bariquit’s appointment as our interim Chief Executive Officer and President. A copy of the press release is included in this Form 8-K as Exhibit 99.1 and is furnished herewith. The information in Item 7.01 above, including Exhibit 99.1 attached to this Form 8-K, is being furnished under Item 7.01 of Form 8-K. Such information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 Exhibits.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10"/>
        </w:trPr>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8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No.</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5"/>
          </w:tcPr>
          <w:p>
            <w:pPr>
              <w:ind w:left="4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2"/>
        </w:trPr>
        <w:tc>
          <w:tcPr>
            <w:tcW w:w="3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6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600" w:type="dxa"/>
            <w:vAlign w:val="bottom"/>
            <w:tcBorders>
              <w:top w:val="single" w:sz="8" w:color="auto"/>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Separation, Advisor and Release Agreement, by and between the Company and Ms. Hyman, dated as of May 12, 2026.</w:t>
            </w:r>
          </w:p>
        </w:tc>
        <w:tc>
          <w:tcPr>
            <w:tcW w:w="1480" w:type="dxa"/>
            <w:vAlign w:val="bottom"/>
            <w:tcBorders>
              <w:top w:val="single" w:sz="8" w:color="auto"/>
            </w:tcBorders>
            <w:gridSpan w:val="2"/>
          </w:tcPr>
          <w:p>
            <w:pPr>
              <w:spacing w:after="0"/>
              <w:rPr>
                <w:sz w:val="24"/>
                <w:szCs w:val="24"/>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Side Letter, by and between the Company, Ms. Hyman and her affiliates, dated as of May 12, 2026.</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6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Statement of Work No. 2 under the Consulting Services Agreement, by and between the Company and Ms. Bariquit dated as of May 12,</w:t>
            </w:r>
          </w:p>
        </w:tc>
      </w:tr>
      <w:tr>
        <w:trPr>
          <w:trHeight w:val="196"/>
        </w:trPr>
        <w:tc>
          <w:tcPr>
            <w:tcW w:w="3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2026.</w:t>
            </w:r>
          </w:p>
        </w:tc>
        <w:tc>
          <w:tcPr>
            <w:tcW w:w="482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r>
      <w:tr>
        <w:trPr>
          <w:trHeight w:val="43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Statement of Work No. 3 under the Consulting Services Agreement, by and between the Company and Ms. Bariquit dated as of May 12,</w:t>
            </w:r>
          </w:p>
        </w:tc>
      </w:tr>
      <w:tr>
        <w:trPr>
          <w:trHeight w:val="196"/>
        </w:trPr>
        <w:tc>
          <w:tcPr>
            <w:tcW w:w="3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2026.</w:t>
            </w:r>
          </w:p>
        </w:tc>
        <w:tc>
          <w:tcPr>
            <w:tcW w:w="20" w:type="dxa"/>
            <w:vAlign w:val="bottom"/>
            <w:tcBorders>
              <w:top w:val="single" w:sz="8" w:color="0000EE"/>
            </w:tcBorders>
          </w:tcPr>
          <w:p>
            <w:pPr>
              <w:spacing w:after="0"/>
              <w:rPr>
                <w:sz w:val="17"/>
                <w:szCs w:val="17"/>
                <w:color w:val="auto"/>
              </w:rPr>
            </w:pPr>
          </w:p>
        </w:tc>
        <w:tc>
          <w:tcPr>
            <w:tcW w:w="482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r>
      <w:tr>
        <w:trPr>
          <w:trHeight w:val="43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Press Release announced by Rent the Runway, Inc., dated May 13, 2026.</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60" w:type="dxa"/>
            <w:vAlign w:val="bottom"/>
            <w:gridSpan w:val="3"/>
            <w:shd w:val="clear" w:color="auto" w:fill="0000EE"/>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r>
      <w:tr>
        <w:trPr>
          <w:trHeight w:val="50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Current Report on Form 8-K (“Form 8-K”) contains forward-looking statements within the meaning of the Private Securities Litigation Reform Act of 1995. All statements contained in this Form 8-K that do not relate to matters of historical fact should be considered forward-looking statements. These statements include, but are not limited to, statements regarding statements regarding the transition of the Company’s executive leadership and the expected benefits thereof.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the Company’s control, that could cause actual performance or results to differ materially from those expressed in or suggested by the forward-looking statements. In light of these risks and uncertainties, the forward-looking events and circumstances discussed in this Form 8-K may not occur and actual results could differ materially from those anticipated or implied in the forward-looking statements. These risks and uncertainties include risks related to our chief executive officer search process and our ability to manage the transition to a new chief executive officer; failure to manage the transition of our Board of Directors; and our reliance on the experience and expertise of our senior management and other key personnel. Additional information regarding these and other risks and uncertainties that could cause actual results to differ materially from the Company’s expectations is included in its most recent Annual Report on Form 10-K for the year ended January 31, 2026, and in other documents that it files or furnishes with the Securities and Exchange Commission. Except as required by law, the Company does not undertake any obligation to publicly update or revise any forward-looking statement,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RENT THE RUNWAY, INC.</w:t>
            </w:r>
          </w:p>
        </w:tc>
      </w:tr>
      <w:tr>
        <w:trPr>
          <w:trHeight w:val="72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Cara Schembri</w:t>
            </w: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Cara Schembri</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and Administrative Officer</w:t>
            </w:r>
          </w:p>
        </w:tc>
      </w:tr>
      <w:tr>
        <w:trPr>
          <w:trHeight w:val="553"/>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5" w:name="page6"/>
    <w:bookmarkEnd w:id="5"/>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SEPARATION, ADVISOR AND RELEASE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Jennifer Hyman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address on file with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Jenn:</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Separation, Advisor and Release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confirms the agreement between you, Rent the Runway, Inc. (together with its subsidiaries and affiliates,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solely for purposes of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this Agreement, the Investor Group (as defined below) describing the terms and conditions of your separation from, and advisor services to, the Company and the transition of your duties and responsibilities on behalf of the Company following your resignation from the Company without Good Reason, as defined in that certain employment agreement entered into by and between you and the Company, as most recently amended on August 20, 2025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Separation and Transition Services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remain employed with the Company as the Chief Executive Officer (the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and President and will continue as a member of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pursuant to the terms and conditions of this Agreement and, to the extent applicable, the Employment Agreement through the date of your resignation, which such date shall be May 15, 2026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 Effective as of the Separation Date, your employment with the Company and status as an employee, officer, director, Board member and any other position you hold with the Company, including as CEO and President and fiduciary of any employee benefit plan of the Company, shall terminate without the requirement of any further action on the part of yourself or any other person. For avoidance of doubt, you shall remain entitled to continue to refer to yourself as the Co-Founder of the Company (e.g. in biographies, on LinkedIn, etc.) and only you and your original co-founder may be referred to as such. You agree that, from the date of this Agreement through and including the Separation Date, you will continue to perform your duties and responsibilities as the CEO, President and as a Board member in a professional manner and perform any additional duties and responsibilities and follow all directions commensurate with such positions as may be reasonably requested by the Board from time to time. You further acknowledge and agree that you will reasonably cooperate in endeavoring to effect an orderly, smooth and efficient transition of your duties and responsibilities to your successor (including any interim CEO) as the Company may reasonably direct. By executing and delivering this Agreement, effective as of the Separation Date, you are hereby irrevocably resigning as a member of the Board and any of its subsidiaries without the requirement of any further action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ind w:left="1300"/>
        <w:spacing w:after="0" w:line="282" w:lineRule="auto"/>
        <w:rPr>
          <w:sz w:val="20"/>
          <w:szCs w:val="20"/>
          <w:color w:val="auto"/>
        </w:rPr>
      </w:pPr>
      <w:r>
        <w:rPr>
          <w:rFonts w:ascii="Times New Roman" w:cs="Times New Roman" w:eastAsia="Times New Roman" w:hAnsi="Times New Roman"/>
          <w:sz w:val="18"/>
          <w:szCs w:val="18"/>
          <w:color w:val="auto"/>
        </w:rPr>
        <w:t>part of yourself or any other person. Upon the reasonable request of the Company, you agree to execute any additional documents and take any additional actions as may be necessary or desirable to effectuate the foregoing.</w:t>
      </w:r>
    </w:p>
    <w:p>
      <w:pPr>
        <w:spacing w:after="0" w:line="158" w:lineRule="exact"/>
        <w:rPr>
          <w:sz w:val="20"/>
          <w:szCs w:val="20"/>
          <w:color w:val="auto"/>
        </w:rPr>
      </w:pPr>
    </w:p>
    <w:p>
      <w:pPr>
        <w:jc w:val="both"/>
        <w:ind w:left="1300" w:hanging="644"/>
        <w:spacing w:after="0" w:line="26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this Agreement through the Separation Date (such period, the “</w:t>
      </w:r>
      <w:r>
        <w:rPr>
          <w:rFonts w:ascii="Times New Roman" w:cs="Times New Roman" w:eastAsia="Times New Roman" w:hAnsi="Times New Roman"/>
          <w:sz w:val="18"/>
          <w:szCs w:val="18"/>
          <w:b w:val="1"/>
          <w:bCs w:val="1"/>
          <w:color w:val="auto"/>
        </w:rPr>
        <w:t>Transition Period</w:t>
      </w:r>
      <w:r>
        <w:rPr>
          <w:rFonts w:ascii="Times New Roman" w:cs="Times New Roman" w:eastAsia="Times New Roman" w:hAnsi="Times New Roman"/>
          <w:sz w:val="18"/>
          <w:szCs w:val="18"/>
          <w:color w:val="auto"/>
        </w:rPr>
        <w:t>”), contingent upon your continued employment with the Company, you will continue to receive your current base salary and all employee benefits currently in effect as of the date hereof (subject to the terms and conditions of your Employment Agreement and any applicable compensation or employee benefit plans as in effect from time to time).</w:t>
      </w:r>
    </w:p>
    <w:p>
      <w:pPr>
        <w:spacing w:after="0" w:line="180"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terminate the Transition Period early only for Cause (as defined in the Employment Agreement). You may terminate the Transition Period early for any reason (other than for Good Reason), in which case, the Separation Date will occur on the date you provide the Company notice of termination of the Transition Period and as such you will no longer receive the compensation, benefits and other consideration described herein, including, without limitation, in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or the Separation Benefits (as defined below), other than the Accrued Obligations (as defined below).</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date of this Agreement, the Company may commence standard offboarding procedures, which procedures may include cancellation of any Company-issued credit cards and charge accounts and the transition of your access to the Company’s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upon reasonable prior notice to the Company, you may access your office through May 29, 2026. Effective as of your Separation Date, it is expected that you will not incur any travel or business-related expenses in the fulfillment of the Advisor Services (as defined below), except as authorized by the Board in advance.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Separation Benefits</w:t>
      </w:r>
      <w:r>
        <w:rPr>
          <w:rFonts w:ascii="Times New Roman" w:cs="Times New Roman" w:eastAsia="Times New Roman" w:hAnsi="Times New Roman"/>
          <w:sz w:val="18"/>
          <w:szCs w:val="18"/>
          <w:color w:val="auto"/>
        </w:rPr>
        <w:t>. Subject to your timely execution and nonrevocation of this Agreement and the Reaffirmation in accordance with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your compliance in all material respects with this Agreement (and the Company shall provide you with written notice of any such noncompliance and not less than thirty (30) days to cure, if curable), including, without limitation, the Restrictive Covenants (as defined below) (collectively, the “</w:t>
      </w:r>
      <w:r>
        <w:rPr>
          <w:rFonts w:ascii="Times New Roman" w:cs="Times New Roman" w:eastAsia="Times New Roman" w:hAnsi="Times New Roman"/>
          <w:sz w:val="18"/>
          <w:szCs w:val="18"/>
          <w:b w:val="1"/>
          <w:bCs w:val="1"/>
          <w:color w:val="auto"/>
        </w:rPr>
        <w:t>Conditions</w:t>
      </w:r>
      <w:r>
        <w:rPr>
          <w:rFonts w:ascii="Times New Roman" w:cs="Times New Roman" w:eastAsia="Times New Roman" w:hAnsi="Times New Roman"/>
          <w:sz w:val="18"/>
          <w:szCs w:val="18"/>
          <w:color w:val="auto"/>
        </w:rPr>
        <w:t>”), the Company shall pay or provide you with the following separation benefits following the Separation Date (clauses (a), (b), (c) and (d), collectively, the “</w:t>
      </w:r>
      <w:r>
        <w:rPr>
          <w:rFonts w:ascii="Times New Roman" w:cs="Times New Roman" w:eastAsia="Times New Roman" w:hAnsi="Times New Roman"/>
          <w:sz w:val="18"/>
          <w:szCs w:val="18"/>
          <w:b w:val="1"/>
          <w:bCs w:val="1"/>
          <w:color w:val="auto"/>
        </w:rPr>
        <w:t>Separation Benefits</w:t>
      </w:r>
      <w:r>
        <w:rPr>
          <w:rFonts w:ascii="Times New Roman" w:cs="Times New Roman" w:eastAsia="Times New Roman" w:hAnsi="Times New Roman"/>
          <w:sz w:val="18"/>
          <w:szCs w:val="18"/>
          <w:color w:val="auto"/>
        </w:rPr>
        <w:t>”), in full satisfaction of any obligations relating to severance pursuant to the Employment Agreement or any other right to severance or similar termination payments and benefits:</w:t>
      </w:r>
    </w:p>
    <w:p>
      <w:pPr>
        <w:spacing w:after="0" w:line="184"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Bonus Plan</w:t>
      </w:r>
      <w:r>
        <w:rPr>
          <w:rFonts w:ascii="Times New Roman" w:cs="Times New Roman" w:eastAsia="Times New Roman" w:hAnsi="Times New Roman"/>
          <w:sz w:val="18"/>
          <w:szCs w:val="18"/>
          <w:color w:val="auto"/>
        </w:rPr>
        <w:t>. Notwithstanding anything to the contrary set forth in that certain Transaction Bonus Plan, as amended to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Transaction Bonus Plan</w:t>
      </w:r>
      <w:r>
        <w:rPr>
          <w:rFonts w:ascii="Times New Roman" w:cs="Times New Roman" w:eastAsia="Times New Roman" w:hAnsi="Times New Roman"/>
          <w:sz w:val="18"/>
          <w:szCs w:val="18"/>
          <w:color w:val="auto"/>
        </w:rPr>
        <w:t>”), including Section (D)(4) of the Transaction</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ind w:left="644"/>
        <w:spacing w:after="0" w:line="256" w:lineRule="auto"/>
        <w:rPr>
          <w:sz w:val="20"/>
          <w:szCs w:val="20"/>
          <w:color w:val="auto"/>
        </w:rPr>
      </w:pPr>
      <w:r>
        <w:rPr>
          <w:rFonts w:ascii="Times New Roman" w:cs="Times New Roman" w:eastAsia="Times New Roman" w:hAnsi="Times New Roman"/>
          <w:sz w:val="18"/>
          <w:szCs w:val="18"/>
          <w:color w:val="auto"/>
        </w:rPr>
        <w:t>Bonus Plan, as of your Separation Date, you will fully vest in the Closing Payment (as defined in the Transaction Bonus Plan), which was paid to you on or about October 28, 2025, and no portion of the Closing Payment will be subject to repayment to the Company pursuant to Section (D)(4) of the Transaction Bonus Plan. In accordance with the terms and conditions of the Transaction Bonus Plan, as of your Separation Date, you will cease to be eligible to receive any Semi-Annual Payment and the Performance Payment (each, as defined in the Transaction Bonus Plan), and you will no longer be eligible to participate in, or receive any compensation and benefits under, the Transaction Bonus Plan.</w:t>
      </w:r>
    </w:p>
    <w:p>
      <w:pPr>
        <w:spacing w:after="0" w:line="183" w:lineRule="exact"/>
        <w:rPr>
          <w:sz w:val="20"/>
          <w:szCs w:val="20"/>
          <w:color w:val="auto"/>
        </w:rPr>
      </w:pPr>
    </w:p>
    <w:p>
      <w:pPr>
        <w:jc w:val="both"/>
        <w:ind w:left="644" w:hanging="644"/>
        <w:spacing w:after="0" w:line="252" w:lineRule="auto"/>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 You acknowledge and agree that, other than the performance stock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and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award, the “</w:t>
      </w:r>
      <w:r>
        <w:rPr>
          <w:rFonts w:ascii="Times New Roman" w:cs="Times New Roman" w:eastAsia="Times New Roman" w:hAnsi="Times New Roman"/>
          <w:sz w:val="18"/>
          <w:szCs w:val="18"/>
          <w:b w:val="1"/>
          <w:bCs w:val="1"/>
          <w:color w:val="auto"/>
        </w:rPr>
        <w:t>RSU Award</w:t>
      </w:r>
      <w:r>
        <w:rPr>
          <w:rFonts w:ascii="Times New Roman" w:cs="Times New Roman" w:eastAsia="Times New Roman" w:hAnsi="Times New Roman"/>
          <w:sz w:val="18"/>
          <w:szCs w:val="18"/>
          <w:color w:val="auto"/>
        </w:rPr>
        <w:t>”) granted to you on December 16, 2025, pursuant to the Company’s Second Amended and Restated 2021 Incentive Award Plan (as may be amended, the “</w:t>
      </w:r>
      <w:r>
        <w:rPr>
          <w:rFonts w:ascii="Times New Roman" w:cs="Times New Roman" w:eastAsia="Times New Roman" w:hAnsi="Times New Roman"/>
          <w:sz w:val="18"/>
          <w:szCs w:val="18"/>
          <w:b w:val="1"/>
          <w:bCs w:val="1"/>
          <w:color w:val="auto"/>
        </w:rPr>
        <w:t>Incentive Plan</w:t>
      </w:r>
      <w:r>
        <w:rPr>
          <w:rFonts w:ascii="Times New Roman" w:cs="Times New Roman" w:eastAsia="Times New Roman" w:hAnsi="Times New Roman"/>
          <w:sz w:val="18"/>
          <w:szCs w:val="18"/>
          <w:color w:val="auto"/>
        </w:rPr>
        <w:t>”), you do not hold any other incentive equity awards with respect to any class of the Company’s common stock (whether vested, unvested, earned or unearned). Effective as of the Separation Date, (i) your PSUs shall be forfeited in their entirety for no consideration, (ii) 103,047 RSUs subject to the RSU Award shall accelerate and vest (the “</w:t>
      </w:r>
      <w:r>
        <w:rPr>
          <w:rFonts w:ascii="Times New Roman" w:cs="Times New Roman" w:eastAsia="Times New Roman" w:hAnsi="Times New Roman"/>
          <w:sz w:val="18"/>
          <w:szCs w:val="18"/>
          <w:b w:val="1"/>
          <w:bCs w:val="1"/>
          <w:color w:val="auto"/>
        </w:rPr>
        <w:t>Accelerated RSUs</w:t>
      </w:r>
      <w:r>
        <w:rPr>
          <w:rFonts w:ascii="Times New Roman" w:cs="Times New Roman" w:eastAsia="Times New Roman" w:hAnsi="Times New Roman"/>
          <w:sz w:val="18"/>
          <w:szCs w:val="18"/>
          <w:color w:val="auto"/>
        </w:rPr>
        <w:t>”) and be delivered to you in shares of the Company’s Class A common stock in accordance with the RSU Award, and (iii) a number of RSUs subject to the RSU Award having an aggregate value equal to $375,000, determined based on the volume-weighted average price per share of the Company’s Class A common stock for the 30 consecutive trading days ending on (and including) the trading day immediately preceding the last day of the Advisor Period, rounded down to the nearest whole share (the “</w:t>
      </w:r>
      <w:r>
        <w:rPr>
          <w:rFonts w:ascii="Times New Roman" w:cs="Times New Roman" w:eastAsia="Times New Roman" w:hAnsi="Times New Roman"/>
          <w:sz w:val="18"/>
          <w:szCs w:val="18"/>
          <w:b w:val="1"/>
          <w:bCs w:val="1"/>
          <w:color w:val="auto"/>
        </w:rPr>
        <w:t>Retained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shall remain outstanding and eligible to vest on the last day of the Advisor Period, subject to your continued service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Advisor through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your service is terminated by the Company for Cause or by you (other than as a result of the Company’s material and uncured breach of this Agreement, after having received at least 30 days written notice setting forth the details of any such purported breach (the “</w:t>
      </w:r>
      <w:r>
        <w:rPr>
          <w:rFonts w:ascii="Times New Roman" w:cs="Times New Roman" w:eastAsia="Times New Roman" w:hAnsi="Times New Roman"/>
          <w:sz w:val="18"/>
          <w:szCs w:val="18"/>
          <w:b w:val="1"/>
          <w:bCs w:val="1"/>
          <w:color w:val="auto"/>
        </w:rPr>
        <w:t>Notice Requirement</w:t>
      </w:r>
      <w:r>
        <w:rPr>
          <w:rFonts w:ascii="Times New Roman" w:cs="Times New Roman" w:eastAsia="Times New Roman" w:hAnsi="Times New Roman"/>
          <w:sz w:val="18"/>
          <w:szCs w:val="18"/>
          <w:color w:val="auto"/>
        </w:rPr>
        <w:t>”)), prior to the conclusion of the Advisor Period, the Retained RSUs shall be forfeited in their entirety. All RSUs other than the Accelerated RSUs and Retained RSUs shall be forfeited in their entirety for no consideration as of the Separation Date. In the event the Advisor Period is terminated by the Company without Cause, or you cease providing Advisor Services prior to the end of the Advisor Period following the Company’s material and uncured breach of this Agreement (subject to the Notice Requirement) or the Advisor Period terminates as a result of your death or Disability (each, a “</w:t>
      </w: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the Retained RSUs shall accelerate and vest effective as of the final day of the Advisor Period (or if the Advisor Period does not occur for the aforementioned reasons, the Separation Date). The Accelerated RSUs and the Retained RSUs shall otherwise remain subject to</w:t>
      </w:r>
    </w:p>
    <w:p>
      <w:pPr>
        <w:spacing w:after="0" w:line="301"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8" w:name="page9"/>
    <w:bookmarkEnd w:id="8"/>
    <w:p>
      <w:pPr>
        <w:jc w:val="both"/>
        <w:ind w:left="644"/>
        <w:spacing w:after="0" w:line="254" w:lineRule="auto"/>
        <w:rPr>
          <w:sz w:val="20"/>
          <w:szCs w:val="20"/>
          <w:color w:val="auto"/>
        </w:rPr>
      </w:pPr>
      <w:r>
        <w:rPr>
          <w:rFonts w:ascii="Times New Roman" w:cs="Times New Roman" w:eastAsia="Times New Roman" w:hAnsi="Times New Roman"/>
          <w:sz w:val="18"/>
          <w:szCs w:val="18"/>
          <w:color w:val="auto"/>
        </w:rPr>
        <w:t>the terms and conditions of the Incentive Plan and the applicable award agreement; provided, that in the event a Change in Control (as defined in the Incentive Plan) occurs or the Investor Group takes the Company private (either such event, a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(I) to the extent the Retained RSUs have not vested, the Retained RSUs shall accelerate and vest as of the occurrence of the Transaction (with the number of Retained RSUs determined based on the price-per share of the Company’s common stock received by the Company’s shareholders in connection with such Transaction)), and (II) any unpaid portion of the Advisor Fee that would have otherwise been earned by you through the scheduled end of the Advisor Period shall accelerate, and in each case shall be paid or provided to you upon the consummation of the Transaction, in each case of clauses (I) and (II), subject to your continued service through the occurrence of the Transaction.</w:t>
      </w:r>
    </w:p>
    <w:p>
      <w:pPr>
        <w:spacing w:after="0" w:line="190" w:lineRule="exact"/>
        <w:rPr>
          <w:sz w:val="20"/>
          <w:szCs w:val="20"/>
          <w:color w:val="auto"/>
        </w:rPr>
      </w:pPr>
    </w:p>
    <w:p>
      <w:pPr>
        <w:jc w:val="both"/>
        <w:ind w:left="644" w:hanging="644"/>
        <w:spacing w:after="0" w:line="253" w:lineRule="auto"/>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COBRA</w:t>
      </w:r>
      <w:r>
        <w:rPr>
          <w:rFonts w:ascii="Times New Roman" w:cs="Times New Roman" w:eastAsia="Times New Roman" w:hAnsi="Times New Roman"/>
          <w:sz w:val="18"/>
          <w:szCs w:val="18"/>
          <w:color w:val="auto"/>
        </w:rPr>
        <w:t>. If you properly and timely exercise your right to continue medical, dental and/or vision coverages, as applicable,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group health insurance plan in accordance with the Consolidated Omnibus Budget Reconciliation Act of 1985 (“</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continuation coverage requirements, from June 1, 2026 to November 30, 2027 (or, if earlier, the first date following the Separation Date upon which you are eligible to receive comparable group welfare benefits from a subsequent employer), you shall continue to receive, at the same pre-tax cost to as applicable to the Company’s senior-most executives, the group welfare benefits in effect at the Separation Date (or generally comparable coverage) for you and your spouse and eligible dependents, as the same may be changed from time to time for the senior-most executives of the Company generally, as if you had continued in employment during such period. Notwithstanding the foregoing, to the extent such coverage is not permitted by the Company’s insurance carrier(s) or applicable law, the Company shall instead reimburse you for your reasonable, documented costs of purchasing comparable replacement coverage for the applicable period. You will provide notice of your eligibility of comparable group welfare benefits from a subsequent employer as soon as reasonably practicable following the date you become eligible for such benefits. You understand that the Company will no longer pay for any COBRA coverage as of the earliest date you are eligible to receive such benefits from a subsequent employer (whether or not you enroll). You also understand that should you fail to provide the notice required by this paragraph and the Company already has paid for COBRA coverage on your behalf that extends after such date, you agree to reimburse the Company for such amounts.</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Lifetime Subscription</w:t>
      </w:r>
      <w:r>
        <w:rPr>
          <w:rFonts w:ascii="Times New Roman" w:cs="Times New Roman" w:eastAsia="Times New Roman" w:hAnsi="Times New Roman"/>
          <w:sz w:val="18"/>
          <w:szCs w:val="18"/>
          <w:color w:val="auto"/>
        </w:rPr>
        <w:t>. The Company shall provide you with a lifetime subscription (the “</w:t>
      </w:r>
      <w:r>
        <w:rPr>
          <w:rFonts w:ascii="Times New Roman" w:cs="Times New Roman" w:eastAsia="Times New Roman" w:hAnsi="Times New Roman"/>
          <w:sz w:val="18"/>
          <w:szCs w:val="18"/>
          <w:b w:val="1"/>
          <w:bCs w:val="1"/>
          <w:color w:val="auto"/>
        </w:rPr>
        <w:t>Lifetime Subscription</w:t>
      </w:r>
      <w:r>
        <w:rPr>
          <w:rFonts w:ascii="Times New Roman" w:cs="Times New Roman" w:eastAsia="Times New Roman" w:hAnsi="Times New Roman"/>
          <w:sz w:val="18"/>
          <w:szCs w:val="18"/>
          <w:color w:val="auto"/>
        </w:rPr>
        <w:t>”) to its wardrobe rental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at a level no less favorable than its current maximum offering (which covers 20 items per month, free shipping, rental coverage, and dry cleaning);</w:t>
      </w:r>
    </w:p>
    <w:p>
      <w:pPr>
        <w:spacing w:after="0" w:line="283"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9" w:name="page10"/>
    <w:bookmarkEnd w:id="9"/>
    <w:p>
      <w:pPr>
        <w:ind w:left="130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Lifetime Subscription shall automatically cease in the event that the Company no longer offers subscription-based services.</w:t>
      </w:r>
    </w:p>
    <w:p>
      <w:pPr>
        <w:spacing w:after="0" w:line="158" w:lineRule="exact"/>
        <w:rPr>
          <w:sz w:val="20"/>
          <w:szCs w:val="20"/>
          <w:color w:val="auto"/>
        </w:rPr>
      </w:pPr>
    </w:p>
    <w:p>
      <w:pPr>
        <w:jc w:val="both"/>
        <w:ind w:left="660" w:hanging="652"/>
        <w:spacing w:after="0" w:line="253"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Advisor Services</w:t>
      </w:r>
      <w:r>
        <w:rPr>
          <w:rFonts w:ascii="Times New Roman" w:cs="Times New Roman" w:eastAsia="Times New Roman" w:hAnsi="Times New Roman"/>
          <w:sz w:val="18"/>
          <w:szCs w:val="18"/>
          <w:color w:val="auto"/>
        </w:rPr>
        <w:t>. Subject to your timely satisfaction of the Conditions, during the period commencing immediately following the Separation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and ending on January 31, 2027, unless earlier terminated by the Company for Cause (the “</w:t>
      </w:r>
      <w:r>
        <w:rPr>
          <w:rFonts w:ascii="Times New Roman" w:cs="Times New Roman" w:eastAsia="Times New Roman" w:hAnsi="Times New Roman"/>
          <w:sz w:val="18"/>
          <w:szCs w:val="18"/>
          <w:b w:val="1"/>
          <w:bCs w:val="1"/>
          <w:color w:val="auto"/>
        </w:rPr>
        <w:t>Advisor Period</w:t>
      </w:r>
      <w:r>
        <w:rPr>
          <w:rFonts w:ascii="Times New Roman" w:cs="Times New Roman" w:eastAsia="Times New Roman" w:hAnsi="Times New Roman"/>
          <w:sz w:val="18"/>
          <w:szCs w:val="18"/>
          <w:color w:val="auto"/>
        </w:rPr>
        <w:t>”), you agree to provide advisor services to the Company as an independent contractor on a remote basis in coordination with the Company (“</w:t>
      </w:r>
      <w:r>
        <w:rPr>
          <w:rFonts w:ascii="Times New Roman" w:cs="Times New Roman" w:eastAsia="Times New Roman" w:hAnsi="Times New Roman"/>
          <w:sz w:val="18"/>
          <w:szCs w:val="18"/>
          <w:b w:val="1"/>
          <w:bCs w:val="1"/>
          <w:color w:val="auto"/>
        </w:rPr>
        <w:t>Advisor</w:t>
      </w:r>
      <w:r>
        <w:rPr>
          <w:rFonts w:ascii="Times New Roman" w:cs="Times New Roman" w:eastAsia="Times New Roman" w:hAnsi="Times New Roman"/>
          <w:sz w:val="18"/>
          <w:szCs w:val="18"/>
          <w:color w:val="auto"/>
        </w:rPr>
        <w:t>”) with respect to the types of matters that were subject to your purview as the CEO and President of the Company prior to the Separation Date, assisting with the transition of your duties and responsibilities, responding to inquiries regarding matters with which you were involved prior to the Separation Date, and assisting with any other such matters commensurate with your position as may be reasonably requested by the Company, in each case, as solely directed by the Chairman of the Board (the “</w:t>
      </w:r>
      <w:r>
        <w:rPr>
          <w:rFonts w:ascii="Times New Roman" w:cs="Times New Roman" w:eastAsia="Times New Roman" w:hAnsi="Times New Roman"/>
          <w:sz w:val="18"/>
          <w:szCs w:val="18"/>
          <w:b w:val="1"/>
          <w:bCs w:val="1"/>
          <w:color w:val="auto"/>
        </w:rPr>
        <w:t>Advisor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parties reasonably expect that the performance of the Advisor Services shall not exceed more than 20% of the average level of services you rendered the Company during the 36-month period immediately preceding the Separation Date. In consideration of the Advisor Services, the Company shall pay you a monthly consulting fee equal to $62,500 (the “</w:t>
      </w:r>
      <w:r>
        <w:rPr>
          <w:rFonts w:ascii="Times New Roman" w:cs="Times New Roman" w:eastAsia="Times New Roman" w:hAnsi="Times New Roman"/>
          <w:sz w:val="18"/>
          <w:szCs w:val="18"/>
          <w:b w:val="1"/>
          <w:bCs w:val="1"/>
          <w:color w:val="auto"/>
        </w:rPr>
        <w:t>Advisor Fee</w:t>
      </w:r>
      <w:r>
        <w:rPr>
          <w:rFonts w:ascii="Times New Roman" w:cs="Times New Roman" w:eastAsia="Times New Roman" w:hAnsi="Times New Roman"/>
          <w:sz w:val="18"/>
          <w:szCs w:val="18"/>
          <w:color w:val="auto"/>
        </w:rPr>
        <w:t>”), which shall be payable in equal installments on the Company’s regularly scheduled payroll dates, as in effect from time to time, (pro-rated for any partial months). In the event a Vesting Event occurs, any unpaid portion of the Advisor Fee that would have otherwise been earned by you through the scheduled end of the Advisor Period shall accelerate and be paid on the Company’s first regularly scheduled payroll date following such Vesting Event. For the avoidance of doubt, during the Advisor Period, you shall not be prohibited from providing services to other businesses or entities, so long as such services do not violate the Restrictive Covenants (as defined below) or create a conflict of interest.</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Accrued Obligations</w:t>
      </w:r>
      <w:r>
        <w:rPr>
          <w:rFonts w:ascii="Times New Roman" w:cs="Times New Roman" w:eastAsia="Times New Roman" w:hAnsi="Times New Roman"/>
          <w:sz w:val="18"/>
          <w:szCs w:val="18"/>
          <w:color w:val="auto"/>
        </w:rPr>
        <w:t>. At such times as required by law upon the Separation Date, the Company will pay you any (i) earned but unpaid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salary, (ii) accrued but unused vacation, (iii) amounts owing under applicable employee benefit plans and (iv) reimbursement of any incurred but unreimbursed business expenses (subject to the Company’s expense reimbursement policies as in effect from time to time) (collectively, the “</w:t>
      </w:r>
      <w:r>
        <w:rPr>
          <w:rFonts w:ascii="Times New Roman" w:cs="Times New Roman" w:eastAsia="Times New Roman" w:hAnsi="Times New Roman"/>
          <w:sz w:val="18"/>
          <w:szCs w:val="18"/>
          <w:b w:val="1"/>
          <w:bCs w:val="1"/>
          <w:color w:val="auto"/>
        </w:rPr>
        <w:t>Accrued Obligations</w:t>
      </w:r>
      <w:r>
        <w:rPr>
          <w:rFonts w:ascii="Times New Roman" w:cs="Times New Roman" w:eastAsia="Times New Roman" w:hAnsi="Times New Roman"/>
          <w:sz w:val="18"/>
          <w:szCs w:val="18"/>
          <w:color w:val="auto"/>
        </w:rPr>
        <w:t>”). You are entitled to payment of the Accrued Obligations regardless of whether you execute this Agreement and the Reaffirmation.</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Further Payments or Benefits</w:t>
      </w:r>
      <w:r>
        <w:rPr>
          <w:rFonts w:ascii="Times New Roman" w:cs="Times New Roman" w:eastAsia="Times New Roman" w:hAnsi="Times New Roman"/>
          <w:sz w:val="18"/>
          <w:szCs w:val="18"/>
          <w:color w:val="auto"/>
        </w:rPr>
        <w:t>. Except for the Accrued Obligations and the payments and benefits contemplated by this Agreement,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that you will not be entitled to any additional compensation and benefits from the Company (including any salary, bonus or incentive compensation, leave, severance or separation pay, or any other compensation or benefits, including the vesting of compensation or benefits, of any kind) other than as set forth in this Agreement and your participation in all employee benefit plans, programs and arrangements of the Company and its affiliates shall cease as of the Separation Date, except as otherwise</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expressly provided in this Agreement. For the avoidance of doubt, following the date hereof, you will not be eligible to receive any additional grants of equity awards, including RSUs and PSUs, under the Incentive Plan and will not be eligible to participate in any annual cash bonus plan implemented by the Company with respect to fiscal year 2026 or thereafter.</w:t>
      </w:r>
    </w:p>
    <w:p>
      <w:pPr>
        <w:spacing w:after="0" w:line="172" w:lineRule="exact"/>
        <w:rPr>
          <w:sz w:val="20"/>
          <w:szCs w:val="20"/>
          <w:color w:val="auto"/>
        </w:rPr>
      </w:pPr>
    </w:p>
    <w:p>
      <w:pPr>
        <w:jc w:val="both"/>
        <w:ind w:left="660" w:hanging="652"/>
        <w:spacing w:after="0" w:line="25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Release of All Claims</w:t>
      </w:r>
      <w:r>
        <w:rPr>
          <w:rFonts w:ascii="Times New Roman" w:cs="Times New Roman" w:eastAsia="Times New Roman" w:hAnsi="Times New Roman"/>
          <w:sz w:val="18"/>
          <w:szCs w:val="18"/>
          <w:color w:val="auto"/>
        </w:rPr>
        <w:t>. In consideration for the Separation Benefits and other valuable consideration, and except as provided below, you,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yourself, your affiliates and for your respective heirs, executors, administrators, trustees, legal representatives, successors and assigns irrevocably forever release and discharge the Company and any and all of the Company’s past and present parent companies, subsidiaries, affiliates, partners, successors and assigns, and, in their official capacities as such, its and their respective past and present officers, directors, employees, shareholders (including, without limitation, the Investor Group (as defined below)), agents, attorneys and employee benefit plans and their administrators and trustees (provided, that, directors and the Investor Group shall be released in all capacities), (collectively, the “</w:t>
      </w:r>
      <w:r>
        <w:rPr>
          <w:rFonts w:ascii="Times New Roman" w:cs="Times New Roman" w:eastAsia="Times New Roman" w:hAnsi="Times New Roman"/>
          <w:sz w:val="18"/>
          <w:szCs w:val="18"/>
          <w:b w:val="1"/>
          <w:bCs w:val="1"/>
          <w:color w:val="auto"/>
        </w:rPr>
        <w:t>Released Parties</w:t>
      </w:r>
      <w:r>
        <w:rPr>
          <w:rFonts w:ascii="Times New Roman" w:cs="Times New Roman" w:eastAsia="Times New Roman" w:hAnsi="Times New Roman"/>
          <w:sz w:val="18"/>
          <w:szCs w:val="18"/>
          <w:color w:val="auto"/>
        </w:rPr>
        <w:t>”), from any and all claims, demands, causes of action, fees and liabilities of any kind whatsoever, whether known or unknown, which you ever had, now have, or may have against any of the Released Parties by reason of any act, omission, transaction, practice, plan, policy, procedure, conduct, occurrence or other matter, up to and including the date you sign this Agreement, including but not limited to all claims under, without limitation, Title VII of the Civil Rights Act of 1964, the Age Discrimination in Employment Act of 1967, including the Older Workers Benefit Protection Act, the Americans with Disabilities Act, Sections 1981 through 1988 of Title 42 of the United States Code, Sections 503 and 504 of the Rehabilitation Act of 1973, the National Labor Relations Act, the Employee Retirement Income Security Act, the Fair Labor Standards Act, all claims under the Family and Medical Leave Act and other federal, state and local leave laws, all claims under the Workers Adjustment and Retraining Notification Act and similar state and local laws, COBRA, and similar state and local laws, all claims under any whistleblower protection law, including but not limited to any claims under the Sarbanes-Oxley Act or the Dodd-Frank Wall Street Reform and Consumer Protection Act; the New York Labor Law, New York State Human Rights Law, the New York City Human Rights Law, the New York City Administrative Code; the New York Equal Pay Act, the New York Lawful Off-Duty Activities Discrimination Law, the New York Code of Rules and Regulations (including, but not limited to, 12 N.Y.C.R.R. §142-3.2); New York Minimum Wage Act, New York State Sick Leave Law, New York State Health and Essential Rights (HERO) Act, New York City Earned Safe and Sick Time Act, New York Worker Adjustment Retraining and Notification Act, New York Labor Law, New York Wage Theft Prevention Act, the New York Paid Family Leave Law, the New York laws for jury duty, voting, bone marrow and blood donation, and military family leave, the New York Fair Credit Reporting Act and the retaliation provisions of the New York Workers’ Compensation law; all claims of discrimination, harassment and retaliation in connection with your employment, the terms and conditions of such employment and your separation from employment under any</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both"/>
        <w:ind w:left="4"/>
        <w:spacing w:after="0" w:line="255" w:lineRule="auto"/>
        <w:rPr>
          <w:sz w:val="20"/>
          <w:szCs w:val="20"/>
          <w:color w:val="auto"/>
        </w:rPr>
      </w:pPr>
      <w:r>
        <w:rPr>
          <w:rFonts w:ascii="Times New Roman" w:cs="Times New Roman" w:eastAsia="Times New Roman" w:hAnsi="Times New Roman"/>
          <w:sz w:val="18"/>
          <w:szCs w:val="18"/>
          <w:color w:val="auto"/>
        </w:rPr>
        <w:t>federal, state and local fair employment, non-discrimination or civil rights law or regulation; all claims sounding in tort or breach of contract (express or implied), wrongful discharge, whistleblowing, detrimental reliance, defamation, emotional distress or compensatory and/or punitive damages; and all claims for attorneys’ fees, costs, disbursements and/or the like, and covenant not to sue any of the Released Parties in respect of any of the foregoing; provided, however, that nothing in this sentence shall prohibit you from communicating with, filing a charge or complaint with, or participating in any investigation or proceeding conducted by any Government Agency (as defined below), or from receiving any monetary award or other payment from any Government Agency, in each case to the extent permitted by law. All of the above statutes as amended.</w:t>
      </w:r>
    </w:p>
    <w:p>
      <w:pPr>
        <w:spacing w:after="0" w:line="189"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For the avoidance of doubt, the foregoing release includes any and all rights or claims under or relating to the certain Investor Rights Agreement, dated as of August 20, 2025, by and among the Company and the other parties thereto (the “</w:t>
      </w:r>
      <w:r>
        <w:rPr>
          <w:rFonts w:ascii="Times New Roman" w:cs="Times New Roman" w:eastAsia="Times New Roman" w:hAnsi="Times New Roman"/>
          <w:sz w:val="18"/>
          <w:szCs w:val="18"/>
          <w:b w:val="1"/>
          <w:bCs w:val="1"/>
          <w:color w:val="auto"/>
        </w:rPr>
        <w:t>IRA</w:t>
      </w:r>
      <w:r>
        <w:rPr>
          <w:rFonts w:ascii="Times New Roman" w:cs="Times New Roman" w:eastAsia="Times New Roman" w:hAnsi="Times New Roman"/>
          <w:sz w:val="18"/>
          <w:szCs w:val="18"/>
          <w:color w:val="auto"/>
        </w:rPr>
        <w:t>”), including, without limitation, any governance, designation, observer or information rights thereunder.</w:t>
      </w:r>
    </w:p>
    <w:p>
      <w:pPr>
        <w:spacing w:after="0" w:line="174" w:lineRule="exact"/>
        <w:rPr>
          <w:sz w:val="20"/>
          <w:szCs w:val="20"/>
          <w:color w:val="auto"/>
        </w:rPr>
      </w:pPr>
    </w:p>
    <w:p>
      <w:pPr>
        <w:jc w:val="both"/>
        <w:ind w:left="644" w:hanging="644"/>
        <w:spacing w:after="0" w:line="257"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Claims Not Released</w:t>
      </w:r>
      <w:r>
        <w:rPr>
          <w:rFonts w:ascii="Times New Roman" w:cs="Times New Roman" w:eastAsia="Times New Roman" w:hAnsi="Times New Roman"/>
          <w:sz w:val="18"/>
          <w:szCs w:val="18"/>
          <w:color w:val="auto"/>
        </w:rPr>
        <w:t>. You are not releasing: (i) claims arising after you sign this Agreement; (ii) claims related to enforcement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(iii) any rights or claims you may have to workers’ compensation or unemployment benefits; (iv) claims for accrued, vested benefits under the Company’s 401(k) plan or reimbursement of covered expenses under any group health plan in which you participated, subject in each case to the terms and conditions of such plans; (v) any rights to indemnification or coverage under the Company’s organizational documents or any applicable directors’ and officers’ liability insurance policies, in each case in accordance with their terms; and/or (vi) any claims or rights which cannot be waived by law.</w:t>
      </w:r>
    </w:p>
    <w:p>
      <w:pPr>
        <w:spacing w:after="0" w:line="182"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Executive and Company Affirmations</w:t>
      </w:r>
      <w:r>
        <w:rPr>
          <w:rFonts w:ascii="Times New Roman" w:cs="Times New Roman" w:eastAsia="Times New Roman" w:hAnsi="Times New Roman"/>
          <w:sz w:val="18"/>
          <w:szCs w:val="18"/>
          <w:color w:val="auto"/>
        </w:rPr>
        <w:t>. You agree that you have been paid and/or received all leave (paid or unpaid),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wages, bonuses, severance or termination pay, commissions, notice period and/or benefits to which you may have been entitled and that no other remuneration or benefits are due to you, except as set forth in this Agreement. You affirm that you have had no known workplace injuries or occupational diseases. The Company’s obligations under this Agreement are in full discharge of any and all of the Company’s liabilities and obligations to you of any type whatsoever, whether written or oral, including, without limitation, any claim for guaranteed employment, severance pay, bonus compensation or other remuneration of any type, whether under a plan, individual agreement or otherwise. Subject to </w:t>
      </w:r>
      <w:r>
        <w:rPr>
          <w:rFonts w:ascii="Times New Roman" w:cs="Times New Roman" w:eastAsia="Times New Roman" w:hAnsi="Times New Roman"/>
          <w:sz w:val="18"/>
          <w:szCs w:val="18"/>
          <w:u w:val="single" w:color="auto"/>
          <w:color w:val="auto"/>
        </w:rPr>
        <w:t>Sections 11 and 12</w:t>
      </w:r>
      <w:r>
        <w:rPr>
          <w:rFonts w:ascii="Times New Roman" w:cs="Times New Roman" w:eastAsia="Times New Roman" w:hAnsi="Times New Roman"/>
          <w:sz w:val="18"/>
          <w:szCs w:val="18"/>
          <w:color w:val="auto"/>
        </w:rPr>
        <w:t>, you represent that you have disclosed to the Company any information you have concerning any fraudulent or unlawful conduct involving the Released Parties. You represent and warrant that you are not aware of any facts, events or circumstances existing as of the date hereof that would reasonably be expected to give rise to a termination of your employment by the Company</w:t>
      </w:r>
    </w:p>
    <w:p>
      <w:pPr>
        <w:spacing w:after="0" w:line="295"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2" w:name="page13"/>
    <w:bookmarkEnd w:id="12"/>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for Cause. The Company represents and warrants, on behalf of itself and its past and present parent companies, subsidiaries, affiliates, partners, successors and assigns, that it is not aware of any claims, demands causes of actions, fees or liabilities it may have against you, or of any facts, events or circumstances existing as of the date hereof, in each case, that would be grounds for a termination of your employment by the Company for Cause.</w:t>
      </w:r>
    </w:p>
    <w:p>
      <w:pPr>
        <w:spacing w:after="0" w:line="178" w:lineRule="exact"/>
        <w:rPr>
          <w:sz w:val="20"/>
          <w:szCs w:val="20"/>
          <w:color w:val="auto"/>
        </w:rPr>
      </w:pPr>
    </w:p>
    <w:p>
      <w:pPr>
        <w:jc w:val="both"/>
        <w:ind w:left="1300" w:hanging="644"/>
        <w:spacing w:after="0" w:line="268" w:lineRule="auto"/>
        <w:tabs>
          <w:tab w:leader="none" w:pos="130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Executive Reaffirmation</w:t>
      </w:r>
      <w:r>
        <w:rPr>
          <w:rFonts w:ascii="Times New Roman" w:cs="Times New Roman" w:eastAsia="Times New Roman" w:hAnsi="Times New Roman"/>
          <w:sz w:val="17"/>
          <w:szCs w:val="17"/>
          <w:color w:val="auto"/>
        </w:rPr>
        <w:t>. You hereby agree to reaffirm your waiver and release of claims set forth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or within five (5)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days following the Separation Date by signing the second signature line hereto (the “</w:t>
      </w:r>
      <w:r>
        <w:rPr>
          <w:rFonts w:ascii="Times New Roman" w:cs="Times New Roman" w:eastAsia="Times New Roman" w:hAnsi="Times New Roman"/>
          <w:sz w:val="17"/>
          <w:szCs w:val="17"/>
          <w:b w:val="1"/>
          <w:bCs w:val="1"/>
          <w:color w:val="auto"/>
        </w:rPr>
        <w:t>Reaffirmation</w:t>
      </w:r>
      <w:r>
        <w:rPr>
          <w:rFonts w:ascii="Times New Roman" w:cs="Times New Roman" w:eastAsia="Times New Roman" w:hAnsi="Times New Roman"/>
          <w:sz w:val="17"/>
          <w:szCs w:val="17"/>
          <w:color w:val="auto"/>
        </w:rPr>
        <w:t xml:space="preserve">”). You may revoke the Reaffirmation after signing it by delivering a written notice of your decision to revoke to the Company within seven calendar days after the Separation Date. You understand that this Reaffirmation and your right to receive the payments and benefits set forth in this Agreement (including, without limitation, as set forth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shall be forfeited in its entirety if you fail to execute and return the Reaffirmation or if you revoke your execution of the Reaffirmation within such seven calendar day period. You acknowledge and agree that this Reaffirmation shall become effective on the first day after the seven calendar day revocation period. </w:t>
      </w:r>
      <w:r>
        <w:rPr>
          <w:rFonts w:ascii="Times New Roman" w:cs="Times New Roman" w:eastAsia="Times New Roman" w:hAnsi="Times New Roman"/>
          <w:sz w:val="17"/>
          <w:szCs w:val="17"/>
          <w:b w:val="1"/>
          <w:bCs w:val="1"/>
          <w:color w:val="auto"/>
        </w:rPr>
        <w:t>You may not execute the</w:t>
      </w:r>
    </w:p>
    <w:p>
      <w:pPr>
        <w:spacing w:after="0" w:line="4"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Reaffirmation at any time prior to the Separation Date.</w:t>
      </w:r>
    </w:p>
    <w:p>
      <w:pPr>
        <w:spacing w:after="0" w:line="204" w:lineRule="exact"/>
        <w:rPr>
          <w:rFonts w:ascii="Times New Roman" w:cs="Times New Roman" w:eastAsia="Times New Roman" w:hAnsi="Times New Roman"/>
          <w:sz w:val="17"/>
          <w:szCs w:val="17"/>
          <w:color w:val="auto"/>
        </w:rPr>
      </w:pPr>
    </w:p>
    <w:p>
      <w:pPr>
        <w:jc w:val="both"/>
        <w:ind w:left="1300" w:hanging="644"/>
        <w:spacing w:after="0" w:line="253"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Investor Group Affirmation</w:t>
      </w:r>
      <w:r>
        <w:rPr>
          <w:rFonts w:ascii="Times New Roman" w:cs="Times New Roman" w:eastAsia="Times New Roman" w:hAnsi="Times New Roman"/>
          <w:sz w:val="18"/>
          <w:szCs w:val="18"/>
          <w:color w:val="auto"/>
        </w:rPr>
        <w:t>. The Investor Group represents and warrants, on behalf of itself and its past and present parent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subsidiaries, affiliates, partners, directors, officers, successors and assigns, that it is not aware of any claims, demands, causes of action, fees or liabilities it may have against you, or of any facts, events or circumstances that would reasonably be expected to give rise to any of the foregoing, in each case, existing as of the date hereof, and the Investor Group covenants on behalf of itself and its parent companies, subsidiaries, affiliates, successors and assigns not to sue you in respect of any of the foregoing to the extent known to the Investor Group as of the date hereof, subject to your compliance with the Conditions; provided, however, that nothing in this sentence shall prohibit any member of the Investor Group from communicating with, filing a charge or complaint with, or participating in any investigation or proceeding conducted by any Government Agency, or from receiving any monetary award or other payment from any Government Agency, in each case to the extent permitted by law. For purposes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the Company and its subsidiaries and other affiliates shall not be deemed an affiliate or subsidiary of the Investor Group, and the covenant not to sue in respect of claims, demands, causes of action, fees and liabilities pursuant to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shall not apply to the Company and its subsidiaries or other affiliates.</w:t>
      </w:r>
    </w:p>
    <w:p>
      <w:pPr>
        <w:spacing w:after="0" w:line="187"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Independent Contractor Status</w:t>
      </w:r>
      <w:r>
        <w:rPr>
          <w:rFonts w:ascii="Times New Roman" w:cs="Times New Roman" w:eastAsia="Times New Roman" w:hAnsi="Times New Roman"/>
          <w:sz w:val="18"/>
          <w:szCs w:val="18"/>
          <w:color w:val="auto"/>
        </w:rPr>
        <w:t>. You acknowledge and agree that your status at all times with the Company during the Advisor Period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of an independent contractor, and that you may not, at any time, act as a representative</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for or on behalf of the Company for any purpose or transaction, and may not bind or otherwise obligate the Company in any manner whatsoever without obtaining the prior written approval of the Board or Chairman of the Board therefor. Although the Company may specify the results to be achieved by you and may control and direct you in that regard, the Company shall not control or direct you as to the details or means by which such results are accomplished. The parties hereby acknowledge and agree that all Advisor Fees paid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represent fees for services as an independent contractor and shall therefore be paid without any deductions or withholdings taken therefrom for taxes or for any other purpose. You shall be solely responsible for the payment of any federal, state or local income or payroll taxes owed by you solely due to the receipt of consideration for providing services as an Advisor under this Agreement. Except with respect to participation in any employee benefits plans in connection with you being a former employee (including any rights relating to COBRA), you shall not be entitled to participate in any employee benefit plans or other benefits or conditions of employment available to employees of the Company during the Advisor Period or thereafter.</w:t>
      </w:r>
    </w:p>
    <w:p>
      <w:pPr>
        <w:spacing w:after="0" w:line="190" w:lineRule="exact"/>
        <w:rPr>
          <w:sz w:val="20"/>
          <w:szCs w:val="20"/>
          <w:color w:val="auto"/>
        </w:rPr>
      </w:pPr>
    </w:p>
    <w:p>
      <w:pPr>
        <w:ind w:left="660" w:hanging="652"/>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Non-Admission</w:t>
      </w:r>
      <w:r>
        <w:rPr>
          <w:rFonts w:ascii="Times New Roman" w:cs="Times New Roman" w:eastAsia="Times New Roman" w:hAnsi="Times New Roman"/>
          <w:sz w:val="18"/>
          <w:szCs w:val="18"/>
          <w:color w:val="auto"/>
        </w:rPr>
        <w:t>. Nothing contained in this Agreement will constitute or be treated as an admission by you or the Company of liability,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wrongdoing or any violation of law, with any such liability being expressly denied.</w:t>
      </w:r>
    </w:p>
    <w:p>
      <w:pPr>
        <w:spacing w:after="0" w:line="154"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Existing Employment Agreement</w:t>
      </w:r>
      <w:r>
        <w:rPr>
          <w:rFonts w:ascii="Times New Roman" w:cs="Times New Roman" w:eastAsia="Times New Roman" w:hAnsi="Times New Roman"/>
          <w:sz w:val="18"/>
          <w:szCs w:val="18"/>
          <w:color w:val="auto"/>
        </w:rPr>
        <w:t>. You and the Company will remain bound by (i) the restrictive covenants set forth in Section 7 (Restrictive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of the Employment Agreement and any other restrictive covenants in any other agreement between you and the Company, which are incorporated herein by reference (collectively, the “</w:t>
      </w:r>
      <w:r>
        <w:rPr>
          <w:rFonts w:ascii="Times New Roman" w:cs="Times New Roman" w:eastAsia="Times New Roman" w:hAnsi="Times New Roman"/>
          <w:sz w:val="18"/>
          <w:szCs w:val="18"/>
          <w:b w:val="1"/>
          <w:bCs w:val="1"/>
          <w:color w:val="auto"/>
        </w:rPr>
        <w:t>Restrictive Covenants</w:t>
      </w:r>
      <w:r>
        <w:rPr>
          <w:rFonts w:ascii="Times New Roman" w:cs="Times New Roman" w:eastAsia="Times New Roman" w:hAnsi="Times New Roman"/>
          <w:sz w:val="18"/>
          <w:szCs w:val="18"/>
          <w:color w:val="auto"/>
        </w:rPr>
        <w:t>”) and (ii) Section 5(c) and (d) (Indemnification and D&amp;O), for all actions or inactions on or prior to the Separation Date, and for the avoidance of doubt, Section 5(c) shall apply to Advisor Services, Section 8 (Cooperation), Section 9 (Equitable Relief and Other Remedies), Section 17 (Dispute Resolution) and 19 (Compensation Recovery Policy) of the Employment Agreement. Without limiting the foregoing, (i) you acknowledge and agree that your non-disparagement obligations set forth in Section 7(d) of the Employment Agreement shall, without limitation, extend to and be deemed to cover each member of the Investor Group and each of their respective affiliates, and their respective past and present officers, directors and key senior employees and (ii) following the Separation Date, the Investor Group acknowledges and agrees that the Investor Group shall not make negative comments or otherwise disparage you in any manner likely to be harmful to you, your business reputation or your personal reputation, and shall instruct its officers, directors and key senior employees as of the Separation Date not to do so, in each case, subject to the final sentence of Section 7(d) of the Employment Agreement. Nothing in this Agreement shall be construed to limit the Company’s rights under Sections 7 (Restrictive Covenants), 8 (Cooperation) or 9 (Equitable Relief and Other Remedies) of the Employment Agreement, including, without limitation, the Company’s right to seek injunctive or other equitable relief in accordance with Section 9 thereof. For purposes of this Agreement, “</w:t>
      </w:r>
      <w:r>
        <w:rPr>
          <w:rFonts w:ascii="Times New Roman" w:cs="Times New Roman" w:eastAsia="Times New Roman" w:hAnsi="Times New Roman"/>
          <w:sz w:val="18"/>
          <w:szCs w:val="18"/>
          <w:b w:val="1"/>
          <w:bCs w:val="1"/>
          <w:color w:val="auto"/>
        </w:rPr>
        <w:t>Investor Group</w:t>
      </w:r>
      <w:r>
        <w:rPr>
          <w:rFonts w:ascii="Times New Roman" w:cs="Times New Roman" w:eastAsia="Times New Roman" w:hAnsi="Times New Roman"/>
          <w:sz w:val="18"/>
          <w:szCs w:val="18"/>
          <w:color w:val="auto"/>
        </w:rPr>
        <w:t>” shall mean, collectively, CHS US Investments,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LLC, Gateway Runway LLC, and S3 RR Aggregator, LLC, and any successor or assign of any of the foregoing.</w:t>
      </w:r>
    </w:p>
    <w:p>
      <w:pPr>
        <w:spacing w:after="0" w:line="221"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Property; Personal Property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xml:space="preserve"> above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below, you represent that you will return, pursuant to a mutually agreed process, to the Company all property belonging to the Company (other than de minimis items), including, but not limited, to passwords, computer user names, voicemail code, phone cards, internal policies and other confidential business information and documents no later than the end of the Advisor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you may retain your laptop(s) and shall cooperate in good faith with the Company to remove any confidential or proprietary information (as determined by the Company in its reasonable and good faith discretion).</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9"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from the date hereof through the end of the Advisor Period, you shall retain access to your Company provided email address, provided that you comply in all material respects with the Restrictive Covenants (and the Company shall provide you with written notice of any such noncompliance and not less than thirty (30) days to cure, if curable). Following the date hereof, you and the Company shall cooperate, in good faith, to establish a process by which you may request to be provided copies of personal emails, which do not contain information subject to the Company's Privacy Policy, Candidate Privacy Policy, Employee Privacy Notices, or Employee Handbooks or any other information protected by privacy or other applicable law or the Company's policies or confidential or proprietary information or any information which could otherwise implicate or violate any Restrictive Covenant (in each case, as determined by the Company reasonably and in good faith), provided that you are in compliance in all material respects with all Restrictive Covenants (and the Company shall provide you with written notice of any such noncompliance and not less than thirty (30) days to cure, if curable).</w:t>
      </w:r>
    </w:p>
    <w:p>
      <w:pPr>
        <w:spacing w:after="0" w:line="182"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following the last day of the Advisor Period, you shall cease to have access to your Company email address;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establish an automatic email response stating that you are no longer employed by the Company and providing alternative contact information through which you may be reached following the end of the Advisor Period. Notwithstanding anything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to the contrary, you may retain your contacts and calendars and any information or documents reasonably necessary for the preparation of your tax returns.</w:t>
      </w:r>
    </w:p>
    <w:p>
      <w:pPr>
        <w:spacing w:after="0" w:line="183" w:lineRule="exact"/>
        <w:rPr>
          <w:rFonts w:ascii="Times New Roman" w:cs="Times New Roman" w:eastAsia="Times New Roman" w:hAnsi="Times New Roman"/>
          <w:sz w:val="18"/>
          <w:szCs w:val="18"/>
          <w:color w:val="auto"/>
        </w:rPr>
      </w:pPr>
    </w:p>
    <w:p>
      <w:pPr>
        <w:jc w:val="both"/>
        <w:ind w:left="1300" w:right="12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you with reasonable access to your office in order to remove your personal items and memorabilia and shall reimburse you (or pay directly) for the reasonable costs of having your personal items and other memorabilia packed and removed from your office by a</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ind w:left="1300"/>
        <w:spacing w:after="0"/>
        <w:rPr>
          <w:sz w:val="20"/>
          <w:szCs w:val="20"/>
          <w:color w:val="auto"/>
        </w:rPr>
      </w:pPr>
      <w:r>
        <w:rPr>
          <w:rFonts w:ascii="Times New Roman" w:cs="Times New Roman" w:eastAsia="Times New Roman" w:hAnsi="Times New Roman"/>
          <w:sz w:val="18"/>
          <w:szCs w:val="18"/>
          <w:color w:val="auto"/>
        </w:rPr>
        <w:t>professional service on or before June 15, 2026, and the Company shall cooperate with you, in good faith, to identify any such materials.</w:t>
      </w:r>
    </w:p>
    <w:p>
      <w:pPr>
        <w:spacing w:after="0" w:line="221" w:lineRule="exact"/>
        <w:rPr>
          <w:sz w:val="20"/>
          <w:szCs w:val="20"/>
          <w:color w:val="auto"/>
        </w:rPr>
      </w:pPr>
    </w:p>
    <w:p>
      <w:pPr>
        <w:jc w:val="both"/>
        <w:ind w:left="660" w:hanging="652"/>
        <w:spacing w:after="0" w:line="257"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 of this Agreement</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you and the Company agree that you and the Company have not, and in the future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disclose to any other person or entity (directly or indirectly) the circumstances leading up to this Agreement without the prior written consent of the Board or you as applicable, except (i) as may be required pursuant to a valid subpoena, a request by a government agency in connection with any charge filed, investigation or proceeding or as otherwise required by law and (ii) for you, to your immediate family members, financial advisors and attorneys, provided that you first inform them of the confidentiality of this Agreement and they agree to maintain its confidentiality and, for the Company, to its employees and advisors who may need to be informed of the circumstances leading up to this Agreement.</w:t>
      </w:r>
    </w:p>
    <w:p>
      <w:pPr>
        <w:spacing w:after="0" w:line="182"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Public Statements. </w:t>
      </w:r>
      <w:r>
        <w:rPr>
          <w:rFonts w:ascii="Times New Roman" w:cs="Times New Roman" w:eastAsia="Times New Roman" w:hAnsi="Times New Roman"/>
          <w:sz w:val="18"/>
          <w:szCs w:val="18"/>
          <w:color w:val="auto"/>
        </w:rPr>
        <w:t>The parties agree that, until one year after the Separation Date, any press release, public announcement, social media post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on LinkedIn, X (formerly Twitter), Instagram, or any other platform), publication or other form of media (including, without limitation, books, newspapers or similar outlets), or any information for inclusion in any of the foregoing, or other public statement regarding your separation from the Board, the terms of this Agreement or the circumstances surrounding your departure, made by you or the Company (collectively, the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xml:space="preserve">”) shall be consistent with the mutually agreed upon communications and talking points in connection with your departure and any Statements that materially deviate from these communications and talking points will require the prior written consent of the other party. Notwithstanding the foregoing, nothing in this Section shall prohibit you from making truthful statements when required by law or in connection with any Government Agency proceeding as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or in the event of any legal process between you and the Company.</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Preservation of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waive any right that is not subject to waiver by private agreement, including without limitation any claims arising under state unemployment insurance or workers’ compensation laws, or a challenge to the validity of this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acknowledge and agree that nothing contained in this Agreement shall be construed to prohibit you from filing a charge with or participating in any investigation or proceeding conducted by the federal Equal Employment Opportunity Commission or a comparable state or local agency;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you hereby agree to waive your right to recover monetary damages or other individual relief in any such charge, investigation or proceeding or any related complaint or lawsuit filed by you or by anyone else on your behalf. You further understand that nothing contained in this Agreement shall be construed to limit, restrict or in any</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ind w:left="1300"/>
        <w:spacing w:after="0" w:line="282" w:lineRule="auto"/>
        <w:rPr>
          <w:sz w:val="20"/>
          <w:szCs w:val="20"/>
          <w:color w:val="auto"/>
        </w:rPr>
      </w:pPr>
      <w:r>
        <w:rPr>
          <w:rFonts w:ascii="Times New Roman" w:cs="Times New Roman" w:eastAsia="Times New Roman" w:hAnsi="Times New Roman"/>
          <w:sz w:val="18"/>
          <w:szCs w:val="18"/>
          <w:color w:val="auto"/>
        </w:rPr>
        <w:t>other way affect your communicating with any governmental agency or entity, or communicating with any official or staff person of a governmental agency or entity, concerning matters relevant to such governmental agency or entity.</w:t>
      </w:r>
    </w:p>
    <w:p>
      <w:pPr>
        <w:spacing w:after="0" w:line="162" w:lineRule="exact"/>
        <w:rPr>
          <w:sz w:val="20"/>
          <w:szCs w:val="20"/>
          <w:color w:val="auto"/>
        </w:rPr>
      </w:pPr>
    </w:p>
    <w:p>
      <w:pPr>
        <w:jc w:val="both"/>
        <w:ind w:left="1300" w:hanging="644"/>
        <w:spacing w:after="0" w:line="255"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otherwise limits your ability to communicate directly with and provide information, including documents, not otherwise protected from disclosure by any applicable law or privilege to the SEC, any other federal, state or local governmental agency or commission (“</w:t>
      </w:r>
      <w:r>
        <w:rPr>
          <w:rFonts w:ascii="Times New Roman" w:cs="Times New Roman" w:eastAsia="Times New Roman" w:hAnsi="Times New Roman"/>
          <w:sz w:val="18"/>
          <w:szCs w:val="18"/>
          <w:b w:val="1"/>
          <w:bCs w:val="1"/>
          <w:color w:val="auto"/>
        </w:rPr>
        <w:t>Government Agency</w:t>
      </w:r>
      <w:r>
        <w:rPr>
          <w:rFonts w:ascii="Times New Roman" w:cs="Times New Roman" w:eastAsia="Times New Roman" w:hAnsi="Times New Roman"/>
          <w:sz w:val="18"/>
          <w:szCs w:val="18"/>
          <w:color w:val="auto"/>
        </w:rPr>
        <w:t>”) or self-regulatory organization regarding possible legal violations, without disclosure to the Company. The Company may not retaliate against you for any of these activities, and nothing in this Agreement requires you to waive any monetary award or other payment that you might become entitled to from the SEC or any other Government Agency or self-regulatory organization. Moreover, nothing in this Agreement or otherwise prohibits you from notifying the Company that you are going to make a report or disclosure to law enforcement.</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Defend Trade Secrets Act of 2016, you and the Company acknowledge and agree that you will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and without limiting the preceding sentence, if you file a lawsuit for retaliation by the Company for reporting a suspected violation of law, you may disclose the trade secret to your attorney and may use the trade secret information in the court proceeding, if you (x) file any document containing the trade secret under seal and (y) do not disclose the trade secret, except pursuant to court order.</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All payments or benefits under this Agreement will be subject to all deductions required by law, including applicable taxes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withholdings, other than with respect to the Advisor Fee. You will be solely responsible and liable for any taxes owed on any payments or benefits made or provided to you under this Agreement, except for taxes the Company believes it has an obligation to withhold from any such payments or benefits.</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The intent of the parties is that payments and benefits under this Agreement comply with, or be exempt from, Internal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Section 409A and the regulations and guidance promulgated thereunder (collectively, “</w:t>
      </w:r>
      <w:r>
        <w:rPr>
          <w:rFonts w:ascii="Times New Roman" w:cs="Times New Roman" w:eastAsia="Times New Roman" w:hAnsi="Times New Roman"/>
          <w:sz w:val="18"/>
          <w:szCs w:val="18"/>
          <w:b w:val="1"/>
          <w:bCs w:val="1"/>
          <w:color w:val="auto"/>
        </w:rPr>
        <w:t>Code Section 409A</w:t>
      </w:r>
      <w:r>
        <w:rPr>
          <w:rFonts w:ascii="Times New Roman" w:cs="Times New Roman" w:eastAsia="Times New Roman" w:hAnsi="Times New Roman"/>
          <w:sz w:val="18"/>
          <w:szCs w:val="18"/>
          <w:color w:val="auto"/>
        </w:rPr>
        <w:t xml:space="preserve">”) and, accordingly, to the maximum extent permitted, this Agreement shall be interpreted to be in compliance with Code Section 409A;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does not guarantee to you any particular tax treatment with respect to this Agreement and any payments hereunder. If any provision of</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this Agreement contravenes Section 409A or would cause you to be subject to additional taxes, interest, or penalties under Section 409A, you and the Company shall discuss in good faith modifications to this Agreement to (i) comply with, or avoid being subject to, Section 409A, (ii) avoid the imposition of taxes, interest, or penalties under Section 409A, and/or (iii) mitigate any additional tax, interest, and/or penalties that may apply under Section 409A if compliance is not practicable. You and the Company shall use commercially reasonable efforts to maintain the economic intent of the original provision to the extent practicable. Notwithstanding anything in this Agreement to the contrary, if on the Separation Date you are considered a “specified employee” (as defined in Code Section 409A), then to the extent that any payment or benefit to you under this Agreement constitutes a “deferral of compensation” payable upon a “separation from service” within the meaning of Code Section 409A, the Company will defer such payment or benefit to the extent necessary in order to avoid the imposition of a penalty tax until the earlier of (i) six months after the Separation Date and (ii) your death. The accumulated amounts shall then be paid in a lump sum within 10 calendar days after the end of the six-month period. For purposes of Code Section 409A, your right to each payment (or each installment in any series of payments) hereunder shall be treated as a separate payment and not as a right to a single payment. With respect to any expense reimbursement or in-kind benefit provided to you which constitutes a “deferral of compensation” within the meaning of Section 409A, (i) the amount of expenses eligible for reimbursement or in-kind benefits provided to you during any calendar year will not affect the amount of expenses eligible for reimbursement or in-kind benefits provided to you in any other calendar year, (ii) the reimbursements for expenses for which you are entitled to be reimbursed will be made on or before the last day of the calendar year following the calendar year in which you incurred the expense, and (iii) the right to payment or reimbursement or in-kind benefits hereunder may not be liquidated or exchanged for any other benefit.</w:t>
      </w:r>
    </w:p>
    <w:p>
      <w:pPr>
        <w:spacing w:after="0" w:line="191" w:lineRule="exact"/>
        <w:rPr>
          <w:sz w:val="20"/>
          <w:szCs w:val="20"/>
          <w:color w:val="auto"/>
        </w:rPr>
      </w:pPr>
    </w:p>
    <w:p>
      <w:pPr>
        <w:ind w:left="660" w:right="20" w:hanging="652"/>
        <w:spacing w:after="0" w:line="28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term of this Agreement is held to be invalid, void or unenforceable, the remainder of this Agreement will remain in full force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effect and will in no way be affected, and the parties will use their best efforts to find an alternate way to achieve the same result.</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will be construed and interpreted in accordance with the laws of the State of New York.</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Execution</w:t>
      </w:r>
      <w:r>
        <w:rPr>
          <w:rFonts w:ascii="Times New Roman" w:cs="Times New Roman" w:eastAsia="Times New Roman" w:hAnsi="Times New Roman"/>
          <w:sz w:val="18"/>
          <w:szCs w:val="18"/>
          <w:color w:val="auto"/>
        </w:rPr>
        <w:t>. This Agreement may be executed in counterparts, each of which will be considered an original, but all of which together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one agreement. Execution of a facsimile copy will have the same force and effect as execution of an original, and a facsimile signature will be deemed an original and valid signature.</w:t>
      </w:r>
    </w:p>
    <w:p>
      <w:pPr>
        <w:spacing w:after="0" w:line="170"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This Agreement is binding upon, and shall inure to the benefit of, the parties and their respective heirs, executors, administrators,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 and any payments due following your death shall be made to your estate or beneficiaries.</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both"/>
        <w:ind w:left="660" w:hanging="652"/>
        <w:spacing w:after="0" w:line="25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You agree that this Agreement constitutes the complete understanding between the Company and you and that you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continuing beyond the Separation Date and the end of the Advisor Period. Except as expressly provided in this Agreement, this Agreement supersedes and renders null and void all prior agreements, understandings and discussions, whether written or oral, between you and the Company and constitutes the entire agreement between you and the Company regarding the subject matter of this Agreement. If any term in this Agreement conflicts with terms in any other agreements between you and the Company, this Agreement shall control. This Agreement may be modified only in a written document signed by you and a duly authorized officer of the Company. Notwithstanding anything to the contrary in this Agreement, that certain Indemnification Agreement, by and between the Company and you, dated as of November 8, 2021, and the provisions of the Employment Agreement referenced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shall remain in effect in accordance with its terms and conditions, except as modified by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w:t>
      </w:r>
    </w:p>
    <w:p>
      <w:pPr>
        <w:spacing w:after="0" w:line="188"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Attorney’s Fees</w:t>
      </w:r>
      <w:r>
        <w:rPr>
          <w:rFonts w:ascii="Times New Roman" w:cs="Times New Roman" w:eastAsia="Times New Roman" w:hAnsi="Times New Roman"/>
          <w:sz w:val="18"/>
          <w:szCs w:val="18"/>
          <w:color w:val="auto"/>
        </w:rPr>
        <w:t>. Subject to your satisfaction of the Conditions, the Company shall reimburse you (or pay directly) for your reasonable attorney’s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and costs incurred in the review, drafting and negotiation of this Agreement and any related agreements, up to a maximum of $25,000.</w:t>
      </w:r>
    </w:p>
    <w:p>
      <w:pPr>
        <w:spacing w:after="0" w:line="154"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Consideration and Revocation Periods</w:t>
      </w:r>
      <w:r>
        <w:rPr>
          <w:rFonts w:ascii="Times New Roman" w:cs="Times New Roman" w:eastAsia="Times New Roman" w:hAnsi="Times New Roman"/>
          <w:sz w:val="18"/>
          <w:szCs w:val="18"/>
          <w:color w:val="auto"/>
        </w:rPr>
        <w:t>. You agree by your signature below that you had, and that the Company gave you, at least 21 days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and consider this Agreement before signing it, and that such period was sufficient for you to fully and completely consider all of its terms. The Company hereby advises you to discuss this Agreement with your own attorney during this period if you wish to do so. You may accept this Agreement by delivering a copy of the Agreement signed by you to me within 21 days from the day you receive the Agreement. You may revoke your acceptance of the Agreement for a period of seven days after signing the Agreement by delivering written notification to me within that seven-day period. If you do not revoke your acceptance of the Agreement, it will be effective on the eighth day after you sign it. If you revoke your acceptance of this Agreement, you will not be entitled to the compensation, benefits and other consideration provided for herein, other than the Accrued Obligations. You agree that you have carefully read this Agreement, fully understand what it means and are entering into it voluntarily without duress, coercion, fraud, misrepresentation or threat to withdraw or alter the offer prior to the expiration of the 21 day consideration period.</w:t>
      </w:r>
    </w:p>
    <w:p>
      <w:pPr>
        <w:spacing w:after="0" w:line="185" w:lineRule="exact"/>
        <w:rPr>
          <w:rFonts w:ascii="Times New Roman" w:cs="Times New Roman" w:eastAsia="Times New Roman" w:hAnsi="Times New Roman"/>
          <w:sz w:val="18"/>
          <w:szCs w:val="18"/>
          <w:color w:val="auto"/>
        </w:rPr>
      </w:pPr>
    </w:p>
    <w:p>
      <w:pPr>
        <w:jc w:val="both"/>
        <w:ind w:left="660" w:hanging="652"/>
        <w:spacing w:after="0" w:line="259"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ACKNOWLEDGMENTS. BY SIGNING BELOW, YOU HEREBY ACKNOWLEDGE THAT YOU: (I) HAVE CAREFULLY READ THIS AGREEMENT IN ITS ENTIRETY; (II) HAVE HAD AN OPPORTUNITY TO CONSIDER THE TERMS AND CONDITIONS OF THIS AGREEMENT FOR AT LEAST 21 CALENDAR DAYS; (III) ARE HEREBY ADVISED BY THE COMPANY TO CONSULT WITH AN ATTORNEY OF YOUR CHOICE BEFORE SIGNING THIS AGREEMENT; (IV) FULLY UNDERSTAND THE SIGNIFICANCE OF ALL OF THE TERMS AND CONDITIONS OF THIS AGREEMENT AND HAVE DISCUSSED THEM</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WITH AN ATTORNEY OF YOUR CHOICE, OR HAVE HAD A REASONABLE OPPORTUNITY TO DO SO; AND (V) ARE SIGNING THIS AGREEMENT VOLUNTARILY AND OF YOUR OWN FREE WILL AND AGREE TO ABIDE BY ALL THE TERMS AND CONDITIONS CONTAINED HEREIN.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17"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7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Please indicate your agreement with the above terms by signing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Cara Schembri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Legal and Administrative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agree to the terms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Y. Hyman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1" w:name="page22"/>
    <w:bookmarkEnd w:id="21"/>
    <w:p>
      <w:pPr>
        <w:ind w:right="4539"/>
        <w:spacing w:after="0" w:line="266" w:lineRule="auto"/>
        <w:rPr>
          <w:sz w:val="20"/>
          <w:szCs w:val="20"/>
          <w:color w:val="auto"/>
        </w:rPr>
      </w:pPr>
      <w:r>
        <w:rPr>
          <w:rFonts w:ascii="Times New Roman" w:cs="Times New Roman" w:eastAsia="Times New Roman" w:hAnsi="Times New Roman"/>
          <w:sz w:val="18"/>
          <w:szCs w:val="18"/>
          <w:color w:val="auto"/>
        </w:rPr>
        <w:t>Solely for purposes of Section 6(d) and Section 9 of this Agreement, each member of the Investor Group agrees to the terms of Section 6(d) and Section 9 of this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CHS US INVESTMENTS LLC</w:t>
      </w: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CHS GP LP, as manager</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CHS UGP LLC, as general partner</w:t>
      </w:r>
    </w:p>
    <w:p>
      <w:pPr>
        <w:spacing w:after="0" w:line="200" w:lineRule="exact"/>
        <w:rPr>
          <w:sz w:val="20"/>
          <w:szCs w:val="20"/>
          <w:color w:val="auto"/>
        </w:rPr>
      </w:pP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Brady Schuck</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GATEWAY RUNWAY, LLC</w:t>
      </w: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Damian Giangiacomo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Damian Giangiacomo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S3 RR AGGREGATOR,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Comisar</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Comisar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333"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REAFFIRMATION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may not execute this Reaffirmation at any time prior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Date.</w:t>
      </w:r>
    </w:p>
    <w:p>
      <w:pPr>
        <w:spacing w:after="0" w:line="207" w:lineRule="exact"/>
        <w:rPr>
          <w:sz w:val="20"/>
          <w:szCs w:val="20"/>
          <w:color w:val="auto"/>
        </w:rPr>
      </w:pPr>
    </w:p>
    <w:p>
      <w:pPr>
        <w:ind w:right="4679"/>
        <w:spacing w:after="0" w:line="282" w:lineRule="auto"/>
        <w:rPr>
          <w:sz w:val="20"/>
          <w:szCs w:val="20"/>
          <w:color w:val="auto"/>
        </w:rPr>
      </w:pPr>
      <w:r>
        <w:rPr>
          <w:rFonts w:ascii="Times New Roman" w:cs="Times New Roman" w:eastAsia="Times New Roman" w:hAnsi="Times New Roman"/>
          <w:sz w:val="18"/>
          <w:szCs w:val="18"/>
          <w:color w:val="auto"/>
        </w:rPr>
        <w:t>I hereby reaffirm my agreement to the terms of this Agreement, effective as of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Y. Hyman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2061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19" w:right="1440"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12,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Y. Hyman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Stauffer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JYH 2021 Children’s Trust dtd 10/12/21 Justin Finnegan 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BS 2021 Family Trust dtd 10/12/21 Justin Finnegan 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JYH 2012 Article 2nd Trust dtd 1/23/20 Linda Hyman &amp; Justine Finnegan TTEES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Linda S Hyman &amp; Dov I Hyman JTWROS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 is made to certain Separation, Consulting and Release Agreement, dated May 12, 2026, by and between Jennifer Y. Hyman and 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Runway,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such agreement, the “</w:t>
      </w:r>
      <w:r>
        <w:rPr>
          <w:rFonts w:ascii="Times New Roman" w:cs="Times New Roman" w:eastAsia="Times New Roman" w:hAnsi="Times New Roman"/>
          <w:sz w:val="18"/>
          <w:szCs w:val="18"/>
          <w:b w:val="1"/>
          <w:bCs w:val="1"/>
          <w:color w:val="auto"/>
        </w:rPr>
        <w:t>Separation Agreement</w:t>
      </w:r>
      <w:r>
        <w:rPr>
          <w:rFonts w:ascii="Times New Roman" w:cs="Times New Roman" w:eastAsia="Times New Roman" w:hAnsi="Times New Roman"/>
          <w:sz w:val="18"/>
          <w:szCs w:val="18"/>
          <w:color w:val="auto"/>
        </w:rPr>
        <w:t>”). This letter agreement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confirms the mutual understanding and agreement between Ms. Hyman and Founder (each, a “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with respect to the termination of its rights pursuant to that certain Investor Rights Agreement, dated as of August 20, 2025 (the “</w:t>
      </w:r>
      <w:r>
        <w:rPr>
          <w:rFonts w:ascii="Times New Roman" w:cs="Times New Roman" w:eastAsia="Times New Roman" w:hAnsi="Times New Roman"/>
          <w:sz w:val="18"/>
          <w:szCs w:val="18"/>
          <w:b w:val="1"/>
          <w:bCs w:val="1"/>
          <w:color w:val="auto"/>
        </w:rPr>
        <w:t>Investor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Agreement</w:t>
      </w:r>
      <w:r>
        <w:rPr>
          <w:rFonts w:ascii="Times New Roman" w:cs="Times New Roman" w:eastAsia="Times New Roman" w:hAnsi="Times New Roman"/>
          <w:sz w:val="18"/>
          <w:szCs w:val="18"/>
          <w:color w:val="auto"/>
        </w:rPr>
        <w:t>”), between the Company and the parties listed as Investors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Capitalized terms used but not defined herein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meanings given to them in the Investor Rights Agreement.</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promises and mutual covenants herein and for other good and valuable consideration, including the consideration set forth in the Separation Agreement, the receipt and sufficiency of which are hereby acknowledged by the parties hereto, the parties agree as follows:</w:t>
      </w:r>
    </w:p>
    <w:p>
      <w:pPr>
        <w:spacing w:after="0" w:line="162" w:lineRule="exact"/>
        <w:rPr>
          <w:sz w:val="20"/>
          <w:szCs w:val="20"/>
          <w:color w:val="auto"/>
        </w:rPr>
      </w:pPr>
    </w:p>
    <w:p>
      <w:pPr>
        <w:jc w:val="both"/>
        <w:ind w:firstLine="656"/>
        <w:spacing w:after="0" w:line="253" w:lineRule="auto"/>
        <w:tabs>
          <w:tab w:leader="none" w:pos="11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matters contemplated by the Separation Agreement, effective as of the Separation Date (as defined in the Separation Agreement), each Party hereby irrevocably acknowledges and confirms that any and all rights or entitlements such Party may have under the Investor Rights Agreement, including, without limitation, (i) the right of JYH to be designated for appointment to the Board and for reasonable consideration of her views in connection with certain Board appointments, (ii) the right of Founder to designate for appointment to the Board one Founder Director and one Founder Observer, and (iii) any rights to attend or receive notice of meetings of the Board or any committee thereof or to receive information or materials thereunder, are hereby terminated pursuant to Section 13.13 of the IRA without any further action by or on behalf of any Party, the Company or any other Person. Each Party hereby agrees not to assert or seek to enforce any such rights from and after the Separation Date. This Agreement sets forth the entire agreement and understanding of the parties hereto and replaces any express or implied prior agreement with respect to the matters covered hereby, except that this Agreement does not supersede the Separation Agreement. This Agreement may be amended only by a written document signed by the parties hereto.</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11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and causes of action hereunder shall be governed by, and construed in accordance with, the Laws of the State of Delaware, regardless of the Laws that might otherwise govern under applicable principles of conflicts of laws thereof. Section 13.07(b) of the IRA is hereby incorporated herein by reference.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9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provision of this Agreement is held to be invalid, illegal or unenforceable, the validity, legality and enforceability of the remainder of this Agreement will not in any way be affected or impaired thereby.</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12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intended to bind and inure to the benefit of and be enforceable by you and the Company and their respective successors, heirs and permitted assigns.</w:t>
      </w:r>
    </w:p>
    <w:p>
      <w:pPr>
        <w:spacing w:after="0" w:line="161"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parties to the Investor Rights Agreement are intended third-party beneficiaries of this Agreement.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4" w:name="page25"/>
    <w:bookmarkEnd w:id="24"/>
    <w:p>
      <w:pPr>
        <w:ind w:firstLine="648"/>
        <w:spacing w:after="0" w:line="282" w:lineRule="auto"/>
        <w:rPr>
          <w:sz w:val="20"/>
          <w:szCs w:val="20"/>
          <w:color w:val="auto"/>
        </w:rPr>
      </w:pPr>
      <w:r>
        <w:rPr>
          <w:rFonts w:ascii="Times New Roman" w:cs="Times New Roman" w:eastAsia="Times New Roman" w:hAnsi="Times New Roman"/>
          <w:sz w:val="18"/>
          <w:szCs w:val="18"/>
          <w:color w:val="auto"/>
        </w:rPr>
        <w:t>Please indicate your acceptance of the above terms by signing and dating this Agreement and returning it to Cara Schembri in connection with your execution of the Separation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Cara Schembri</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Legal and Administrative Officer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 (as of the date first written above)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Y. HYMAN</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BENJAMIN STAUFFER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STAUFFER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JUSTIN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JYH 2021 CHILDREN’S TRUST DTD 10/12/21 JUSTIN FINNEGAN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TTEE</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JUSTIN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BS 2021 FAMILY TRUST DTD 10/12/21 JUSTIN FINNEGAN TTEE</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LINDA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JYH 2012 ARTICLE 2ND TRUST DTD 1/23/20 LINDA HYMAN &amp;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JUSTINE FINNEGAN TTEES</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LINDA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LINDA S HYMAN &amp; DOV I HYMAN JTWROS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the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ind w:left="1012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WORK</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SOW No. 2 (“</w:t>
      </w:r>
      <w:r>
        <w:rPr>
          <w:rFonts w:ascii="Times New Roman" w:cs="Times New Roman" w:eastAsia="Times New Roman" w:hAnsi="Times New Roman"/>
          <w:sz w:val="18"/>
          <w:szCs w:val="18"/>
          <w:b w:val="1"/>
          <w:bCs w:val="1"/>
          <w:color w:val="auto"/>
        </w:rPr>
        <w:t>SOW</w:t>
      </w:r>
      <w:r>
        <w:rPr>
          <w:rFonts w:ascii="Times New Roman" w:cs="Times New Roman" w:eastAsia="Times New Roman" w:hAnsi="Times New Roman"/>
          <w:sz w:val="18"/>
          <w:szCs w:val="18"/>
          <w:color w:val="auto"/>
        </w:rPr>
        <w:t>”) is issued under the Services Agreement, dated as of November 1, 2025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between Rent the Runway, Inc. (“</w:t>
      </w:r>
      <w:r>
        <w:rPr>
          <w:rFonts w:ascii="Times New Roman" w:cs="Times New Roman" w:eastAsia="Times New Roman" w:hAnsi="Times New Roman"/>
          <w:sz w:val="18"/>
          <w:szCs w:val="18"/>
          <w:b w:val="1"/>
          <w:bCs w:val="1"/>
          <w:color w:val="auto"/>
        </w:rPr>
        <w:t>RTR</w:t>
      </w:r>
      <w:r>
        <w:rPr>
          <w:rFonts w:ascii="Times New Roman" w:cs="Times New Roman" w:eastAsia="Times New Roman" w:hAnsi="Times New Roman"/>
          <w:sz w:val="18"/>
          <w:szCs w:val="18"/>
          <w:color w:val="auto"/>
        </w:rPr>
        <w:t>”) and Teri Bariquit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This SOW is effective as of May 15,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shall supersede and replace SOW No. 1 issued under this Agreement as of the Effective Date. This SOW shall automatically terminate on the date that Consultant ceases providing services to RTR as its interim Chief Executive Officer and President (such date,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and the period beginning on the Effective Date and ending on the Termination Date,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This SOW includes the terms and conditions of the Agreement, which are incorporated by this reference. In the event of any conflict in terms between the Agreement and this SOW, the Agreement shall prevail unless otherwise expressly stated in this SOW. Terms used in this SOW and not defined shall have the meaning set forth in the Agreement.</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RTR Contact:</w:t>
            </w:r>
          </w:p>
        </w:tc>
        <w:tc>
          <w:tcPr>
            <w:tcW w:w="6040" w:type="dxa"/>
            <w:vAlign w:val="bottom"/>
            <w:tcBorders>
              <w:top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Dhiren Fonseca</w:t>
            </w:r>
          </w:p>
        </w:tc>
      </w:tr>
      <w:tr>
        <w:trPr>
          <w:trHeight w:val="54"/>
        </w:trPr>
        <w:tc>
          <w:tcPr>
            <w:tcW w:w="5200" w:type="dxa"/>
            <w:vAlign w:val="bottom"/>
            <w:tcBorders>
              <w:left w:val="single" w:sz="8" w:color="auto"/>
              <w:bottom w:val="single" w:sz="8" w:color="auto"/>
              <w:right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r>
      <w:tr>
        <w:trPr>
          <w:trHeight w:val="245"/>
        </w:trPr>
        <w:tc>
          <w:tcPr>
            <w:tcW w:w="5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Position; Duties and Responsibilities:</w:t>
            </w: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During the Term, Consultant shall serve as RTR’s interim Chief Executive Officer</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and President. In this capacity, Consultant shall have all of the duties and</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responsibilities customarily rendered by an interim chief executive officer and</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president in companies of similar size and nature, and such other duties,</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authorities and responsibilities as the board of directors (the “Board”) shall</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designate from time to time that are not inconsistent with Consultant’s position as</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interim Chief Executive Officer and President of RTR. Notwithstanding the</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above, and subject only to the authority of the Board, Consultant shall have final</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executive decision-making authority over all RTR matters. Consultant shall report</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directly and solely to the Board. In addition, Consultant shall continue to serve as</w:t>
            </w:r>
          </w:p>
        </w:tc>
      </w:tr>
      <w:tr>
        <w:trPr>
          <w:trHeight w:val="234"/>
        </w:trPr>
        <w:tc>
          <w:tcPr>
            <w:tcW w:w="5200" w:type="dxa"/>
            <w:vAlign w:val="bottom"/>
            <w:tcBorders>
              <w:left w:val="single" w:sz="8" w:color="auto"/>
              <w:right w:val="single" w:sz="8" w:color="auto"/>
            </w:tcBorders>
          </w:tcPr>
          <w:p>
            <w:pPr>
              <w:spacing w:after="0"/>
              <w:rPr>
                <w:sz w:val="20"/>
                <w:szCs w:val="20"/>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 member of the Board during the Term.</w:t>
            </w:r>
          </w:p>
        </w:tc>
      </w:tr>
      <w:tr>
        <w:trPr>
          <w:trHeight w:val="414"/>
        </w:trPr>
        <w:tc>
          <w:tcPr>
            <w:tcW w:w="5200" w:type="dxa"/>
            <w:vAlign w:val="bottom"/>
            <w:tcBorders>
              <w:left w:val="single" w:sz="8" w:color="auto"/>
              <w:right w:val="single" w:sz="8" w:color="auto"/>
            </w:tcBorders>
          </w:tcPr>
          <w:p>
            <w:pPr>
              <w:spacing w:after="0"/>
              <w:rPr>
                <w:sz w:val="24"/>
                <w:szCs w:val="24"/>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During the Term, Consultant shall devote substantially all of Consultant’s</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business time, energy and skill and Consultant’s reasonable best efforts to the</w:t>
            </w:r>
          </w:p>
        </w:tc>
      </w:tr>
      <w:tr>
        <w:trPr>
          <w:trHeight w:val="194"/>
        </w:trPr>
        <w:tc>
          <w:tcPr>
            <w:tcW w:w="5200" w:type="dxa"/>
            <w:vAlign w:val="bottom"/>
            <w:tcBorders>
              <w:left w:val="single" w:sz="8" w:color="auto"/>
              <w:right w:val="single" w:sz="8" w:color="auto"/>
            </w:tcBorders>
          </w:tcPr>
          <w:p>
            <w:pPr>
              <w:spacing w:after="0"/>
              <w:rPr>
                <w:sz w:val="16"/>
                <w:szCs w:val="16"/>
                <w:color w:val="auto"/>
              </w:rPr>
            </w:pPr>
          </w:p>
        </w:tc>
        <w:tc>
          <w:tcPr>
            <w:tcW w:w="6040" w:type="dxa"/>
            <w:vAlign w:val="bottom"/>
            <w:tcBorders>
              <w:right w:val="single" w:sz="8" w:color="auto"/>
            </w:tcBorders>
            <w:gridSpan w:val="3"/>
          </w:tcPr>
          <w:p>
            <w:pPr>
              <w:ind w:left="40"/>
              <w:spacing w:after="0" w:line="194" w:lineRule="exact"/>
              <w:rPr>
                <w:sz w:val="20"/>
                <w:szCs w:val="20"/>
                <w:color w:val="auto"/>
              </w:rPr>
            </w:pPr>
            <w:r>
              <w:rPr>
                <w:rFonts w:ascii="Times New Roman" w:cs="Times New Roman" w:eastAsia="Times New Roman" w:hAnsi="Times New Roman"/>
                <w:sz w:val="18"/>
                <w:szCs w:val="18"/>
                <w:color w:val="auto"/>
              </w:rPr>
              <w:t>performance of Consultant’s duties with RTR, provided that the foregoing shall</w:t>
            </w:r>
          </w:p>
        </w:tc>
      </w:tr>
      <w:tr>
        <w:trPr>
          <w:trHeight w:val="20"/>
        </w:trPr>
        <w:tc>
          <w:tcPr>
            <w:tcW w:w="5200" w:type="dxa"/>
            <w:vAlign w:val="bottom"/>
            <w:tcBorders>
              <w:left w:val="single" w:sz="8" w:color="auto"/>
              <w:right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r>
      <w:tr>
        <w:trPr>
          <w:trHeight w:val="218"/>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not prevent Consultant from (i) serving on the board of directors of a corporation</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or any other entity the primary business of which is not competitive with RTR,</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(ii) participating in charitable, civic, educational, professional, community or</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industry affairs, and (iii) managing Consultant’s personal investments, in each</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case, so long as such activities in the aggregate do not materially interfere or</w:t>
            </w:r>
          </w:p>
        </w:tc>
      </w:tr>
      <w:tr>
        <w:trPr>
          <w:trHeight w:val="234"/>
        </w:trPr>
        <w:tc>
          <w:tcPr>
            <w:tcW w:w="5200" w:type="dxa"/>
            <w:vAlign w:val="bottom"/>
            <w:tcBorders>
              <w:left w:val="single" w:sz="8" w:color="auto"/>
              <w:right w:val="single" w:sz="8" w:color="auto"/>
            </w:tcBorders>
          </w:tcPr>
          <w:p>
            <w:pPr>
              <w:spacing w:after="0"/>
              <w:rPr>
                <w:sz w:val="20"/>
                <w:szCs w:val="20"/>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conflict with Consultant’s duties hereunder or create a fiduciary conflict.</w:t>
            </w:r>
          </w:p>
        </w:tc>
      </w:tr>
      <w:tr>
        <w:trPr>
          <w:trHeight w:val="54"/>
        </w:trPr>
        <w:tc>
          <w:tcPr>
            <w:tcW w:w="5200" w:type="dxa"/>
            <w:vAlign w:val="bottom"/>
            <w:tcBorders>
              <w:left w:val="single" w:sz="8" w:color="auto"/>
              <w:bottom w:val="single" w:sz="8" w:color="auto"/>
              <w:right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r>
      <w:tr>
        <w:trPr>
          <w:trHeight w:val="245"/>
        </w:trPr>
        <w:tc>
          <w:tcPr>
            <w:tcW w:w="5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Fee:</w:t>
            </w: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During the Term, Consultant shall receive a monthly consulting fee of $50,000,</w:t>
            </w:r>
          </w:p>
        </w:tc>
      </w:tr>
      <w:tr>
        <w:trPr>
          <w:trHeight w:val="234"/>
        </w:trPr>
        <w:tc>
          <w:tcPr>
            <w:tcW w:w="5200" w:type="dxa"/>
            <w:vAlign w:val="bottom"/>
            <w:tcBorders>
              <w:left w:val="single" w:sz="8" w:color="auto"/>
              <w:right w:val="single" w:sz="8" w:color="auto"/>
            </w:tcBorders>
          </w:tcPr>
          <w:p>
            <w:pPr>
              <w:spacing w:after="0"/>
              <w:rPr>
                <w:sz w:val="20"/>
                <w:szCs w:val="20"/>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pro-rated for any partial months</w:t>
            </w:r>
          </w:p>
        </w:tc>
      </w:tr>
      <w:tr>
        <w:trPr>
          <w:trHeight w:val="54"/>
        </w:trPr>
        <w:tc>
          <w:tcPr>
            <w:tcW w:w="5200" w:type="dxa"/>
            <w:vAlign w:val="bottom"/>
            <w:tcBorders>
              <w:left w:val="single" w:sz="8" w:color="auto"/>
              <w:bottom w:val="single" w:sz="8" w:color="auto"/>
              <w:right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r>
      <w:tr>
        <w:trPr>
          <w:trHeight w:val="241"/>
        </w:trPr>
        <w:tc>
          <w:tcPr>
            <w:tcW w:w="5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Target Bonus Opportunity:</w:t>
            </w: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Consultant shall be eligible to receive an annual bonus with respect to Fiscal Year</w:t>
            </w:r>
          </w:p>
        </w:tc>
      </w:tr>
      <w:tr>
        <w:trPr>
          <w:trHeight w:val="220"/>
        </w:trPr>
        <w:tc>
          <w:tcPr>
            <w:tcW w:w="5200" w:type="dxa"/>
            <w:vAlign w:val="bottom"/>
            <w:tcBorders>
              <w:left w:val="single" w:sz="8" w:color="auto"/>
              <w:right w:val="single" w:sz="8" w:color="auto"/>
            </w:tcBorders>
          </w:tcPr>
          <w:p>
            <w:pPr>
              <w:spacing w:after="0"/>
              <w:rPr>
                <w:sz w:val="19"/>
                <w:szCs w:val="19"/>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2026 in an amount up to $125,000 (the “</w:t>
            </w:r>
            <w:r>
              <w:rPr>
                <w:rFonts w:ascii="Times New Roman" w:cs="Times New Roman" w:eastAsia="Times New Roman" w:hAnsi="Times New Roman"/>
                <w:sz w:val="18"/>
                <w:szCs w:val="18"/>
                <w:b w:val="1"/>
                <w:bCs w:val="1"/>
                <w:color w:val="auto"/>
              </w:rPr>
              <w:t>Annual Bonus</w:t>
            </w:r>
            <w:r>
              <w:rPr>
                <w:rFonts w:ascii="Times New Roman" w:cs="Times New Roman" w:eastAsia="Times New Roman" w:hAnsi="Times New Roman"/>
                <w:sz w:val="18"/>
                <w:szCs w:val="18"/>
                <w:color w:val="auto"/>
              </w:rPr>
              <w:t>”) pursuant to the terms of</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RTR’s annual incentive program as established by the board of directors (the</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“Board”) in its discretion for Fiscal Year 2026, subject to Consultant’s continued</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service as a consultant under the Agreement or as a member of the Board through</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the date that the Annual Bonus is paid to Consultant. The actual amount of the</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Annual Bonus shall be determined by the Board, in its sole discretion, and based</w:t>
            </w:r>
          </w:p>
        </w:tc>
      </w:tr>
      <w:tr>
        <w:trPr>
          <w:trHeight w:val="234"/>
        </w:trPr>
        <w:tc>
          <w:tcPr>
            <w:tcW w:w="5200" w:type="dxa"/>
            <w:vAlign w:val="bottom"/>
            <w:tcBorders>
              <w:left w:val="single" w:sz="8" w:color="auto"/>
              <w:right w:val="single" w:sz="8" w:color="auto"/>
            </w:tcBorders>
          </w:tcPr>
          <w:p>
            <w:pPr>
              <w:spacing w:after="0"/>
              <w:rPr>
                <w:sz w:val="20"/>
                <w:szCs w:val="20"/>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on the same performance criteria applicable to RTR’s executive leadership team.</w:t>
            </w:r>
          </w:p>
        </w:tc>
      </w:tr>
      <w:tr>
        <w:trPr>
          <w:trHeight w:val="54"/>
        </w:trPr>
        <w:tc>
          <w:tcPr>
            <w:tcW w:w="5200" w:type="dxa"/>
            <w:vAlign w:val="bottom"/>
            <w:tcBorders>
              <w:left w:val="single" w:sz="8" w:color="auto"/>
              <w:bottom w:val="single" w:sz="8" w:color="auto"/>
              <w:right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r>
      <w:tr>
        <w:trPr>
          <w:trHeight w:val="245"/>
        </w:trPr>
        <w:tc>
          <w:tcPr>
            <w:tcW w:w="5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PSU Grant:</w:t>
            </w: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Subject to approval by the Board, Consultant shall be eligible to receive a grant of</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performance stock units comprising 100,000 shares of RTR’s Class A common</w:t>
            </w:r>
          </w:p>
        </w:tc>
      </w:tr>
      <w:tr>
        <w:trPr>
          <w:trHeight w:val="234"/>
        </w:trPr>
        <w:tc>
          <w:tcPr>
            <w:tcW w:w="5200" w:type="dxa"/>
            <w:vAlign w:val="bottom"/>
            <w:tcBorders>
              <w:left w:val="single" w:sz="8" w:color="auto"/>
              <w:right w:val="single" w:sz="8" w:color="auto"/>
            </w:tcBorders>
          </w:tcPr>
          <w:p>
            <w:pPr>
              <w:spacing w:after="0"/>
              <w:rPr>
                <w:sz w:val="20"/>
                <w:szCs w:val="20"/>
                <w:color w:val="auto"/>
              </w:rPr>
            </w:pPr>
          </w:p>
        </w:tc>
        <w:tc>
          <w:tcPr>
            <w:tcW w:w="6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stock (assuming maximum level of performance is</w:t>
            </w:r>
          </w:p>
        </w:tc>
      </w:tr>
      <w:tr>
        <w:trPr>
          <w:trHeight w:val="54"/>
        </w:trPr>
        <w:tc>
          <w:tcPr>
            <w:tcW w:w="5200" w:type="dxa"/>
            <w:vAlign w:val="bottom"/>
            <w:tcBorders>
              <w:left w:val="single" w:sz="8" w:color="auto"/>
              <w:bottom w:val="single" w:sz="8" w:color="auto"/>
              <w:right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r>
      <w:tr>
        <w:trPr>
          <w:trHeight w:val="304"/>
        </w:trPr>
        <w:tc>
          <w:tcPr>
            <w:tcW w:w="52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26" w:name="page27"/>
    <w:bookmarkEnd w:id="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80" w:type="dxa"/>
            <w:vAlign w:val="bottom"/>
            <w:tcBorders>
              <w:top w:val="single" w:sz="8" w:color="auto"/>
              <w:left w:val="single" w:sz="8" w:color="auto"/>
            </w:tcBorders>
          </w:tcPr>
          <w:p>
            <w:pPr>
              <w:spacing w:after="0"/>
              <w:rPr>
                <w:sz w:val="23"/>
                <w:szCs w:val="23"/>
                <w:color w:val="auto"/>
              </w:rPr>
            </w:pPr>
          </w:p>
        </w:tc>
        <w:tc>
          <w:tcPr>
            <w:tcW w:w="4500" w:type="dxa"/>
            <w:vAlign w:val="bottom"/>
            <w:tcBorders>
              <w:top w:val="single" w:sz="8" w:color="auto"/>
            </w:tcBorders>
          </w:tcPr>
          <w:p>
            <w:pPr>
              <w:spacing w:after="0"/>
              <w:rPr>
                <w:sz w:val="23"/>
                <w:szCs w:val="23"/>
                <w:color w:val="auto"/>
              </w:rPr>
            </w:pPr>
          </w:p>
        </w:tc>
        <w:tc>
          <w:tcPr>
            <w:tcW w:w="120" w:type="dxa"/>
            <w:vAlign w:val="bottom"/>
            <w:tcBorders>
              <w:top w:val="single" w:sz="8" w:color="auto"/>
              <w:right w:val="single" w:sz="8" w:color="auto"/>
            </w:tcBorders>
          </w:tcPr>
          <w:p>
            <w:pPr>
              <w:spacing w:after="0"/>
              <w:rPr>
                <w:sz w:val="23"/>
                <w:szCs w:val="23"/>
                <w:color w:val="auto"/>
              </w:rPr>
            </w:pPr>
          </w:p>
        </w:tc>
        <w:tc>
          <w:tcPr>
            <w:tcW w:w="6060" w:type="dxa"/>
            <w:vAlign w:val="bottom"/>
            <w:tcBorders>
              <w:top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achieved), which shall be issued under RTR’s Second Amended and Restated</w:t>
            </w:r>
          </w:p>
        </w:tc>
      </w:tr>
      <w:tr>
        <w:trPr>
          <w:trHeight w:val="216"/>
        </w:trPr>
        <w:tc>
          <w:tcPr>
            <w:tcW w:w="580" w:type="dxa"/>
            <w:vAlign w:val="bottom"/>
            <w:tcBorders>
              <w:left w:val="single" w:sz="8" w:color="auto"/>
            </w:tcBorders>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2021 Incentive Award Plan, as may be amended from time to time, and an award</w:t>
            </w:r>
          </w:p>
        </w:tc>
      </w:tr>
      <w:tr>
        <w:trPr>
          <w:trHeight w:val="216"/>
        </w:trPr>
        <w:tc>
          <w:tcPr>
            <w:tcW w:w="580" w:type="dxa"/>
            <w:vAlign w:val="bottom"/>
            <w:tcBorders>
              <w:left w:val="single" w:sz="8" w:color="auto"/>
            </w:tcBorders>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agreement, substantially in the form as that certain Performance Stock Unit</w:t>
            </w:r>
          </w:p>
        </w:tc>
      </w:tr>
      <w:tr>
        <w:trPr>
          <w:trHeight w:val="234"/>
        </w:trPr>
        <w:tc>
          <w:tcPr>
            <w:tcW w:w="580" w:type="dxa"/>
            <w:vAlign w:val="bottom"/>
            <w:tcBorders>
              <w:left w:val="single" w:sz="8" w:color="auto"/>
            </w:tcBorders>
          </w:tcPr>
          <w:p>
            <w:pPr>
              <w:spacing w:after="0"/>
              <w:rPr>
                <w:sz w:val="20"/>
                <w:szCs w:val="20"/>
                <w:color w:val="auto"/>
              </w:rPr>
            </w:pPr>
          </w:p>
        </w:tc>
        <w:tc>
          <w:tcPr>
            <w:tcW w:w="4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Award granted to RTR’s Executive Chairman on February 27, 2026.</w:t>
            </w:r>
          </w:p>
        </w:tc>
      </w:tr>
      <w:tr>
        <w:trPr>
          <w:trHeight w:val="54"/>
        </w:trPr>
        <w:tc>
          <w:tcPr>
            <w:tcW w:w="5080" w:type="dxa"/>
            <w:vAlign w:val="bottom"/>
            <w:tcBorders>
              <w:left w:val="single" w:sz="8" w:color="auto"/>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right w:val="single" w:sz="8" w:color="auto"/>
            </w:tcBorders>
            <w:gridSpan w:val="2"/>
          </w:tcPr>
          <w:p>
            <w:pPr>
              <w:spacing w:after="0"/>
              <w:rPr>
                <w:sz w:val="4"/>
                <w:szCs w:val="4"/>
                <w:color w:val="auto"/>
              </w:rPr>
            </w:pPr>
          </w:p>
        </w:tc>
      </w:tr>
      <w:tr>
        <w:trPr>
          <w:trHeight w:val="245"/>
        </w:trPr>
        <w:tc>
          <w:tcPr>
            <w:tcW w:w="520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Expense Reimbursement:</w:t>
            </w:r>
          </w:p>
        </w:tc>
        <w:tc>
          <w:tcPr>
            <w:tcW w:w="60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Notwithstanding anything to the contrary in the Agreement or in RTR’s Non-</w:t>
            </w:r>
          </w:p>
        </w:tc>
      </w:tr>
      <w:tr>
        <w:trPr>
          <w:trHeight w:val="216"/>
        </w:trPr>
        <w:tc>
          <w:tcPr>
            <w:tcW w:w="580" w:type="dxa"/>
            <w:vAlign w:val="bottom"/>
            <w:tcBorders>
              <w:left w:val="single" w:sz="8" w:color="auto"/>
            </w:tcBorders>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Employee Director Compensation Policy, dated as of December 16, 2025, RTR</w:t>
            </w:r>
          </w:p>
        </w:tc>
      </w:tr>
      <w:tr>
        <w:trPr>
          <w:trHeight w:val="216"/>
        </w:trPr>
        <w:tc>
          <w:tcPr>
            <w:tcW w:w="580" w:type="dxa"/>
            <w:vAlign w:val="bottom"/>
            <w:tcBorders>
              <w:left w:val="single" w:sz="8" w:color="auto"/>
            </w:tcBorders>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shall promptly reimburse Consultant for all reasonable travel and other out-of-</w:t>
            </w:r>
          </w:p>
        </w:tc>
      </w:tr>
      <w:tr>
        <w:trPr>
          <w:trHeight w:val="216"/>
        </w:trPr>
        <w:tc>
          <w:tcPr>
            <w:tcW w:w="580" w:type="dxa"/>
            <w:vAlign w:val="bottom"/>
            <w:tcBorders>
              <w:left w:val="single" w:sz="8" w:color="auto"/>
            </w:tcBorders>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pocket business expenses incurred by Consultant in connection with the</w:t>
            </w:r>
          </w:p>
        </w:tc>
      </w:tr>
      <w:tr>
        <w:trPr>
          <w:trHeight w:val="216"/>
        </w:trPr>
        <w:tc>
          <w:tcPr>
            <w:tcW w:w="580" w:type="dxa"/>
            <w:vAlign w:val="bottom"/>
            <w:tcBorders>
              <w:left w:val="single" w:sz="8" w:color="auto"/>
            </w:tcBorders>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performance of her duties to RTR in accordance with any applicable RTR policies</w:t>
            </w:r>
          </w:p>
        </w:tc>
      </w:tr>
      <w:tr>
        <w:trPr>
          <w:trHeight w:val="234"/>
        </w:trPr>
        <w:tc>
          <w:tcPr>
            <w:tcW w:w="580" w:type="dxa"/>
            <w:vAlign w:val="bottom"/>
            <w:tcBorders>
              <w:left w:val="single" w:sz="8" w:color="auto"/>
            </w:tcBorders>
          </w:tcPr>
          <w:p>
            <w:pPr>
              <w:spacing w:after="0"/>
              <w:rPr>
                <w:sz w:val="20"/>
                <w:szCs w:val="20"/>
                <w:color w:val="auto"/>
              </w:rPr>
            </w:pPr>
          </w:p>
        </w:tc>
        <w:tc>
          <w:tcPr>
            <w:tcW w:w="4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(as may be in effect from time to time).</w:t>
            </w:r>
          </w:p>
        </w:tc>
      </w:tr>
      <w:tr>
        <w:trPr>
          <w:trHeight w:val="54"/>
        </w:trPr>
        <w:tc>
          <w:tcPr>
            <w:tcW w:w="5080" w:type="dxa"/>
            <w:vAlign w:val="bottom"/>
            <w:tcBorders>
              <w:left w:val="single" w:sz="8" w:color="auto"/>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right w:val="single" w:sz="8" w:color="auto"/>
            </w:tcBorders>
            <w:gridSpan w:val="2"/>
          </w:tcPr>
          <w:p>
            <w:pPr>
              <w:spacing w:after="0"/>
              <w:rPr>
                <w:sz w:val="4"/>
                <w:szCs w:val="4"/>
                <w:color w:val="auto"/>
              </w:rPr>
            </w:pPr>
          </w:p>
        </w:tc>
      </w:tr>
      <w:tr>
        <w:trPr>
          <w:trHeight w:val="245"/>
        </w:trPr>
        <w:tc>
          <w:tcPr>
            <w:tcW w:w="520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Invoicing:</w:t>
            </w:r>
          </w:p>
        </w:tc>
        <w:tc>
          <w:tcPr>
            <w:tcW w:w="60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Consultant will invoice RTR monthly (by sending invoices to RTR Contact) and</w:t>
            </w:r>
          </w:p>
        </w:tc>
      </w:tr>
      <w:tr>
        <w:trPr>
          <w:trHeight w:val="234"/>
        </w:trPr>
        <w:tc>
          <w:tcPr>
            <w:tcW w:w="580" w:type="dxa"/>
            <w:vAlign w:val="bottom"/>
            <w:tcBorders>
              <w:left w:val="single" w:sz="8" w:color="auto"/>
            </w:tcBorders>
          </w:tcPr>
          <w:p>
            <w:pPr>
              <w:spacing w:after="0"/>
              <w:rPr>
                <w:sz w:val="20"/>
                <w:szCs w:val="20"/>
                <w:color w:val="auto"/>
              </w:rPr>
            </w:pPr>
          </w:p>
        </w:tc>
        <w:tc>
          <w:tcPr>
            <w:tcW w:w="4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payment is due net 30 from receipt by RTR.</w:t>
            </w:r>
          </w:p>
        </w:tc>
      </w:tr>
      <w:tr>
        <w:trPr>
          <w:trHeight w:val="54"/>
        </w:trPr>
        <w:tc>
          <w:tcPr>
            <w:tcW w:w="5080" w:type="dxa"/>
            <w:vAlign w:val="bottom"/>
            <w:tcBorders>
              <w:left w:val="single" w:sz="8" w:color="auto"/>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4500" w:type="dxa"/>
            <w:vAlign w:val="bottom"/>
            <w:tcBorders>
              <w:bottom w:val="single" w:sz="8" w:color="auto"/>
              <w:right w:val="single" w:sz="8" w:color="auto"/>
            </w:tcBorders>
          </w:tcPr>
          <w:p>
            <w:pPr>
              <w:spacing w:after="0"/>
              <w:rPr>
                <w:sz w:val="4"/>
                <w:szCs w:val="4"/>
                <w:color w:val="auto"/>
              </w:rPr>
            </w:pPr>
          </w:p>
        </w:tc>
      </w:tr>
      <w:tr>
        <w:trPr>
          <w:trHeight w:val="264"/>
        </w:trPr>
        <w:tc>
          <w:tcPr>
            <w:tcW w:w="520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Start Date:</w:t>
            </w:r>
          </w:p>
        </w:tc>
        <w:tc>
          <w:tcPr>
            <w:tcW w:w="1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15, 2026</w:t>
            </w:r>
          </w:p>
        </w:tc>
        <w:tc>
          <w:tcPr>
            <w:tcW w:w="4500" w:type="dxa"/>
            <w:vAlign w:val="bottom"/>
            <w:tcBorders>
              <w:right w:val="single" w:sz="8" w:color="auto"/>
            </w:tcBorders>
          </w:tcPr>
          <w:p>
            <w:pPr>
              <w:spacing w:after="0"/>
              <w:rPr>
                <w:sz w:val="22"/>
                <w:szCs w:val="22"/>
                <w:color w:val="auto"/>
              </w:rPr>
            </w:pPr>
          </w:p>
        </w:tc>
      </w:tr>
      <w:tr>
        <w:trPr>
          <w:trHeight w:val="54"/>
        </w:trPr>
        <w:tc>
          <w:tcPr>
            <w:tcW w:w="5080" w:type="dxa"/>
            <w:vAlign w:val="bottom"/>
            <w:tcBorders>
              <w:left w:val="single" w:sz="8" w:color="auto"/>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right w:val="single" w:sz="8" w:color="auto"/>
            </w:tcBorders>
            <w:gridSpan w:val="2"/>
          </w:tcPr>
          <w:p>
            <w:pPr>
              <w:spacing w:after="0"/>
              <w:rPr>
                <w:sz w:val="4"/>
                <w:szCs w:val="4"/>
                <w:color w:val="auto"/>
              </w:rPr>
            </w:pPr>
          </w:p>
        </w:tc>
      </w:tr>
      <w:tr>
        <w:trPr>
          <w:trHeight w:val="245"/>
        </w:trPr>
        <w:tc>
          <w:tcPr>
            <w:tcW w:w="520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Work Location(s):</w:t>
            </w:r>
          </w:p>
        </w:tc>
        <w:tc>
          <w:tcPr>
            <w:tcW w:w="60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Consultant shall work remotely from her home in Seattle, Washington; provided,</w:t>
            </w:r>
          </w:p>
        </w:tc>
      </w:tr>
      <w:tr>
        <w:trPr>
          <w:trHeight w:val="216"/>
        </w:trPr>
        <w:tc>
          <w:tcPr>
            <w:tcW w:w="580" w:type="dxa"/>
            <w:vAlign w:val="bottom"/>
            <w:tcBorders>
              <w:left w:val="single" w:sz="8" w:color="auto"/>
            </w:tcBorders>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that Consultant shall commute from her residence to RTR’s headquarters (and</w:t>
            </w:r>
          </w:p>
        </w:tc>
      </w:tr>
      <w:tr>
        <w:trPr>
          <w:trHeight w:val="216"/>
        </w:trPr>
        <w:tc>
          <w:tcPr>
            <w:tcW w:w="580" w:type="dxa"/>
            <w:vAlign w:val="bottom"/>
            <w:tcBorders>
              <w:left w:val="single" w:sz="8" w:color="auto"/>
            </w:tcBorders>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engage in other business travel) as is required to perform Consultant’s duties and</w:t>
            </w:r>
          </w:p>
        </w:tc>
      </w:tr>
      <w:tr>
        <w:trPr>
          <w:trHeight w:val="234"/>
        </w:trPr>
        <w:tc>
          <w:tcPr>
            <w:tcW w:w="580" w:type="dxa"/>
            <w:vAlign w:val="bottom"/>
            <w:tcBorders>
              <w:left w:val="single" w:sz="8" w:color="auto"/>
            </w:tcBorders>
          </w:tcPr>
          <w:p>
            <w:pPr>
              <w:spacing w:after="0"/>
              <w:rPr>
                <w:sz w:val="20"/>
                <w:szCs w:val="20"/>
                <w:color w:val="auto"/>
              </w:rPr>
            </w:pPr>
          </w:p>
        </w:tc>
        <w:tc>
          <w:tcPr>
            <w:tcW w:w="4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responsibilities or as otherwise requested by the Board.</w:t>
            </w:r>
          </w:p>
        </w:tc>
      </w:tr>
      <w:tr>
        <w:trPr>
          <w:trHeight w:val="54"/>
        </w:trPr>
        <w:tc>
          <w:tcPr>
            <w:tcW w:w="5080" w:type="dxa"/>
            <w:vAlign w:val="bottom"/>
            <w:tcBorders>
              <w:left w:val="single" w:sz="8" w:color="auto"/>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right w:val="single" w:sz="8" w:color="auto"/>
            </w:tcBorders>
            <w:gridSpan w:val="2"/>
          </w:tcPr>
          <w:p>
            <w:pPr>
              <w:spacing w:after="0"/>
              <w:rPr>
                <w:sz w:val="4"/>
                <w:szCs w:val="4"/>
                <w:color w:val="auto"/>
              </w:rPr>
            </w:pPr>
          </w:p>
        </w:tc>
      </w:tr>
      <w:tr>
        <w:trPr>
          <w:trHeight w:val="45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RENT THE RUNWAY, INC.</w:t>
            </w:r>
          </w:p>
        </w:tc>
        <w:tc>
          <w:tcPr>
            <w:tcW w:w="60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TERI BARIQUIT</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Cara Schembri</w:t>
            </w:r>
          </w:p>
        </w:tc>
        <w:tc>
          <w:tcPr>
            <w:tcW w:w="15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 Teri Bariquit</w:t>
            </w:r>
          </w:p>
        </w:tc>
      </w:tr>
      <w:tr>
        <w:trPr>
          <w:trHeight w:val="191"/>
        </w:trPr>
        <w:tc>
          <w:tcPr>
            <w:tcW w:w="580" w:type="dxa"/>
            <w:vAlign w:val="bottom"/>
          </w:tcPr>
          <w:p>
            <w:pPr>
              <w:spacing w:after="0"/>
              <w:rPr>
                <w:sz w:val="16"/>
                <w:szCs w:val="16"/>
                <w:color w:val="auto"/>
              </w:rPr>
            </w:pPr>
          </w:p>
        </w:tc>
        <w:tc>
          <w:tcPr>
            <w:tcW w:w="4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Cara Schembri</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Date: May 12, 2026</w:t>
            </w:r>
          </w:p>
        </w:tc>
      </w:tr>
      <w:tr>
        <w:trPr>
          <w:trHeight w:val="216"/>
        </w:trPr>
        <w:tc>
          <w:tcPr>
            <w:tcW w:w="5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Legal &amp; Administrative Officer</w:t>
            </w:r>
          </w:p>
        </w:tc>
        <w:tc>
          <w:tcPr>
            <w:tcW w:w="156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156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810"/>
        </w:trPr>
        <w:tc>
          <w:tcPr>
            <w:tcW w:w="5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w:t>
            </w: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8"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WORK</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SOW No. 3 (“</w:t>
      </w:r>
      <w:r>
        <w:rPr>
          <w:rFonts w:ascii="Times New Roman" w:cs="Times New Roman" w:eastAsia="Times New Roman" w:hAnsi="Times New Roman"/>
          <w:sz w:val="18"/>
          <w:szCs w:val="18"/>
          <w:b w:val="1"/>
          <w:bCs w:val="1"/>
          <w:color w:val="auto"/>
        </w:rPr>
        <w:t>SOW</w:t>
      </w:r>
      <w:r>
        <w:rPr>
          <w:rFonts w:ascii="Times New Roman" w:cs="Times New Roman" w:eastAsia="Times New Roman" w:hAnsi="Times New Roman"/>
          <w:sz w:val="18"/>
          <w:szCs w:val="18"/>
          <w:color w:val="auto"/>
        </w:rPr>
        <w:t>”) is issued under the Services Agreement, dated as of November 1, 2025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between Rent the Runway, Inc. (“</w:t>
      </w:r>
      <w:r>
        <w:rPr>
          <w:rFonts w:ascii="Times New Roman" w:cs="Times New Roman" w:eastAsia="Times New Roman" w:hAnsi="Times New Roman"/>
          <w:sz w:val="18"/>
          <w:szCs w:val="18"/>
          <w:b w:val="1"/>
          <w:bCs w:val="1"/>
          <w:color w:val="auto"/>
        </w:rPr>
        <w:t>RTR</w:t>
      </w:r>
      <w:r>
        <w:rPr>
          <w:rFonts w:ascii="Times New Roman" w:cs="Times New Roman" w:eastAsia="Times New Roman" w:hAnsi="Times New Roman"/>
          <w:sz w:val="18"/>
          <w:szCs w:val="18"/>
          <w:color w:val="auto"/>
        </w:rPr>
        <w:t>”) and Teri Bariquit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This SOW is effective as of the date that SOW No. 2 (“</w:t>
      </w:r>
      <w:r>
        <w:rPr>
          <w:rFonts w:ascii="Times New Roman" w:cs="Times New Roman" w:eastAsia="Times New Roman" w:hAnsi="Times New Roman"/>
          <w:sz w:val="18"/>
          <w:szCs w:val="18"/>
          <w:b w:val="1"/>
          <w:bCs w:val="1"/>
          <w:color w:val="auto"/>
        </w:rPr>
        <w:t>SOW No. 2</w:t>
      </w:r>
      <w:r>
        <w:rPr>
          <w:rFonts w:ascii="Times New Roman" w:cs="Times New Roman" w:eastAsia="Times New Roman" w:hAnsi="Times New Roman"/>
          <w:sz w:val="18"/>
          <w:szCs w:val="18"/>
          <w:color w:val="auto"/>
        </w:rPr>
        <w:t>”) issued under the Agreement terminates in accordance with its terms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and shall supersede and replace SOW No. 2 as of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Consultant shall remain eligible to receive the Annual Bonus (as defined in SOW No. 2) in accordance with SOW No. 2 and the applicable annual incentive program. This SOW includes the terms and conditions of the Agreement, which are incorporated by this reference. In the event of any conflict in terms between the Agreement and this SOW, the Agreement shall prevail unless otherwise expressly stated in this SOW. Terms used in this SOW and not defined shall have the meaning set forth in the Agreement.</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5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RTR Contact:</w:t>
            </w:r>
          </w:p>
        </w:tc>
        <w:tc>
          <w:tcPr>
            <w:tcW w:w="60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Dhiren Fonseca</w:t>
            </w:r>
          </w:p>
        </w:tc>
      </w:tr>
      <w:tr>
        <w:trPr>
          <w:trHeight w:val="54"/>
        </w:trPr>
        <w:tc>
          <w:tcPr>
            <w:tcW w:w="5200" w:type="dxa"/>
            <w:vAlign w:val="bottom"/>
            <w:tcBorders>
              <w:left w:val="single" w:sz="8" w:color="auto"/>
              <w:bottom w:val="single" w:sz="8" w:color="auto"/>
              <w:right w:val="single" w:sz="8" w:color="auto"/>
            </w:tcBorders>
          </w:tcPr>
          <w:p>
            <w:pPr>
              <w:spacing w:after="0"/>
              <w:rPr>
                <w:sz w:val="4"/>
                <w:szCs w:val="4"/>
                <w:color w:val="auto"/>
              </w:rPr>
            </w:pPr>
          </w:p>
        </w:tc>
        <w:tc>
          <w:tcPr>
            <w:tcW w:w="6040" w:type="dxa"/>
            <w:vAlign w:val="bottom"/>
            <w:tcBorders>
              <w:bottom w:val="single" w:sz="8" w:color="auto"/>
              <w:right w:val="single" w:sz="8" w:color="auto"/>
            </w:tcBorders>
          </w:tcPr>
          <w:p>
            <w:pPr>
              <w:spacing w:after="0"/>
              <w:rPr>
                <w:sz w:val="4"/>
                <w:szCs w:val="4"/>
                <w:color w:val="auto"/>
              </w:rPr>
            </w:pPr>
          </w:p>
        </w:tc>
      </w:tr>
      <w:tr>
        <w:trPr>
          <w:trHeight w:val="264"/>
        </w:trPr>
        <w:tc>
          <w:tcPr>
            <w:tcW w:w="5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Fee:</w:t>
            </w:r>
          </w:p>
        </w:tc>
        <w:tc>
          <w:tcPr>
            <w:tcW w:w="6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$10,000/month, pro-rated for any partial months</w:t>
            </w:r>
          </w:p>
        </w:tc>
      </w:tr>
      <w:tr>
        <w:trPr>
          <w:trHeight w:val="54"/>
        </w:trPr>
        <w:tc>
          <w:tcPr>
            <w:tcW w:w="5200" w:type="dxa"/>
            <w:vAlign w:val="bottom"/>
            <w:tcBorders>
              <w:left w:val="single" w:sz="8" w:color="auto"/>
              <w:bottom w:val="single" w:sz="8" w:color="auto"/>
              <w:right w:val="single" w:sz="8" w:color="auto"/>
            </w:tcBorders>
          </w:tcPr>
          <w:p>
            <w:pPr>
              <w:spacing w:after="0"/>
              <w:rPr>
                <w:sz w:val="4"/>
                <w:szCs w:val="4"/>
                <w:color w:val="auto"/>
              </w:rPr>
            </w:pPr>
          </w:p>
        </w:tc>
        <w:tc>
          <w:tcPr>
            <w:tcW w:w="6040" w:type="dxa"/>
            <w:vAlign w:val="bottom"/>
            <w:tcBorders>
              <w:bottom w:val="single" w:sz="8" w:color="auto"/>
              <w:right w:val="single" w:sz="8" w:color="auto"/>
            </w:tcBorders>
          </w:tcPr>
          <w:p>
            <w:pPr>
              <w:spacing w:after="0"/>
              <w:rPr>
                <w:sz w:val="4"/>
                <w:szCs w:val="4"/>
                <w:color w:val="auto"/>
              </w:rPr>
            </w:pPr>
          </w:p>
        </w:tc>
      </w:tr>
      <w:tr>
        <w:trPr>
          <w:trHeight w:val="245"/>
        </w:trPr>
        <w:tc>
          <w:tcPr>
            <w:tcW w:w="5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Invoicing:</w:t>
            </w:r>
          </w:p>
        </w:tc>
        <w:tc>
          <w:tcPr>
            <w:tcW w:w="6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Consultant will invoice RTR monthly (by sending invoices to RTR Contact) and</w:t>
            </w:r>
          </w:p>
        </w:tc>
      </w:tr>
      <w:tr>
        <w:trPr>
          <w:trHeight w:val="234"/>
        </w:trPr>
        <w:tc>
          <w:tcPr>
            <w:tcW w:w="5200" w:type="dxa"/>
            <w:vAlign w:val="bottom"/>
            <w:tcBorders>
              <w:left w:val="single" w:sz="8" w:color="auto"/>
              <w:right w:val="single" w:sz="8" w:color="auto"/>
            </w:tcBorders>
          </w:tcPr>
          <w:p>
            <w:pPr>
              <w:spacing w:after="0"/>
              <w:rPr>
                <w:sz w:val="20"/>
                <w:szCs w:val="20"/>
                <w:color w:val="auto"/>
              </w:rPr>
            </w:pPr>
          </w:p>
        </w:tc>
        <w:tc>
          <w:tcPr>
            <w:tcW w:w="6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payment is due net 30 from receipt by RTR.</w:t>
            </w:r>
          </w:p>
        </w:tc>
      </w:tr>
      <w:tr>
        <w:trPr>
          <w:trHeight w:val="54"/>
        </w:trPr>
        <w:tc>
          <w:tcPr>
            <w:tcW w:w="5200" w:type="dxa"/>
            <w:vAlign w:val="bottom"/>
            <w:tcBorders>
              <w:left w:val="single" w:sz="8" w:color="auto"/>
              <w:bottom w:val="single" w:sz="8" w:color="auto"/>
              <w:right w:val="single" w:sz="8" w:color="auto"/>
            </w:tcBorders>
          </w:tcPr>
          <w:p>
            <w:pPr>
              <w:spacing w:after="0"/>
              <w:rPr>
                <w:sz w:val="4"/>
                <w:szCs w:val="4"/>
                <w:color w:val="auto"/>
              </w:rPr>
            </w:pPr>
          </w:p>
        </w:tc>
        <w:tc>
          <w:tcPr>
            <w:tcW w:w="6040" w:type="dxa"/>
            <w:vAlign w:val="bottom"/>
            <w:tcBorders>
              <w:bottom w:val="single" w:sz="8" w:color="auto"/>
              <w:right w:val="single" w:sz="8" w:color="auto"/>
            </w:tcBorders>
          </w:tcPr>
          <w:p>
            <w:pPr>
              <w:spacing w:after="0"/>
              <w:rPr>
                <w:sz w:val="4"/>
                <w:szCs w:val="4"/>
                <w:color w:val="auto"/>
              </w:rPr>
            </w:pPr>
          </w:p>
        </w:tc>
      </w:tr>
      <w:tr>
        <w:trPr>
          <w:trHeight w:val="263"/>
        </w:trPr>
        <w:tc>
          <w:tcPr>
            <w:tcW w:w="5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Start Date:</w:t>
            </w:r>
          </w:p>
        </w:tc>
        <w:tc>
          <w:tcPr>
            <w:tcW w:w="6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Effective Date</w:t>
            </w:r>
          </w:p>
        </w:tc>
      </w:tr>
      <w:tr>
        <w:trPr>
          <w:trHeight w:val="54"/>
        </w:trPr>
        <w:tc>
          <w:tcPr>
            <w:tcW w:w="5200" w:type="dxa"/>
            <w:vAlign w:val="bottom"/>
            <w:tcBorders>
              <w:left w:val="single" w:sz="8" w:color="auto"/>
              <w:bottom w:val="single" w:sz="8" w:color="auto"/>
              <w:right w:val="single" w:sz="8" w:color="auto"/>
            </w:tcBorders>
          </w:tcPr>
          <w:p>
            <w:pPr>
              <w:spacing w:after="0"/>
              <w:rPr>
                <w:sz w:val="4"/>
                <w:szCs w:val="4"/>
                <w:color w:val="auto"/>
              </w:rPr>
            </w:pPr>
          </w:p>
        </w:tc>
        <w:tc>
          <w:tcPr>
            <w:tcW w:w="6040" w:type="dxa"/>
            <w:vAlign w:val="bottom"/>
            <w:tcBorders>
              <w:bottom w:val="single" w:sz="8" w:color="auto"/>
              <w:right w:val="single" w:sz="8" w:color="auto"/>
            </w:tcBorders>
          </w:tcPr>
          <w:p>
            <w:pPr>
              <w:spacing w:after="0"/>
              <w:rPr>
                <w:sz w:val="4"/>
                <w:szCs w:val="4"/>
                <w:color w:val="auto"/>
              </w:rPr>
            </w:pPr>
          </w:p>
        </w:tc>
      </w:tr>
      <w:tr>
        <w:trPr>
          <w:trHeight w:val="263"/>
        </w:trPr>
        <w:tc>
          <w:tcPr>
            <w:tcW w:w="5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Work Location(s):</w:t>
            </w:r>
          </w:p>
        </w:tc>
        <w:tc>
          <w:tcPr>
            <w:tcW w:w="6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Remote</w:t>
            </w:r>
          </w:p>
        </w:tc>
      </w:tr>
      <w:tr>
        <w:trPr>
          <w:trHeight w:val="54"/>
        </w:trPr>
        <w:tc>
          <w:tcPr>
            <w:tcW w:w="5200" w:type="dxa"/>
            <w:vAlign w:val="bottom"/>
            <w:tcBorders>
              <w:left w:val="single" w:sz="8" w:color="auto"/>
              <w:bottom w:val="single" w:sz="8" w:color="auto"/>
              <w:right w:val="single" w:sz="8" w:color="auto"/>
            </w:tcBorders>
          </w:tcPr>
          <w:p>
            <w:pPr>
              <w:spacing w:after="0"/>
              <w:rPr>
                <w:sz w:val="4"/>
                <w:szCs w:val="4"/>
                <w:color w:val="auto"/>
              </w:rPr>
            </w:pPr>
          </w:p>
        </w:tc>
        <w:tc>
          <w:tcPr>
            <w:tcW w:w="604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Services &amp; Scope of Work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weekly meetings to review and discuss the Company’s business strategies and plans.</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on the Company’s inventory and merchandising work streams.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on potential business opportunities and partnerships and advise on the related commercial terms.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consulting services mutually agreed between Consultant and RTR.</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RENT THE RUNWAY, INC.</w:t>
            </w:r>
          </w:p>
        </w:tc>
        <w:tc>
          <w:tcPr>
            <w:tcW w:w="616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TERI BARIQUIT</w:t>
            </w:r>
          </w:p>
        </w:tc>
      </w:tr>
      <w:tr>
        <w:trPr>
          <w:trHeight w:val="64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Cara Schembri</w:t>
            </w:r>
          </w:p>
        </w:tc>
        <w:tc>
          <w:tcPr>
            <w:tcW w:w="61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By:   /s/ Teri Bariquit</w:t>
            </w:r>
          </w:p>
        </w:tc>
      </w:tr>
      <w:tr>
        <w:trPr>
          <w:trHeight w:val="191"/>
        </w:trPr>
        <w:tc>
          <w:tcPr>
            <w:tcW w:w="580" w:type="dxa"/>
            <w:vAlign w:val="bottom"/>
          </w:tcPr>
          <w:p>
            <w:pPr>
              <w:spacing w:after="0"/>
              <w:rPr>
                <w:sz w:val="16"/>
                <w:szCs w:val="16"/>
                <w:color w:val="auto"/>
              </w:rPr>
            </w:pPr>
          </w:p>
        </w:tc>
        <w:tc>
          <w:tcPr>
            <w:tcW w:w="4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Cara Schembri</w:t>
            </w:r>
          </w:p>
        </w:tc>
        <w:tc>
          <w:tcPr>
            <w:tcW w:w="168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Date: May 12, 2026</w:t>
            </w: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Legal &amp; Administrative Officer</w:t>
            </w:r>
          </w:p>
        </w:tc>
        <w:tc>
          <w:tcPr>
            <w:tcW w:w="1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1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769"/>
        </w:trPr>
        <w:tc>
          <w:tcPr>
            <w:tcW w:w="5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Rent the Runway, Inc. Announces CEO Transition</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8"/>
          <w:szCs w:val="18"/>
          <w:i w:val="1"/>
          <w:iCs w:val="1"/>
          <w:color w:val="auto"/>
        </w:rPr>
        <w:t>Co-Founder Jennifer Hyman to Step Down as CEO</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37-Year Retail Veteran and Rent the Runway Board Member Teri Bariquit Appointed Interim CEO</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Company Continues to Accelerate Its Diversification Strategy with Momentum Across AI Investments and Marketplace, Media, and B2B</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platforms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Reaffirms Full Year 2026 Financial Guidance</w:t>
      </w:r>
    </w:p>
    <w:p>
      <w:pPr>
        <w:spacing w:after="0" w:line="19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NEW YORK, May 13, 2026 (GLOBE NEWSWIRE) – Rent the Runway, Inc. (“Rent the Runway” or "RTR") (NASDAQ: RENT), the company transforming the way women get dressed, today announced that Co-Founder Jennifer Hyman will step down as Chief Executive Officer, President, and Board member, effective May 15, 2026. She will remain an advisor to the company through January 2027 to ensure a seamless transition. Teri Bariquit, current Board member of Rent the Runway and a 37-year retail veteran, including serving as former Chief Merchandising Officer at Nordstrom, has been appointed Interim CEO and President. She brings decades of experience understanding the evolving needs of customers and serving as a trusted partner to brands. Bariquit will lead the company alongside the Executive Leadership Team and with the support of Executive Chairman Dhiren Fonseca and the Board of Directors, who will conduct a thorough search for the company’s next CEO.</w:t>
      </w:r>
    </w:p>
    <w:p>
      <w:pPr>
        <w:spacing w:after="0" w:line="16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When Jennifer Hyman co-founded Rent the Runway in 2009, she set out to disrupt the trillion-dollar fashion industry and change the way women get dressed forever. She pioneered the "Closet in the Cloud," inventing the clothing rental category while normalizing secondhand clothing, and building one of the most beloved brands in the consumer space. Rent the Runway has served millions of women, forged enduring partnerships with the world's leading designers, and in 2021 became one of a small group of companies led by a woman founder to complete an IPO. Hyman helped build a company culture defined by conviction, creativity, and care — one that has held true for nearly two decades and powered Rent the Runway through every cycle.</w:t>
      </w:r>
    </w:p>
    <w:p>
      <w:pPr>
        <w:spacing w:after="0" w:line="16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“Building Rent the Runway has been one of the greatest privileges of my life,” said Hyman. “What has made it meaningful was never just what we built — it was the people who built it with me, the partners who trusted us, and the customers who let us be part of the moments that mattered most. Rent the Runway is stronger today than it has ever been, and that is exactly why this is the right moment for me to step down so Rent the Runway can write its next chapter.”</w:t>
      </w:r>
    </w:p>
    <w:p>
      <w:pPr>
        <w:spacing w:after="0" w:line="160"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“Rent the Runway is a business that has fundamentally reshaped how our customers think about, access, and experience fashion,” said Bariquit. “The company is in its strongest financial position in years, with clear momentum across key initiatives, including our online marketplace, advertising and media platform, and B2B services. As I step into this role, I am focused on supporting our team and executing against our clear roadmap as we continue to scale a robust, multi-faceted platform and chart the next era of fashion discovery, creating new ways to power women to feel their best every day.”</w:t>
      </w:r>
    </w:p>
    <w:p>
      <w:pPr>
        <w:spacing w:after="0" w:line="163"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“On behalf of the Board, we want to thank Jennifer for her visionary leadership in guiding Rent the Runway’s evolution from a disruptive startup into a category-defining fashion technology platform. Today, the business is uniquely positioned to further transform how women experience fashion, powered by proprietary data, AI-driven technology, scaled logistics, and a highly engaged customer base,” said Dhiren Fonseca, Executive Chairman of the Board for Rent the Runway. “We are privileged to have a Board member with Teri’s operational expertise who brings the right skillset and more than three decades of industry experience lead the business as we search for a permanent CEO and build on our strong foundation.”</w:t>
      </w:r>
    </w:p>
    <w:p>
      <w:pPr>
        <w:spacing w:after="0" w:line="273"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9" w:name="page30"/>
    <w:bookmarkEnd w:id="29"/>
    <w:p>
      <w:pPr>
        <w:ind w:right="60"/>
        <w:spacing w:after="0" w:line="247" w:lineRule="auto"/>
        <w:rPr>
          <w:sz w:val="20"/>
          <w:szCs w:val="20"/>
          <w:color w:val="auto"/>
        </w:rPr>
      </w:pPr>
      <w:r>
        <w:rPr>
          <w:rFonts w:ascii="Arial" w:cs="Arial" w:eastAsia="Arial" w:hAnsi="Arial"/>
          <w:sz w:val="18"/>
          <w:szCs w:val="18"/>
          <w:color w:val="auto"/>
        </w:rPr>
        <w:t>“We have tremendous confidence in Rent the Runway’s business, which has established a powerful and trusted brand, loyal customer base, and strong demand for rental,” said Damian Giangiacomo, Managing Partner at Nexus Capital Management and member of the Board. “The company continues to unlock meaningful growth opportunities by evolving its inventory strategy with expanded product offerings across categories such as handbags and jewelry, while further strengthening engagement through investment in AI and strategic growth initiatives.”</w:t>
      </w:r>
    </w:p>
    <w:p>
      <w:pPr>
        <w:spacing w:after="0" w:line="160"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also see significant tailwinds for the business from ‘re-dressing’ demand and sizing flexibility, the continued expansion of rental as a service, and the company’s ability to deepen relationships with both customers and brand partners,” said Peter Comisar, Founder and Managing Partner of STORY3 Capital Partners and member of the Board. “We believe Rent the Runway is well-positioned to scale its multi-faceted platform and drive long-term value creation, and we are fully supportive of Teri and the management team as they execute on the company’s strategic vision.”</w:t>
      </w:r>
    </w:p>
    <w:p>
      <w:pPr>
        <w:spacing w:after="0" w:line="163" w:lineRule="exact"/>
        <w:rPr>
          <w:sz w:val="20"/>
          <w:szCs w:val="20"/>
          <w:color w:val="auto"/>
        </w:rPr>
      </w:pPr>
    </w:p>
    <w:p>
      <w:pPr>
        <w:ind w:right="1380"/>
        <w:spacing w:after="0" w:line="469" w:lineRule="auto"/>
        <w:rPr>
          <w:sz w:val="20"/>
          <w:szCs w:val="20"/>
          <w:color w:val="auto"/>
        </w:rPr>
      </w:pPr>
      <w:r>
        <w:rPr>
          <w:rFonts w:ascii="Arial" w:cs="Arial" w:eastAsia="Arial" w:hAnsi="Arial"/>
          <w:sz w:val="18"/>
          <w:szCs w:val="18"/>
          <w:color w:val="auto"/>
        </w:rPr>
        <w:t>Rent the Runway also today reaffirmed the guidance it presented on April 14, 2026, with respect to its full year 2026 results</w:t>
      </w:r>
      <w:r>
        <w:rPr>
          <w:rFonts w:ascii="Arial" w:cs="Arial" w:eastAsia="Arial" w:hAnsi="Arial"/>
          <w:sz w:val="18"/>
          <w:szCs w:val="18"/>
          <w:color w:val="B5082E"/>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About Teri Bariquit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Bariquit is a veteran fashion retail executive and advisor recognized for her leadership in large-scale enterprise transformation, technology enablement, and business turnaround initiatives. She has been a member of the Rent the Runway Board of Directors since October 2025. Bariquit has more than 37 years of industry experience, having held various leadership positions at Nordstrom, Inc. (NYSE: JWN), where she most recently served as Chief Merchandising Officer from 2019 to 2023. Over her career, Bariquit played a key role in expanding Nordstrom’s revenue while increasing profit margins through digital transformation, product assortment optimization, and enhanced brand partnerships. She led a team of more than 1,200 professionals across Buying, Planning, Product Development, and Inventory Management, managing a large P&amp;L and a significant inventory 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Rent the Runway, Inc.</w:t>
      </w:r>
    </w:p>
    <w:p>
      <w:pPr>
        <w:spacing w:after="0" w:line="19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Founded in 2009, Rent the Runway is disrupting the trillion-dollar fashion industry and changing the way women get dressed through the Closet in the Cloud. RTR’s mission has remained the same since its founding: powering women to feel their best every day. Through RTR, customers can subscribe, rent items a-la-carte, and shop resale from hundreds of designer brands. The Closet in the Cloud offers a wide assortment of millions of items for every occasion, from evening wear and accessories to ready-to-wear, workwear, denim, casual, maternity, outerwear, blouses, knitwear, loungewear, jewelry, handbags, activewear, and ski wear. RTR has built a two-sided discovery engine, which connects deeply engaged customers and differentiated brand partners on a powerful platform built around its brand, data, logistics, and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rPr>
          <w:sz w:val="20"/>
          <w:szCs w:val="20"/>
          <w:color w:val="auto"/>
        </w:rPr>
      </w:pPr>
      <w:r>
        <w:rPr>
          <w:rFonts w:ascii="Arial" w:cs="Arial" w:eastAsia="Arial" w:hAnsi="Arial"/>
          <w:sz w:val="18"/>
          <w:szCs w:val="18"/>
          <w:color w:val="467886"/>
        </w:rPr>
        <w:t>press@renttherunway.com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These statements include, but are not limited to, guidance for fiscal year 2026 and statements regarding the transition of Rent the Runway’s executive leadership and the expected benefits thereof.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w:t>
      </w:r>
    </w:p>
    <w:p>
      <w:pPr>
        <w:spacing w:after="0" w:line="279"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0" w:name="page31"/>
    <w:bookmarkEnd w:id="30"/>
    <w:p>
      <w:pPr>
        <w:spacing w:after="0" w:line="236" w:lineRule="auto"/>
        <w:rPr>
          <w:sz w:val="20"/>
          <w:szCs w:val="20"/>
          <w:color w:val="auto"/>
        </w:rPr>
      </w:pPr>
      <w:r>
        <w:rPr>
          <w:rFonts w:ascii="Arial" w:cs="Arial" w:eastAsia="Arial" w:hAnsi="Arial"/>
          <w:sz w:val="18"/>
          <w:szCs w:val="18"/>
          <w:color w:val="auto"/>
        </w:rPr>
        <w:t>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ability to drive future growth or manage our growth effectively; the highly competitive and rapidly changing nature of the global fashion industry; risks related to the macroeconomic environment, including war in the Middle East and fuel surcharges; changes in global trade policies, tariffs, and other measures that could restrict international trade; our ability to cost-effectively grow our customer base; any failure to attract or retain customers; our ability to accurately forecast customer demand, acquire and manage our offerings effectively and plan for future expenses; risks arising from the restructuring of our operations; our chief executive officer search process, and our ability to manage the transition to a new chief executive officer; our reliance on the effective operation of proprietary technology systems and software as well as those of third-party vendors and service providers; risks related to shipping, logistics and our supply chain; risks related to AI technology; our failure to realize all of the anticipated benefits of the recapitalization transactions, or that those benefits may be short-lived or insufficient for our future needs; failure to manage the transition of our Board of Directors; our failure to comply with the covenants under our credit agreement; our ability to remediate our material weaknesses in our internal control over financial reporting; our ability to comply with laws and regulations applicable to our business; our reliance on the experience and expertise of our senior management and other key personnel; our ability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to provide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risks related to our debt; our noncompliance with Nasdaq Marketplace Rule 5606(c)(2)(A), which requires listed companies to have at least three audit committee members; and risks related to our Class A capital stock and ownership structure.</w:t>
      </w:r>
    </w:p>
    <w:p>
      <w:pPr>
        <w:spacing w:after="0" w:line="175" w:lineRule="exact"/>
        <w:rPr>
          <w:sz w:val="20"/>
          <w:szCs w:val="20"/>
          <w:color w:val="auto"/>
        </w:rPr>
      </w:pPr>
    </w:p>
    <w:p>
      <w:pPr>
        <w:ind w:right="440"/>
        <w:spacing w:after="0" w:line="247" w:lineRule="auto"/>
        <w:rPr>
          <w:sz w:val="20"/>
          <w:szCs w:val="20"/>
          <w:color w:val="auto"/>
        </w:rPr>
      </w:pPr>
      <w:r>
        <w:rPr>
          <w:rFonts w:ascii="Arial" w:cs="Arial" w:eastAsia="Arial" w:hAnsi="Arial"/>
          <w:sz w:val="18"/>
          <w:szCs w:val="18"/>
          <w:color w:val="auto"/>
        </w:rPr>
        <w:t>Additional information regarding these and other risks and uncertainties that could cause actual results to differ materially from the expectations is included in our Annual Report on Form 10-K for the year ended January 31, 2026. Except as required by law, we do not undertake any obligation to publicly update or revise any forward-looking statement, whether as a result of new information, future developments, or otherwise.</w:t>
      </w:r>
    </w:p>
    <w:p>
      <w:pPr>
        <w:spacing w:after="0" w:line="268"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5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1."/>
      <w:numFmt w:val="decimal"/>
      <w:start w:val="1"/>
    </w:lvl>
    <w:lvl w:ilvl="1">
      <w:lvlJc w:val="left"/>
      <w:lvlText w:val="(%2)"/>
      <w:numFmt w:val="lowerLetter"/>
      <w:start w:val="1"/>
    </w:lvl>
  </w:abstractNum>
  <w:abstractNum w:abstractNumId="2">
    <w:nsid w:val="1190CDE7"/>
    <w:multiLevelType w:val="hybridMultilevel"/>
    <w:lvl w:ilvl="0">
      <w:lvlJc w:val="left"/>
      <w:lvlText w:val="%1"/>
      <w:numFmt w:val="decimal"/>
      <w:start w:val="1"/>
    </w:lvl>
    <w:lvl w:ilvl="1">
      <w:lvlJc w:val="left"/>
      <w:lvlText w:val="(%2)"/>
      <w:numFmt w:val="lowerLetter"/>
      <w:start w:val="2"/>
    </w:lvl>
  </w:abstractNum>
  <w:abstractNum w:abstractNumId="3">
    <w:nsid w:val="66EF438D"/>
    <w:multiLevelType w:val="hybridMultilevel"/>
    <w:lvl w:ilvl="0">
      <w:lvlJc w:val="left"/>
      <w:lvlText w:val="%1."/>
      <w:numFmt w:val="decimal"/>
      <w:start w:val="2"/>
    </w:lvl>
    <w:lvl w:ilvl="1">
      <w:lvlJc w:val="left"/>
      <w:lvlText w:val="(%2)"/>
      <w:numFmt w:val="lowerLetter"/>
      <w:start w:val="1"/>
    </w:lvl>
  </w:abstractNum>
  <w:abstractNum w:abstractNumId="4">
    <w:nsid w:val="140E0F76"/>
    <w:multiLevelType w:val="hybridMultilevel"/>
    <w:lvl w:ilvl="0">
      <w:lvlJc w:val="left"/>
      <w:lvlText w:val="(%1)"/>
      <w:numFmt w:val="lowerLetter"/>
      <w:start w:val="2"/>
    </w:lvl>
  </w:abstractNum>
  <w:abstractNum w:abstractNumId="5">
    <w:nsid w:val="3352255A"/>
    <w:multiLevelType w:val="hybridMultilevel"/>
    <w:lvl w:ilvl="0">
      <w:lvlJc w:val="left"/>
      <w:lvlText w:val="(%1)"/>
      <w:numFmt w:val="lowerLetter"/>
      <w:start w:val="3"/>
    </w:lvl>
  </w:abstractNum>
  <w:abstractNum w:abstractNumId="6">
    <w:nsid w:val="109CF92E"/>
    <w:multiLevelType w:val="hybridMultilevel"/>
    <w:lvl w:ilvl="0">
      <w:lvlJc w:val="left"/>
      <w:lvlText w:val="%1."/>
      <w:numFmt w:val="decimal"/>
      <w:start w:val="3"/>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decimal"/>
      <w:start w:val="1"/>
    </w:lvl>
    <w:lvl w:ilvl="1">
      <w:lvlJc w:val="left"/>
      <w:lvlText w:val="(%2)"/>
      <w:numFmt w:val="lowerLetter"/>
      <w:start w:val="3"/>
    </w:lvl>
  </w:abstractNum>
  <w:abstractNum w:abstractNumId="10">
    <w:nsid w:val="41A7C4C9"/>
    <w:multiLevelType w:val="hybridMultilevel"/>
    <w:lvl w:ilvl="0">
      <w:lvlJc w:val="left"/>
      <w:lvlText w:val="%1."/>
      <w:numFmt w:val="decimal"/>
      <w:start w:val="7"/>
    </w:lvl>
    <w:lvl w:ilvl="1">
      <w:lvlJc w:val="left"/>
      <w:lvlText w:val="%2"/>
      <w:numFmt w:val="lowerLetter"/>
      <w:start w:val="1"/>
    </w:lvl>
  </w:abstractNum>
  <w:abstractNum w:abstractNumId="11">
    <w:nsid w:val="6B68079A"/>
    <w:multiLevelType w:val="hybridMultilevel"/>
    <w:lvl w:ilvl="0">
      <w:lvlJc w:val="left"/>
      <w:lvlText w:val="%1."/>
      <w:numFmt w:val="decimal"/>
      <w:start w:val="8"/>
    </w:lvl>
  </w:abstractNum>
  <w:abstractNum w:abstractNumId="12">
    <w:nsid w:val="4E6AFB66"/>
    <w:multiLevelType w:val="hybridMultilevel"/>
    <w:lvl w:ilvl="0">
      <w:lvlJc w:val="left"/>
      <w:lvlText w:val="%1."/>
      <w:numFmt w:val="decimal"/>
      <w:start w:val="10"/>
    </w:lvl>
    <w:lvl w:ilvl="1">
      <w:lvlJc w:val="left"/>
      <w:lvlText w:val="(%2)"/>
      <w:numFmt w:val="lowerLetter"/>
      <w:start w:val="1"/>
    </w:lvl>
  </w:abstractNum>
  <w:abstractNum w:abstractNumId="13">
    <w:nsid w:val="25E45D32"/>
    <w:multiLevelType w:val="hybridMultilevel"/>
    <w:lvl w:ilvl="0">
      <w:lvlJc w:val="left"/>
      <w:lvlText w:val="%1."/>
      <w:numFmt w:val="decimal"/>
      <w:start w:val="11"/>
    </w:lvl>
    <w:lvl w:ilvl="1">
      <w:lvlJc w:val="left"/>
      <w:lvlText w:val="(%2)"/>
      <w:numFmt w:val="lowerLetter"/>
      <w:start w:val="1"/>
    </w:lvl>
  </w:abstractNum>
  <w:abstractNum w:abstractNumId="14">
    <w:nsid w:val="519B500D"/>
    <w:multiLevelType w:val="hybridMultilevel"/>
    <w:lvl w:ilvl="0">
      <w:lvlJc w:val="left"/>
      <w:lvlText w:val="%1"/>
      <w:numFmt w:val="decimal"/>
      <w:start w:val="1"/>
    </w:lvl>
    <w:lvl w:ilvl="1">
      <w:lvlJc w:val="left"/>
      <w:lvlText w:val="(%2)"/>
      <w:numFmt w:val="lowerLetter"/>
      <w:start w:val="3"/>
    </w:lvl>
  </w:abstractNum>
  <w:abstractNum w:abstractNumId="15">
    <w:nsid w:val="431BD7B7"/>
    <w:multiLevelType w:val="hybridMultilevel"/>
    <w:lvl w:ilvl="0">
      <w:lvlJc w:val="left"/>
      <w:lvlText w:val="%1."/>
      <w:numFmt w:val="decimal"/>
      <w:start w:val="14"/>
    </w:lvl>
    <w:lvl w:ilvl="1">
      <w:lvlJc w:val="left"/>
      <w:lvlText w:val="%2"/>
      <w:numFmt w:val="lowerLetter"/>
      <w:start w:val="1"/>
    </w:lvl>
  </w:abstractNum>
  <w:abstractNum w:abstractNumId="16">
    <w:nsid w:val="3F2DBA31"/>
    <w:multiLevelType w:val="hybridMultilevel"/>
    <w:lvl w:ilvl="0">
      <w:lvlJc w:val="left"/>
      <w:lvlText w:val="%1."/>
      <w:numFmt w:val="decimal"/>
      <w:start w:val="16"/>
    </w:lvl>
  </w:abstractNum>
  <w:abstractNum w:abstractNumId="17">
    <w:nsid w:val="7C83E458"/>
    <w:multiLevelType w:val="hybridMultilevel"/>
    <w:lvl w:ilvl="0">
      <w:lvlJc w:val="left"/>
      <w:lvlText w:val="%1."/>
      <w:numFmt w:val="decimal"/>
      <w:start w:val="20"/>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2026-05-13T06:33:36Z</dcterms:created>
  <dcterms:modified xsi:type="dcterms:W3CDTF">2026-05-13T06:33:36Z</dcterms:modified>
</cp:coreProperties>
</file>