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40"/>
        <w:spacing w:after="0"/>
        <w:rPr>
          <w:sz w:val="20"/>
          <w:szCs w:val="20"/>
          <w:color w:val="auto"/>
        </w:rPr>
      </w:pPr>
      <w:r>
        <w:rPr>
          <w:rFonts w:ascii="Arial" w:cs="Arial" w:eastAsia="Arial" w:hAnsi="Arial"/>
          <w:sz w:val="18"/>
          <w:szCs w:val="18"/>
          <w:color w:val="auto"/>
        </w:rPr>
        <w:t>1271 Avenue of the Americas</w:t>
      </w:r>
    </w:p>
    <w:p>
      <w:pPr>
        <w:spacing w:after="0" w:line="23"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New York, New York 10020-1401</w:t>
      </w:r>
    </w:p>
    <w:p>
      <w:pPr>
        <w:spacing w:after="0" w:line="9" w:lineRule="exact"/>
        <w:rPr>
          <w:sz w:val="24"/>
          <w:szCs w:val="24"/>
          <w:color w:val="auto"/>
        </w:rPr>
      </w:pPr>
    </w:p>
    <w:p>
      <w:pPr>
        <w:ind w:left="7840"/>
        <w:spacing w:after="0"/>
        <w:rPr>
          <w:sz w:val="20"/>
          <w:szCs w:val="20"/>
          <w:color w:val="auto"/>
        </w:rPr>
      </w:pPr>
      <w:r>
        <w:rPr>
          <w:rFonts w:ascii="Arial" w:cs="Arial" w:eastAsia="Arial" w:hAnsi="Arial"/>
          <w:sz w:val="16"/>
          <w:szCs w:val="16"/>
          <w:color w:val="auto"/>
        </w:rPr>
        <w:t>Tel: +1.212.906.1200 Fax: +1.212.751.4864</w:t>
      </w:r>
    </w:p>
    <w:p>
      <w:pPr>
        <w:spacing w:after="0" w:line="32"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www.lw.com</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760" w:type="dxa"/>
            <w:vAlign w:val="bottom"/>
            <w:gridSpan w:val="2"/>
          </w:tcPr>
          <w:p>
            <w:pPr>
              <w:ind w:left="2060"/>
              <w:spacing w:after="0"/>
              <w:rPr>
                <w:sz w:val="20"/>
                <w:szCs w:val="20"/>
                <w:color w:val="auto"/>
              </w:rPr>
            </w:pPr>
            <w:r>
              <w:rPr>
                <w:rFonts w:ascii="Arial" w:cs="Arial" w:eastAsia="Arial" w:hAnsi="Arial"/>
                <w:sz w:val="18"/>
                <w:szCs w:val="18"/>
                <w:color w:val="auto"/>
              </w:rPr>
              <w:t>FIRM / AFFILIATE OFFICES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Austin</w:t>
            </w:r>
          </w:p>
        </w:tc>
        <w:tc>
          <w:tcPr>
            <w:tcW w:w="1520" w:type="dxa"/>
            <w:vAlign w:val="bottom"/>
          </w:tcPr>
          <w:p>
            <w:pPr>
              <w:ind w:left="240"/>
              <w:spacing w:after="0"/>
              <w:rPr>
                <w:sz w:val="20"/>
                <w:szCs w:val="20"/>
                <w:color w:val="auto"/>
              </w:rPr>
            </w:pPr>
            <w:r>
              <w:rPr>
                <w:rFonts w:ascii="Arial" w:cs="Arial" w:eastAsia="Arial" w:hAnsi="Arial"/>
                <w:sz w:val="18"/>
                <w:szCs w:val="18"/>
                <w:color w:val="auto"/>
              </w:rPr>
              <w:t>Milan</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Beijing</w:t>
            </w:r>
          </w:p>
        </w:tc>
        <w:tc>
          <w:tcPr>
            <w:tcW w:w="1520" w:type="dxa"/>
            <w:vAlign w:val="bottom"/>
          </w:tcPr>
          <w:p>
            <w:pPr>
              <w:ind w:left="240"/>
              <w:spacing w:after="0"/>
              <w:rPr>
                <w:sz w:val="20"/>
                <w:szCs w:val="20"/>
                <w:color w:val="auto"/>
              </w:rPr>
            </w:pPr>
            <w:r>
              <w:rPr>
                <w:rFonts w:ascii="Arial" w:cs="Arial" w:eastAsia="Arial" w:hAnsi="Arial"/>
                <w:sz w:val="18"/>
                <w:szCs w:val="18"/>
                <w:color w:val="auto"/>
              </w:rPr>
              <w:t>Moscow</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Boston</w:t>
            </w:r>
          </w:p>
        </w:tc>
        <w:tc>
          <w:tcPr>
            <w:tcW w:w="1520" w:type="dxa"/>
            <w:vAlign w:val="bottom"/>
          </w:tcPr>
          <w:p>
            <w:pPr>
              <w:ind w:left="240"/>
              <w:spacing w:after="0"/>
              <w:rPr>
                <w:sz w:val="20"/>
                <w:szCs w:val="20"/>
                <w:color w:val="auto"/>
              </w:rPr>
            </w:pPr>
            <w:r>
              <w:rPr>
                <w:rFonts w:ascii="Arial" w:cs="Arial" w:eastAsia="Arial" w:hAnsi="Arial"/>
                <w:sz w:val="18"/>
                <w:szCs w:val="18"/>
                <w:color w:val="auto"/>
              </w:rPr>
              <w:t>Munich</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Brussels</w:t>
            </w:r>
          </w:p>
        </w:tc>
        <w:tc>
          <w:tcPr>
            <w:tcW w:w="1520" w:type="dxa"/>
            <w:vAlign w:val="bottom"/>
          </w:tcPr>
          <w:p>
            <w:pPr>
              <w:ind w:left="2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9"/>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October 18, 2021</w:t>
            </w:r>
          </w:p>
        </w:tc>
        <w:tc>
          <w:tcPr>
            <w:tcW w:w="3240" w:type="dxa"/>
            <w:vAlign w:val="bottom"/>
          </w:tcPr>
          <w:p>
            <w:pPr>
              <w:ind w:left="2060"/>
              <w:spacing w:after="0"/>
              <w:rPr>
                <w:sz w:val="20"/>
                <w:szCs w:val="20"/>
                <w:color w:val="auto"/>
              </w:rPr>
            </w:pPr>
            <w:r>
              <w:rPr>
                <w:rFonts w:ascii="Arial" w:cs="Arial" w:eastAsia="Arial" w:hAnsi="Arial"/>
                <w:sz w:val="18"/>
                <w:szCs w:val="18"/>
                <w:color w:val="auto"/>
              </w:rPr>
              <w:t>Century City</w:t>
            </w:r>
          </w:p>
        </w:tc>
        <w:tc>
          <w:tcPr>
            <w:tcW w:w="1520" w:type="dxa"/>
            <w:vAlign w:val="bottom"/>
          </w:tcPr>
          <w:p>
            <w:pPr>
              <w:ind w:left="240"/>
              <w:spacing w:after="0"/>
              <w:rPr>
                <w:sz w:val="20"/>
                <w:szCs w:val="20"/>
                <w:color w:val="auto"/>
              </w:rPr>
            </w:pPr>
            <w:r>
              <w:rPr>
                <w:rFonts w:ascii="Arial" w:cs="Arial" w:eastAsia="Arial" w:hAnsi="Arial"/>
                <w:sz w:val="18"/>
                <w:szCs w:val="18"/>
                <w:color w:val="auto"/>
              </w:rPr>
              <w:t>Orange County</w:t>
            </w:r>
          </w:p>
        </w:tc>
        <w:tc>
          <w:tcPr>
            <w:tcW w:w="0" w:type="dxa"/>
            <w:vAlign w:val="bottom"/>
          </w:tcPr>
          <w:p>
            <w:pPr>
              <w:spacing w:after="0"/>
              <w:rPr>
                <w:sz w:val="1"/>
                <w:szCs w:val="1"/>
                <w:color w:val="auto"/>
              </w:rPr>
            </w:pPr>
          </w:p>
        </w:tc>
      </w:tr>
      <w:tr>
        <w:trPr>
          <w:trHeight w:val="216"/>
        </w:trPr>
        <w:tc>
          <w:tcPr>
            <w:tcW w:w="5780" w:type="dxa"/>
            <w:vAlign w:val="bottom"/>
            <w:gridSpan w:val="2"/>
            <w:vMerge w:val="continue"/>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Chicago</w:t>
            </w:r>
          </w:p>
        </w:tc>
        <w:tc>
          <w:tcPr>
            <w:tcW w:w="1520" w:type="dxa"/>
            <w:vAlign w:val="bottom"/>
          </w:tcPr>
          <w:p>
            <w:pPr>
              <w:ind w:left="240"/>
              <w:spacing w:after="0"/>
              <w:rPr>
                <w:sz w:val="20"/>
                <w:szCs w:val="20"/>
                <w:color w:val="auto"/>
              </w:rPr>
            </w:pPr>
            <w:r>
              <w:rPr>
                <w:rFonts w:ascii="Arial" w:cs="Arial" w:eastAsia="Arial" w:hAnsi="Arial"/>
                <w:sz w:val="18"/>
                <w:szCs w:val="18"/>
                <w:color w:val="auto"/>
              </w:rPr>
              <w:t>Paris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Dubai</w:t>
            </w:r>
          </w:p>
        </w:tc>
        <w:tc>
          <w:tcPr>
            <w:tcW w:w="1520" w:type="dxa"/>
            <w:vAlign w:val="bottom"/>
          </w:tcPr>
          <w:p>
            <w:pPr>
              <w:ind w:left="240"/>
              <w:spacing w:after="0"/>
              <w:rPr>
                <w:sz w:val="20"/>
                <w:szCs w:val="20"/>
                <w:color w:val="auto"/>
              </w:rPr>
            </w:pPr>
            <w:r>
              <w:rPr>
                <w:rFonts w:ascii="Arial" w:cs="Arial" w:eastAsia="Arial" w:hAnsi="Arial"/>
                <w:sz w:val="18"/>
                <w:szCs w:val="18"/>
                <w:color w:val="auto"/>
              </w:rPr>
              <w:t>Riyadh</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Düsseldorf</w:t>
            </w:r>
          </w:p>
        </w:tc>
        <w:tc>
          <w:tcPr>
            <w:tcW w:w="1520" w:type="dxa"/>
            <w:vAlign w:val="bottom"/>
          </w:tcPr>
          <w:p>
            <w:pPr>
              <w:ind w:left="240"/>
              <w:spacing w:after="0"/>
              <w:rPr>
                <w:sz w:val="20"/>
                <w:szCs w:val="20"/>
                <w:color w:val="auto"/>
              </w:rPr>
            </w:pPr>
            <w:r>
              <w:rPr>
                <w:rFonts w:ascii="Arial" w:cs="Arial" w:eastAsia="Arial" w:hAnsi="Arial"/>
                <w:sz w:val="18"/>
                <w:szCs w:val="18"/>
                <w:color w:val="auto"/>
              </w:rPr>
              <w:t>San Diego</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Frankfurt</w:t>
            </w:r>
          </w:p>
        </w:tc>
        <w:tc>
          <w:tcPr>
            <w:tcW w:w="1520" w:type="dxa"/>
            <w:vAlign w:val="bottom"/>
          </w:tcPr>
          <w:p>
            <w:pPr>
              <w:ind w:left="240"/>
              <w:spacing w:after="0"/>
              <w:rPr>
                <w:sz w:val="20"/>
                <w:szCs w:val="20"/>
                <w:color w:val="auto"/>
              </w:rPr>
            </w:pPr>
            <w:r>
              <w:rPr>
                <w:rFonts w:ascii="Arial" w:cs="Arial" w:eastAsia="Arial" w:hAnsi="Arial"/>
                <w:sz w:val="18"/>
                <w:szCs w:val="18"/>
                <w:color w:val="auto"/>
              </w:rPr>
              <w:t>San Francisco</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Hamburg</w:t>
            </w:r>
          </w:p>
        </w:tc>
        <w:tc>
          <w:tcPr>
            <w:tcW w:w="1520" w:type="dxa"/>
            <w:vAlign w:val="bottom"/>
          </w:tcPr>
          <w:p>
            <w:pPr>
              <w:ind w:left="240"/>
              <w:spacing w:after="0"/>
              <w:rPr>
                <w:sz w:val="20"/>
                <w:szCs w:val="20"/>
                <w:color w:val="auto"/>
              </w:rPr>
            </w:pPr>
            <w:r>
              <w:rPr>
                <w:rFonts w:ascii="Arial" w:cs="Arial" w:eastAsia="Arial" w:hAnsi="Arial"/>
                <w:sz w:val="18"/>
                <w:szCs w:val="18"/>
                <w:color w:val="auto"/>
              </w:rPr>
              <w:t>Seoul</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Hong Kong</w:t>
            </w:r>
          </w:p>
        </w:tc>
        <w:tc>
          <w:tcPr>
            <w:tcW w:w="1520" w:type="dxa"/>
            <w:vAlign w:val="bottom"/>
          </w:tcPr>
          <w:p>
            <w:pPr>
              <w:ind w:left="240"/>
              <w:spacing w:after="0"/>
              <w:rPr>
                <w:sz w:val="20"/>
                <w:szCs w:val="20"/>
                <w:color w:val="auto"/>
              </w:rPr>
            </w:pPr>
            <w:r>
              <w:rPr>
                <w:rFonts w:ascii="Arial" w:cs="Arial" w:eastAsia="Arial" w:hAnsi="Arial"/>
                <w:sz w:val="18"/>
                <w:szCs w:val="18"/>
                <w:color w:val="auto"/>
              </w:rPr>
              <w:t>Shanghai</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Houston</w:t>
            </w:r>
          </w:p>
        </w:tc>
        <w:tc>
          <w:tcPr>
            <w:tcW w:w="1520" w:type="dxa"/>
            <w:vAlign w:val="bottom"/>
          </w:tcPr>
          <w:p>
            <w:pPr>
              <w:ind w:left="240"/>
              <w:spacing w:after="0"/>
              <w:rPr>
                <w:sz w:val="20"/>
                <w:szCs w:val="20"/>
                <w:color w:val="auto"/>
              </w:rPr>
            </w:pPr>
            <w:r>
              <w:rPr>
                <w:rFonts w:ascii="Arial" w:cs="Arial" w:eastAsia="Arial" w:hAnsi="Arial"/>
                <w:sz w:val="18"/>
                <w:szCs w:val="18"/>
                <w:color w:val="auto"/>
              </w:rPr>
              <w:t>Silicon Valley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b w:val="1"/>
                <w:bCs w:val="1"/>
                <w:i w:val="1"/>
                <w:iCs w:val="1"/>
                <w:color w:val="auto"/>
              </w:rPr>
              <w:t>VIA EDGAR</w:t>
            </w: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London</w:t>
            </w:r>
          </w:p>
        </w:tc>
        <w:tc>
          <w:tcPr>
            <w:tcW w:w="1520" w:type="dxa"/>
            <w:vAlign w:val="bottom"/>
          </w:tcPr>
          <w:p>
            <w:pPr>
              <w:ind w:left="2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Los Angeles</w:t>
            </w:r>
          </w:p>
        </w:tc>
        <w:tc>
          <w:tcPr>
            <w:tcW w:w="1520" w:type="dxa"/>
            <w:vAlign w:val="bottom"/>
          </w:tcPr>
          <w:p>
            <w:pPr>
              <w:ind w:left="24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240" w:type="dxa"/>
            <w:vAlign w:val="bottom"/>
          </w:tcPr>
          <w:p>
            <w:pPr>
              <w:ind w:left="2060"/>
              <w:spacing w:after="0"/>
              <w:rPr>
                <w:sz w:val="20"/>
                <w:szCs w:val="20"/>
                <w:color w:val="auto"/>
              </w:rPr>
            </w:pPr>
            <w:r>
              <w:rPr>
                <w:rFonts w:ascii="Arial" w:cs="Arial" w:eastAsia="Arial" w:hAnsi="Arial"/>
                <w:sz w:val="18"/>
                <w:szCs w:val="18"/>
                <w:color w:val="auto"/>
              </w:rPr>
              <w:t>Madrid</w:t>
            </w:r>
          </w:p>
        </w:tc>
        <w:tc>
          <w:tcPr>
            <w:tcW w:w="1520" w:type="dxa"/>
            <w:vAlign w:val="bottom"/>
          </w:tcPr>
          <w:p>
            <w:pPr>
              <w:ind w:left="240"/>
              <w:spacing w:after="0"/>
              <w:rPr>
                <w:sz w:val="20"/>
                <w:szCs w:val="20"/>
                <w:color w:val="auto"/>
              </w:rPr>
            </w:pPr>
            <w:r>
              <w:rPr>
                <w:rFonts w:ascii="Arial" w:cs="Arial" w:eastAsia="Arial" w:hAnsi="Arial"/>
                <w:sz w:val="18"/>
                <w:szCs w:val="18"/>
                <w:color w:val="auto"/>
                <w:w w:val="89"/>
              </w:rPr>
              <w:t>Washington, D.C.</w:t>
            </w:r>
          </w:p>
        </w:tc>
        <w:tc>
          <w:tcPr>
            <w:tcW w:w="0" w:type="dxa"/>
            <w:vAlign w:val="bottom"/>
          </w:tcPr>
          <w:p>
            <w:pPr>
              <w:spacing w:after="0"/>
              <w:rPr>
                <w:sz w:val="1"/>
                <w:szCs w:val="1"/>
                <w:color w:val="auto"/>
              </w:rPr>
            </w:pPr>
          </w:p>
        </w:tc>
      </w:tr>
      <w:tr>
        <w:trPr>
          <w:trHeight w:val="418"/>
        </w:trPr>
        <w:tc>
          <w:tcPr>
            <w:tcW w:w="5780" w:type="dxa"/>
            <w:vAlign w:val="bottom"/>
            <w:gridSpan w:val="2"/>
          </w:tcPr>
          <w:p>
            <w:pPr>
              <w:spacing w:after="0"/>
              <w:rPr>
                <w:sz w:val="20"/>
                <w:szCs w:val="20"/>
                <w:color w:val="auto"/>
              </w:rPr>
            </w:pPr>
            <w:r>
              <w:rPr>
                <w:rFonts w:ascii="Arial" w:cs="Arial" w:eastAsia="Arial" w:hAnsi="Arial"/>
                <w:sz w:val="18"/>
                <w:szCs w:val="18"/>
                <w:color w:val="auto"/>
              </w:rPr>
              <w:t>United States Securities and Exchange Commission</w:t>
            </w:r>
          </w:p>
        </w:tc>
        <w:tc>
          <w:tcPr>
            <w:tcW w:w="3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Division of Corporation Finance</w:t>
            </w: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100 F Street, N.E.</w:t>
            </w: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Washington, D.C. 20549-6010</w:t>
            </w:r>
          </w:p>
        </w:tc>
        <w:tc>
          <w:tcPr>
            <w:tcW w:w="3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4740" w:type="dxa"/>
            <w:vAlign w:val="bottom"/>
          </w:tcPr>
          <w:p>
            <w:pPr>
              <w:ind w:left="60"/>
              <w:spacing w:after="0"/>
              <w:rPr>
                <w:sz w:val="20"/>
                <w:szCs w:val="20"/>
                <w:color w:val="auto"/>
              </w:rPr>
            </w:pPr>
            <w:r>
              <w:rPr>
                <w:rFonts w:ascii="Arial" w:cs="Arial" w:eastAsia="Arial" w:hAnsi="Arial"/>
                <w:sz w:val="18"/>
                <w:szCs w:val="18"/>
                <w:color w:val="auto"/>
              </w:rPr>
              <w:t>Blaise Rhodes</w:t>
            </w:r>
          </w:p>
        </w:tc>
        <w:tc>
          <w:tcPr>
            <w:tcW w:w="3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Linda Cvrkel</w:t>
            </w: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Taylor Beech</w:t>
            </w:r>
          </w:p>
        </w:tc>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Jacqueline Kaufman</w:t>
            </w:r>
          </w:p>
        </w:tc>
        <w:tc>
          <w:tcPr>
            <w:tcW w:w="3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-3453765</wp:posOffset>
            </wp:positionV>
            <wp:extent cx="2031365"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178" w:lineRule="exact"/>
        <w:rPr>
          <w:sz w:val="24"/>
          <w:szCs w:val="24"/>
          <w:color w:val="auto"/>
        </w:rPr>
      </w:pPr>
    </w:p>
    <w:p>
      <w:pPr>
        <w:ind w:left="640"/>
        <w:spacing w:after="0"/>
        <w:tabs>
          <w:tab w:leader="none" w:pos="1080" w:val="left"/>
        </w:tabs>
        <w:rPr>
          <w:sz w:val="20"/>
          <w:szCs w:val="20"/>
          <w:color w:val="auto"/>
        </w:rPr>
      </w:pPr>
      <w:r>
        <w:rPr>
          <w:rFonts w:ascii="Arial" w:cs="Arial" w:eastAsia="Arial" w:hAnsi="Arial"/>
          <w:sz w:val="18"/>
          <w:szCs w:val="18"/>
          <w:b w:val="1"/>
          <w:bCs w:val="1"/>
          <w:color w:val="auto"/>
        </w:rPr>
        <w:t>Re:</w:t>
        <w:tab/>
        <w:t>Rent the Runway, Inc.</w:t>
      </w:r>
    </w:p>
    <w:p>
      <w:pPr>
        <w:spacing w:after="0" w:line="27"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Amendment No. 1 to Registration Statement on Form S-1</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Filed October 4, 2021</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File No. 333-260027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991"/>
        <w:spacing w:after="0" w:line="279" w:lineRule="auto"/>
        <w:rPr>
          <w:sz w:val="20"/>
          <w:szCs w:val="20"/>
          <w:color w:val="auto"/>
        </w:rPr>
      </w:pPr>
      <w:r>
        <w:rPr>
          <w:rFonts w:ascii="Arial" w:cs="Arial" w:eastAsia="Arial" w:hAnsi="Arial"/>
          <w:sz w:val="17"/>
          <w:szCs w:val="17"/>
          <w:color w:val="auto"/>
        </w:rPr>
        <w:t>On behalf of Rent the Runway,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hereby filing Amendment No. 1 to the Registration Statement on Form S-1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The Company previously filed the Registration Statement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October 4, 2021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Amendment No. 1 has been revised to reflect the Company’s responses to the comment letter to the Registration Statement received on October 13, 2021 from the staff of the Commission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w:t>
      </w:r>
    </w:p>
    <w:p>
      <w:pPr>
        <w:spacing w:after="0" w:line="171" w:lineRule="exact"/>
        <w:rPr>
          <w:sz w:val="24"/>
          <w:szCs w:val="24"/>
          <w:color w:val="auto"/>
        </w:rPr>
      </w:pPr>
    </w:p>
    <w:p>
      <w:pPr>
        <w:ind w:right="60" w:firstLine="991"/>
        <w:spacing w:after="0" w:line="263" w:lineRule="auto"/>
        <w:rPr>
          <w:sz w:val="20"/>
          <w:szCs w:val="20"/>
          <w:color w:val="auto"/>
        </w:rPr>
      </w:pPr>
      <w:r>
        <w:rPr>
          <w:rFonts w:ascii="Arial" w:cs="Arial" w:eastAsia="Arial" w:hAnsi="Arial"/>
          <w:sz w:val="18"/>
          <w:szCs w:val="18"/>
          <w:color w:val="auto"/>
        </w:rPr>
        <w:t>For ease of review, we have set forth below each of the numbered comments of your letter in bold type followed by the Company’s responses thereto. Unless otherwise indicated, capitalized terms used herein have the meanings assigned to them in Amendment No. 1 and all references to page numbers in such responses are to page numbers in Amendment No. 1.</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 on Form S-1 Filed October 4, 2021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Use of Proceeds, page 71</w:t>
      </w:r>
    </w:p>
    <w:p>
      <w:pPr>
        <w:spacing w:after="0" w:line="112" w:lineRule="exact"/>
        <w:rPr>
          <w:sz w:val="24"/>
          <w:szCs w:val="24"/>
          <w:color w:val="auto"/>
        </w:rPr>
      </w:pPr>
    </w:p>
    <w:p>
      <w:pPr>
        <w:ind w:left="960" w:right="40" w:hanging="532"/>
        <w:spacing w:after="0" w:line="282" w:lineRule="auto"/>
        <w:tabs>
          <w:tab w:leader="none" w:pos="9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interest rates and maturity dates of the credit agreements under which you intend to use the net proceeds of this offering to repay certain amounts. Refer to Instruction 4 to Item 504 of Regulation S-K.</w:t>
      </w:r>
    </w:p>
    <w:p>
      <w:pPr>
        <w:sectPr>
          <w:pgSz w:w="11900" w:h="16838" w:orient="portrait"/>
          <w:cols w:equalWidth="0" w:num="1">
            <w:col w:w="11020"/>
          </w:cols>
          <w:pgMar w:left="440" w:top="233"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18, 2021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84" w:right="200"/>
        <w:spacing w:after="0" w:line="277"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it has revised page 77 of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No. 1.</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Product ROI, page 92</w:t>
      </w:r>
    </w:p>
    <w:p>
      <w:pPr>
        <w:spacing w:after="0" w:line="112" w:lineRule="exact"/>
        <w:rPr>
          <w:sz w:val="20"/>
          <w:szCs w:val="20"/>
          <w:color w:val="auto"/>
        </w:rPr>
      </w:pPr>
    </w:p>
    <w:p>
      <w:pPr>
        <w:ind w:left="964" w:right="40" w:hanging="532"/>
        <w:spacing w:after="0" w:line="266" w:lineRule="auto"/>
        <w:tabs>
          <w:tab w:leader="none" w:pos="96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have reviewed your response to comment 2 but do not concur with your view that investors would not find the fiscal year 2020 comparable factors to be meaningful, or that they could be misleading. As requested in our prior comment, please revise to include comparable factors for fiscal year 2020.</w:t>
      </w:r>
    </w:p>
    <w:p>
      <w:pPr>
        <w:spacing w:after="0" w:line="71" w:lineRule="exact"/>
        <w:rPr>
          <w:rFonts w:ascii="Arial" w:cs="Arial" w:eastAsia="Arial" w:hAnsi="Arial"/>
          <w:sz w:val="18"/>
          <w:szCs w:val="18"/>
          <w:b w:val="1"/>
          <w:bCs w:val="1"/>
          <w:color w:val="auto"/>
        </w:rPr>
      </w:pPr>
    </w:p>
    <w:p>
      <w:pPr>
        <w:ind w:left="984" w:right="20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it has revised page 98 of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No. 1.</w:t>
      </w:r>
    </w:p>
    <w:p>
      <w:pPr>
        <w:spacing w:after="0" w:line="170" w:lineRule="exact"/>
        <w:rPr>
          <w:rFonts w:ascii="Arial" w:cs="Arial" w:eastAsia="Arial" w:hAnsi="Arial"/>
          <w:sz w:val="18"/>
          <w:szCs w:val="18"/>
          <w:b w:val="1"/>
          <w:bCs w:val="1"/>
          <w:color w:val="auto"/>
        </w:rPr>
      </w:pPr>
    </w:p>
    <w:p>
      <w:pPr>
        <w:ind w:left="5324"/>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25"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We hope the foregoing answers are responsive to your comments. Please do not hesitate to contact me by telephone at (212) 906-1281 with any questions or comments regarding this correspondence.</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Marc D.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Marc D. Jaffe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of LATHAM &amp; WATKINS LLP</w:t>
      </w:r>
    </w:p>
    <w:p>
      <w:pPr>
        <w:spacing w:after="0" w:line="251" w:lineRule="exact"/>
        <w:rPr>
          <w:sz w:val="20"/>
          <w:szCs w:val="20"/>
          <w:color w:val="auto"/>
        </w:rPr>
      </w:pPr>
    </w:p>
    <w:p>
      <w:pPr>
        <w:ind w:left="984" w:hanging="984"/>
        <w:spacing w:after="0"/>
        <w:tabs>
          <w:tab w:leader="none" w:pos="984" w:val="left"/>
        </w:tabs>
        <w:numPr>
          <w:ilvl w:val="0"/>
          <w:numId w:val="3"/>
        </w:numPr>
        <w:rPr>
          <w:rFonts w:ascii="Arial" w:cs="Arial" w:eastAsia="Arial" w:hAnsi="Arial"/>
          <w:sz w:val="18"/>
          <w:szCs w:val="18"/>
          <w:color w:val="auto"/>
        </w:rPr>
      </w:pPr>
      <w:r>
        <w:rPr>
          <w:rFonts w:ascii="Arial" w:cs="Arial" w:eastAsia="Arial" w:hAnsi="Arial"/>
          <w:sz w:val="18"/>
          <w:szCs w:val="18"/>
          <w:color w:val="auto"/>
        </w:rPr>
        <w:t>(via email)</w:t>
      </w:r>
    </w:p>
    <w:p>
      <w:pPr>
        <w:spacing w:after="0" w:line="23" w:lineRule="exact"/>
        <w:rPr>
          <w:rFonts w:ascii="Arial" w:cs="Arial" w:eastAsia="Arial" w:hAnsi="Arial"/>
          <w:sz w:val="18"/>
          <w:szCs w:val="18"/>
          <w:color w:val="auto"/>
        </w:rPr>
      </w:pPr>
    </w:p>
    <w:p>
      <w:pPr>
        <w:jc w:val="both"/>
        <w:ind w:left="984" w:right="5180"/>
        <w:spacing w:after="0" w:line="281" w:lineRule="auto"/>
        <w:rPr>
          <w:rFonts w:ascii="Arial" w:cs="Arial" w:eastAsia="Arial" w:hAnsi="Arial"/>
          <w:sz w:val="18"/>
          <w:szCs w:val="18"/>
          <w:color w:val="auto"/>
        </w:rPr>
      </w:pPr>
      <w:r>
        <w:rPr>
          <w:rFonts w:ascii="Arial" w:cs="Arial" w:eastAsia="Arial" w:hAnsi="Arial"/>
          <w:sz w:val="16"/>
          <w:szCs w:val="16"/>
          <w:color w:val="auto"/>
        </w:rPr>
        <w:t>Jennifer Y. Hyman, Chief Executive Officer, Rent the Runway, Inc. Scarlett O’Sullivan, Chief Financial Officer, Rent the Runway, Inc.</w:t>
      </w:r>
    </w:p>
    <w:p>
      <w:pPr>
        <w:spacing w:after="0" w:line="1" w:lineRule="exact"/>
        <w:rPr>
          <w:rFonts w:ascii="Arial" w:cs="Arial" w:eastAsia="Arial" w:hAnsi="Arial"/>
          <w:sz w:val="18"/>
          <w:szCs w:val="18"/>
          <w:color w:val="auto"/>
        </w:rPr>
      </w:pPr>
    </w:p>
    <w:p>
      <w:pPr>
        <w:ind w:left="984" w:right="4300"/>
        <w:spacing w:after="0" w:line="260" w:lineRule="auto"/>
        <w:rPr>
          <w:rFonts w:ascii="Arial" w:cs="Arial" w:eastAsia="Arial" w:hAnsi="Arial"/>
          <w:sz w:val="18"/>
          <w:szCs w:val="18"/>
          <w:color w:val="auto"/>
        </w:rPr>
      </w:pPr>
      <w:r>
        <w:rPr>
          <w:rFonts w:ascii="Arial" w:cs="Arial" w:eastAsia="Arial" w:hAnsi="Arial"/>
          <w:sz w:val="18"/>
          <w:szCs w:val="18"/>
          <w:color w:val="auto"/>
        </w:rPr>
        <w:t>Cara Schembri, General Counsel &amp; Corporate Secretary, Rent the Runway, Inc. Emily E. Taylor, Latham &amp; Watkins LLP</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2021-11-24T23:07:20Z</dcterms:created>
  <dcterms:modified xsi:type="dcterms:W3CDTF">2021-11-24T23:07:20Z</dcterms:modified>
</cp:coreProperties>
</file>