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20"/>
        <w:spacing w:after="0"/>
        <w:rPr>
          <w:sz w:val="20"/>
          <w:szCs w:val="20"/>
          <w:color w:val="auto"/>
        </w:rPr>
      </w:pPr>
      <w:r>
        <w:rPr>
          <w:rFonts w:ascii="Arial" w:cs="Arial" w:eastAsia="Arial" w:hAnsi="Arial"/>
          <w:sz w:val="18"/>
          <w:szCs w:val="18"/>
          <w:b w:val="1"/>
          <w:bCs w:val="1"/>
          <w:color w:val="auto"/>
        </w:rPr>
        <w:t>As filed with the Securities and Exchange Commission on April 11, 2024</w:t>
      </w:r>
    </w:p>
    <w:p>
      <w:pPr>
        <w:spacing w:after="0" w:line="2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 xml:space="preserve">Registration </w:t>
      </w:r>
      <w:r>
        <w:rPr>
          <w:rFonts w:ascii="Times New Roman" w:cs="Times New Roman" w:eastAsia="Times New Roman" w:hAnsi="Times New Roman"/>
          <w:sz w:val="21"/>
          <w:szCs w:val="21"/>
          <w:b w:val="1"/>
          <w:bCs w:val="1"/>
          <w:color w:val="auto"/>
        </w:rPr>
        <w:t>No. 333-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ind w:left="328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S-8</w:t>
      </w:r>
    </w:p>
    <w:p>
      <w:pPr>
        <w:spacing w:after="0" w:line="1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REGISTRATION STATEMENT</w:t>
      </w:r>
    </w:p>
    <w:p>
      <w:pPr>
        <w:jc w:val="center"/>
        <w:ind w:right="11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0" w:lineRule="exact"/>
        <w:rPr>
          <w:sz w:val="24"/>
          <w:szCs w:val="24"/>
          <w:color w:val="auto"/>
        </w:rPr>
      </w:pP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43"/>
          <w:szCs w:val="43"/>
          <w:b w:val="1"/>
          <w:bCs w:val="1"/>
          <w:color w:val="auto"/>
        </w:rPr>
        <w:t>Rent the Runway, Inc.</w:t>
      </w:r>
    </w:p>
    <w:p>
      <w:pPr>
        <w:spacing w:after="0" w:line="42" w:lineRule="exact"/>
        <w:rPr>
          <w:sz w:val="24"/>
          <w:szCs w:val="24"/>
          <w:color w:val="auto"/>
        </w:rPr>
      </w:pPr>
    </w:p>
    <w:p>
      <w:pPr>
        <w:ind w:left="180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319" w:lineRule="exact"/>
        <w:rPr>
          <w:sz w:val="24"/>
          <w:szCs w:val="24"/>
          <w:color w:val="auto"/>
        </w:rPr>
      </w:pPr>
    </w:p>
    <w:tbl>
      <w:tblPr>
        <w:tblLayout w:type="fixed"/>
        <w:tblInd w:w="400" w:type="dxa"/>
        <w:tblCellMar>
          <w:top w:w="0" w:type="dxa"/>
          <w:left w:w="0" w:type="dxa"/>
          <w:bottom w:w="0" w:type="dxa"/>
          <w:right w:w="0" w:type="dxa"/>
        </w:tblCellMar>
      </w:tblPr>
      <w:tr>
        <w:trPr>
          <w:trHeight w:val="297"/>
        </w:trPr>
        <w:tc>
          <w:tcPr>
            <w:tcW w:w="3860" w:type="dxa"/>
            <w:vAlign w:val="bottom"/>
          </w:tcPr>
          <w:p>
            <w:pPr>
              <w:jc w:val="center"/>
              <w:ind w:right="1716"/>
              <w:spacing w:after="0"/>
              <w:rPr>
                <w:sz w:val="20"/>
                <w:szCs w:val="20"/>
                <w:color w:val="auto"/>
              </w:rPr>
            </w:pPr>
            <w:r>
              <w:rPr>
                <w:rFonts w:ascii="Arial" w:cs="Arial" w:eastAsia="Arial" w:hAnsi="Arial"/>
                <w:sz w:val="22"/>
                <w:szCs w:val="22"/>
                <w:b w:val="1"/>
                <w:bCs w:val="1"/>
                <w:color w:val="auto"/>
                <w:w w:val="97"/>
              </w:rPr>
              <w:t>Delaware</w:t>
            </w:r>
          </w:p>
        </w:tc>
        <w:tc>
          <w:tcPr>
            <w:tcW w:w="3040" w:type="dxa"/>
            <w:vAlign w:val="bottom"/>
          </w:tcPr>
          <w:p>
            <w:pPr>
              <w:jc w:val="center"/>
              <w:ind w:left="1736"/>
              <w:spacing w:after="0"/>
              <w:rPr>
                <w:sz w:val="20"/>
                <w:szCs w:val="20"/>
                <w:color w:val="auto"/>
              </w:rPr>
            </w:pPr>
            <w:r>
              <w:rPr>
                <w:rFonts w:ascii="Arial" w:cs="Arial" w:eastAsia="Arial" w:hAnsi="Arial"/>
                <w:sz w:val="22"/>
                <w:szCs w:val="22"/>
                <w:b w:val="1"/>
                <w:bCs w:val="1"/>
                <w:color w:val="auto"/>
                <w:w w:val="97"/>
              </w:rPr>
              <w:t>80-0376379</w:t>
            </w:r>
          </w:p>
        </w:tc>
      </w:tr>
      <w:tr>
        <w:trPr>
          <w:trHeight w:val="167"/>
        </w:trPr>
        <w:tc>
          <w:tcPr>
            <w:tcW w:w="3860" w:type="dxa"/>
            <w:vAlign w:val="bottom"/>
          </w:tcPr>
          <w:p>
            <w:pPr>
              <w:jc w:val="center"/>
              <w:ind w:right="1716"/>
              <w:spacing w:after="0"/>
              <w:rPr>
                <w:sz w:val="20"/>
                <w:szCs w:val="20"/>
                <w:color w:val="auto"/>
              </w:rPr>
            </w:pPr>
            <w:r>
              <w:rPr>
                <w:rFonts w:ascii="Arial" w:cs="Arial" w:eastAsia="Arial" w:hAnsi="Arial"/>
                <w:sz w:val="14"/>
                <w:szCs w:val="14"/>
                <w:b w:val="1"/>
                <w:bCs w:val="1"/>
                <w:color w:val="auto"/>
              </w:rPr>
              <w:t>(State or other jurisdiction of</w:t>
            </w:r>
          </w:p>
        </w:tc>
        <w:tc>
          <w:tcPr>
            <w:tcW w:w="3040" w:type="dxa"/>
            <w:vAlign w:val="bottom"/>
          </w:tcPr>
          <w:p>
            <w:pPr>
              <w:jc w:val="center"/>
              <w:ind w:left="1736"/>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3860" w:type="dxa"/>
            <w:vAlign w:val="bottom"/>
          </w:tcPr>
          <w:p>
            <w:pPr>
              <w:jc w:val="center"/>
              <w:ind w:right="1716"/>
              <w:spacing w:after="0"/>
              <w:rPr>
                <w:sz w:val="20"/>
                <w:szCs w:val="20"/>
                <w:color w:val="auto"/>
              </w:rPr>
            </w:pPr>
            <w:r>
              <w:rPr>
                <w:rFonts w:ascii="Arial" w:cs="Arial" w:eastAsia="Arial" w:hAnsi="Arial"/>
                <w:sz w:val="14"/>
                <w:szCs w:val="14"/>
                <w:b w:val="1"/>
                <w:bCs w:val="1"/>
                <w:color w:val="auto"/>
              </w:rPr>
              <w:t>Incorporation or organization)</w:t>
            </w:r>
          </w:p>
        </w:tc>
        <w:tc>
          <w:tcPr>
            <w:tcW w:w="3040" w:type="dxa"/>
            <w:vAlign w:val="bottom"/>
          </w:tcPr>
          <w:p>
            <w:pPr>
              <w:jc w:val="center"/>
              <w:ind w:left="1736"/>
              <w:spacing w:after="0"/>
              <w:rPr>
                <w:sz w:val="20"/>
                <w:szCs w:val="20"/>
                <w:color w:val="auto"/>
              </w:rPr>
            </w:pPr>
            <w:r>
              <w:rPr>
                <w:rFonts w:ascii="Arial" w:cs="Arial" w:eastAsia="Arial" w:hAnsi="Arial"/>
                <w:sz w:val="14"/>
                <w:szCs w:val="14"/>
                <w:b w:val="1"/>
                <w:bCs w:val="1"/>
                <w:color w:val="auto"/>
              </w:rPr>
              <w:t>Identification No.)</w:t>
            </w:r>
          </w:p>
        </w:tc>
      </w:tr>
    </w:tbl>
    <w:p>
      <w:pPr>
        <w:spacing w:after="0" w:line="78"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10 Jay Street</w:t>
      </w:r>
    </w:p>
    <w:p>
      <w:pPr>
        <w:ind w:left="3400"/>
        <w:spacing w:after="0" w:line="234" w:lineRule="auto"/>
        <w:rPr>
          <w:sz w:val="20"/>
          <w:szCs w:val="20"/>
          <w:color w:val="auto"/>
        </w:rPr>
      </w:pPr>
      <w:r>
        <w:rPr>
          <w:rFonts w:ascii="Arial" w:cs="Arial" w:eastAsia="Arial" w:hAnsi="Arial"/>
          <w:sz w:val="18"/>
          <w:szCs w:val="18"/>
          <w:b w:val="1"/>
          <w:bCs w:val="1"/>
          <w:color w:val="auto"/>
        </w:rPr>
        <w:t>Brooklyn, New York 11201</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Telephone: (212) 524-6860</w:t>
      </w:r>
    </w:p>
    <w:p>
      <w:pPr>
        <w:spacing w:after="0" w:line="1" w:lineRule="exact"/>
        <w:rPr>
          <w:sz w:val="24"/>
          <w:szCs w:val="24"/>
          <w:color w:val="auto"/>
        </w:rPr>
      </w:pPr>
    </w:p>
    <w:p>
      <w:pPr>
        <w:ind w:left="280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Rent the Runway, Inc. Amended and Restated 2021 Incentive Award Plan</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4"/>
          <w:szCs w:val="14"/>
          <w:b w:val="1"/>
          <w:bCs w:val="1"/>
          <w:color w:val="auto"/>
        </w:rPr>
        <w:t>(Full title of the plans)</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Jennifer Y. Hyman, Co-Founder, Chief Executive Officer and Chair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Rent the Runway, Inc.</w:t>
      </w:r>
    </w:p>
    <w:p>
      <w:pPr>
        <w:jc w:val="center"/>
        <w:ind w:right="1120"/>
        <w:spacing w:after="0" w:line="234" w:lineRule="auto"/>
        <w:rPr>
          <w:sz w:val="20"/>
          <w:szCs w:val="20"/>
          <w:color w:val="auto"/>
        </w:rPr>
      </w:pPr>
      <w:r>
        <w:rPr>
          <w:rFonts w:ascii="Arial" w:cs="Arial" w:eastAsia="Arial" w:hAnsi="Arial"/>
          <w:sz w:val="18"/>
          <w:szCs w:val="18"/>
          <w:b w:val="1"/>
          <w:bCs w:val="1"/>
          <w:color w:val="auto"/>
        </w:rPr>
        <w:t>10 Jay Street</w:t>
      </w:r>
    </w:p>
    <w:p>
      <w:pPr>
        <w:jc w:val="center"/>
        <w:ind w:right="1120"/>
        <w:spacing w:after="0" w:line="235" w:lineRule="auto"/>
        <w:rPr>
          <w:sz w:val="20"/>
          <w:szCs w:val="20"/>
          <w:color w:val="auto"/>
        </w:rPr>
      </w:pPr>
      <w:r>
        <w:rPr>
          <w:rFonts w:ascii="Arial" w:cs="Arial" w:eastAsia="Arial" w:hAnsi="Arial"/>
          <w:sz w:val="18"/>
          <w:szCs w:val="18"/>
          <w:b w:val="1"/>
          <w:bCs w:val="1"/>
          <w:color w:val="auto"/>
        </w:rPr>
        <w:t>Brooklyn, New York 11201</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Telephone: (212) 524-6860</w:t>
      </w:r>
    </w:p>
    <w:p>
      <w:pPr>
        <w:spacing w:after="0" w:line="1" w:lineRule="exact"/>
        <w:rPr>
          <w:sz w:val="24"/>
          <w:szCs w:val="24"/>
          <w:color w:val="auto"/>
        </w:rPr>
      </w:pPr>
    </w:p>
    <w:p>
      <w:pPr>
        <w:ind w:left="1020"/>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222" w:lineRule="exact"/>
        <w:rPr>
          <w:sz w:val="24"/>
          <w:szCs w:val="24"/>
          <w:color w:val="auto"/>
        </w:rPr>
      </w:pPr>
    </w:p>
    <w:tbl>
      <w:tblPr>
        <w:tblLayout w:type="fixed"/>
        <w:tblInd w:w="460" w:type="dxa"/>
        <w:tblCellMar>
          <w:top w:w="0" w:type="dxa"/>
          <w:left w:w="0" w:type="dxa"/>
          <w:bottom w:w="0" w:type="dxa"/>
          <w:right w:w="0" w:type="dxa"/>
        </w:tblCellMar>
      </w:tblPr>
      <w:tr>
        <w:trPr>
          <w:trHeight w:val="245"/>
        </w:trPr>
        <w:tc>
          <w:tcPr>
            <w:tcW w:w="2940" w:type="dxa"/>
            <w:vAlign w:val="bottom"/>
          </w:tcPr>
          <w:p>
            <w:pPr>
              <w:spacing w:after="0"/>
              <w:rPr>
                <w:sz w:val="21"/>
                <w:szCs w:val="21"/>
                <w:color w:val="auto"/>
              </w:rPr>
            </w:pPr>
          </w:p>
        </w:tc>
        <w:tc>
          <w:tcPr>
            <w:tcW w:w="5120" w:type="dxa"/>
            <w:vAlign w:val="bottom"/>
          </w:tcPr>
          <w:p>
            <w:pPr>
              <w:ind w:left="46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12"/>
        </w:trPr>
        <w:tc>
          <w:tcPr>
            <w:tcW w:w="2940" w:type="dxa"/>
            <w:vAlign w:val="bottom"/>
          </w:tcPr>
          <w:p>
            <w:pPr>
              <w:jc w:val="center"/>
              <w:ind w:right="370"/>
              <w:spacing w:after="0"/>
              <w:rPr>
                <w:sz w:val="20"/>
                <w:szCs w:val="20"/>
                <w:color w:val="auto"/>
              </w:rPr>
            </w:pPr>
            <w:r>
              <w:rPr>
                <w:rFonts w:ascii="Arial" w:cs="Arial" w:eastAsia="Arial" w:hAnsi="Arial"/>
                <w:sz w:val="18"/>
                <w:szCs w:val="18"/>
                <w:b w:val="1"/>
                <w:bCs w:val="1"/>
                <w:color w:val="auto"/>
                <w:w w:val="99"/>
              </w:rPr>
              <w:t>Marc D. Jaffe</w:t>
            </w:r>
          </w:p>
        </w:tc>
        <w:tc>
          <w:tcPr>
            <w:tcW w:w="512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Cara Schembri</w:t>
            </w:r>
          </w:p>
        </w:tc>
      </w:tr>
      <w:tr>
        <w:trPr>
          <w:trHeight w:val="189"/>
        </w:trPr>
        <w:tc>
          <w:tcPr>
            <w:tcW w:w="2940" w:type="dxa"/>
            <w:vAlign w:val="bottom"/>
          </w:tcPr>
          <w:p>
            <w:pPr>
              <w:jc w:val="center"/>
              <w:ind w:right="370"/>
              <w:spacing w:after="0" w:line="189" w:lineRule="exact"/>
              <w:rPr>
                <w:sz w:val="20"/>
                <w:szCs w:val="20"/>
                <w:color w:val="auto"/>
              </w:rPr>
            </w:pPr>
            <w:r>
              <w:rPr>
                <w:rFonts w:ascii="Arial" w:cs="Arial" w:eastAsia="Arial" w:hAnsi="Arial"/>
                <w:sz w:val="18"/>
                <w:szCs w:val="18"/>
                <w:b w:val="1"/>
                <w:bCs w:val="1"/>
                <w:color w:val="auto"/>
                <w:w w:val="99"/>
              </w:rPr>
              <w:t>Jenna Cooper</w:t>
            </w:r>
          </w:p>
        </w:tc>
        <w:tc>
          <w:tcPr>
            <w:tcW w:w="5120" w:type="dxa"/>
            <w:vAlign w:val="bottom"/>
          </w:tcPr>
          <w:p>
            <w:pPr>
              <w:jc w:val="center"/>
              <w:ind w:left="2810"/>
              <w:spacing w:after="0" w:line="189" w:lineRule="exact"/>
              <w:rPr>
                <w:sz w:val="20"/>
                <w:szCs w:val="20"/>
                <w:color w:val="auto"/>
              </w:rPr>
            </w:pPr>
            <w:r>
              <w:rPr>
                <w:rFonts w:ascii="Arial" w:cs="Arial" w:eastAsia="Arial" w:hAnsi="Arial"/>
                <w:sz w:val="18"/>
                <w:szCs w:val="18"/>
                <w:b w:val="1"/>
                <w:bCs w:val="1"/>
                <w:color w:val="auto"/>
                <w:w w:val="99"/>
              </w:rPr>
              <w:t>Rent the Runway, Inc.</w:t>
            </w:r>
          </w:p>
        </w:tc>
      </w:tr>
      <w:tr>
        <w:trPr>
          <w:trHeight w:val="203"/>
        </w:trPr>
        <w:tc>
          <w:tcPr>
            <w:tcW w:w="2940" w:type="dxa"/>
            <w:vAlign w:val="bottom"/>
          </w:tcPr>
          <w:p>
            <w:pPr>
              <w:jc w:val="center"/>
              <w:ind w:right="350"/>
              <w:spacing w:after="0" w:line="202" w:lineRule="exact"/>
              <w:rPr>
                <w:sz w:val="20"/>
                <w:szCs w:val="20"/>
                <w:color w:val="auto"/>
              </w:rPr>
            </w:pPr>
            <w:r>
              <w:rPr>
                <w:rFonts w:ascii="Arial" w:cs="Arial" w:eastAsia="Arial" w:hAnsi="Arial"/>
                <w:sz w:val="18"/>
                <w:szCs w:val="18"/>
                <w:b w:val="1"/>
                <w:bCs w:val="1"/>
                <w:color w:val="auto"/>
                <w:w w:val="99"/>
              </w:rPr>
              <w:t>Latham &amp; Watkins LLP</w:t>
            </w:r>
          </w:p>
        </w:tc>
        <w:tc>
          <w:tcPr>
            <w:tcW w:w="5120" w:type="dxa"/>
            <w:vAlign w:val="bottom"/>
          </w:tcPr>
          <w:p>
            <w:pPr>
              <w:jc w:val="center"/>
              <w:ind w:left="2810"/>
              <w:spacing w:after="0" w:line="202" w:lineRule="exact"/>
              <w:rPr>
                <w:sz w:val="20"/>
                <w:szCs w:val="20"/>
                <w:color w:val="auto"/>
              </w:rPr>
            </w:pPr>
            <w:r>
              <w:rPr>
                <w:rFonts w:ascii="Arial" w:cs="Arial" w:eastAsia="Arial" w:hAnsi="Arial"/>
                <w:sz w:val="18"/>
                <w:szCs w:val="18"/>
                <w:b w:val="1"/>
                <w:bCs w:val="1"/>
                <w:color w:val="auto"/>
                <w:w w:val="99"/>
              </w:rPr>
              <w:t>10 Jay Street</w:t>
            </w:r>
          </w:p>
        </w:tc>
      </w:tr>
      <w:tr>
        <w:trPr>
          <w:trHeight w:val="203"/>
        </w:trPr>
        <w:tc>
          <w:tcPr>
            <w:tcW w:w="2940" w:type="dxa"/>
            <w:vAlign w:val="bottom"/>
          </w:tcPr>
          <w:p>
            <w:pPr>
              <w:jc w:val="center"/>
              <w:ind w:right="350"/>
              <w:spacing w:after="0" w:line="202" w:lineRule="exact"/>
              <w:rPr>
                <w:sz w:val="20"/>
                <w:szCs w:val="20"/>
                <w:color w:val="auto"/>
              </w:rPr>
            </w:pPr>
            <w:r>
              <w:rPr>
                <w:rFonts w:ascii="Arial" w:cs="Arial" w:eastAsia="Arial" w:hAnsi="Arial"/>
                <w:sz w:val="18"/>
                <w:szCs w:val="18"/>
                <w:b w:val="1"/>
                <w:bCs w:val="1"/>
                <w:color w:val="auto"/>
                <w:w w:val="99"/>
              </w:rPr>
              <w:t>1271 Avenue of the Americas</w:t>
            </w:r>
          </w:p>
        </w:tc>
        <w:tc>
          <w:tcPr>
            <w:tcW w:w="5120" w:type="dxa"/>
            <w:vAlign w:val="bottom"/>
          </w:tcPr>
          <w:p>
            <w:pPr>
              <w:jc w:val="center"/>
              <w:ind w:left="2810"/>
              <w:spacing w:after="0" w:line="202" w:lineRule="exact"/>
              <w:rPr>
                <w:sz w:val="20"/>
                <w:szCs w:val="20"/>
                <w:color w:val="auto"/>
              </w:rPr>
            </w:pPr>
            <w:r>
              <w:rPr>
                <w:rFonts w:ascii="Arial" w:cs="Arial" w:eastAsia="Arial" w:hAnsi="Arial"/>
                <w:sz w:val="18"/>
                <w:szCs w:val="18"/>
                <w:b w:val="1"/>
                <w:bCs w:val="1"/>
                <w:color w:val="auto"/>
                <w:w w:val="98"/>
              </w:rPr>
              <w:t>Brooklyn, New York 11201</w:t>
            </w:r>
          </w:p>
        </w:tc>
      </w:tr>
      <w:tr>
        <w:trPr>
          <w:trHeight w:val="203"/>
        </w:trPr>
        <w:tc>
          <w:tcPr>
            <w:tcW w:w="2940" w:type="dxa"/>
            <w:vAlign w:val="bottom"/>
          </w:tcPr>
          <w:p>
            <w:pPr>
              <w:jc w:val="center"/>
              <w:ind w:right="350"/>
              <w:spacing w:after="0" w:line="202" w:lineRule="exact"/>
              <w:rPr>
                <w:sz w:val="20"/>
                <w:szCs w:val="20"/>
                <w:color w:val="auto"/>
              </w:rPr>
            </w:pPr>
            <w:r>
              <w:rPr>
                <w:rFonts w:ascii="Arial" w:cs="Arial" w:eastAsia="Arial" w:hAnsi="Arial"/>
                <w:sz w:val="18"/>
                <w:szCs w:val="18"/>
                <w:b w:val="1"/>
                <w:bCs w:val="1"/>
                <w:color w:val="auto"/>
                <w:w w:val="98"/>
              </w:rPr>
              <w:t>New York, New York 10020</w:t>
            </w:r>
          </w:p>
        </w:tc>
        <w:tc>
          <w:tcPr>
            <w:tcW w:w="5120" w:type="dxa"/>
            <w:vAlign w:val="bottom"/>
          </w:tcPr>
          <w:p>
            <w:pPr>
              <w:jc w:val="center"/>
              <w:ind w:left="2810"/>
              <w:spacing w:after="0" w:line="202" w:lineRule="exact"/>
              <w:rPr>
                <w:sz w:val="20"/>
                <w:szCs w:val="20"/>
                <w:color w:val="auto"/>
              </w:rPr>
            </w:pPr>
            <w:r>
              <w:rPr>
                <w:rFonts w:ascii="Arial" w:cs="Arial" w:eastAsia="Arial" w:hAnsi="Arial"/>
                <w:sz w:val="18"/>
                <w:szCs w:val="18"/>
                <w:b w:val="1"/>
                <w:bCs w:val="1"/>
                <w:color w:val="auto"/>
                <w:w w:val="99"/>
              </w:rPr>
              <w:t>(212) 524-6860</w:t>
            </w:r>
          </w:p>
        </w:tc>
      </w:tr>
      <w:tr>
        <w:trPr>
          <w:trHeight w:val="247"/>
        </w:trPr>
        <w:tc>
          <w:tcPr>
            <w:tcW w:w="294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(212) 906-1200</w:t>
            </w:r>
          </w:p>
        </w:tc>
        <w:tc>
          <w:tcPr>
            <w:tcW w:w="5120" w:type="dxa"/>
            <w:vAlign w:val="bottom"/>
          </w:tcPr>
          <w:p>
            <w:pPr>
              <w:spacing w:after="0"/>
              <w:rPr>
                <w:sz w:val="21"/>
                <w:szCs w:val="21"/>
                <w:color w:val="auto"/>
              </w:rPr>
            </w:pPr>
          </w:p>
        </w:tc>
      </w:tr>
    </w:tbl>
    <w:p>
      <w:pPr>
        <w:sectPr>
          <w:pgSz w:w="11900" w:h="16838" w:orient="portrait"/>
          <w:cols w:equalWidth="0" w:num="1">
            <w:col w:w="10120"/>
          </w:cols>
          <w:pgMar w:left="1440" w:top="215" w:right="339" w:bottom="1440" w:gutter="0" w:footer="0" w:header="0"/>
        </w:sectPr>
      </w:pPr>
    </w:p>
    <w:bookmarkStart w:id="1" w:name="page2"/>
    <w:bookmarkEnd w:id="1"/>
    <w:p>
      <w:pPr>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1160" w:right="359" w:bottom="1440" w:gutter="0" w:footer="0" w:header="0"/>
        </w:sectPr>
      </w:pPr>
    </w:p>
    <w:p>
      <w:pPr>
        <w:spacing w:after="0" w:line="210" w:lineRule="exact"/>
        <w:rPr>
          <w:sz w:val="20"/>
          <w:szCs w:val="20"/>
          <w:color w:val="auto"/>
        </w:rPr>
      </w:pPr>
    </w:p>
    <w:p>
      <w:pPr>
        <w:ind w:left="2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0"/>
          <w:szCs w:val="20"/>
          <w:color w:val="auto"/>
        </w:rPr>
      </w:pPr>
    </w:p>
    <w:p>
      <w:pPr>
        <w:sectPr>
          <w:pgSz w:w="11900" w:h="16838" w:orient="portrait"/>
          <w:cols w:equalWidth="0" w:num="2">
            <w:col w:w="4120" w:space="720"/>
            <w:col w:w="6380"/>
          </w:cols>
          <w:pgMar w:left="320" w:top="1160" w:right="359" w:bottom="1440" w:gutter="0" w:footer="0" w:header="0"/>
          <w:type w:val="continuous"/>
        </w:sect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 xml:space="preserve">Smaller reporting company </w:t>
      </w:r>
      <w:r>
        <w:rPr>
          <w:rFonts w:ascii="MS PGothic" w:cs="MS PGothic" w:eastAsia="MS PGothic" w:hAnsi="MS PGothic"/>
          <w:sz w:val="17"/>
          <w:szCs w:val="17"/>
          <w:color w:val="auto"/>
        </w:rPr>
        <w:t>☒</w:t>
      </w:r>
    </w:p>
    <w:p>
      <w:pPr>
        <w:spacing w:after="0" w:line="6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4120" w:space="720"/>
            <w:col w:w="6380"/>
          </w:cols>
          <w:pgMar w:left="320" w:top="1160" w:right="359" w:bottom="1440" w:gutter="0" w:footer="0" w:header="0"/>
          <w:type w:val="continuous"/>
        </w:sectPr>
      </w:pPr>
    </w:p>
    <w:p>
      <w:pPr>
        <w:spacing w:after="0" w:line="152" w:lineRule="exact"/>
        <w:rPr>
          <w:sz w:val="20"/>
          <w:szCs w:val="20"/>
          <w:color w:val="auto"/>
        </w:rPr>
      </w:pPr>
    </w:p>
    <w:p>
      <w:pPr>
        <w:ind w:right="6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 with any new or revised financial accounting standards provided pursuant to Section 7(a)(2)(B) of Securities Act. </w:t>
      </w:r>
      <w:r>
        <w:rPr>
          <w:rFonts w:ascii="MS PGothic" w:cs="MS PGothic" w:eastAsia="MS PGothic" w:hAnsi="MS PGothic"/>
          <w:sz w:val="18"/>
          <w:szCs w:val="18"/>
          <w:color w:val="auto"/>
        </w:rPr>
        <w:t>☐</w:t>
      </w:r>
    </w:p>
    <w:p>
      <w:pPr>
        <w:sectPr>
          <w:pgSz w:w="11900" w:h="16838" w:orient="portrait"/>
          <w:cols w:equalWidth="0" w:num="1">
            <w:col w:w="11220"/>
          </w:cols>
          <w:pgMar w:left="320" w:top="1160" w:right="35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Registration Statement on Form S-8 is being filed for the purpose of registering an additional 503,413 shares of the Registrant’s Class A common stock that may become issuable pursuant to the Rent the Runway, Inc. Amended and Restated 2021 Incentive Award Plan (“2021 Plan”) and for which a Registration Statement of the Registrant on Form S-8 relating to the same employee benefit plans is effective.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 OF CONTENTS OF REGISTRATION STATEMENT ON FORM S-8</w:t>
      </w:r>
    </w:p>
    <w:p>
      <w:pPr>
        <w:spacing w:after="0" w:line="239" w:lineRule="exact"/>
        <w:rPr>
          <w:sz w:val="20"/>
          <w:szCs w:val="20"/>
          <w:color w:val="auto"/>
        </w:rPr>
      </w:pPr>
    </w:p>
    <w:p>
      <w:pPr>
        <w:ind w:right="120"/>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The contents of the Registration Statement on </w:t>
      </w:r>
      <w:hyperlink r:id="rId8">
        <w:r>
          <w:rPr>
            <w:rFonts w:ascii="Arial" w:cs="Arial" w:eastAsia="Arial" w:hAnsi="Arial"/>
            <w:sz w:val="18"/>
            <w:szCs w:val="18"/>
            <w:u w:val="single" w:color="auto"/>
            <w:color w:val="0000FF"/>
          </w:rPr>
          <w:t>Form S-8 (File Nos. 333-260564</w:t>
        </w:r>
      </w:hyperlink>
      <w:r>
        <w:rPr>
          <w:rFonts w:ascii="Arial" w:cs="Arial" w:eastAsia="Arial" w:hAnsi="Arial"/>
          <w:sz w:val="18"/>
          <w:szCs w:val="18"/>
          <w:color w:val="auto"/>
        </w:rPr>
        <w:t>,</w:t>
      </w:r>
      <w:hyperlink r:id="rId9">
        <w:r>
          <w:rPr>
            <w:rFonts w:ascii="Arial" w:cs="Arial" w:eastAsia="Arial" w:hAnsi="Arial"/>
            <w:sz w:val="18"/>
            <w:szCs w:val="18"/>
            <w:u w:val="single" w:color="auto"/>
            <w:color w:val="0000FF"/>
          </w:rPr>
          <w:t>333-264295</w:t>
        </w:r>
      </w:hyperlink>
      <w:r>
        <w:rPr>
          <w:rFonts w:ascii="Arial" w:cs="Arial" w:eastAsia="Arial" w:hAnsi="Arial"/>
          <w:sz w:val="18"/>
          <w:szCs w:val="18"/>
          <w:color w:val="auto"/>
        </w:rPr>
        <w:t xml:space="preserve">, and </w:t>
      </w:r>
      <w:hyperlink r:id="rId10">
        <w:r>
          <w:rPr>
            <w:rFonts w:ascii="Arial" w:cs="Arial" w:eastAsia="Arial" w:hAnsi="Arial"/>
            <w:sz w:val="18"/>
            <w:szCs w:val="18"/>
            <w:u w:val="single" w:color="auto"/>
            <w:color w:val="0000FF"/>
          </w:rPr>
          <w:t>333-271241</w:t>
        </w:r>
      </w:hyperlink>
      <w:r>
        <w:rPr>
          <w:rFonts w:ascii="Arial" w:cs="Arial" w:eastAsia="Arial" w:hAnsi="Arial"/>
          <w:sz w:val="18"/>
          <w:szCs w:val="18"/>
          <w:color w:val="auto"/>
        </w:rPr>
        <w:t>), filed with the Securities and Exchange Commission, relating to the 2021 Plan, are incorporated herein by reference.</w:t>
      </w:r>
    </w:p>
    <w:p>
      <w:pPr>
        <w:sectPr>
          <w:pgSz w:w="11900" w:h="16838" w:orient="portrait"/>
          <w:cols w:equalWidth="0" w:num="1">
            <w:col w:w="11200"/>
          </w:cols>
          <w:pgMar w:left="320" w:top="917" w:right="379" w:bottom="1440" w:gutter="0" w:footer="0" w:header="0"/>
        </w:sectPr>
      </w:pPr>
    </w:p>
    <w:p>
      <w:pPr>
        <w:ind w:left="240"/>
        <w:spacing w:after="0"/>
        <w:rPr>
          <w:sz w:val="20"/>
          <w:szCs w:val="20"/>
          <w:color w:val="auto"/>
        </w:rPr>
      </w:pPr>
      <w:r>
        <w:rPr>
          <w:rFonts w:ascii="Arial" w:cs="Arial" w:eastAsia="Arial" w:hAnsi="Arial"/>
          <w:sz w:val="18"/>
          <w:szCs w:val="18"/>
          <w:b w:val="1"/>
          <w:bCs w:val="1"/>
          <w:color w:val="auto"/>
        </w:rPr>
        <w:t>Exhibit</w:t>
      </w: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76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28"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4.2</w:t>
      </w:r>
    </w:p>
    <w:p>
      <w:pPr>
        <w:spacing w:after="0" w:line="252"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4.3</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5.1*</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23.1*</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23.2*</w:t>
      </w:r>
    </w:p>
    <w:p>
      <w:pPr>
        <w:spacing w:after="0" w:line="50" w:lineRule="exact"/>
        <w:rPr>
          <w:rFonts w:ascii="Arial" w:cs="Arial" w:eastAsia="Arial" w:hAnsi="Arial"/>
          <w:sz w:val="18"/>
          <w:szCs w:val="18"/>
          <w:color w:val="auto"/>
        </w:rPr>
      </w:pPr>
    </w:p>
    <w:p>
      <w:pPr>
        <w:ind w:left="20"/>
        <w:spacing w:after="0"/>
        <w:rPr>
          <w:sz w:val="20"/>
          <w:szCs w:val="20"/>
          <w:color w:val="auto"/>
        </w:rPr>
      </w:pPr>
      <w:r>
        <w:rPr>
          <w:rFonts w:ascii="Arial" w:cs="Arial" w:eastAsia="Arial" w:hAnsi="Arial"/>
          <w:sz w:val="18"/>
          <w:szCs w:val="18"/>
          <w:color w:val="auto"/>
        </w:rPr>
        <w:t>24.1*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169"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63950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20" w:lineRule="exact"/>
        <w:rPr>
          <w:rFonts w:ascii="Arial" w:cs="Arial" w:eastAsia="Arial" w:hAnsi="Arial"/>
          <w:sz w:val="18"/>
          <w:szCs w:val="18"/>
          <w:color w:val="auto"/>
        </w:rPr>
      </w:pPr>
    </w:p>
    <w:p>
      <w:pPr>
        <w:ind w:right="240"/>
        <w:spacing w:after="0" w:line="263" w:lineRule="auto"/>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Amended and Restated Certificate of Incorporation of the Registrant, dated October 29, 2021 (incorporated by reference to</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Exhibit 3.1 to the Registrant’s Current Report on Form 8-K (File No. 001-40958) filed on October 29, 2021)</w:t>
        </w:r>
      </w:hyperlink>
    </w:p>
    <w:p>
      <w:pPr>
        <w:spacing w:after="0" w:line="2" w:lineRule="exact"/>
        <w:rPr>
          <w:sz w:val="20"/>
          <w:szCs w:val="20"/>
          <w:color w:val="auto"/>
        </w:rPr>
      </w:pPr>
    </w:p>
    <w:p>
      <w:pPr>
        <w:ind w:right="80"/>
        <w:spacing w:after="0" w:line="253"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Certificate of Amendment to the Amended and Restated Certificate of Incorporation of the Registrant, dated April 2, 2024</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(incorporated by reference to Exhibit 3.1 to the Registrant’s Current Report on Form 8-K (File No. 001-40958) filed on April 2,</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2024)</w:t>
        </w:r>
      </w:hyperlink>
    </w:p>
    <w:p>
      <w:pPr>
        <w:spacing w:after="0" w:line="7" w:lineRule="exact"/>
        <w:rPr>
          <w:rFonts w:ascii="Arial" w:cs="Arial" w:eastAsia="Arial" w:hAnsi="Arial"/>
          <w:sz w:val="18"/>
          <w:szCs w:val="18"/>
          <w:u w:val="single" w:color="auto"/>
          <w:color w:val="0000FF"/>
        </w:rPr>
      </w:pPr>
    </w:p>
    <w:p>
      <w:pPr>
        <w:ind w:right="400"/>
        <w:spacing w:after="0" w:line="266" w:lineRule="auto"/>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Amended and Restated Bylaws of the Registrant, dated October 29, 2021 (incorporated by reference to Exhibit 3.2 to the</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Registrant’s Current Report on Form 8-K (File No. 001-40958) filed on October 29, 2021)</w:t>
        </w:r>
      </w:hyperlink>
    </w:p>
    <w:p>
      <w:pPr>
        <w:spacing w:after="0"/>
        <w:rPr>
          <w:sz w:val="20"/>
          <w:szCs w:val="20"/>
          <w:color w:val="auto"/>
        </w:rPr>
      </w:pPr>
      <w:r>
        <w:rPr>
          <w:rFonts w:ascii="Arial" w:cs="Arial" w:eastAsia="Arial" w:hAnsi="Arial"/>
          <w:sz w:val="18"/>
          <w:szCs w:val="18"/>
          <w:u w:val="single" w:color="auto"/>
          <w:color w:val="0000FF"/>
        </w:rPr>
        <w:t>Opinion of Latham &amp; Watkins LLP</w:t>
      </w:r>
    </w:p>
    <w:p>
      <w:pPr>
        <w:spacing w:after="0" w:line="50" w:lineRule="exact"/>
        <w:rPr>
          <w:sz w:val="20"/>
          <w:szCs w:val="20"/>
          <w:color w:val="auto"/>
        </w:rPr>
      </w:pPr>
    </w:p>
    <w:p>
      <w:pPr>
        <w:ind w:right="2820"/>
        <w:spacing w:after="0" w:line="301" w:lineRule="auto"/>
        <w:rPr>
          <w:sz w:val="20"/>
          <w:szCs w:val="20"/>
          <w:color w:val="auto"/>
        </w:rPr>
      </w:pPr>
      <w:r>
        <w:rPr>
          <w:rFonts w:ascii="Arial" w:cs="Arial" w:eastAsia="Arial" w:hAnsi="Arial"/>
          <w:sz w:val="18"/>
          <w:szCs w:val="18"/>
          <w:u w:val="single" w:color="auto"/>
          <w:color w:val="0000FF"/>
        </w:rPr>
        <w:t>Consent of PricewaterhouseCoopers LLP, Independent Registered Public Accounting Firm Consent of Latham &amp; Watkins LLP (included in Exhibit 5.1) Power of Attorney (included on signature page)</w:t>
      </w:r>
    </w:p>
    <w:p>
      <w:pPr>
        <w:spacing w:after="0" w:line="1" w:lineRule="exact"/>
        <w:rPr>
          <w:sz w:val="20"/>
          <w:szCs w:val="20"/>
          <w:color w:val="auto"/>
        </w:rPr>
      </w:pPr>
    </w:p>
    <w:p>
      <w:pPr>
        <w:sectPr>
          <w:pgSz w:w="11900" w:h="16838" w:orient="portrait"/>
          <w:cols w:equalWidth="0" w:num="2">
            <w:col w:w="880" w:space="300"/>
            <w:col w:w="10020"/>
          </w:cols>
          <w:pgMar w:left="320" w:top="917" w:right="379" w:bottom="1440" w:gutter="0" w:footer="0" w:header="0"/>
          <w:type w:val="continuous"/>
        </w:sectPr>
      </w:pPr>
    </w:p>
    <w:tbl>
      <w:tblPr>
        <w:tblLayout w:type="fixed"/>
        <w:tblInd w:w="2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9960" w:type="dxa"/>
            <w:vAlign w:val="bottom"/>
            <w:gridSpan w:val="4"/>
          </w:tcPr>
          <w:p>
            <w:pPr>
              <w:spacing w:after="0" w:line="185" w:lineRule="exact"/>
              <w:rPr>
                <w:rFonts w:ascii="Arial" w:cs="Arial" w:eastAsia="Arial" w:hAnsi="Arial"/>
                <w:sz w:val="18"/>
                <w:szCs w:val="18"/>
                <w:color w:val="0000FF"/>
                <w:w w:val="99"/>
              </w:rPr>
            </w:pPr>
            <w:hyperlink r:id="rId16">
              <w:r>
                <w:rPr>
                  <w:rFonts w:ascii="Arial" w:cs="Arial" w:eastAsia="Arial" w:hAnsi="Arial"/>
                  <w:sz w:val="18"/>
                  <w:szCs w:val="18"/>
                  <w:color w:val="0000FF"/>
                  <w:w w:val="99"/>
                </w:rPr>
                <w:t>Amended and Restated 2021 Incentive Award Plan (incorporated by reference to Exhibit 10.9 to the Registrant’s Registration</w:t>
              </w:r>
            </w:hyperlink>
          </w:p>
        </w:tc>
      </w:tr>
      <w:tr>
        <w:trPr>
          <w:trHeight w:val="183"/>
        </w:trPr>
        <w:tc>
          <w:tcPr>
            <w:tcW w:w="1160" w:type="dxa"/>
            <w:vAlign w:val="bottom"/>
          </w:tcPr>
          <w:p>
            <w:pPr>
              <w:spacing w:after="0" w:line="182" w:lineRule="exact"/>
              <w:rPr>
                <w:sz w:val="20"/>
                <w:szCs w:val="20"/>
                <w:color w:val="auto"/>
              </w:rPr>
            </w:pPr>
            <w:r>
              <w:rPr>
                <w:rFonts w:ascii="Arial" w:cs="Arial" w:eastAsia="Arial" w:hAnsi="Arial"/>
                <w:sz w:val="18"/>
                <w:szCs w:val="18"/>
                <w:color w:val="auto"/>
              </w:rPr>
              <w:t>99.1</w:t>
            </w:r>
          </w:p>
        </w:tc>
        <w:tc>
          <w:tcPr>
            <w:tcW w:w="60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16">
              <w:r>
                <w:rPr>
                  <w:rFonts w:ascii="Arial" w:cs="Arial" w:eastAsia="Arial" w:hAnsi="Arial"/>
                  <w:sz w:val="18"/>
                  <w:szCs w:val="18"/>
                  <w:color w:val="0000FF"/>
                  <w:w w:val="99"/>
                </w:rPr>
                <w:t>Statement on Form S-1/A (File No. 333-260027), filed on October 18, 2021)</w:t>
              </w:r>
            </w:hyperlink>
          </w:p>
        </w:tc>
        <w:tc>
          <w:tcPr>
            <w:tcW w:w="3920" w:type="dxa"/>
            <w:vAlign w:val="bottom"/>
            <w:tcBorders>
              <w:top w:val="single" w:sz="8" w:color="0000FF"/>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160" w:type="dxa"/>
            <w:vAlign w:val="bottom"/>
          </w:tcPr>
          <w:p>
            <w:pPr>
              <w:spacing w:after="0"/>
              <w:rPr>
                <w:sz w:val="20"/>
                <w:szCs w:val="20"/>
                <w:color w:val="auto"/>
              </w:rPr>
            </w:pPr>
            <w:r>
              <w:rPr>
                <w:rFonts w:ascii="Arial" w:cs="Arial" w:eastAsia="Arial" w:hAnsi="Arial"/>
                <w:sz w:val="18"/>
                <w:szCs w:val="18"/>
                <w:color w:val="auto"/>
              </w:rPr>
              <w:t>107.1*</w:t>
            </w:r>
          </w:p>
        </w:tc>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Filing Fee Table</w:t>
            </w:r>
          </w:p>
        </w:tc>
        <w:tc>
          <w:tcPr>
            <w:tcW w:w="8680" w:type="dxa"/>
            <w:vAlign w:val="bottom"/>
            <w:gridSpan w:val="3"/>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1">
            <w:col w:w="11200"/>
          </w:cols>
          <w:pgMar w:left="320" w:top="917" w:right="379" w:bottom="1440" w:gutter="0" w:footer="0" w:header="0"/>
          <w:type w:val="continuous"/>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April 11, 2024.</w:t>
      </w:r>
    </w:p>
    <w:p>
      <w:pPr>
        <w:spacing w:after="0" w:line="25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RENT THE RUNWAY, INC.</w:t>
      </w:r>
    </w:p>
    <w:p>
      <w:pPr>
        <w:spacing w:after="0" w:line="266" w:lineRule="exact"/>
        <w:rPr>
          <w:sz w:val="20"/>
          <w:szCs w:val="20"/>
          <w:color w:val="auto"/>
        </w:rPr>
      </w:pPr>
    </w:p>
    <w:p>
      <w:pPr>
        <w:ind w:left="20"/>
        <w:spacing w:after="0"/>
        <w:tabs>
          <w:tab w:leader="none" w:pos="5920" w:val="left"/>
          <w:tab w:leader="none" w:pos="6380" w:val="left"/>
        </w:tabs>
        <w:rPr>
          <w:sz w:val="20"/>
          <w:szCs w:val="20"/>
          <w:color w:val="auto"/>
        </w:rPr>
      </w:pPr>
      <w:r>
        <w:rPr>
          <w:rFonts w:ascii="Arial" w:cs="Arial" w:eastAsia="Arial" w:hAnsi="Arial"/>
          <w:sz w:val="18"/>
          <w:szCs w:val="18"/>
          <w:color w:val="auto"/>
        </w:rPr>
        <w:t>Date: April 11,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34925</wp:posOffset>
            </wp:positionV>
            <wp:extent cx="3086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4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Jennifer Y. Hyman</w:t>
      </w:r>
    </w:p>
    <w:p>
      <w:pPr>
        <w:spacing w:after="0" w:line="5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320" w:top="917" w:right="37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39"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Each person whose signature appears below hereby constitutes and appoints Jennifer Y. Hyman and Siddharth Thacker, or each of them singly, with full power to act without the other, such person’s true and lawful attorneys-in-fact and agents, with full power of substitution and re-substitution, for him or her and in his or her name, place and stead, in any and all capacities, to sign this registration statement and any and all amendments, including post-effective amendments to this registration statement, and to file the same, with exhibits and schedules thereto, and other documents in connection therewith, with the Securities and Exchange Commission, granting unto said attorneys-in-fact</w:t>
      </w:r>
    </w:p>
    <w:p>
      <w:pPr>
        <w:spacing w:after="0" w:line="226" w:lineRule="auto"/>
        <w:rPr>
          <w:sz w:val="20"/>
          <w:szCs w:val="20"/>
          <w:color w:val="auto"/>
        </w:rPr>
      </w:pPr>
      <w:r>
        <w:rPr>
          <w:rFonts w:ascii="Arial" w:cs="Arial" w:eastAsia="Arial" w:hAnsi="Arial"/>
          <w:sz w:val="18"/>
          <w:szCs w:val="18"/>
          <w:color w:val="auto"/>
        </w:rPr>
        <w:t>and agents, and each of them, full power and authority to do and perform each and every act and thing requisite and necessary or desirable to be done in connection therewith as fully to all intents and purposes as he might or could do in person, hereby ratifying and confirming all</w:t>
      </w:r>
    </w:p>
    <w:p>
      <w:pPr>
        <w:spacing w:after="0" w:line="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that said attorneys-in-fact and agents, or any of them, or their or his or her substitute or substitutes may lawfully do or cause to be done by virtue hereof.</w:t>
      </w:r>
    </w:p>
    <w:p>
      <w:pPr>
        <w:spacing w:after="0" w:line="199"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120"/>
          </w:cols>
          <w:pgMar w:left="320" w:top="1403" w:right="459" w:bottom="1440" w:gutter="0" w:footer="0" w:header="0"/>
        </w:sectPr>
      </w:pPr>
    </w:p>
    <w:p>
      <w:pPr>
        <w:spacing w:after="0" w:line="23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 w:lineRule="exact"/>
        <w:rPr>
          <w:sz w:val="20"/>
          <w:szCs w:val="20"/>
          <w:color w:val="auto"/>
        </w:rPr>
      </w:pPr>
    </w:p>
    <w:p>
      <w:pPr>
        <w:jc w:val="center"/>
        <w:ind w:left="640"/>
        <w:spacing w:after="0"/>
        <w:rPr>
          <w:sz w:val="20"/>
          <w:szCs w:val="20"/>
          <w:color w:val="auto"/>
        </w:rPr>
      </w:pPr>
      <w:r>
        <w:rPr>
          <w:rFonts w:ascii="Arial" w:cs="Arial" w:eastAsia="Arial" w:hAnsi="Arial"/>
          <w:sz w:val="17"/>
          <w:szCs w:val="17"/>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Jennifer Y. Hyman</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091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Siddharth Thacker</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Scott Friend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Scott Friend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Jennifer Fleiss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Jennifer Fleiss</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Tim Bixby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Tim Bixby</w:t>
      </w:r>
    </w:p>
    <w:p>
      <w:pPr>
        <w:spacing w:after="0" w:line="11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Melanie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Melanie Harris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 Beth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Beth Kaplan</w:t>
      </w:r>
    </w:p>
    <w:p>
      <w:pPr>
        <w:spacing w:after="0" w:line="11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Emil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Emil Michael</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Dan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Dan Nova</w:t>
      </w:r>
    </w:p>
    <w:p>
      <w:pPr>
        <w:spacing w:after="0" w:line="117"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/s/ Gwyneth Paltrow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Gwyneth Paltrow</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Carley 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Carley Roney</w:t>
      </w:r>
    </w:p>
    <w:p>
      <w:pPr>
        <w:spacing w:after="0" w:line="1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Mike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091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43"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Mike Roth</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5000" w:type="dxa"/>
            <w:vAlign w:val="bottom"/>
            <w:tcBorders>
              <w:bottom w:val="single" w:sz="8" w:color="auto"/>
            </w:tcBorders>
          </w:tcPr>
          <w:p>
            <w:pPr>
              <w:ind w:left="232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223"/>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 xml:space="preserve">Chief Executive Officer and Director </w:t>
            </w:r>
            <w:r>
              <w:rPr>
                <w:rFonts w:ascii="Arial" w:cs="Arial" w:eastAsia="Arial" w:hAnsi="Arial"/>
                <w:sz w:val="18"/>
                <w:szCs w:val="18"/>
                <w:i w:val="1"/>
                <w:iCs w:val="1"/>
                <w:color w:val="auto"/>
              </w:rPr>
              <w:t>(Principal Executive</w:t>
            </w: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r>
        <w:trPr>
          <w:trHeight w:val="153"/>
        </w:trPr>
        <w:tc>
          <w:tcPr>
            <w:tcW w:w="51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Officer)</w:t>
            </w:r>
          </w:p>
        </w:tc>
        <w:tc>
          <w:tcPr>
            <w:tcW w:w="2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5100" w:type="dxa"/>
            <w:vAlign w:val="bottom"/>
            <w:gridSpan w:val="2"/>
            <w:vMerge w:val="continue"/>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 and</w:t>
            </w:r>
          </w:p>
        </w:tc>
        <w:tc>
          <w:tcPr>
            <w:tcW w:w="2220" w:type="dxa"/>
            <w:vAlign w:val="bottom"/>
            <w:vMerge w:val="restart"/>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r>
        <w:trPr>
          <w:trHeight w:val="153"/>
        </w:trPr>
        <w:tc>
          <w:tcPr>
            <w:tcW w:w="51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Principal Accounting Officer)</w:t>
            </w:r>
          </w:p>
        </w:tc>
        <w:tc>
          <w:tcPr>
            <w:tcW w:w="2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5100" w:type="dxa"/>
            <w:vAlign w:val="bottom"/>
            <w:gridSpan w:val="2"/>
            <w:vMerge w:val="continue"/>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0"/>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Lead Independent 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r>
        <w:trPr>
          <w:trHeight w:val="594"/>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April 11, 2024</w:t>
            </w:r>
          </w:p>
        </w:tc>
        <w:tc>
          <w:tcPr>
            <w:tcW w:w="0" w:type="dxa"/>
            <w:vAlign w:val="bottom"/>
          </w:tcPr>
          <w:p>
            <w:pPr>
              <w:spacing w:after="0"/>
              <w:rPr>
                <w:sz w:val="1"/>
                <w:szCs w:val="1"/>
                <w:color w:val="auto"/>
              </w:rPr>
            </w:pPr>
          </w:p>
        </w:tc>
      </w:tr>
    </w:tbl>
    <w:p>
      <w:pPr>
        <w:sectPr>
          <w:pgSz w:w="11900" w:h="16838" w:orient="portrait"/>
          <w:cols w:equalWidth="0" w:num="2">
            <w:col w:w="2680" w:space="720"/>
            <w:col w:w="7720"/>
          </w:cols>
          <w:pgMar w:left="320" w:top="1403" w:right="459" w:bottom="1440" w:gutter="0" w:footer="0" w:header="0"/>
          <w:type w:val="continuous"/>
        </w:sectPr>
      </w:pPr>
    </w:p>
    <w:bookmarkStart w:id="5" w:name="page6"/>
    <w:bookmarkEnd w:id="5"/>
    <w:p>
      <w:pPr>
        <w:ind w:left="10140"/>
        <w:spacing w:after="0"/>
        <w:rPr>
          <w:sz w:val="20"/>
          <w:szCs w:val="20"/>
          <w:color w:val="auto"/>
        </w:rPr>
      </w:pPr>
      <w:r>
        <w:rPr>
          <w:rFonts w:ascii="Arial" w:cs="Arial" w:eastAsia="Arial" w:hAnsi="Arial"/>
          <w:sz w:val="18"/>
          <w:szCs w:val="18"/>
          <w:b w:val="1"/>
          <w:bCs w:val="1"/>
          <w:color w:val="auto"/>
        </w:rPr>
        <w:t>Exhibit 107.1</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Filing Fee Tables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S-8</w:t>
      </w:r>
    </w:p>
    <w:p>
      <w:pPr>
        <w:jc w:val="center"/>
        <w:ind w:right="20"/>
        <w:spacing w:after="0" w:line="234" w:lineRule="auto"/>
        <w:rPr>
          <w:sz w:val="20"/>
          <w:szCs w:val="20"/>
          <w:color w:val="auto"/>
        </w:rPr>
      </w:pPr>
      <w:r>
        <w:rPr>
          <w:rFonts w:ascii="Arial" w:cs="Arial" w:eastAsia="Arial" w:hAnsi="Arial"/>
          <w:sz w:val="18"/>
          <w:szCs w:val="18"/>
          <w:color w:val="auto"/>
        </w:rPr>
        <w:t>(Form Type)</w:t>
      </w:r>
    </w:p>
    <w:p>
      <w:pPr>
        <w:jc w:val="center"/>
        <w:ind w:right="20"/>
        <w:spacing w:after="0" w:line="235" w:lineRule="auto"/>
        <w:rPr>
          <w:sz w:val="20"/>
          <w:szCs w:val="20"/>
          <w:color w:val="auto"/>
        </w:rPr>
      </w:pPr>
      <w:r>
        <w:rPr>
          <w:rFonts w:ascii="Arial" w:cs="Arial" w:eastAsia="Arial" w:hAnsi="Arial"/>
          <w:sz w:val="18"/>
          <w:szCs w:val="18"/>
          <w:b w:val="1"/>
          <w:bCs w:val="1"/>
          <w:color w:val="auto"/>
        </w:rPr>
        <w:t>Rent the Runway, Inc.</w:t>
      </w:r>
    </w:p>
    <w:p>
      <w:pPr>
        <w:jc w:val="center"/>
        <w:ind w:right="20"/>
        <w:spacing w:after="0" w:line="235" w:lineRule="auto"/>
        <w:rPr>
          <w:sz w:val="20"/>
          <w:szCs w:val="20"/>
          <w:color w:val="auto"/>
        </w:rPr>
      </w:pPr>
      <w:r>
        <w:rPr>
          <w:rFonts w:ascii="Arial" w:cs="Arial" w:eastAsia="Arial" w:hAnsi="Arial"/>
          <w:sz w:val="18"/>
          <w:szCs w:val="18"/>
          <w:color w:val="auto"/>
        </w:rPr>
        <w:t>(Exact Name of Registrant as Specified in its Charter)</w:t>
      </w:r>
    </w:p>
    <w:p>
      <w:pPr>
        <w:jc w:val="center"/>
        <w:ind w:right="20"/>
        <w:spacing w:after="0"/>
        <w:rPr>
          <w:sz w:val="20"/>
          <w:szCs w:val="20"/>
          <w:color w:val="auto"/>
        </w:rPr>
      </w:pPr>
      <w:r>
        <w:rPr>
          <w:rFonts w:ascii="Arial" w:cs="Arial" w:eastAsia="Arial" w:hAnsi="Arial"/>
          <w:sz w:val="18"/>
          <w:szCs w:val="18"/>
          <w:b w:val="1"/>
          <w:bCs w:val="1"/>
          <w:color w:val="auto"/>
        </w:rPr>
        <w:t>Table 1—Newly Registered Securities</w:t>
      </w:r>
    </w:p>
    <w:p>
      <w:pPr>
        <w:spacing w:after="0" w:line="22"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260" w:type="dxa"/>
            <w:vAlign w:val="bottom"/>
            <w:tcBorders>
              <w:top w:val="single" w:sz="8" w:color="auto"/>
              <w:left w:val="single" w:sz="8" w:color="auto"/>
              <w:right w:val="single" w:sz="8" w:color="auto"/>
            </w:tcBorders>
          </w:tcPr>
          <w:p>
            <w:pPr>
              <w:ind w:left="40"/>
              <w:spacing w:after="0" w:line="206" w:lineRule="exact"/>
              <w:rPr>
                <w:sz w:val="20"/>
                <w:szCs w:val="20"/>
                <w:color w:val="auto"/>
              </w:rPr>
            </w:pPr>
            <w:r>
              <w:rPr>
                <w:rFonts w:ascii="Arial" w:cs="Arial" w:eastAsia="Arial" w:hAnsi="Arial"/>
                <w:sz w:val="18"/>
                <w:szCs w:val="18"/>
                <w:b w:val="1"/>
                <w:bCs w:val="1"/>
                <w:color w:val="auto"/>
                <w:w w:val="99"/>
              </w:rPr>
              <w:t>Security Type</w:t>
            </w:r>
          </w:p>
        </w:tc>
        <w:tc>
          <w:tcPr>
            <w:tcW w:w="150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9"/>
              </w:rPr>
              <w:t>Security Class</w:t>
            </w:r>
          </w:p>
        </w:tc>
        <w:tc>
          <w:tcPr>
            <w:tcW w:w="116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6"/>
              </w:rPr>
              <w:t>Fee</w:t>
            </w:r>
          </w:p>
        </w:tc>
        <w:tc>
          <w:tcPr>
            <w:tcW w:w="180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9"/>
              </w:rPr>
              <w:t>Amount</w:t>
            </w:r>
          </w:p>
        </w:tc>
        <w:tc>
          <w:tcPr>
            <w:tcW w:w="128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8"/>
              </w:rPr>
              <w:t>Proposed</w:t>
            </w:r>
          </w:p>
        </w:tc>
        <w:tc>
          <w:tcPr>
            <w:tcW w:w="1400" w:type="dxa"/>
            <w:vAlign w:val="bottom"/>
            <w:tcBorders>
              <w:top w:val="single" w:sz="8" w:color="auto"/>
              <w:right w:val="single" w:sz="8" w:color="auto"/>
            </w:tcBorders>
          </w:tcPr>
          <w:p>
            <w:pPr>
              <w:jc w:val="center"/>
              <w:spacing w:after="0" w:line="206" w:lineRule="exact"/>
              <w:rPr>
                <w:sz w:val="20"/>
                <w:szCs w:val="20"/>
                <w:color w:val="auto"/>
              </w:rPr>
            </w:pPr>
            <w:r>
              <w:rPr>
                <w:rFonts w:ascii="Arial" w:cs="Arial" w:eastAsia="Arial" w:hAnsi="Arial"/>
                <w:sz w:val="18"/>
                <w:szCs w:val="18"/>
                <w:b w:val="1"/>
                <w:bCs w:val="1"/>
                <w:color w:val="auto"/>
                <w:w w:val="98"/>
              </w:rPr>
              <w:t>Maximum</w:t>
            </w:r>
          </w:p>
        </w:tc>
        <w:tc>
          <w:tcPr>
            <w:tcW w:w="1240" w:type="dxa"/>
            <w:vAlign w:val="bottom"/>
            <w:tcBorders>
              <w:top w:val="single" w:sz="8" w:color="auto"/>
              <w:right w:val="single" w:sz="8" w:color="auto"/>
            </w:tcBorders>
          </w:tcPr>
          <w:p>
            <w:pPr>
              <w:ind w:left="60"/>
              <w:spacing w:after="0" w:line="206" w:lineRule="exact"/>
              <w:rPr>
                <w:sz w:val="20"/>
                <w:szCs w:val="20"/>
                <w:color w:val="auto"/>
              </w:rPr>
            </w:pPr>
            <w:r>
              <w:rPr>
                <w:rFonts w:ascii="Arial" w:cs="Arial" w:eastAsia="Arial" w:hAnsi="Arial"/>
                <w:sz w:val="18"/>
                <w:szCs w:val="18"/>
                <w:b w:val="1"/>
                <w:bCs w:val="1"/>
                <w:color w:val="auto"/>
              </w:rPr>
              <w:t>Fee Rate</w:t>
            </w:r>
          </w:p>
        </w:tc>
        <w:tc>
          <w:tcPr>
            <w:tcW w:w="1620" w:type="dxa"/>
            <w:vAlign w:val="bottom"/>
            <w:tcBorders>
              <w:top w:val="single" w:sz="8" w:color="auto"/>
              <w:right w:val="single" w:sz="8" w:color="auto"/>
            </w:tcBorders>
          </w:tcPr>
          <w:p>
            <w:pPr>
              <w:ind w:left="380"/>
              <w:spacing w:after="0" w:line="206" w:lineRule="exact"/>
              <w:rPr>
                <w:sz w:val="20"/>
                <w:szCs w:val="20"/>
                <w:color w:val="auto"/>
              </w:rPr>
            </w:pPr>
            <w:r>
              <w:rPr>
                <w:rFonts w:ascii="Arial" w:cs="Arial" w:eastAsia="Arial" w:hAnsi="Arial"/>
                <w:sz w:val="18"/>
                <w:szCs w:val="18"/>
                <w:b w:val="1"/>
                <w:bCs w:val="1"/>
                <w:color w:val="auto"/>
              </w:rPr>
              <w:t>Amount of</w:t>
            </w:r>
          </w:p>
        </w:tc>
      </w:tr>
      <w:tr>
        <w:trPr>
          <w:trHeight w:val="221"/>
        </w:trPr>
        <w:tc>
          <w:tcPr>
            <w:tcW w:w="1260" w:type="dxa"/>
            <w:vAlign w:val="bottom"/>
            <w:tcBorders>
              <w:left w:val="single" w:sz="8" w:color="auto"/>
              <w:right w:val="single" w:sz="8" w:color="auto"/>
            </w:tcBorders>
          </w:tcPr>
          <w:p>
            <w:pPr>
              <w:spacing w:after="0"/>
              <w:rPr>
                <w:sz w:val="19"/>
                <w:szCs w:val="19"/>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Calculation</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to be</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Maximum</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Aggregate</w:t>
            </w:r>
          </w:p>
        </w:tc>
        <w:tc>
          <w:tcPr>
            <w:tcW w:w="12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Registration Fee</w:t>
            </w:r>
          </w:p>
        </w:tc>
      </w:tr>
      <w:tr>
        <w:trPr>
          <w:trHeight w:val="202"/>
        </w:trPr>
        <w:tc>
          <w:tcPr>
            <w:tcW w:w="1260" w:type="dxa"/>
            <w:vAlign w:val="bottom"/>
            <w:tcBorders>
              <w:left w:val="single" w:sz="8" w:color="auto"/>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Rule</w:t>
            </w:r>
          </w:p>
        </w:tc>
        <w:tc>
          <w:tcPr>
            <w:tcW w:w="18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Registered (1)</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Offering</w:t>
            </w:r>
          </w:p>
        </w:tc>
        <w:tc>
          <w:tcPr>
            <w:tcW w:w="14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Offering Price</w:t>
            </w:r>
          </w:p>
        </w:tc>
        <w:tc>
          <w:tcPr>
            <w:tcW w:w="124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r>
      <w:tr>
        <w:trPr>
          <w:trHeight w:val="184"/>
        </w:trPr>
        <w:tc>
          <w:tcPr>
            <w:tcW w:w="1260" w:type="dxa"/>
            <w:vAlign w:val="bottom"/>
            <w:tcBorders>
              <w:left w:val="single" w:sz="8" w:color="auto"/>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99"/>
              </w:rPr>
              <w:t>Price</w:t>
            </w:r>
          </w:p>
        </w:tc>
        <w:tc>
          <w:tcPr>
            <w:tcW w:w="14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r>
      <w:tr>
        <w:trPr>
          <w:trHeight w:val="255"/>
        </w:trPr>
        <w:tc>
          <w:tcPr>
            <w:tcW w:w="1260" w:type="dxa"/>
            <w:vAlign w:val="bottom"/>
            <w:tcBorders>
              <w:left w:val="single" w:sz="8" w:color="auto"/>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Per Unit</w:t>
            </w:r>
          </w:p>
        </w:tc>
        <w:tc>
          <w:tcPr>
            <w:tcW w:w="140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spacing w:after="0"/>
              <w:rPr>
                <w:sz w:val="22"/>
                <w:szCs w:val="22"/>
                <w:color w:val="auto"/>
              </w:rPr>
            </w:pPr>
          </w:p>
        </w:tc>
      </w:tr>
      <w:tr>
        <w:trPr>
          <w:trHeight w:val="221"/>
        </w:trPr>
        <w:tc>
          <w:tcPr>
            <w:tcW w:w="12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Equity</w:t>
            </w:r>
          </w:p>
        </w:tc>
        <w:tc>
          <w:tcPr>
            <w:tcW w:w="150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Class A common</w:t>
            </w:r>
          </w:p>
        </w:tc>
        <w:tc>
          <w:tcPr>
            <w:tcW w:w="116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Rule 457(c)</w:t>
            </w:r>
          </w:p>
        </w:tc>
        <w:tc>
          <w:tcPr>
            <w:tcW w:w="1800" w:type="dxa"/>
            <w:vAlign w:val="bottom"/>
            <w:tcBorders>
              <w:right w:val="single" w:sz="8" w:color="auto"/>
            </w:tcBorders>
          </w:tcPr>
          <w:p>
            <w:pPr>
              <w:jc w:val="right"/>
              <w:ind w:right="731"/>
              <w:spacing w:after="0"/>
              <w:rPr>
                <w:sz w:val="20"/>
                <w:szCs w:val="20"/>
                <w:color w:val="auto"/>
              </w:rPr>
            </w:pPr>
            <w:r>
              <w:rPr>
                <w:rFonts w:ascii="Arial" w:cs="Arial" w:eastAsia="Arial" w:hAnsi="Arial"/>
                <w:sz w:val="17"/>
                <w:szCs w:val="17"/>
                <w:color w:val="auto"/>
              </w:rPr>
              <w:t>503,413 (2)</w:t>
            </w:r>
          </w:p>
        </w:tc>
        <w:tc>
          <w:tcPr>
            <w:tcW w:w="1280" w:type="dxa"/>
            <w:vAlign w:val="bottom"/>
            <w:tcBorders>
              <w:right w:val="single" w:sz="8" w:color="auto"/>
            </w:tcBorders>
          </w:tcPr>
          <w:p>
            <w:pPr>
              <w:jc w:val="right"/>
              <w:ind w:right="491"/>
              <w:spacing w:after="0"/>
              <w:rPr>
                <w:sz w:val="20"/>
                <w:szCs w:val="20"/>
                <w:color w:val="auto"/>
              </w:rPr>
            </w:pPr>
            <w:r>
              <w:rPr>
                <w:rFonts w:ascii="Arial" w:cs="Arial" w:eastAsia="Arial" w:hAnsi="Arial"/>
                <w:sz w:val="17"/>
                <w:szCs w:val="17"/>
                <w:color w:val="auto"/>
              </w:rPr>
              <w:t>$4.87(3)</w:t>
            </w:r>
          </w:p>
        </w:tc>
        <w:tc>
          <w:tcPr>
            <w:tcW w:w="1400" w:type="dxa"/>
            <w:vAlign w:val="bottom"/>
            <w:tcBorders>
              <w:right w:val="single" w:sz="8" w:color="auto"/>
            </w:tcBorders>
          </w:tcPr>
          <w:p>
            <w:pPr>
              <w:jc w:val="right"/>
              <w:ind w:right="212"/>
              <w:spacing w:after="0"/>
              <w:rPr>
                <w:sz w:val="20"/>
                <w:szCs w:val="20"/>
                <w:color w:val="auto"/>
              </w:rPr>
            </w:pPr>
            <w:r>
              <w:rPr>
                <w:rFonts w:ascii="Arial" w:cs="Arial" w:eastAsia="Arial" w:hAnsi="Arial"/>
                <w:sz w:val="17"/>
                <w:szCs w:val="17"/>
                <w:color w:val="auto"/>
                <w:w w:val="99"/>
              </w:rPr>
              <w:t>$2,451,621.31</w:t>
            </w:r>
          </w:p>
        </w:tc>
        <w:tc>
          <w:tcPr>
            <w:tcW w:w="12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$147.60 per</w:t>
            </w: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$361.86</w:t>
            </w:r>
          </w:p>
        </w:tc>
      </w:tr>
      <w:tr>
        <w:trPr>
          <w:trHeight w:val="216"/>
        </w:trPr>
        <w:tc>
          <w:tcPr>
            <w:tcW w:w="1260" w:type="dxa"/>
            <w:vAlign w:val="bottom"/>
            <w:tcBorders>
              <w:left w:val="single" w:sz="8" w:color="auto"/>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stock, $0.001 par</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and Rule</w:t>
            </w:r>
          </w:p>
        </w:tc>
        <w:tc>
          <w:tcPr>
            <w:tcW w:w="180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jc w:val="right"/>
              <w:ind w:right="293"/>
              <w:spacing w:after="0"/>
              <w:rPr>
                <w:sz w:val="20"/>
                <w:szCs w:val="20"/>
                <w:color w:val="auto"/>
              </w:rPr>
            </w:pPr>
            <w:r>
              <w:rPr>
                <w:rFonts w:ascii="Arial" w:cs="Arial" w:eastAsia="Arial" w:hAnsi="Arial"/>
                <w:sz w:val="17"/>
                <w:szCs w:val="17"/>
                <w:color w:val="auto"/>
                <w:w w:val="98"/>
              </w:rPr>
              <w:t>$1,000,000</w:t>
            </w:r>
          </w:p>
        </w:tc>
        <w:tc>
          <w:tcPr>
            <w:tcW w:w="1620" w:type="dxa"/>
            <w:vAlign w:val="bottom"/>
            <w:tcBorders>
              <w:right w:val="single" w:sz="8" w:color="auto"/>
            </w:tcBorders>
          </w:tcPr>
          <w:p>
            <w:pPr>
              <w:spacing w:after="0"/>
              <w:rPr>
                <w:sz w:val="18"/>
                <w:szCs w:val="18"/>
                <w:color w:val="auto"/>
              </w:rPr>
            </w:pPr>
          </w:p>
        </w:tc>
      </w:tr>
      <w:tr>
        <w:trPr>
          <w:trHeight w:val="225"/>
        </w:trPr>
        <w:tc>
          <w:tcPr>
            <w:tcW w:w="1260" w:type="dxa"/>
            <w:vAlign w:val="bottom"/>
            <w:tcBorders>
              <w:left w:val="single" w:sz="8" w:color="auto"/>
              <w:right w:val="single" w:sz="8" w:color="auto"/>
            </w:tcBorders>
          </w:tcPr>
          <w:p>
            <w:pPr>
              <w:spacing w:after="0"/>
              <w:rPr>
                <w:sz w:val="19"/>
                <w:szCs w:val="19"/>
                <w:color w:val="auto"/>
              </w:rPr>
            </w:pPr>
          </w:p>
        </w:tc>
        <w:tc>
          <w:tcPr>
            <w:tcW w:w="150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value per share</w:t>
            </w:r>
          </w:p>
        </w:tc>
        <w:tc>
          <w:tcPr>
            <w:tcW w:w="11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457(h)</w:t>
            </w:r>
          </w:p>
        </w:tc>
        <w:tc>
          <w:tcPr>
            <w:tcW w:w="1800" w:type="dxa"/>
            <w:vAlign w:val="bottom"/>
            <w:tcBorders>
              <w:right w:val="single" w:sz="8" w:color="auto"/>
            </w:tcBorders>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140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r>
      <w:tr>
        <w:trPr>
          <w:trHeight w:val="40"/>
        </w:trPr>
        <w:tc>
          <w:tcPr>
            <w:tcW w:w="126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r>
      <w:tr>
        <w:trPr>
          <w:trHeight w:val="233"/>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Total Offering Amounts</w:t>
            </w:r>
          </w:p>
        </w:tc>
        <w:tc>
          <w:tcPr>
            <w:tcW w:w="116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right"/>
              <w:ind w:right="212"/>
              <w:spacing w:after="0"/>
              <w:rPr>
                <w:sz w:val="20"/>
                <w:szCs w:val="20"/>
                <w:color w:val="auto"/>
              </w:rPr>
            </w:pPr>
            <w:r>
              <w:rPr>
                <w:rFonts w:ascii="Arial" w:cs="Arial" w:eastAsia="Arial" w:hAnsi="Arial"/>
                <w:sz w:val="17"/>
                <w:szCs w:val="17"/>
                <w:color w:val="auto"/>
                <w:w w:val="99"/>
              </w:rPr>
              <w:t>$2,451,621.31</w:t>
            </w:r>
          </w:p>
        </w:tc>
        <w:tc>
          <w:tcPr>
            <w:tcW w:w="12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$361.86</w:t>
            </w:r>
          </w:p>
        </w:tc>
      </w:tr>
      <w:tr>
        <w:trPr>
          <w:trHeight w:val="30"/>
        </w:trPr>
        <w:tc>
          <w:tcPr>
            <w:tcW w:w="1260" w:type="dxa"/>
            <w:vAlign w:val="bottom"/>
            <w:tcBorders>
              <w:left w:val="single" w:sz="8" w:color="auto"/>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3"/>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Total Fee Offsets (4)</w:t>
            </w:r>
          </w:p>
        </w:tc>
        <w:tc>
          <w:tcPr>
            <w:tcW w:w="116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w:t>
            </w:r>
          </w:p>
        </w:tc>
      </w:tr>
      <w:tr>
        <w:trPr>
          <w:trHeight w:val="31"/>
        </w:trPr>
        <w:tc>
          <w:tcPr>
            <w:tcW w:w="1260" w:type="dxa"/>
            <w:vAlign w:val="bottom"/>
            <w:tcBorders>
              <w:left w:val="single" w:sz="8" w:color="auto"/>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r>
        <w:trPr>
          <w:trHeight w:val="233"/>
        </w:trPr>
        <w:tc>
          <w:tcPr>
            <w:tcW w:w="1260" w:type="dxa"/>
            <w:vAlign w:val="bottom"/>
            <w:tcBorders>
              <w:left w:val="single" w:sz="8" w:color="auto"/>
            </w:tcBorders>
          </w:tcPr>
          <w:p>
            <w:pPr>
              <w:ind w:left="80"/>
              <w:spacing w:after="0"/>
              <w:rPr>
                <w:sz w:val="20"/>
                <w:szCs w:val="20"/>
                <w:color w:val="auto"/>
              </w:rPr>
            </w:pPr>
            <w:r>
              <w:rPr>
                <w:rFonts w:ascii="Arial" w:cs="Arial" w:eastAsia="Arial" w:hAnsi="Arial"/>
                <w:sz w:val="17"/>
                <w:szCs w:val="17"/>
                <w:b w:val="1"/>
                <w:bCs w:val="1"/>
                <w:color w:val="auto"/>
              </w:rPr>
              <w:t>Net Fee Due</w:t>
            </w:r>
          </w:p>
        </w:tc>
        <w:tc>
          <w:tcPr>
            <w:tcW w:w="15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$361.86</w:t>
            </w:r>
          </w:p>
        </w:tc>
      </w:tr>
      <w:tr>
        <w:trPr>
          <w:trHeight w:val="31"/>
        </w:trPr>
        <w:tc>
          <w:tcPr>
            <w:tcW w:w="1260" w:type="dxa"/>
            <w:vAlign w:val="bottom"/>
            <w:tcBorders>
              <w:left w:val="single" w:sz="8" w:color="auto"/>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0" w:right="200" w:hanging="355"/>
        <w:spacing w:after="0" w:line="185" w:lineRule="auto"/>
        <w:tabs>
          <w:tab w:leader="none" w:pos="560" w:val="left"/>
        </w:tabs>
        <w:numPr>
          <w:ilvl w:val="0"/>
          <w:numId w:val="1"/>
        </w:numPr>
        <w:rPr>
          <w:rFonts w:ascii="Times New Roman" w:cs="Times New Roman" w:eastAsia="Times New Roman" w:hAnsi="Times New Roman"/>
          <w:sz w:val="37"/>
          <w:szCs w:val="37"/>
          <w:color w:val="auto"/>
          <w:vertAlign w:val="subscript"/>
        </w:rPr>
      </w:pPr>
      <w:r>
        <w:rPr>
          <w:rFonts w:ascii="Arial" w:cs="Arial" w:eastAsia="Arial" w:hAnsi="Arial"/>
          <w:sz w:val="17"/>
          <w:szCs w:val="17"/>
          <w:color w:val="auto"/>
        </w:rPr>
        <w:t>In accordance with Rule 416 under the Securities Act of 1933, as amended (the "Securities Act"), this registration statement shall be deemed to cover any additional securities that may from time to time be offered or issued to prevent dilution resulting from stock splits, stock dividends or similar transactions.</w:t>
      </w:r>
    </w:p>
    <w:p>
      <w:pPr>
        <w:spacing w:after="0" w:line="99" w:lineRule="exact"/>
        <w:rPr>
          <w:rFonts w:ascii="Times New Roman" w:cs="Times New Roman" w:eastAsia="Times New Roman" w:hAnsi="Times New Roman"/>
          <w:sz w:val="37"/>
          <w:szCs w:val="37"/>
          <w:color w:val="auto"/>
          <w:vertAlign w:val="subscript"/>
        </w:rPr>
      </w:pPr>
    </w:p>
    <w:p>
      <w:pPr>
        <w:ind w:left="560" w:right="160" w:hanging="355"/>
        <w:spacing w:after="0" w:line="260" w:lineRule="auto"/>
        <w:tabs>
          <w:tab w:leader="none" w:pos="560" w:val="left"/>
        </w:tabs>
        <w:numPr>
          <w:ilvl w:val="0"/>
          <w:numId w:val="1"/>
        </w:numPr>
        <w:rPr>
          <w:rFonts w:ascii="Times New Roman" w:cs="Times New Roman" w:eastAsia="Times New Roman" w:hAnsi="Times New Roman"/>
          <w:sz w:val="20"/>
          <w:szCs w:val="20"/>
          <w:color w:val="auto"/>
        </w:rPr>
      </w:pPr>
      <w:r>
        <w:rPr>
          <w:rFonts w:ascii="Arial" w:cs="Arial" w:eastAsia="Arial" w:hAnsi="Arial"/>
          <w:sz w:val="18"/>
          <w:szCs w:val="18"/>
          <w:color w:val="auto"/>
        </w:rPr>
        <w:t>Consists of an additional 503,413 shares of Class A common stock that may become issuable under the Rent the Runway, Inc. 2021 Incentive Award Plan (the “2021 Plan”) pursuant to the terms of the 2021 Plan.</w:t>
      </w:r>
    </w:p>
    <w:p>
      <w:pPr>
        <w:spacing w:after="0" w:line="80" w:lineRule="exact"/>
        <w:rPr>
          <w:rFonts w:ascii="Times New Roman" w:cs="Times New Roman" w:eastAsia="Times New Roman" w:hAnsi="Times New Roman"/>
          <w:sz w:val="20"/>
          <w:szCs w:val="20"/>
          <w:color w:val="auto"/>
        </w:rPr>
      </w:pPr>
    </w:p>
    <w:p>
      <w:pPr>
        <w:ind w:left="560" w:right="280" w:hanging="355"/>
        <w:spacing w:after="0" w:line="255" w:lineRule="auto"/>
        <w:tabs>
          <w:tab w:leader="none" w:pos="560" w:val="left"/>
        </w:tabs>
        <w:numPr>
          <w:ilvl w:val="0"/>
          <w:numId w:val="1"/>
        </w:numPr>
        <w:rPr>
          <w:rFonts w:ascii="Times New Roman" w:cs="Times New Roman" w:eastAsia="Times New Roman" w:hAnsi="Times New Roman"/>
          <w:sz w:val="20"/>
          <w:szCs w:val="20"/>
          <w:color w:val="auto"/>
        </w:rPr>
      </w:pPr>
      <w:r>
        <w:rPr>
          <w:rFonts w:ascii="Arial" w:cs="Arial" w:eastAsia="Arial" w:hAnsi="Arial"/>
          <w:sz w:val="18"/>
          <w:szCs w:val="18"/>
          <w:color w:val="auto"/>
        </w:rPr>
        <w:t>Estimated solely for the purpose of calculating the registration fee pursuant to Rules 457(c) and 457(h) of the Securities Act, and based upon the average of the high and low prices of Rent the Runway, Inc.’s (the “Registrant”) Class A common stock as reported on The Nasdaq Stock Market LLC on April 5, 2024.</w:t>
      </w:r>
    </w:p>
    <w:p>
      <w:pPr>
        <w:ind w:left="560" w:hanging="355"/>
        <w:spacing w:after="0" w:line="182" w:lineRule="auto"/>
        <w:tabs>
          <w:tab w:leader="none" w:pos="560" w:val="left"/>
        </w:tabs>
        <w:numPr>
          <w:ilvl w:val="0"/>
          <w:numId w:val="1"/>
        </w:numPr>
        <w:rPr>
          <w:rFonts w:ascii="Times New Roman" w:cs="Times New Roman" w:eastAsia="Times New Roman" w:hAnsi="Times New Roman"/>
          <w:sz w:val="37"/>
          <w:szCs w:val="37"/>
          <w:color w:val="auto"/>
          <w:vertAlign w:val="subscript"/>
        </w:rPr>
      </w:pPr>
      <w:r>
        <w:rPr>
          <w:rFonts w:ascii="Arial" w:cs="Arial" w:eastAsia="Arial" w:hAnsi="Arial"/>
          <w:sz w:val="17"/>
          <w:szCs w:val="17"/>
          <w:color w:val="auto"/>
        </w:rPr>
        <w:t>The Registrant does not have any fee offsets.</w:t>
      </w:r>
    </w:p>
    <w:p>
      <w:pPr>
        <w:sectPr>
          <w:pgSz w:w="11900" w:h="16838" w:orient="portrait"/>
          <w:cols w:equalWidth="0" w:num="1">
            <w:col w:w="11260"/>
          </w:cols>
          <w:pgMar w:left="320" w:top="917" w:right="3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372872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37287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April 11,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the Runway, Inc.</w:t>
      </w:r>
    </w:p>
    <w:p>
      <w:pPr>
        <w:spacing w:after="0" w:line="203" w:lineRule="auto"/>
        <w:rPr>
          <w:sz w:val="20"/>
          <w:szCs w:val="20"/>
          <w:color w:val="auto"/>
        </w:rPr>
      </w:pPr>
      <w:r>
        <w:rPr>
          <w:rFonts w:ascii="Times New Roman" w:cs="Times New Roman" w:eastAsia="Times New Roman" w:hAnsi="Times New Roman"/>
          <w:sz w:val="18"/>
          <w:szCs w:val="18"/>
          <w:color w:val="auto"/>
        </w:rPr>
        <w:t>10 Jay Street</w:t>
      </w:r>
    </w:p>
    <w:p>
      <w:pPr>
        <w:spacing w:after="0"/>
        <w:rPr>
          <w:sz w:val="20"/>
          <w:szCs w:val="20"/>
          <w:color w:val="auto"/>
        </w:rPr>
      </w:pPr>
      <w:r>
        <w:rPr>
          <w:rFonts w:ascii="Times New Roman" w:cs="Times New Roman" w:eastAsia="Times New Roman" w:hAnsi="Times New Roman"/>
          <w:sz w:val="17"/>
          <w:szCs w:val="17"/>
          <w:color w:val="auto"/>
        </w:rPr>
        <w:t>Brooklyn, New York 11201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1271 Avenue of the Americas</w:t>
      </w:r>
    </w:p>
    <w:p>
      <w:pPr>
        <w:spacing w:after="0" w:line="216" w:lineRule="auto"/>
        <w:rPr>
          <w:sz w:val="20"/>
          <w:szCs w:val="20"/>
          <w:color w:val="auto"/>
        </w:rPr>
      </w:pPr>
      <w:r>
        <w:rPr>
          <w:rFonts w:ascii="Arial" w:cs="Arial" w:eastAsia="Arial" w:hAnsi="Arial"/>
          <w:sz w:val="13"/>
          <w:szCs w:val="13"/>
          <w:color w:val="auto"/>
        </w:rPr>
        <w:t>New York, New York 10020-1401</w:t>
      </w:r>
    </w:p>
    <w:p>
      <w:pPr>
        <w:spacing w:after="0" w:line="195" w:lineRule="auto"/>
        <w:rPr>
          <w:sz w:val="20"/>
          <w:szCs w:val="20"/>
          <w:color w:val="auto"/>
        </w:rPr>
      </w:pPr>
      <w:r>
        <w:rPr>
          <w:rFonts w:ascii="Arial" w:cs="Arial" w:eastAsia="Arial" w:hAnsi="Arial"/>
          <w:sz w:val="13"/>
          <w:szCs w:val="13"/>
          <w:color w:val="auto"/>
        </w:rPr>
        <w:t>Tel: +1.212.906.1200 Fax: +1.212.751.4864</w:t>
      </w:r>
    </w:p>
    <w:p>
      <w:pPr>
        <w:spacing w:after="0"/>
        <w:rPr>
          <w:sz w:val="20"/>
          <w:szCs w:val="20"/>
          <w:color w:val="auto"/>
        </w:rPr>
      </w:pPr>
      <w:r>
        <w:rPr>
          <w:rFonts w:ascii="Arial" w:cs="Arial" w:eastAsia="Arial" w:hAnsi="Arial"/>
          <w:sz w:val="13"/>
          <w:szCs w:val="13"/>
          <w:color w:val="auto"/>
        </w:rPr>
        <w:t>www.lw.com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1540" w:type="dxa"/>
        <w:tblCellMar>
          <w:top w:w="0" w:type="dxa"/>
          <w:left w:w="0" w:type="dxa"/>
          <w:bottom w:w="0" w:type="dxa"/>
          <w:right w:w="0" w:type="dxa"/>
        </w:tblCellMar>
      </w:tblPr>
      <w:tr>
        <w:trPr>
          <w:trHeight w:val="174"/>
        </w:trPr>
        <w:tc>
          <w:tcPr>
            <w:tcW w:w="156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Firm/Affiliate Offices</w:t>
            </w:r>
          </w:p>
        </w:tc>
      </w:tr>
      <w:tr>
        <w:trPr>
          <w:trHeight w:val="164"/>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2"/>
              </w:rPr>
              <w:t>Austin</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6"/>
              </w:rPr>
              <w:t>Milan</w:t>
            </w:r>
          </w:p>
        </w:tc>
      </w:tr>
      <w:tr>
        <w:trPr>
          <w:trHeight w:val="171"/>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3"/>
              </w:rPr>
              <w:t>Beijing</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3"/>
              </w:rPr>
              <w:t>Munich</w:t>
            </w:r>
          </w:p>
        </w:tc>
      </w:tr>
      <w:tr>
        <w:trPr>
          <w:trHeight w:val="176"/>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7"/>
              </w:rPr>
              <w:t>Boston</w:t>
            </w:r>
          </w:p>
        </w:tc>
        <w:tc>
          <w:tcPr>
            <w:tcW w:w="2940" w:type="dxa"/>
            <w:vAlign w:val="bottom"/>
          </w:tcPr>
          <w:p>
            <w:pPr>
              <w:jc w:val="center"/>
              <w:ind w:left="637"/>
              <w:spacing w:after="0"/>
              <w:rPr>
                <w:sz w:val="20"/>
                <w:szCs w:val="20"/>
                <w:color w:val="auto"/>
              </w:rPr>
            </w:pPr>
            <w:r>
              <w:rPr>
                <w:rFonts w:ascii="Times New Roman" w:cs="Times New Roman" w:eastAsia="Times New Roman" w:hAnsi="Times New Roman"/>
                <w:sz w:val="13"/>
                <w:szCs w:val="13"/>
                <w:color w:val="auto"/>
                <w:w w:val="95"/>
              </w:rPr>
              <w:t>New York</w:t>
            </w:r>
          </w:p>
        </w:tc>
      </w:tr>
      <w:tr>
        <w:trPr>
          <w:trHeight w:val="176"/>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9"/>
              </w:rPr>
              <w:t>Brussels</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7"/>
              </w:rPr>
              <w:t>Orange County</w:t>
            </w:r>
          </w:p>
        </w:tc>
      </w:tr>
      <w:tr>
        <w:trPr>
          <w:trHeight w:val="175"/>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4"/>
              </w:rPr>
              <w:t>Century City</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9"/>
              </w:rPr>
              <w:t>Paris</w:t>
            </w:r>
          </w:p>
        </w:tc>
      </w:tr>
      <w:tr>
        <w:trPr>
          <w:trHeight w:val="176"/>
        </w:trPr>
        <w:tc>
          <w:tcPr>
            <w:tcW w:w="1560" w:type="dxa"/>
            <w:vAlign w:val="bottom"/>
          </w:tcPr>
          <w:p>
            <w:pPr>
              <w:jc w:val="center"/>
              <w:ind w:left="597"/>
              <w:spacing w:after="0"/>
              <w:rPr>
                <w:sz w:val="20"/>
                <w:szCs w:val="20"/>
                <w:color w:val="auto"/>
              </w:rPr>
            </w:pPr>
            <w:r>
              <w:rPr>
                <w:rFonts w:ascii="Times New Roman" w:cs="Times New Roman" w:eastAsia="Times New Roman" w:hAnsi="Times New Roman"/>
                <w:sz w:val="13"/>
                <w:szCs w:val="13"/>
                <w:color w:val="auto"/>
                <w:w w:val="96"/>
              </w:rPr>
              <w:t>Chicago</w:t>
            </w:r>
          </w:p>
        </w:tc>
        <w:tc>
          <w:tcPr>
            <w:tcW w:w="2940" w:type="dxa"/>
            <w:vAlign w:val="bottom"/>
          </w:tcPr>
          <w:p>
            <w:pPr>
              <w:jc w:val="center"/>
              <w:ind w:left="637"/>
              <w:spacing w:after="0"/>
              <w:rPr>
                <w:sz w:val="20"/>
                <w:szCs w:val="20"/>
                <w:color w:val="auto"/>
              </w:rPr>
            </w:pPr>
            <w:r>
              <w:rPr>
                <w:rFonts w:ascii="Times New Roman" w:cs="Times New Roman" w:eastAsia="Times New Roman" w:hAnsi="Times New Roman"/>
                <w:sz w:val="13"/>
                <w:szCs w:val="13"/>
                <w:color w:val="auto"/>
                <w:w w:val="95"/>
              </w:rPr>
              <w:t>Riyadh</w:t>
            </w:r>
          </w:p>
        </w:tc>
      </w:tr>
      <w:tr>
        <w:trPr>
          <w:trHeight w:val="257"/>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rPr>
              <w:t>Dubai</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8"/>
              </w:rPr>
              <w:t>San Diego</w:t>
            </w:r>
          </w:p>
        </w:tc>
      </w:tr>
      <w:tr>
        <w:trPr>
          <w:trHeight w:val="175"/>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8"/>
              </w:rPr>
              <w:t>Düsseldorf</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5"/>
              </w:rPr>
              <w:t>San Francisco</w:t>
            </w:r>
          </w:p>
        </w:tc>
      </w:tr>
      <w:tr>
        <w:trPr>
          <w:trHeight w:val="176"/>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7"/>
              </w:rPr>
              <w:t>Frankfurt</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rPr>
              <w:t>Seoul</w:t>
            </w:r>
          </w:p>
        </w:tc>
      </w:tr>
      <w:tr>
        <w:trPr>
          <w:trHeight w:val="175"/>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7"/>
              </w:rPr>
              <w:t>Hamburg</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4"/>
              </w:rPr>
              <w:t>Shanghai</w:t>
            </w:r>
          </w:p>
        </w:tc>
      </w:tr>
      <w:tr>
        <w:trPr>
          <w:trHeight w:val="176"/>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8"/>
              </w:rPr>
              <w:t>Hong Kong</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3"/>
              </w:rPr>
              <w:t>Silicon Valley</w:t>
            </w:r>
          </w:p>
        </w:tc>
      </w:tr>
      <w:tr>
        <w:trPr>
          <w:trHeight w:val="176"/>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9"/>
              </w:rPr>
              <w:t>Houston</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4"/>
              </w:rPr>
              <w:t>Singapore</w:t>
            </w:r>
          </w:p>
        </w:tc>
      </w:tr>
      <w:tr>
        <w:trPr>
          <w:trHeight w:val="175"/>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8"/>
              </w:rPr>
              <w:t>London</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0"/>
              </w:rPr>
              <w:t>Tel Aviv</w:t>
            </w:r>
          </w:p>
        </w:tc>
      </w:tr>
      <w:tr>
        <w:trPr>
          <w:trHeight w:val="176"/>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7"/>
              </w:rPr>
              <w:t>Los Angeles</w:t>
            </w:r>
          </w:p>
        </w:tc>
        <w:tc>
          <w:tcPr>
            <w:tcW w:w="2940" w:type="dxa"/>
            <w:vAlign w:val="bottom"/>
          </w:tcPr>
          <w:p>
            <w:pPr>
              <w:jc w:val="center"/>
              <w:ind w:left="637"/>
              <w:spacing w:after="0"/>
              <w:rPr>
                <w:sz w:val="20"/>
                <w:szCs w:val="20"/>
                <w:color w:val="auto"/>
              </w:rPr>
            </w:pPr>
            <w:r>
              <w:rPr>
                <w:rFonts w:ascii="Times New Roman" w:cs="Times New Roman" w:eastAsia="Times New Roman" w:hAnsi="Times New Roman"/>
                <w:sz w:val="13"/>
                <w:szCs w:val="13"/>
                <w:color w:val="auto"/>
                <w:w w:val="94"/>
              </w:rPr>
              <w:t>Tokyo</w:t>
            </w:r>
          </w:p>
        </w:tc>
      </w:tr>
      <w:tr>
        <w:trPr>
          <w:trHeight w:val="175"/>
        </w:trPr>
        <w:tc>
          <w:tcPr>
            <w:tcW w:w="156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3"/>
              </w:rPr>
              <w:t>Madrid</w:t>
            </w:r>
          </w:p>
        </w:tc>
        <w:tc>
          <w:tcPr>
            <w:tcW w:w="2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w w:val="95"/>
              </w:rPr>
              <w:t>Washington, D.C.</w:t>
            </w:r>
          </w:p>
        </w:tc>
      </w:tr>
    </w:tbl>
    <w:p>
      <w:pPr>
        <w:spacing w:after="0" w:line="845" w:lineRule="exact"/>
        <w:rPr>
          <w:sz w:val="20"/>
          <w:szCs w:val="20"/>
          <w:color w:val="auto"/>
        </w:rPr>
      </w:pPr>
    </w:p>
    <w:p>
      <w:pPr>
        <w:sectPr>
          <w:pgSz w:w="11900" w:h="16838" w:orient="portrait"/>
          <w:cols w:equalWidth="0" w:num="2">
            <w:col w:w="4480" w:space="720"/>
            <w:col w:w="6040"/>
          </w:cols>
          <w:pgMar w:left="320" w:top="92" w:right="339" w:bottom="1440" w:gutter="0" w:footer="0" w:header="0"/>
        </w:sectPr>
      </w:pPr>
    </w:p>
    <w:p>
      <w:pPr>
        <w:spacing w:after="0" w:line="17"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S-8; 503,413 shares of Class A Common Stock, par value $0.001 per share, of Rent the Runway,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acted as special counsel to Rent the Runway,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by the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Company with the Securities and Exchange Commission of a registration statement on Form S–8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relating to the issuance of up to 503,413 shares of the Company’s Class A common stock, par value $0.001 per share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which may be issued pursuant to the Company’s Amended and Restated 2021 Incentive Award Plan (the “</w:t>
      </w:r>
      <w:r>
        <w:rPr>
          <w:rFonts w:ascii="Times New Roman" w:cs="Times New Roman" w:eastAsia="Times New Roman" w:hAnsi="Times New Roman"/>
          <w:sz w:val="17"/>
          <w:szCs w:val="17"/>
          <w:u w:val="single" w:color="auto"/>
          <w:color w:val="auto"/>
        </w:rPr>
        <w:t>2021 Plan</w:t>
      </w:r>
      <w:r>
        <w:rPr>
          <w:rFonts w:ascii="Times New Roman" w:cs="Times New Roman" w:eastAsia="Times New Roman" w:hAnsi="Times New Roman"/>
          <w:sz w:val="17"/>
          <w:szCs w:val="17"/>
          <w:color w:val="auto"/>
        </w:rPr>
        <w:t>”). This opinion is</w:t>
      </w:r>
    </w:p>
    <w:p>
      <w:pPr>
        <w:spacing w:after="0" w:line="2"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being furnished in connection with the requirements of Item 601(b)(5) of Regulation S-K under the Securities Act, and no opinion is expressed herein as to any matter pertaining to the contents of the Registration Statement or the prospectus forming a part thereof, other than as expressly stated herein with respect to the issuance of the Shares.</w:t>
      </w:r>
    </w:p>
    <w:p>
      <w:pPr>
        <w:spacing w:after="0" w:line="172" w:lineRule="exact"/>
        <w:rPr>
          <w:sz w:val="20"/>
          <w:szCs w:val="20"/>
          <w:color w:val="auto"/>
        </w:rPr>
      </w:pPr>
    </w:p>
    <w:p>
      <w:pPr>
        <w:ind w:right="180" w:firstLine="6"/>
        <w:spacing w:after="0" w:line="216"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the foregoing and upon certificates and other assurances of officers of the Company and others as to factual matters without having independently verified such factual matters. We are opining herein only as to the General Corporation Law of the State of Delaware, as amended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we express no opinion with respect to any other laws.</w:t>
      </w:r>
    </w:p>
    <w:p>
      <w:pPr>
        <w:spacing w:after="0" w:line="165" w:lineRule="exact"/>
        <w:rPr>
          <w:sz w:val="20"/>
          <w:szCs w:val="20"/>
          <w:color w:val="auto"/>
        </w:rPr>
      </w:pPr>
    </w:p>
    <w:p>
      <w:pPr>
        <w:ind w:right="160" w:firstLine="6"/>
        <w:spacing w:after="0" w:line="222" w:lineRule="auto"/>
        <w:rPr>
          <w:sz w:val="20"/>
          <w:szCs w:val="20"/>
          <w:color w:val="auto"/>
        </w:rPr>
      </w:pPr>
      <w:r>
        <w:rPr>
          <w:rFonts w:ascii="Times New Roman" w:cs="Times New Roman" w:eastAsia="Times New Roman" w:hAnsi="Times New Roman"/>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recipients thereof, and have been issued by the Company for legal</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consideration in excess of par value in the circumstances contemplated by the 2021 Plan assuming that the individual grants or awards under the 2021 Plan are duly authorized by all necessary corporate action and duly granted or awarded and exercised in accordance with the requirements of law and the 2021 Plan (and the agreements and awards duly adopted thereunder and in accordance therewith) the issue and sale of the Shares will have been duly authorized</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opinion is for your benefit in connection with the Registration Statement and may be relied upon by you and by persons entitled to rely upon it</w:t>
      </w:r>
    </w:p>
    <w:p>
      <w:pPr>
        <w:spacing w:after="0" w:line="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8"/>
          <w:szCs w:val="18"/>
          <w:color w:val="auto"/>
        </w:rPr>
        <w:t>pursuant to the applicable provisions of the Securities Act. We consent to your filing this opinion as an exhibit to the Registration Statement. In giving such consent, we do not thereby admit that we are in the category of persons whose consent is required under Section 7 of the Securities Act or the rules and regulations of the Securities and Exchange Commission thereunder.</w:t>
      </w:r>
    </w:p>
    <w:p>
      <w:pPr>
        <w:spacing w:after="0" w:line="17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5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/s/ Latham &amp; Watkins LLP</w:t>
      </w:r>
    </w:p>
    <w:p>
      <w:pPr>
        <w:sectPr>
          <w:pgSz w:w="11900" w:h="16838" w:orient="portrait"/>
          <w:cols w:equalWidth="0" w:num="1">
            <w:col w:w="11240"/>
          </w:cols>
          <w:pgMar w:left="320" w:top="92" w:right="339" w:bottom="1440" w:gutter="0" w:footer="0" w:header="0"/>
          <w:type w:val="continuous"/>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Rent the Runway, Inc. of our report dated April 11, 2024 relating to the financial statements for the year ended January 31, 2024, which appears in Rent the Runway, Inc.’s Annual Report on Form 10-K for the year ended January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rPr>
          <w:sz w:val="20"/>
          <w:szCs w:val="20"/>
          <w:color w:val="auto"/>
        </w:rPr>
      </w:pPr>
      <w:r>
        <w:rPr>
          <w:rFonts w:ascii="Times New Roman" w:cs="Times New Roman" w:eastAsia="Times New Roman" w:hAnsi="Times New Roman"/>
          <w:sz w:val="18"/>
          <w:szCs w:val="18"/>
          <w:color w:val="auto"/>
        </w:rPr>
        <w:t>April 11, 2024</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1"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jpeg"/><Relationship Id="rId8" Type="http://schemas.openxmlformats.org/officeDocument/2006/relationships/hyperlink" Target="https://www.sec.gov/Archives/edgar/data/1468327/000119312521311477/d212386ds8.htm" TargetMode="External"/><Relationship Id="rId9" Type="http://schemas.openxmlformats.org/officeDocument/2006/relationships/hyperlink" Target="https://www.sec.gov/Archives/edgar/data/1468327/000146832722000049/s-8xapril142022.htm" TargetMode="External"/><Relationship Id="rId10" Type="http://schemas.openxmlformats.org/officeDocument/2006/relationships/hyperlink" Target="https://www.sec.gov/Archives/edgar/data/1468327/000146832723000053/s-8xapril132023.htm" TargetMode="External"/><Relationship Id="rId13" Type="http://schemas.openxmlformats.org/officeDocument/2006/relationships/hyperlink" Target="https://www.sec.gov/Archives/edgar/data/0001468327/000119312521313321/d211519dex31.htm" TargetMode="External"/><Relationship Id="rId14" Type="http://schemas.openxmlformats.org/officeDocument/2006/relationships/hyperlink" Target="https://www.sec.gov/Archives/edgar/data/1468327/000146832724000100/exhibit31certificateofam.htm" TargetMode="External"/><Relationship Id="rId15" Type="http://schemas.openxmlformats.org/officeDocument/2006/relationships/hyperlink" Target="https://www.sec.gov/Archives/edgar/data/0001468327/000119312521313321/d211519dex32.htm" TargetMode="External"/><Relationship Id="rId16" Type="http://schemas.openxmlformats.org/officeDocument/2006/relationships/hyperlink" Target="https://www.sec.gov/Archives/edgar/data/1468327/000119312521301156/d194411d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2024-04-11T15:30:55Z</dcterms:created>
  <dcterms:modified xsi:type="dcterms:W3CDTF">2024-04-11T15:30:55Z</dcterms:modified>
</cp:coreProperties>
</file>