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00" w:type="dxa"/>
            <w:vAlign w:val="bottom"/>
          </w:tcPr>
          <w:p>
            <w:pPr>
              <w:ind w:left="40"/>
              <w:spacing w:after="0"/>
              <w:rPr>
                <w:sz w:val="20"/>
                <w:szCs w:val="20"/>
                <w:color w:val="auto"/>
              </w:rPr>
            </w:pPr>
            <w:r>
              <w:rPr>
                <w:rFonts w:ascii="Arial" w:cs="Arial" w:eastAsia="Arial" w:hAnsi="Arial"/>
                <w:sz w:val="22"/>
                <w:szCs w:val="22"/>
                <w:color w:val="auto"/>
              </w:rPr>
              <w:t>0001976540</w:t>
            </w:r>
          </w:p>
        </w:tc>
        <w:tc>
          <w:tcPr>
            <w:tcW w:w="30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00" w:type="dxa"/>
            <w:vAlign w:val="bottom"/>
          </w:tcPr>
          <w:p>
            <w:pPr>
              <w:spacing w:after="0"/>
              <w:rPr>
                <w:sz w:val="24"/>
                <w:szCs w:val="24"/>
                <w:color w:val="auto"/>
              </w:rPr>
            </w:pPr>
          </w:p>
        </w:tc>
        <w:tc>
          <w:tcPr>
            <w:tcW w:w="3080" w:type="dxa"/>
            <w:vAlign w:val="bottom"/>
          </w:tcPr>
          <w:p>
            <w:pPr>
              <w:ind w:left="116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00" w:type="dxa"/>
            <w:vAlign w:val="bottom"/>
          </w:tcPr>
          <w:p>
            <w:pPr>
              <w:spacing w:after="0"/>
              <w:rPr>
                <w:sz w:val="24"/>
                <w:szCs w:val="24"/>
                <w:color w:val="auto"/>
              </w:rPr>
            </w:pPr>
          </w:p>
        </w:tc>
        <w:tc>
          <w:tcPr>
            <w:tcW w:w="3080" w:type="dxa"/>
            <w:vAlign w:val="bottom"/>
          </w:tcPr>
          <w:p>
            <w:pPr>
              <w:ind w:left="116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080" w:type="dxa"/>
            <w:vAlign w:val="bottom"/>
          </w:tcPr>
          <w:p>
            <w:pPr>
              <w:ind w:left="116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80" w:type="dxa"/>
            <w:vAlign w:val="bottom"/>
          </w:tcPr>
          <w:p>
            <w:pPr>
              <w:ind w:left="116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900" w:type="dxa"/>
            <w:vAlign w:val="bottom"/>
          </w:tcPr>
          <w:p>
            <w:pPr>
              <w:spacing w:after="0"/>
              <w:rPr>
                <w:sz w:val="21"/>
                <w:szCs w:val="21"/>
                <w:color w:val="auto"/>
              </w:rPr>
            </w:pPr>
          </w:p>
        </w:tc>
        <w:tc>
          <w:tcPr>
            <w:tcW w:w="3080" w:type="dxa"/>
            <w:vAlign w:val="bottom"/>
          </w:tcPr>
          <w:p>
            <w:pPr>
              <w:ind w:left="116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80" w:type="dxa"/>
            <w:vAlign w:val="bottom"/>
          </w:tcPr>
          <w:p>
            <w:pPr>
              <w:ind w:left="116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080" w:type="dxa"/>
            <w:vAlign w:val="bottom"/>
          </w:tcPr>
          <w:p>
            <w:pPr>
              <w:ind w:left="116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080" w:type="dxa"/>
            <w:vAlign w:val="bottom"/>
          </w:tcPr>
          <w:p>
            <w:pPr>
              <w:ind w:left="1160"/>
              <w:spacing w:after="0"/>
              <w:rPr>
                <w:sz w:val="20"/>
                <w:szCs w:val="20"/>
                <w:color w:val="auto"/>
              </w:rPr>
            </w:pPr>
            <w:r>
              <w:rPr>
                <w:rFonts w:ascii="Arial" w:cs="Arial" w:eastAsia="Arial" w:hAnsi="Arial"/>
                <w:sz w:val="22"/>
                <w:szCs w:val="22"/>
                <w:color w:val="auto"/>
              </w:rPr>
              <w:t>212524686</w:t>
            </w: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80" w:type="dxa"/>
            <w:vAlign w:val="bottom"/>
          </w:tcPr>
          <w:p>
            <w:pPr>
              <w:ind w:left="1160"/>
              <w:spacing w:after="0"/>
              <w:rPr>
                <w:sz w:val="20"/>
                <w:szCs w:val="20"/>
                <w:color w:val="auto"/>
              </w:rPr>
            </w:pPr>
            <w:r>
              <w:rPr>
                <w:rFonts w:ascii="Arial" w:cs="Arial" w:eastAsia="Arial" w:hAnsi="Arial"/>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39646</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73345.1</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75000</w:t>
      </w:r>
      <w:r>
        <w:rPr>
          <w:sz w:val="20"/>
          <w:szCs w:val="20"/>
          <w:color w:val="auto"/>
        </w:rPr>
        <w:tab/>
      </w:r>
      <w:r>
        <w:rPr>
          <w:rFonts w:ascii="Arial" w:cs="Arial" w:eastAsia="Arial" w:hAnsi="Arial"/>
          <w:sz w:val="19"/>
          <w:szCs w:val="19"/>
          <w:color w:val="auto"/>
        </w:rPr>
        <w:t>08/01/2022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6250</w:t>
      </w:r>
      <w:r>
        <w:rPr>
          <w:sz w:val="20"/>
          <w:szCs w:val="20"/>
          <w:color w:val="auto"/>
        </w:rPr>
        <w:tab/>
      </w:r>
      <w:r>
        <w:rPr>
          <w:rFonts w:ascii="Arial" w:cs="Arial" w:eastAsia="Arial" w:hAnsi="Arial"/>
          <w:sz w:val="19"/>
          <w:szCs w:val="19"/>
          <w:color w:val="auto"/>
        </w:rPr>
        <w:t>03/15/2023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3003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7522.98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15011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34942.61</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020" w:type="dxa"/>
            <w:vAlign w:val="bottom"/>
          </w:tcPr>
          <w:p>
            <w:pPr>
              <w:ind w:left="180"/>
              <w:spacing w:after="0"/>
              <w:rPr>
                <w:sz w:val="20"/>
                <w:szCs w:val="20"/>
                <w:color w:val="auto"/>
              </w:rPr>
            </w:pPr>
            <w:r>
              <w:rPr>
                <w:rFonts w:ascii="Arial" w:cs="Arial" w:eastAsia="Arial" w:hAnsi="Arial"/>
                <w:sz w:val="22"/>
                <w:szCs w:val="22"/>
                <w:color w:val="auto"/>
                <w:w w:val="91"/>
              </w:rPr>
              <w:t>Shares to be sold to cover withholding taxes upon vesting of restricted stock unit awards. The date of the Rule</w:t>
            </w:r>
          </w:p>
        </w:tc>
        <w:tc>
          <w:tcPr>
            <w:tcW w:w="0" w:type="dxa"/>
            <w:vAlign w:val="bottom"/>
          </w:tcPr>
          <w:p>
            <w:pPr>
              <w:spacing w:after="0"/>
              <w:rPr>
                <w:sz w:val="1"/>
                <w:szCs w:val="1"/>
                <w:color w:val="auto"/>
              </w:rPr>
            </w:pPr>
          </w:p>
        </w:tc>
      </w:tr>
      <w:tr>
        <w:trPr>
          <w:trHeight w:val="243"/>
        </w:trPr>
        <w:tc>
          <w:tcPr>
            <w:tcW w:w="94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10020" w:type="dxa"/>
            <w:vAlign w:val="bottom"/>
          </w:tcPr>
          <w:p>
            <w:pPr>
              <w:ind w:left="180"/>
              <w:spacing w:after="0" w:line="243" w:lineRule="exact"/>
              <w:rPr>
                <w:sz w:val="20"/>
                <w:szCs w:val="20"/>
                <w:color w:val="auto"/>
              </w:rPr>
            </w:pPr>
            <w:r>
              <w:rPr>
                <w:rFonts w:ascii="Arial" w:cs="Arial" w:eastAsia="Arial" w:hAnsi="Arial"/>
                <w:sz w:val="22"/>
                <w:szCs w:val="22"/>
                <w:color w:val="auto"/>
                <w:w w:val="89"/>
              </w:rPr>
              <w:t>10b5-1 sell to cover instruction for the restricted stock units granted on August 1, 2022 was August 24, 2022.The</w:t>
            </w:r>
          </w:p>
        </w:tc>
        <w:tc>
          <w:tcPr>
            <w:tcW w:w="0" w:type="dxa"/>
            <w:vAlign w:val="bottom"/>
          </w:tcPr>
          <w:p>
            <w:pPr>
              <w:spacing w:after="0"/>
              <w:rPr>
                <w:sz w:val="1"/>
                <w:szCs w:val="1"/>
                <w:color w:val="auto"/>
              </w:rPr>
            </w:pPr>
          </w:p>
        </w:tc>
      </w:tr>
      <w:tr>
        <w:trPr>
          <w:trHeight w:val="153"/>
        </w:trPr>
        <w:tc>
          <w:tcPr>
            <w:tcW w:w="940" w:type="dxa"/>
            <w:vAlign w:val="bottom"/>
            <w:vMerge w:val="continue"/>
          </w:tcPr>
          <w:p>
            <w:pPr>
              <w:spacing w:after="0"/>
              <w:rPr>
                <w:sz w:val="13"/>
                <w:szCs w:val="13"/>
                <w:color w:val="auto"/>
              </w:rPr>
            </w:pPr>
          </w:p>
        </w:tc>
        <w:tc>
          <w:tcPr>
            <w:tcW w:w="10020" w:type="dxa"/>
            <w:vAlign w:val="bottom"/>
            <w:vMerge w:val="restart"/>
          </w:tcPr>
          <w:p>
            <w:pPr>
              <w:ind w:left="180"/>
              <w:spacing w:after="0" w:line="243" w:lineRule="exact"/>
              <w:rPr>
                <w:sz w:val="20"/>
                <w:szCs w:val="20"/>
                <w:color w:val="auto"/>
              </w:rPr>
            </w:pPr>
            <w:r>
              <w:rPr>
                <w:rFonts w:ascii="Arial" w:cs="Arial" w:eastAsia="Arial" w:hAnsi="Arial"/>
                <w:sz w:val="22"/>
                <w:szCs w:val="22"/>
                <w:color w:val="auto"/>
                <w:w w:val="89"/>
              </w:rPr>
              <w:t>remaining shares will be sold pursuant to a mandatory sell to cover provision in Mr. Thackers restricted stock unit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40" w:type="dxa"/>
            <w:vAlign w:val="bottom"/>
          </w:tcPr>
          <w:p>
            <w:pPr>
              <w:spacing w:after="0"/>
              <w:rPr>
                <w:sz w:val="23"/>
                <w:szCs w:val="23"/>
                <w:color w:val="auto"/>
              </w:rPr>
            </w:pPr>
          </w:p>
        </w:tc>
        <w:tc>
          <w:tcPr>
            <w:tcW w:w="10020" w:type="dxa"/>
            <w:vAlign w:val="bottom"/>
          </w:tcPr>
          <w:p>
            <w:pPr>
              <w:ind w:left="180"/>
              <w:spacing w:after="0"/>
              <w:rPr>
                <w:sz w:val="20"/>
                <w:szCs w:val="20"/>
                <w:color w:val="auto"/>
              </w:rPr>
            </w:pPr>
            <w:r>
              <w:rPr>
                <w:rFonts w:ascii="Arial" w:cs="Arial" w:eastAsia="Arial" w:hAnsi="Arial"/>
                <w:sz w:val="22"/>
                <w:szCs w:val="22"/>
                <w:color w:val="auto"/>
              </w:rPr>
              <w:t>award agreement.</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Date of</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08/01/2023</w:t>
            </w:r>
          </w:p>
        </w:tc>
        <w:tc>
          <w:tcPr>
            <w:tcW w:w="0" w:type="dxa"/>
            <w:vAlign w:val="bottom"/>
          </w:tcPr>
          <w:p>
            <w:pPr>
              <w:spacing w:after="0"/>
              <w:rPr>
                <w:sz w:val="1"/>
                <w:szCs w:val="1"/>
                <w:color w:val="auto"/>
              </w:rPr>
            </w:pPr>
          </w:p>
        </w:tc>
      </w:tr>
      <w:tr>
        <w:trPr>
          <w:trHeight w:val="153"/>
        </w:trPr>
        <w:tc>
          <w:tcPr>
            <w:tcW w:w="88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82"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22"/>
          <w:szCs w:val="22"/>
          <w:color w:val="auto"/>
        </w:rPr>
        <w:t>Signature</w:t>
        <w:tab/>
        <w:t>/s/ Siddharth Thacker</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2023-08-01T07:47:58Z</dcterms:created>
  <dcterms:modified xsi:type="dcterms:W3CDTF">2023-08-01T07:47:58Z</dcterms:modified>
</cp:coreProperties>
</file>