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333-291603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156845</wp:posOffset>
            </wp:positionV>
            <wp:extent cx="796925" cy="1071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6925" cy="1071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RENT THE RUNWAY, INC.</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28,532,444 Shares of Class A Common Stock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Stockholders named in this prospectus (the “Selling Stockholders”) of up to 28,532,444 shares of our Class A Common Stock, par value $0.001 per share (the “Class A Common Stock”).</w:t>
      </w:r>
    </w:p>
    <w:p>
      <w:pPr>
        <w:spacing w:after="0" w:line="162"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Stockholders will offer or sell any of our shares of Class A Common Stock. We provide more information about how the Selling Stockholders may sell the shares in the section entitled “Plan of Distribution.”</w:t>
      </w:r>
    </w:p>
    <w:p>
      <w:pPr>
        <w:spacing w:after="0" w:line="162" w:lineRule="exact"/>
        <w:rPr>
          <w:sz w:val="24"/>
          <w:szCs w:val="24"/>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for resale pursuant to the Selling Stockholders’ registration rights under certain agreements among us, Jennifer Hyman and the Selling Stockholders. We will not receive any proceeds from the sale of shares of Class A Common Stock by the Selling Stockholders pursuant to this prospectus.</w:t>
      </w:r>
    </w:p>
    <w:p>
      <w:pPr>
        <w:spacing w:after="0" w:line="176" w:lineRule="exact"/>
        <w:rPr>
          <w:sz w:val="24"/>
          <w:szCs w:val="24"/>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traded on The Nasdaq Stock Market LLC (“Nasdaq”) under the symbol “RENT.” On November 14, 2025, the last reported sale price of our shares of Class A Common Stock on Nasdaq was $4.43 per share.</w:t>
      </w:r>
    </w:p>
    <w:p>
      <w:pPr>
        <w:spacing w:after="0" w:line="162" w:lineRule="exact"/>
        <w:rPr>
          <w:sz w:val="24"/>
          <w:szCs w:val="24"/>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6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significant risks. See “Risk Factors” beginning on page 5 of this prospectus and those identified under “Risk Factors” in any subsequent reports that we file with the Securities and Exchange Commission (the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146685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52"/>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4500" w:type="dxa"/>
            <w:vAlign w:val="bottom"/>
            <w:gridSpan w:val="8"/>
          </w:tcPr>
          <w:p>
            <w:pPr>
              <w:spacing w:after="0"/>
              <w:rPr>
                <w:sz w:val="24"/>
                <w:szCs w:val="24"/>
                <w:color w:val="auto"/>
              </w:rPr>
            </w:pPr>
          </w:p>
        </w:tc>
        <w:tc>
          <w:tcPr>
            <w:tcW w:w="4160" w:type="dxa"/>
            <w:vAlign w:val="bottom"/>
          </w:tcPr>
          <w:p>
            <w:pPr>
              <w:spacing w:after="0"/>
              <w:rPr>
                <w:sz w:val="24"/>
                <w:szCs w:val="24"/>
                <w:color w:val="auto"/>
              </w:rPr>
            </w:pPr>
          </w:p>
        </w:tc>
        <w:tc>
          <w:tcPr>
            <w:tcW w:w="3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SUMMARY</w:t>
            </w:r>
          </w:p>
        </w:tc>
        <w:tc>
          <w:tcPr>
            <w:tcW w:w="4500" w:type="dxa"/>
            <w:vAlign w:val="bottom"/>
            <w:gridSpan w:val="8"/>
          </w:tcPr>
          <w:p>
            <w:pPr>
              <w:spacing w:after="0"/>
              <w:rPr>
                <w:sz w:val="24"/>
                <w:szCs w:val="24"/>
                <w:color w:val="auto"/>
              </w:rPr>
            </w:pPr>
          </w:p>
        </w:tc>
        <w:tc>
          <w:tcPr>
            <w:tcW w:w="4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4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RISK FACTORS</w:t>
            </w:r>
          </w:p>
        </w:tc>
        <w:tc>
          <w:tcPr>
            <w:tcW w:w="5480" w:type="dxa"/>
            <w:vAlign w:val="bottom"/>
            <w:gridSpan w:val="12"/>
          </w:tcPr>
          <w:p>
            <w:pPr>
              <w:spacing w:after="0"/>
              <w:rPr>
                <w:sz w:val="24"/>
                <w:szCs w:val="24"/>
                <w:color w:val="auto"/>
              </w:rPr>
            </w:pPr>
          </w:p>
        </w:tc>
        <w:tc>
          <w:tcPr>
            <w:tcW w:w="4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940" w:type="dxa"/>
            <w:vAlign w:val="bottom"/>
            <w:gridSpan w:val="2"/>
          </w:tcPr>
          <w:p>
            <w:pPr>
              <w:spacing w:after="0"/>
              <w:rPr>
                <w:sz w:val="24"/>
                <w:szCs w:val="24"/>
                <w:color w:val="auto"/>
              </w:rPr>
            </w:pPr>
          </w:p>
        </w:tc>
        <w:tc>
          <w:tcPr>
            <w:tcW w:w="4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940" w:type="dxa"/>
            <w:vAlign w:val="bottom"/>
            <w:gridSpan w:val="2"/>
          </w:tcPr>
          <w:p>
            <w:pPr>
              <w:spacing w:after="0"/>
              <w:rPr>
                <w:sz w:val="24"/>
                <w:szCs w:val="24"/>
                <w:color w:val="auto"/>
              </w:rPr>
            </w:pPr>
          </w:p>
        </w:tc>
        <w:tc>
          <w:tcPr>
            <w:tcW w:w="4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4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372"/>
        </w:trPr>
        <w:tc>
          <w:tcPr>
            <w:tcW w:w="26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PRINCIPAL SECURITYHOLDERS</w:t>
            </w:r>
          </w:p>
        </w:tc>
        <w:tc>
          <w:tcPr>
            <w:tcW w:w="3320" w:type="dxa"/>
            <w:vAlign w:val="bottom"/>
            <w:tcBorders>
              <w:top w:val="single" w:sz="8" w:color="0000EE"/>
            </w:tcBorders>
            <w:gridSpan w:val="5"/>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gridSpan w:val="2"/>
          </w:tcPr>
          <w:p>
            <w:pPr>
              <w:spacing w:after="0"/>
              <w:rPr>
                <w:sz w:val="24"/>
                <w:szCs w:val="24"/>
                <w:color w:val="auto"/>
              </w:rPr>
            </w:pPr>
          </w:p>
        </w:tc>
        <w:tc>
          <w:tcPr>
            <w:tcW w:w="1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SELLING STOCKHOLDERS</w:t>
            </w:r>
          </w:p>
        </w:tc>
        <w:tc>
          <w:tcPr>
            <w:tcW w:w="440" w:type="dxa"/>
            <w:vAlign w:val="bottom"/>
            <w:gridSpan w:val="2"/>
          </w:tcPr>
          <w:p>
            <w:pPr>
              <w:spacing w:after="0"/>
              <w:rPr>
                <w:sz w:val="24"/>
                <w:szCs w:val="24"/>
                <w:color w:val="auto"/>
              </w:rPr>
            </w:pPr>
          </w:p>
        </w:tc>
        <w:tc>
          <w:tcPr>
            <w:tcW w:w="4060" w:type="dxa"/>
            <w:vAlign w:val="bottom"/>
            <w:gridSpan w:val="6"/>
          </w:tcPr>
          <w:p>
            <w:pPr>
              <w:spacing w:after="0"/>
              <w:rPr>
                <w:sz w:val="24"/>
                <w:szCs w:val="24"/>
                <w:color w:val="auto"/>
              </w:rPr>
            </w:pPr>
          </w:p>
        </w:tc>
        <w:tc>
          <w:tcPr>
            <w:tcW w:w="43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c>
          <w:tcPr>
            <w:tcW w:w="0" w:type="dxa"/>
            <w:vAlign w:val="bottom"/>
          </w:tcPr>
          <w:p>
            <w:pPr>
              <w:spacing w:after="0"/>
              <w:rPr>
                <w:sz w:val="1"/>
                <w:szCs w:val="1"/>
                <w:color w:val="auto"/>
              </w:rPr>
            </w:pPr>
          </w:p>
        </w:tc>
      </w:tr>
      <w:tr>
        <w:trPr>
          <w:trHeight w:val="372"/>
        </w:trPr>
        <w:tc>
          <w:tcPr>
            <w:tcW w:w="2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DESCRIPTION OF SECURITIES</w:t>
            </w:r>
          </w:p>
        </w:tc>
        <w:tc>
          <w:tcPr>
            <w:tcW w:w="4220" w:type="dxa"/>
            <w:vAlign w:val="bottom"/>
            <w:gridSpan w:val="7"/>
          </w:tcPr>
          <w:p>
            <w:pPr>
              <w:spacing w:after="0"/>
              <w:rPr>
                <w:sz w:val="24"/>
                <w:szCs w:val="24"/>
                <w:color w:val="auto"/>
              </w:rPr>
            </w:pPr>
          </w:p>
        </w:tc>
        <w:tc>
          <w:tcPr>
            <w:tcW w:w="43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15</w:t>
            </w:r>
          </w:p>
        </w:tc>
        <w:tc>
          <w:tcPr>
            <w:tcW w:w="0" w:type="dxa"/>
            <w:vAlign w:val="bottom"/>
          </w:tcPr>
          <w:p>
            <w:pPr>
              <w:spacing w:after="0"/>
              <w:rPr>
                <w:sz w:val="1"/>
                <w:szCs w:val="1"/>
                <w:color w:val="auto"/>
              </w:rPr>
            </w:pPr>
          </w:p>
        </w:tc>
      </w:tr>
      <w:tr>
        <w:trPr>
          <w:trHeight w:val="371"/>
        </w:trPr>
        <w:tc>
          <w:tcPr>
            <w:tcW w:w="47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MATERIAL U.S. FEDERAL INCOME TAX CONSEQUENCES</w:t>
            </w:r>
          </w:p>
        </w:tc>
        <w:tc>
          <w:tcPr>
            <w:tcW w:w="1980" w:type="dxa"/>
            <w:vAlign w:val="bottom"/>
            <w:gridSpan w:val="3"/>
          </w:tcPr>
          <w:p>
            <w:pPr>
              <w:spacing w:after="0"/>
              <w:rPr>
                <w:sz w:val="24"/>
                <w:szCs w:val="24"/>
                <w:color w:val="auto"/>
              </w:rPr>
            </w:pPr>
          </w:p>
        </w:tc>
        <w:tc>
          <w:tcPr>
            <w:tcW w:w="43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20</w:t>
            </w:r>
          </w:p>
        </w:tc>
        <w:tc>
          <w:tcPr>
            <w:tcW w:w="0" w:type="dxa"/>
            <w:vAlign w:val="bottom"/>
          </w:tcPr>
          <w:p>
            <w:pPr>
              <w:spacing w:after="0"/>
              <w:rPr>
                <w:sz w:val="1"/>
                <w:szCs w:val="1"/>
                <w:color w:val="auto"/>
              </w:rPr>
            </w:pPr>
          </w:p>
        </w:tc>
      </w:tr>
      <w:tr>
        <w:trPr>
          <w:trHeight w:val="372"/>
        </w:trPr>
        <w:tc>
          <w:tcPr>
            <w:tcW w:w="2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PLAN OF DISTRIBUTION</w:t>
            </w:r>
          </w:p>
        </w:tc>
        <w:tc>
          <w:tcPr>
            <w:tcW w:w="4680" w:type="dxa"/>
            <w:vAlign w:val="bottom"/>
            <w:gridSpan w:val="9"/>
          </w:tcPr>
          <w:p>
            <w:pPr>
              <w:spacing w:after="0"/>
              <w:rPr>
                <w:sz w:val="24"/>
                <w:szCs w:val="24"/>
                <w:color w:val="auto"/>
              </w:rPr>
            </w:pPr>
          </w:p>
        </w:tc>
        <w:tc>
          <w:tcPr>
            <w:tcW w:w="43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372"/>
        </w:trPr>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26</w:t>
            </w:r>
          </w:p>
        </w:tc>
        <w:tc>
          <w:tcPr>
            <w:tcW w:w="0" w:type="dxa"/>
            <w:vAlign w:val="bottom"/>
          </w:tcPr>
          <w:p>
            <w:pPr>
              <w:spacing w:after="0"/>
              <w:rPr>
                <w:sz w:val="1"/>
                <w:szCs w:val="1"/>
                <w:color w:val="auto"/>
              </w:rPr>
            </w:pPr>
          </w:p>
        </w:tc>
      </w:tr>
      <w:tr>
        <w:trPr>
          <w:trHeight w:val="372"/>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24"/>
                <w:szCs w:val="24"/>
                <w:color w:val="auto"/>
              </w:rPr>
            </w:pPr>
          </w:p>
        </w:tc>
        <w:tc>
          <w:tcPr>
            <w:tcW w:w="5280" w:type="dxa"/>
            <w:vAlign w:val="bottom"/>
            <w:gridSpan w:val="11"/>
          </w:tcPr>
          <w:p>
            <w:pPr>
              <w:spacing w:after="0"/>
              <w:rPr>
                <w:sz w:val="24"/>
                <w:szCs w:val="24"/>
                <w:color w:val="auto"/>
              </w:rPr>
            </w:pPr>
          </w:p>
        </w:tc>
        <w:tc>
          <w:tcPr>
            <w:tcW w:w="43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371"/>
        </w:trPr>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642"/>
        </w:trPr>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The exhibits to the registration statement contain the full text of certain contracts and other important documents we have summarized in this prospectus. Because these summaries may not contain all the information that you may find important in deciding whether to subscribe for shares of our Class A Common Stock, you should review the full text of these documents. The registration statement and the exhibits can be obtained from the SEC as indicated under the section entitled “Where You Can Find More Information.”</w:t>
      </w:r>
    </w:p>
    <w:p>
      <w:pPr>
        <w:spacing w:after="0" w:line="180"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In this prospectus, “Rent the Runway,” “RTR,” the “company,” “we,” “us” and “our” refer to Rent the Runway, Inc. and its consolidated subsidiaries. Neither we nor the Selling Stockholders have authorized anyone to provide any information or to make any representations other than those contained in this prospectus. We and the Selling Stockholders take no responsibility for, and can provide no assurance as to the reliability of, any other information that others may provide you. Neither we nor the Selling Stockholders are making offers to sell, or seeking offers to buy, securities in jurisdictions where offers and sales are not permitted. You should not assume that the information in this prospectus, any applicable prospectus supplement or any documents incorporated by reference are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7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 using the “shelf” registration process. Under this shelf registration process, the Selling Stockholders may, from time to time, sell the securities offered by them described in this prospectus. We will not receive any proceeds from the sale by such Selling Stockholders of the securities offered by this prospectus.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amendments to the registration statement to add information to, or update or change information contained in, this prospectus. You should read both this prospectus and any applicable prospectus supplement or post-effective amendments to the registration statement together with the additional information to which we refer you in the section of this prospectus entitled “Where You Can Find More Information.”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This summary may not contain all the information that may be important to you, and we urge you to read this prospectus carefully, including the documents incorporated by reference, before deciding to invest in the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power women to feel their best every day.</w:t>
      </w:r>
    </w:p>
    <w:p>
      <w:pPr>
        <w:spacing w:after="0" w:line="225"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185,166 total subscribers (active and paused) as of October 31, 2025. We had 148,916 active subscribers as of October 31, 2025. For each of the nine months ended October 31, 2025 and 2024, 89% and 88%, respectively, of our total revenue was generated by subscribers, while they were active or paused.</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spacing w:after="0" w:line="18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26 times what she pays for a monthly RTR subscription on an annualized basis (more than $49,000 in designer retail value in fiscal year 2024).</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According to our June 2021 Rent the Runway Brand Survey, approximately 91% of our brand partners work with us because we introduce them to new, desirable customers and deepen awareness of their brands. Over the last 15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spacing w:after="0" w:line="189" w:lineRule="exact"/>
        <w:rPr>
          <w:sz w:val="20"/>
          <w:szCs w:val="20"/>
          <w:color w:val="auto"/>
        </w:rPr>
      </w:pPr>
    </w:p>
    <w:p>
      <w:pPr>
        <w:ind w:left="980" w:right="4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 Partner Advantage</w:t>
      </w:r>
      <w:r>
        <w:rPr>
          <w:rFonts w:ascii="Times New Roman" w:cs="Times New Roman" w:eastAsia="Times New Roman" w:hAnsi="Times New Roman"/>
          <w:sz w:val="18"/>
          <w:szCs w:val="18"/>
          <w:color w:val="auto"/>
        </w:rPr>
        <w:t>: Our assortment contains thousands of new, current season styles that luxury competitors simultaneously carry-all available for Subscription, Reserve, and/or Resale at much lower prices. We believe our engaged and loyal customer base paired with the data that we offer to our brand partners makes us an essential destination for many of the world’s most important brands. Over time, our commercial relationships with our brand partners have evolved towards more capital efficient forms of rental product acquisition.</w:t>
      </w:r>
    </w:p>
    <w:p>
      <w:pPr>
        <w:spacing w:after="0" w:line="179"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Advantage</w:t>
      </w:r>
      <w:r>
        <w:rPr>
          <w:rFonts w:ascii="Times New Roman" w:cs="Times New Roman" w:eastAsia="Times New Roman" w:hAnsi="Times New Roman"/>
          <w:sz w:val="18"/>
          <w:szCs w:val="18"/>
          <w:color w:val="auto"/>
        </w:rPr>
        <w:t>: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ind w:left="980" w:right="24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Technology and Logistics Advantage</w:t>
      </w:r>
      <w:r>
        <w:rPr>
          <w:rFonts w:ascii="Times New Roman" w:cs="Times New Roman" w:eastAsia="Times New Roman" w:hAnsi="Times New Roman"/>
          <w:sz w:val="18"/>
          <w:szCs w:val="18"/>
          <w:color w:val="auto"/>
        </w:rPr>
        <w:t>: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platform that supports all of our consumer-facing offerings on our website and app.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Recapitalization Transactions</w:t>
      </w:r>
    </w:p>
    <w:p>
      <w:pPr>
        <w:spacing w:after="0" w:line="22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 October 28, 2025, we completed the previously announced recapitalization transactions to enhance our financial position and financial flexibility by significantly reducing our existing indebtedness, improving our borrowing rate and extending the maturity of our remaining indebtedness (the “Recapitalization Transactions”).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October 28, 2025, in connection with the closing of the Recapitalization Transactions, pursuant to the terms of the Exchange Agreement, dated as of August 20, 2025 (the “Exchange Agreement”), by and between Rent the Runway and CHS US Investments LLC (“Lender”), Lender contributed all amounts owing to Lender under Rent the Runway’s credit agreement, dated as of July 23, 2018 in excess of $100 million in exchange for 26,175,193 shares of Class A Common Stock (the “Term Loan Equitization”), of which 7,852,558 shares were subsequently sold by Lender to Gateway Runway, LLC (“Nexus”) and S3 RR Aggregator, LLC (“STORY3” and, collectively with Lender and Nexus, the “Investor Group”) for gross proceeds of $30.0 million. All shares issued in connection with the Term Loan Equitization were issued in a transaction pursuant to Section 4(a)(2) of the Securities Act. As a result of the Recapitalization Transactions, our total outstanding indebtedness was reduced to $120 million, and the maturity date of our term loans was extended to October 28, 2029.</w:t>
      </w:r>
    </w:p>
    <w:p>
      <w:pPr>
        <w:spacing w:after="0" w:line="19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Recapitalization Transactions, all outstanding shares of our Class B Common Stock, par value $0.001 per share (the “Class B Common Stock”), were converted into shares of Class A Common Stock on a one-for-one basis, such that no shares of Class B Common Stock remain outstanding. As of October 28, 2025, following the closing of the Recapitalization Transactions, we had 33,358,709 shares of Class A Common Stock issued and outstanding.</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Departure of Directors</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August 20, 2025, Timothy Bixby, Jennifer Fleiss, Scott Friend, Beth Kaplan, Daniel Rosensweig and Michael Roth tendered their resignation from the board of directors of Rent the Runway (the “Board”) and all committees on which they serve, contingent upon the consummation of the Recapitalization Transactions and the Board accepting such resignations, to be effective upon acceptance (the “Resignations”). On October 28, 2025, the Board accepted the Resignations, effective immediately. The Resignations were not a result of any disagreement with the Company on any matter relating to the Company’s operations, policies or practices, and were tendered solely to facilitate the Recapitalization Transactions and reconstitute the Board pursuant to the terms of the Exchange Agreement and investor rights agreement, dated August 20, 2025, by and among Rent the Runway, Inc., Lender, Nexus, STORY3 and entities affiliated with Jennifer Hyman (the “Investor Rights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Pursuant to the Investor Rights Agreement and the Exchange Agreement, the Company and Lender agreed to take all commercially reasonable actions as may be necessary to cause, as of the closing of the Recapitalization Transactions, the Board to consist of seven members, including Jennifer Hyman, a director selected by Ms. Hyman and approved by the Investor Group, a director designated by Nexus, a director designated by STORY3 and three directors designated by the Board (such three directors, the “Investor Directors”).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October 28, 2025, the Board appointed Teri Bariquit, Peter Comisar, Dhiren Fonseca, Damian Giangiacomo and Daniel Rosensweig to serve as directors pursuant to the Exchange Agreement, effective immediately. Mr. Comisar and Mr. Giangiacomo were appointed to serve as Class I directors, Ms. Bariquit and Mr. Rosensweig were appointed to serve as Class II directors and Mr. Fonseca was appointed to serve as a Class III director, with Ms.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Hyman remaining on the Board as a Class III director. While as of the closing of the Recapitalization Transactions the Board consisted of six directors, the Investor Group has advised us that it is continuing to use commercially reasonable efforts to identify and designate a third Investor Director to the Board and intends to do so as promptly as practicable. Concurrently with their appointments to the Board, Mr. Giangiacomo and Mr. Rosensweig were appointed to the Audit Committee, and Mr. Fonseca was appointed to serve as Executive Chair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right="4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describes the principal terms of this offering, but it is not intended to be complete. You should read the full text and more specific details contained elsewhere in this prospectus.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Rent the Runway, Inc.</w:t>
            </w: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offered by the Selling Stockholders</w:t>
            </w: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Up to 28,532,444 shares of Class A Common Stock.</w:t>
            </w:r>
          </w:p>
        </w:tc>
      </w:tr>
      <w:tr>
        <w:trPr>
          <w:trHeight w:val="41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of Class A</w:t>
            </w:r>
          </w:p>
        </w:tc>
      </w:tr>
      <w:tr>
        <w:trPr>
          <w:trHeight w:val="234"/>
        </w:trPr>
        <w:tc>
          <w:tcPr>
            <w:tcW w:w="5300" w:type="dxa"/>
            <w:vAlign w:val="bottom"/>
          </w:tcPr>
          <w:p>
            <w:pPr>
              <w:spacing w:after="0"/>
              <w:rPr>
                <w:sz w:val="20"/>
                <w:szCs w:val="20"/>
                <w:color w:val="auto"/>
              </w:rPr>
            </w:pP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Common Stock by the Selling Stockholders.</w:t>
            </w:r>
          </w:p>
        </w:tc>
      </w:tr>
      <w:tr>
        <w:trPr>
          <w:trHeight w:val="41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Market for Class A Common Stock</w:t>
            </w: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Our Class A Common Stock is currently traded on Nasdaq under the</w:t>
            </w:r>
          </w:p>
        </w:tc>
      </w:tr>
      <w:tr>
        <w:trPr>
          <w:trHeight w:val="234"/>
        </w:trPr>
        <w:tc>
          <w:tcPr>
            <w:tcW w:w="5300" w:type="dxa"/>
            <w:vAlign w:val="bottom"/>
          </w:tcPr>
          <w:p>
            <w:pPr>
              <w:spacing w:after="0"/>
              <w:rPr>
                <w:sz w:val="20"/>
                <w:szCs w:val="20"/>
                <w:color w:val="auto"/>
              </w:rPr>
            </w:pP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symbol “RENT.”</w:t>
            </w:r>
          </w:p>
        </w:tc>
      </w:tr>
      <w:tr>
        <w:trPr>
          <w:trHeight w:val="41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 prospectus for a</w:t>
            </w:r>
          </w:p>
        </w:tc>
      </w:tr>
      <w:tr>
        <w:trPr>
          <w:trHeight w:val="216"/>
        </w:trPr>
        <w:tc>
          <w:tcPr>
            <w:tcW w:w="5300" w:type="dxa"/>
            <w:vAlign w:val="bottom"/>
          </w:tcPr>
          <w:p>
            <w:pPr>
              <w:spacing w:after="0"/>
              <w:rPr>
                <w:sz w:val="18"/>
                <w:szCs w:val="18"/>
                <w:color w:val="auto"/>
              </w:rPr>
            </w:pP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discussion of factors you should consider before investing in our</w:t>
            </w:r>
          </w:p>
        </w:tc>
      </w:tr>
      <w:tr>
        <w:trPr>
          <w:trHeight w:val="216"/>
        </w:trPr>
        <w:tc>
          <w:tcPr>
            <w:tcW w:w="5300" w:type="dxa"/>
            <w:vAlign w:val="bottom"/>
          </w:tcPr>
          <w:p>
            <w:pPr>
              <w:spacing w:after="0"/>
              <w:rPr>
                <w:sz w:val="18"/>
                <w:szCs w:val="18"/>
                <w:color w:val="auto"/>
              </w:rPr>
            </w:pP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 For additional information concerning the offering, see “Plan of</w:t>
            </w:r>
          </w:p>
        </w:tc>
      </w:tr>
      <w:tr>
        <w:trPr>
          <w:trHeight w:val="234"/>
        </w:trPr>
        <w:tc>
          <w:tcPr>
            <w:tcW w:w="5300" w:type="dxa"/>
            <w:vAlign w:val="bottom"/>
          </w:tcPr>
          <w:p>
            <w:pPr>
              <w:spacing w:after="0"/>
              <w:rPr>
                <w:sz w:val="20"/>
                <w:szCs w:val="20"/>
                <w:color w:val="auto"/>
              </w:rPr>
            </w:pPr>
          </w:p>
        </w:tc>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Distribution.”</w:t>
            </w:r>
          </w:p>
        </w:tc>
      </w:tr>
      <w:tr>
        <w:trPr>
          <w:trHeight w:val="432"/>
        </w:trPr>
        <w:tc>
          <w:tcPr>
            <w:tcW w:w="53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536" w:right="33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Before you make a decision to buy our Class A Common Stock, you should carefully consider the following risks, together with other risks incorporated by reference in this prospectus from our most recent Annual Report on Form 10-K and any subsequent Quarterly Reports on Form 10-Q or Current Reports on Form 8-K, and all other information contained or incorporated by reference into this prospectus, and the risks and information contained in any applicable prospectus supplement or free writing prospectus. See “Where You Can Find More Information.” These risks could have a material adverse effect on our business, financial condition and results of operations. The trading price of our Class A Common Stock could decline due to any of these risks, and you may lose all or part of your investment. Additionally, the risks and uncertainties incorporated by reference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Recapitalization Transactions Generally</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all of the anticipated benefits of the Recapitalization Transactions, or those benefits may be short-lived or insufficient for our future needs.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October 28, 2025, we closed the Recapitalization Transactions to strengthen our financial position and financial flexibility by significantly reducing our existing indebtedness and adding capital to the business. See “Summary—Recent Developments”. We may fail to fully realize the anticipated benefits of the Recapitalization Transactions or such benefits may be short-lived or insufficient for our future needs due to factors within or outside our control. Our ability to continue to grow our business depends, among other things, upon our ability to successfully execute on our business strategies, hire, retain and motivate key talent, obtain financing for our capital needs, scale our systems efficiently and effectively, control costs, comply with our debt covenants, and manage the pressures on our management and administrative, operational and financial infrastructure. If we fail to realize the anticipated benefits of the Recapitalization Transactions, or if those benefits are short-lived or insufficient for our future needs, it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Board transition and related changes could materially adversely affect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degree on the continued contributions of members of our senior management and other key officers, and the loss of any such persons could have a material adverse effect on our business. To facilitate the Recapitalization Transactions, on August 20, 2025, Timothy Bixby, Jennifer Fleiss, Scott Friend, Beth Kaplan, Daniel Rosensweig, and Michael Roth tendered their resignations from the Board and all committees on which they served, contingent upon the consummation of the Recapitalization Transactions and the Board accepting such resignations, to be effective upon acceptance. On October 28, 2025, the Board accepted these resignations, effective immediately.</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Although the Board has been restructured with the appointments of Teri Bariquit, Peter Comisar, Dhiren Fonseca, Damian Giangiacomo, and Daniel Rosensweig, and additional changes to the Audit Committee and the designation of Mr. Fonseca as Executive Chair, this transition may cause temporary uncertainty and disruption. Additionally, the Investor Group has indicated that it is continuing to use commercially reasonable efforts to identify and designate a third Investor Director to the Board, which could take place in the near future.</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potential uncertainty and disruption resulting from the Board transition, along with the ongoing efforts to identify a third Investor Director, could have an adverse effect on our business, financial condition and results of operations. For more information on the Board transition, see “Summary – Recent Developments.”</w:t>
      </w:r>
    </w:p>
    <w:p>
      <w:pPr>
        <w:spacing w:after="0" w:line="1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Recapitalization Transactions, we entered into a new credit agreement,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7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Upon the closing of the Recapitalization Transactions, we entered into an amended and restated credit agreement (the “New Credit Agreement”), by and among the Company, as borrower, CHS (US) Management LLC, as administrative agent (the “Agent”), and the Investor Group, as lenders. The New Credit Agreement amended and</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t>restated our prior credit agreement, dated as of July 23, 2018, by and among the Company, as borrower, Lender, as a lender, and the Agent (as successor-in-interest to Double Helix Pte Ltd.) (the “Prior Credit Agreement”). The New Credit Agreement contains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particularly the liquidity covenant, which resets to $30 million in February 2027, could decrease our operating flexibility and our ability to achieve our operating objectives, which could have an adverse effect on our business, financial condition and results of operations.</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Further, in the past we have sought waivers and/or concessions from our Lender to ensure our continued compliance with certain covenants under our Prior Credit Agreement, and we may in the future be unable to comply with the covenants under the New Credit Agreement. If we were unable to comply with our covenants and successfully negotiate with the Investor Group for a waiver or dispensation of such covenants under the New Credit Agreement, Agent would have the right to accelerate repayment of all outstanding obligations under the New Credit Agreement, which would become immediately due and payable, and exercise all other rights and remedies available under the New Credit Agreement. While our Lender has previously granted waivers or entered into amendments to the Prior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the covenants under the New Credit Agreement and negotiate with the Investor Group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noncompliant with Nasdaq Marketplace Rule 5605(c)(2)(A), which requires listed companies to have at least three audit committee members.</w:t>
      </w:r>
    </w:p>
    <w:p>
      <w:pPr>
        <w:spacing w:after="0" w:line="15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October 28, 2025, we notified Nasdaq of our non-compliance with Nasdaq Rule 5605(c)(2)(A), which requires that the Audit Committee be comprised of three independent directors, and our intent to rely on the cure period provided by Nasdaq Rule 5605(c)(4)(B).</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While we intend to appoint an independent director to the Audit Committee no later than our 2026 annual meeting of stockholders, as provided by Nasdaq Rule 5605(c)(4)(B), there can be no assurances that we will be able to evidence compliance with all applicable requirements for continued listing on Nasdaq within the required timeframe. The failure to meet continuing compliance standards subjects our Class A Common Stock to a possible delisting. A delisting of our Class A Common Stock would have an adverse effect on the market liquidity of our Class A Common Stock and, as a result, the market price for our Class A Common Stock could become more volatile. Further, a delisting also could make it more difficult for us to raise additional capital.</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Quarterly Report on Form 10-Q for the period ended October 31, 2025, and those identified under “Risk Factors” in any subsequent reports that we file with the SEC.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prospectus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prospectus, whether as a result of any new information, future events or otherwise.</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sectPr>
      </w:pPr>
    </w:p>
    <w:bookmarkStart w:id="10" w:name="page11"/>
    <w:bookmarkEnd w:id="1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Stockholders pursuant to this prospectus will be sold by the Selling Stockholders for their respective accounts. We will not receive any proceeds from these sales.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Selling Stockholders will pay any underwriting fees, discounts and selling commissions incurred by such Selling Stockholders in disposing of their Class A Common Stock. We will bear all other costs, fees and expenses incurred in effecting the registration of the Class A Common Stock covered by this prospectus, including, without limitation, all registration and filing fees, Nasdaq listing fees and fees and expenses of counsel and independent registered public accountants.</w:t>
      </w: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36" w:right="5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Stock is traded on Nasdaq under the symbol “RENT.”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November 14, 2025, there were 139 holders of record of our Class A Common Stock and 33,390,904 shares of Class A Common Stock issued and outstanding. The closing price per share of our Class A Common Stock was $4.43 as reported on Nasdaq. The number of stockholders of record is based upon the actual number of holders registered on this date and does not include an undetermined number of holders of Class A Common Stock in “street name” by brokers or other entities on behalf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including the New Credit Agreement, and will depend on a number of then-existing factors, including our business prospects, results of operations, financial condition, cash requirements and availability and other factors that our Board may deem relevant.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beneficial ownership of our Class A and Class B Common Stock as of November 14, 2025, referred to in the table below as the “Beneficial Ownership Date,” 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beneficial owner of 5% or more of the outstanding shares of our Class A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our directors and director nominees;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directors, director nominees and executive officers as a group.</w:t>
      </w:r>
    </w:p>
    <w:p>
      <w:pPr>
        <w:spacing w:after="0" w:line="225"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8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33,390,904 shares of Class A Common Stock issued and outstanding as of November 14, 2025.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Unless otherwise indicated, the address of all listed stockholders is our principal executive offices located at 10 Jay Street, Brooklyn, New York 11201.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20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8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920" w:type="dxa"/>
            <w:vAlign w:val="bottom"/>
          </w:tcPr>
          <w:p>
            <w:pPr>
              <w:ind w:left="340"/>
              <w:spacing w:after="0" w:line="250"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8"/>
                <w:szCs w:val="28"/>
                <w:b w:val="1"/>
                <w:bCs w:val="1"/>
                <w:color w:val="auto"/>
                <w:vertAlign w:val="superscript"/>
              </w:rPr>
              <w:t>(1)</w:t>
            </w:r>
          </w:p>
        </w:tc>
        <w:tc>
          <w:tcPr>
            <w:tcW w:w="0" w:type="dxa"/>
            <w:vAlign w:val="bottom"/>
          </w:tcPr>
          <w:p>
            <w:pPr>
              <w:spacing w:after="0"/>
              <w:rPr>
                <w:sz w:val="1"/>
                <w:szCs w:val="1"/>
                <w:color w:val="auto"/>
              </w:rPr>
            </w:pPr>
          </w:p>
        </w:tc>
      </w:tr>
      <w:tr>
        <w:trPr>
          <w:trHeight w:val="195"/>
        </w:trPr>
        <w:tc>
          <w:tcPr>
            <w:tcW w:w="462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020" w:type="dxa"/>
            <w:vAlign w:val="bottom"/>
            <w:tcBorders>
              <w:top w:val="single" w:sz="8" w:color="auto"/>
            </w:tcBorders>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w w:val="99"/>
              </w:rPr>
              <w:t>157,593</w:t>
            </w:r>
          </w:p>
        </w:tc>
        <w:tc>
          <w:tcPr>
            <w:tcW w:w="1920" w:type="dxa"/>
            <w:vAlign w:val="bottom"/>
            <w:tcBorders>
              <w:top w:val="single" w:sz="8" w:color="auto"/>
            </w:tcBorders>
            <w:vMerge w:val="restart"/>
          </w:tcPr>
          <w:p>
            <w:pPr>
              <w:jc w:val="center"/>
              <w:ind w:left="690"/>
              <w:spacing w:after="0"/>
              <w:rPr>
                <w:sz w:val="20"/>
                <w:szCs w:val="20"/>
                <w:color w:val="auto"/>
              </w:rPr>
            </w:pPr>
            <w:r>
              <w:rPr>
                <w:rFonts w:ascii="Times New Roman" w:cs="Times New Roman" w:eastAsia="Times New Roman" w:hAnsi="Times New Roman"/>
                <w:sz w:val="18"/>
                <w:szCs w:val="18"/>
                <w:color w:val="auto"/>
                <w:w w:val="96"/>
              </w:rPr>
              <w:t>159</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3"/>
        </w:trPr>
        <w:tc>
          <w:tcPr>
            <w:tcW w:w="462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Jennifer Hyman</w:t>
            </w:r>
            <w:r>
              <w:rPr>
                <w:rFonts w:ascii="Times New Roman" w:cs="Times New Roman" w:eastAsia="Times New Roman" w:hAnsi="Times New Roman"/>
                <w:sz w:val="29"/>
                <w:szCs w:val="29"/>
                <w:color w:val="auto"/>
                <w:vertAlign w:val="superscript"/>
              </w:rPr>
              <w:t>(2)</w:t>
            </w:r>
          </w:p>
        </w:tc>
        <w:tc>
          <w:tcPr>
            <w:tcW w:w="202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Sid Thacker</w:t>
            </w:r>
            <w:r>
              <w:rPr>
                <w:rFonts w:ascii="Times New Roman" w:cs="Times New Roman" w:eastAsia="Times New Roman" w:hAnsi="Times New Roman"/>
                <w:sz w:val="29"/>
                <w:szCs w:val="29"/>
                <w:color w:val="auto"/>
                <w:vertAlign w:val="superscript"/>
              </w:rPr>
              <w:t>(3)</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32,045</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Sarah Tam</w:t>
            </w:r>
            <w:r>
              <w:rPr>
                <w:rFonts w:ascii="Times New Roman" w:cs="Times New Roman" w:eastAsia="Times New Roman" w:hAnsi="Times New Roman"/>
                <w:sz w:val="29"/>
                <w:szCs w:val="29"/>
                <w:color w:val="auto"/>
                <w:vertAlign w:val="superscript"/>
              </w:rPr>
              <w:t>(4)</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23,786</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Teri Bariquit</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Peter Comisar</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Dhiren Fonseca</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Damian Giangiacomo</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62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Daniel Rosensweig</w:t>
            </w:r>
            <w:r>
              <w:rPr>
                <w:rFonts w:ascii="Times New Roman" w:cs="Times New Roman" w:eastAsia="Times New Roman" w:hAnsi="Times New Roman"/>
                <w:sz w:val="29"/>
                <w:szCs w:val="29"/>
                <w:color w:val="auto"/>
                <w:vertAlign w:val="superscript"/>
              </w:rPr>
              <w:t>(5)</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5,117</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(10 persons)</w:t>
            </w:r>
          </w:p>
        </w:tc>
        <w:tc>
          <w:tcPr>
            <w:tcW w:w="202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w w:val="99"/>
              </w:rPr>
              <w:t>259,816</w:t>
            </w:r>
          </w:p>
        </w:tc>
        <w:tc>
          <w:tcPr>
            <w:tcW w:w="19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6"/>
              </w:rPr>
              <w:t>159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2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(6)</w:t>
            </w:r>
          </w:p>
        </w:tc>
        <w:tc>
          <w:tcPr>
            <w:tcW w:w="202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CHS US Investments LLC</w:t>
            </w:r>
            <w:r>
              <w:rPr>
                <w:rFonts w:ascii="Times New Roman" w:cs="Times New Roman" w:eastAsia="Times New Roman" w:hAnsi="Times New Roman"/>
                <w:sz w:val="29"/>
                <w:szCs w:val="29"/>
                <w:color w:val="auto"/>
                <w:vertAlign w:val="superscript"/>
              </w:rPr>
              <w:t>(7)</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19,983,656</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59.9%</w:t>
            </w:r>
          </w:p>
        </w:tc>
        <w:tc>
          <w:tcPr>
            <w:tcW w:w="0" w:type="dxa"/>
            <w:vAlign w:val="bottom"/>
          </w:tcPr>
          <w:p>
            <w:pPr>
              <w:spacing w:after="0"/>
              <w:rPr>
                <w:sz w:val="1"/>
                <w:szCs w:val="1"/>
                <w:color w:val="auto"/>
              </w:rPr>
            </w:pPr>
          </w:p>
        </w:tc>
      </w:tr>
      <w:tr>
        <w:trPr>
          <w:trHeight w:val="257"/>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Nexus Capital Management</w:t>
            </w:r>
            <w:r>
              <w:rPr>
                <w:rFonts w:ascii="Times New Roman" w:cs="Times New Roman" w:eastAsia="Times New Roman" w:hAnsi="Times New Roman"/>
                <w:sz w:val="29"/>
                <w:szCs w:val="29"/>
                <w:color w:val="auto"/>
                <w:vertAlign w:val="superscript"/>
              </w:rPr>
              <w:t>(8)</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4,274,394</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12.8%</w:t>
            </w:r>
          </w:p>
        </w:tc>
        <w:tc>
          <w:tcPr>
            <w:tcW w:w="0" w:type="dxa"/>
            <w:vAlign w:val="bottom"/>
          </w:tcPr>
          <w:p>
            <w:pPr>
              <w:spacing w:after="0"/>
              <w:rPr>
                <w:sz w:val="1"/>
                <w:szCs w:val="1"/>
                <w:color w:val="auto"/>
              </w:rPr>
            </w:pPr>
          </w:p>
        </w:tc>
      </w:tr>
      <w:tr>
        <w:trPr>
          <w:trHeight w:val="39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STORY3 Capital Partners</w:t>
            </w:r>
            <w:r>
              <w:rPr>
                <w:rFonts w:ascii="Times New Roman" w:cs="Times New Roman" w:eastAsia="Times New Roman" w:hAnsi="Times New Roman"/>
                <w:sz w:val="29"/>
                <w:szCs w:val="29"/>
                <w:color w:val="auto"/>
                <w:vertAlign w:val="superscript"/>
              </w:rPr>
              <w:t>(9)</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4,274,394</w:t>
            </w: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0712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18"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 of Class A Common Stock or Class B Common Stock as of November 14, 2025, plus any RSUs that will vest within 60 days of November 14, 2025.</w:t>
      </w:r>
    </w:p>
    <w:p>
      <w:pPr>
        <w:jc w:val="both"/>
        <w:ind w:left="660" w:right="320" w:hanging="328"/>
        <w:spacing w:after="0" w:line="277" w:lineRule="auto"/>
        <w:tabs>
          <w:tab w:leader="none" w:pos="6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140,957 shares of Class A Common Stock held by Ms. Hyman; (ii) 6,115 shares of Class A Common Stock held by Ms. Hyman’s spouse; (iii) 159 vested RSUs relating to Class B Common Stock that are subject to delayed settlement in connection with the Recapitalization Transactions; and (iv) 10,521 RSUs relating to Class A Common Stock that will vest within 60 days of November 14, 2025. In</w:t>
      </w: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ind w:left="328" w:right="180"/>
        <w:spacing w:after="0" w:line="272" w:lineRule="auto"/>
        <w:rPr>
          <w:sz w:val="20"/>
          <w:szCs w:val="20"/>
          <w:color w:val="auto"/>
        </w:rPr>
      </w:pPr>
      <w:r>
        <w:rPr>
          <w:rFonts w:ascii="Times New Roman" w:cs="Times New Roman" w:eastAsia="Times New Roman" w:hAnsi="Times New Roman"/>
          <w:sz w:val="17"/>
          <w:szCs w:val="17"/>
          <w:color w:val="auto"/>
        </w:rPr>
        <w:t>connection with the consummation of the Recapitalization Transactions, it is expected that Ms. Hyman will receive an equity award grant in connection with which she will agree to forfeit all of her outstanding equity awards as of immediately prior to the closing of the Recapitalization Transactions, including any RSUs that are subject to delayed settlement or that would vest within 60 days of November 14, 2025.</w:t>
      </w:r>
    </w:p>
    <w:p>
      <w:pPr>
        <w:spacing w:after="0" w:line="2" w:lineRule="exact"/>
        <w:rPr>
          <w:sz w:val="20"/>
          <w:szCs w:val="20"/>
          <w:color w:val="auto"/>
        </w:rPr>
      </w:pPr>
    </w:p>
    <w:p>
      <w:pPr>
        <w:ind w:left="328" w:right="160" w:hanging="328"/>
        <w:spacing w:after="0" w:line="250"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26,525 shares of Class A Common Stock held by Mr. Thacker; (ii) 937 vested RSUs that are subject to delayed settlement in connection with the Recapitalization Transactions; and (iii) 4,583 RSUs relating to Class A Common Stock that will vest within 60 days of November 14, 2025. In connection with the consummation of the Recapitalization Transactions, it is expected that Mr. Thacker will receive an equity award grant in connection with which he will agree to forfeit all of his outstanding equity awards as of immediately prior to the closing of the Recapitalization Transactions, including any RSUs that are subject to delayed settlement or that would vest within 60 days of November 14, 2025.</w:t>
      </w:r>
    </w:p>
    <w:p>
      <w:pPr>
        <w:spacing w:after="0" w:line="2" w:lineRule="exact"/>
        <w:rPr>
          <w:rFonts w:ascii="Times New Roman" w:cs="Times New Roman" w:eastAsia="Times New Roman" w:hAnsi="Times New Roman"/>
          <w:sz w:val="18"/>
          <w:szCs w:val="18"/>
          <w:color w:val="auto"/>
        </w:rPr>
      </w:pPr>
    </w:p>
    <w:p>
      <w:pPr>
        <w:ind w:left="328" w:right="40" w:hanging="328"/>
        <w:spacing w:after="0" w:line="250"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21,755 shares of Class A Common Stock held by Ms. Tam and (ii) 2,031 RSUs relating to Class A Common Stock that will vest within 60 days of November 14, 2025. In connection with the consummation of the Recapitalization Transactions, it is expected that Ms. Tam will receive an equity award grant in connection with which she will agree to forfeit all of her outstanding equity awards as of immediately prior to the closing of the Recapitalization Transactions, including any RSUs that are subject to delayed settlement or that would vest within 60 days of November 14, 2025.</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4,956 shares of Class A Common Stock held by Mr. Rosensweig and (ii) 161 shares of Class A Common Stock held by a trust.</w:t>
      </w:r>
    </w:p>
    <w:p>
      <w:pPr>
        <w:spacing w:after="0" w:line="9" w:lineRule="exact"/>
        <w:rPr>
          <w:rFonts w:ascii="Times New Roman" w:cs="Times New Roman" w:eastAsia="Times New Roman" w:hAnsi="Times New Roman"/>
          <w:sz w:val="18"/>
          <w:szCs w:val="18"/>
          <w:color w:val="auto"/>
        </w:rPr>
      </w:pPr>
    </w:p>
    <w:p>
      <w:pPr>
        <w:ind w:left="328" w:right="180" w:hanging="328"/>
        <w:spacing w:after="0" w:line="265" w:lineRule="auto"/>
        <w:tabs>
          <w:tab w:leader="none" w:pos="3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231,723 shares of Class A common stock; (ii) 6,115 shares of Class A Common Stock held by Ms. Hyman’s spouse, (iii) 937 vested RSUs relating to Class A Common Stock that are subject to delayed settlement in connection with the Recapitalization Transactions; (iv) 159 vested RSUs relating to Class B Common Stock that are subject to delayed settlement in connection with Recapitalization Transactions; and</w:t>
      </w:r>
    </w:p>
    <w:p>
      <w:pPr>
        <w:ind w:left="328" w:right="1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21,041 RSUs relating to Class A common stock that will vest within 60 days of November 14, 2025. In connection with the consummation of the Recapitalization Transactions, it is expected that our executive officers will receive an equity award grant in connection with which they will agree to forfeit all of their outstanding equity awards as of immediately prior to the closing of the Recapitalization Transactions, including any RSUs that are subject to delayed settlement or that would vest within 60 days of November 14, 2025.</w:t>
      </w:r>
    </w:p>
    <w:p>
      <w:pPr>
        <w:spacing w:after="0" w:line="1" w:lineRule="exact"/>
        <w:rPr>
          <w:rFonts w:ascii="Times New Roman" w:cs="Times New Roman" w:eastAsia="Times New Roman" w:hAnsi="Times New Roman"/>
          <w:sz w:val="17"/>
          <w:szCs w:val="17"/>
          <w:color w:val="auto"/>
        </w:rPr>
      </w:pPr>
    </w:p>
    <w:p>
      <w:pPr>
        <w:ind w:left="328" w:hanging="328"/>
        <w:spacing w:after="0" w:line="250"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October 29, 2025, by CHS US Investments LLC, CHS GP LP, CHS UGP LLC, CHS Platform Holdings Pte. Ltd. and CHS (US) Management LLC. Includes (i) 19,983,656 shares over which CHS US Investments LLC has shared voting and dispositive power, (ii) 19,983,656 shares over which CHS GP LP has shared voting and dispositive power, (iii) 19,983,656 shares over which CHS UGP LLC has shared voting and dispositive power, (iv) 19,983,656 shares over which CHS Platform Holdings Pte. Ltd. has shared voting and dispositive power and (iv) 19,983,656 shares over which CHS (US) Management LLC has shared voting and dispositive power. CHS US Investments LLC directly holds 19,983,656 shares of Class A Common Stock. CHS (US) Management LLC is the investment manager of CHS US Investments LLC. CHS GP LP is the general partner of CHS US Investments LLC. CHS UGP LLC is the general partner of CHS GP LP. CHS UGP LLC is a direct, wholly owned subsidiary of CHS Platform Holdings Pte. Ltd. The principal business address for each of the foregoing entities is 550 Madison Avenue, 34th Floor, New York, New York 10022.</w:t>
      </w:r>
    </w:p>
    <w:p>
      <w:pPr>
        <w:spacing w:after="0" w:line="3" w:lineRule="exact"/>
        <w:rPr>
          <w:rFonts w:ascii="Times New Roman" w:cs="Times New Roman" w:eastAsia="Times New Roman" w:hAnsi="Times New Roman"/>
          <w:sz w:val="18"/>
          <w:szCs w:val="18"/>
          <w:color w:val="auto"/>
        </w:rPr>
      </w:pPr>
    </w:p>
    <w:p>
      <w:pPr>
        <w:ind w:left="328" w:right="40" w:hanging="328"/>
        <w:spacing w:after="0" w:line="25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October 29, 2025, by Gateway Runway, LLC, Gateway Runway Intermediate Holdings, Inc., Nexus Special Situations III, L.P., Nexus Special Situations III (Cayman) L.P., Nexus Capital Management LP, Nexus Special Situations GP III, L.P., Nexus Partners III, LLC, Damian Giangiacomo, Michael Cohen and Daniel Flesh. Includes (i) 4,274,394 shares over which Gateway Runway, LLC has shared voting and dispositive power, (ii) 4,274,394 shares over which Gateway Runway Intermediate Holdings, Inc. has shared voting and dispositive power, (iii) 4,274,394 shares over which Nexus Special Situations III, L.P. has shared voting and dispositive power, (iv) 4,274,394 shares over which Nexus Special Situations III (Cayman) L.P. has shared voting and dispositive power, (v) 4,274,394 shares over which Nexus Capital Management LP has shared voting and dispositive power, (vi) 4,274,394 shares over which Nexus Special Situations GP III, L.P. has shared voting and dispositive power, (vii) 4,274,394 shares over which Nexus Partners III, LLC has shared voting and dispositive power, (viii) 4,274,394 shares over which Damian Giangiacomo has shared voting and dispositive power, (ix) 4,274,394 shares over which Michael Cohen has shared voting and dispositive power and (x) 4,274,394 shares over which Daniel Flesh has shared voting and dispositive power. Gateway Runway, LLC directly holds 4,274,394 shares of Class A Common Stock. Gateway Runway, LLC is jointly owned by Gateway Runway Intermediate Holdings, Inc. and Nexus Special Situations III, L.P. Nexus Special Situations III (Cayman)</w:t>
      </w:r>
    </w:p>
    <w:p>
      <w:pPr>
        <w:spacing w:after="0" w:line="300"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40" w:right="339" w:bottom="1440" w:gutter="0" w:footer="0" w:header="0"/>
        </w:sectPr>
      </w:pPr>
    </w:p>
    <w:bookmarkStart w:id="14" w:name="page15"/>
    <w:bookmarkEnd w:id="14"/>
    <w:p>
      <w:pPr>
        <w:ind w:left="328"/>
        <w:spacing w:after="0" w:line="254" w:lineRule="auto"/>
        <w:rPr>
          <w:sz w:val="20"/>
          <w:szCs w:val="20"/>
          <w:color w:val="auto"/>
        </w:rPr>
      </w:pPr>
      <w:r>
        <w:rPr>
          <w:rFonts w:ascii="Times New Roman" w:cs="Times New Roman" w:eastAsia="Times New Roman" w:hAnsi="Times New Roman"/>
          <w:sz w:val="18"/>
          <w:szCs w:val="18"/>
          <w:color w:val="auto"/>
        </w:rPr>
        <w:t>L.P. is the limited partner of Nexus Special Situations III, L.P. Nexus Capital Management LP is the investment manager of Nexus Special Situations III, L.P. and Nexus Special Situations III (Cayman) L.P. Nexus Special Situations GP III, L.P. is the general partner of Nexus Special Situations III, L.P. and Nexus Special Situations III (Cayman) L.P. Nexus Partners III, LLC is the general partner of Nexus Special Situations GP III, L.P. Mr. Giangiacomo, Mr. Cohen and Mr. Flesh are the owners of Nexus Capital Management LP and Nexus Partners III, LLC. The principal business address for each of the foregoing entities is 11111 Santa Monica Blvd., Suite 350, Los Angeles, California 90025.</w:t>
      </w:r>
    </w:p>
    <w:p>
      <w:pPr>
        <w:spacing w:after="0" w:line="3" w:lineRule="exact"/>
        <w:rPr>
          <w:sz w:val="20"/>
          <w:szCs w:val="20"/>
          <w:color w:val="auto"/>
        </w:rPr>
      </w:pPr>
    </w:p>
    <w:p>
      <w:pPr>
        <w:ind w:left="328" w:hanging="328"/>
        <w:spacing w:after="0" w:line="251"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October 29, 2025, by S3 RR Aggregator, LLC, STORY3 Capital Partners, LLC, Rising Sons Capital, LLC and Peter Comisar. Includes (i) 4,274,394 shares over which S3 RR Aggregator, LLC has shared voting and dispositive power, (ii) 4,274,394 shares over which STORY3 Capital Partners, LLC has shared voting and dispositive power, (iii) 4,274,394 shares over which Rising Sons Capital, LLC has shared voting and dispositive power and (iv) 4,274,394 shares over which Peter Comisar has shared voting and dispositive power. S3 RR Aggregator, LLC directly holds 4,274,394 shares of Class A Common Stock. S3 RR Aggregator, LLC is jointly owned by funds managed by STORY3 Capital Partners, LLC which is wholly owned by Rising Sons Capital, LLC. Peter Comisar is the controlling member of Rising Sons Capital, LLC. The principal business address for each of the foregoing entities is 1580 N. Logan St., Suite 660, PMB 43072, Denver, Colorado 80203.</w:t>
      </w:r>
    </w:p>
    <w:p>
      <w:pPr>
        <w:spacing w:after="0" w:line="302"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8"/>
          </w:cols>
          <w:pgMar w:left="652" w:top="540" w:right="4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Selling Stockholders listed in the table below may from time to time offer and sell any or all of the shares of Class A Common Stock set forth below pursuant to this prospectus. When we refer to the “Selling Stockholders” in this prospectus, we refer to the persons listed in the table below, and the pledgees, donees, transferees, assignees, successors and other permitted transferees that hold any of the Selling Stockholders’ interest in the shares of Class A Common Stock after the date of this prospectus.</w:t>
      </w:r>
    </w:p>
    <w:p>
      <w:pPr>
        <w:spacing w:after="0" w:line="1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shares of Class A Common Stock that may be offered from time to time by each Selling Stockholder.</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cannot advise you as to whether the Selling Stockholders will in fact sell any or all of such shares of Class A Common Stock. In particular, the Selling Stockholders identified below may have sold, transferred or otherwise disposed of all or a portion of their securities after the date on which they provided us with information regarding their securities. Any changed or new information given to us by the Selling Stockholders, including regarding the identity of, and the securities held by, each Selling Stockholder, will be set forth in a prospectus supplement or amendments to the registration statement of which this prospectus is a part, if and when necessary.</w:t>
      </w:r>
    </w:p>
    <w:p>
      <w:pPr>
        <w:spacing w:after="0" w:line="183"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registration of the shares of Class A Common Stock does not necessarily mean that the Selling Stockholders will sell all or any of such Class A Common Stock. The beneficial ownership percentages set forth in the table below are based on 33,390,904 shares of Class A Common Stock issued and outstanding as of November 14, 2025. A Selling Stockholder may sell all, some or none of such securities in this offering, to the extent received by such Selling Stockholder. See “Plan of Distribution.”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9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w w:val="98"/>
              </w:rPr>
              <w:t>Before the Offering</w:t>
            </w:r>
          </w:p>
        </w:tc>
        <w:tc>
          <w:tcPr>
            <w:tcW w:w="13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After the Offering</w:t>
            </w:r>
          </w:p>
        </w:tc>
      </w:tr>
      <w:tr>
        <w:trPr>
          <w:trHeight w:val="187"/>
        </w:trPr>
        <w:tc>
          <w:tcPr>
            <w:tcW w:w="3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40" w:type="dxa"/>
            <w:vAlign w:val="bottom"/>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200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20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3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Shares of Class</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Common</w:t>
            </w:r>
          </w:p>
        </w:tc>
      </w:tr>
      <w:tr>
        <w:trPr>
          <w:trHeight w:val="216"/>
        </w:trPr>
        <w:tc>
          <w:tcPr>
            <w:tcW w:w="30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After the Offered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040" w:type="dxa"/>
            <w:vAlign w:val="bottom"/>
          </w:tcPr>
          <w:p>
            <w:pPr>
              <w:spacing w:after="0"/>
              <w:rPr>
                <w:sz w:val="18"/>
                <w:szCs w:val="18"/>
                <w:color w:val="auto"/>
              </w:rPr>
            </w:pPr>
          </w:p>
        </w:tc>
        <w:tc>
          <w:tcPr>
            <w:tcW w:w="2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Shares of Class A</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After the</w:t>
            </w:r>
          </w:p>
        </w:tc>
      </w:tr>
      <w:tr>
        <w:trPr>
          <w:trHeight w:val="216"/>
        </w:trPr>
        <w:tc>
          <w:tcPr>
            <w:tcW w:w="3040" w:type="dxa"/>
            <w:vAlign w:val="bottom"/>
          </w:tcPr>
          <w:p>
            <w:pPr>
              <w:spacing w:after="0"/>
              <w:rPr>
                <w:sz w:val="18"/>
                <w:szCs w:val="18"/>
                <w:color w:val="auto"/>
              </w:rPr>
            </w:pPr>
          </w:p>
        </w:tc>
        <w:tc>
          <w:tcPr>
            <w:tcW w:w="2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Being</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Offered Shares of</w:t>
            </w:r>
          </w:p>
        </w:tc>
      </w:tr>
      <w:tr>
        <w:trPr>
          <w:trHeight w:val="238"/>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Prior to the Offering</w:t>
            </w: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8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Stock are Sold</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are Sold</w:t>
            </w:r>
          </w:p>
        </w:tc>
      </w:tr>
      <w:tr>
        <w:trPr>
          <w:trHeight w:val="191"/>
        </w:trPr>
        <w:tc>
          <w:tcPr>
            <w:tcW w:w="3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CHS US Investments LLC (1)</w:t>
            </w:r>
          </w:p>
        </w:tc>
        <w:tc>
          <w:tcPr>
            <w:tcW w:w="298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19,983,656</w:t>
            </w:r>
          </w:p>
        </w:tc>
        <w:tc>
          <w:tcPr>
            <w:tcW w:w="138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8"/>
              </w:rPr>
              <w:t>19,983,656</w:t>
            </w:r>
          </w:p>
        </w:tc>
        <w:tc>
          <w:tcPr>
            <w:tcW w:w="1840" w:type="dxa"/>
            <w:vAlign w:val="bottom"/>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Nexus Capital</w:t>
            </w:r>
          </w:p>
        </w:tc>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4,274,394</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4,274,394</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(2)</w:t>
            </w:r>
          </w:p>
        </w:tc>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STORY3 Capital</w:t>
            </w:r>
          </w:p>
        </w:tc>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4,274,394</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4,274,394</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Pr>
          <w:p>
            <w:pPr>
              <w:spacing w:after="0"/>
              <w:rPr>
                <w:sz w:val="18"/>
                <w:szCs w:val="18"/>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Partners (3)</w:t>
            </w:r>
          </w:p>
        </w:tc>
        <w:tc>
          <w:tcPr>
            <w:tcW w:w="2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2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28,532,444</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28,532,444</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071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number 7 to the table in the section titled “Principal Securityholders” for more information regarding CHS US Investments.</w:t>
      </w:r>
    </w:p>
    <w:p>
      <w:pPr>
        <w:spacing w:after="0" w:line="27"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number 8 to the table in the section titled “Principal Securityholders” for more information regarding Nexus Capital Management and its affiliates.</w:t>
      </w:r>
    </w:p>
    <w:p>
      <w:pPr>
        <w:ind w:left="340" w:right="260" w:hanging="332"/>
        <w:spacing w:after="0" w:line="26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number 9 to the table in the section titled “Principal Securityholders” for more information regarding STORY3 Capital Partners and its affiliates.</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summary describes our capital stock and certain material provisions of our Twelfth Amended Charter (“Amended Charter”) and our Second Amended and Restated Bylaws (“Amended Bylaws”) and the General Corporation Law of the State of Delaware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Charter authorizes capital stock consisting of:</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Class A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Class B Common Stock;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per share.</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Class A Common Stock</w:t>
      </w:r>
    </w:p>
    <w:p>
      <w:pPr>
        <w:spacing w:after="0" w:line="227"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submitted to a vote of stockholders. The holders of our Class A Common Stock do not have cumulative voting rights in the election of directors.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vote together with holders of our Class B Common Stock as a single class on all matters (including the election of directors) submitted to a vote of our stockholders, except as otherwise required by applicable law or the Amended Charter.</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do not have preemptive, subscription, redemption or conversion rights. There are no redemption or sinking fund provisions applicable to the Class A Common Stock.</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Class B Common Stock</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Recapitalization Transactions, all outstanding shares of our Class B Common Stock were converted into shares of Class A Common Stock on a one-for-one basis, such that no shares of Class B Common Stock remain outstanding. Ms. Hyman holds an RSU award relating to 159 shares of Class B Common Stock that is subject to delayed settlement and, following the closing of the Recapitalization Transactions, Ms. Hyman is expected to receive a new equity award in exchange for forfeiting all of her outstanding equity awards as of immediately prior to the closing of the Recapitalization Transactions, including such RSU award relating to Class B Common Stock.</w:t>
      </w:r>
    </w:p>
    <w:p>
      <w:pPr>
        <w:spacing w:after="0" w:line="18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Each share of our Class B Common Stock entitles its holders to 20 votes per share on all matters submitted to a vote of stockholders. The holders of shares of our Class B Common Stock do not have cumulative voting rights in the election of directors.</w:t>
      </w:r>
    </w:p>
    <w:p>
      <w:pPr>
        <w:spacing w:after="0" w:line="16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fully paid and nonassessable share of Class A Common Stock. Except as otherwise provided in our Amended Charter, each share of Class B Common Stock automatically converts into one fully paid and nonassessable share of Class A Common Stock upon certain sales or transfers as described in our Amended Charter. In addition, each share of Class B Common Stock converts automatically into one share of Class A Common Stock upon the date that is earlier of (i) the transfer of such share to a person that is not in the same Permitted Ownership Group (as defined in the Amended Charter) as such Permitted Class B Holder (as defined in the Amended Charter), (ii) November 1, 2028 or (iii) with respect to any shares held by any person in a Co-Founder’s Permitted Ownership Group, (A) such time as a Co-Founder is removed or resigns from the Board of Directors, or otherwise ceases to serve as a director on our Board of Directors, (B) such time as a Co-Founder ceases to be either an employee, officer or consultant, or (C) the date that is 12 months after the death or disability of a Co-Founder. Holders of shares of our Class B Common Stock vote together with holders of our Class A Common Stock as a single class on all matters (including the election of directors) submitted to a vote of our stockholders, except as otherwise required by applicable law or the Amended Charter.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There are no preemptive, subscription or redemption rights or any redemption or sinking fund provisions applicable to the Class B Common Stock.</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Common Stock Dividend Rights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holders of our Class A and Class B Common Stock (if any) are entitled to receive dividends out of funds legally available if our board of directors, in its discretion, determines to issue dividends and then only at the times and in the amounts that our board of directors may determine. The time and amount of dividends are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Treatment of Common Stock in Reclassifications and Mergers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 converted on a pro rata basis into shares of the surviving or parent entity in such transaction having identical rights to the shares of Class A Common Stock and Class B Common Stock, respectively.</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ind w:left="18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Amended Charter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and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19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and our Amended Charter provides that, unless we consent in writing to the selection of an alternative forum, the federal district courts of the United States of America, to the fullest extent permitted by law, are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would be enforced by a court in those other jurisdictions.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our Amended Charter provides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Additionally, our Amended Charter provides that any person or entity holding, owning, or otherwise acquiring any interest in any of our securities shall be deemed to have notice of and consented to these provisions.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Amended Charter provides that our board of directors is divided into three classes, with the number of directors in each class being as nearly equal in number as possible. The directors in each class serve for a three-year term, one class being elected each year by our stockholders, with staggered three-year terms. These provisions may have the effect of deferring, delaying or discouraging hostile takeovers, or changes in control of us or our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Our Amended Charter provides that members of our board of directors may be removed from office only for cause by an affirmative vote of the holders of at least two-thirds of the voting power of all of our outstanding stock entitled to vote generally in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Vacancies and Board Size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Amended Charter and Amended Bylaws provide that any vacant directorships, including newly created directorships, may only be filled by a majority of the directors then in office, though less than a quorum, or by the sole remaining director and the number of directors constituting the full board of directors is permitted to be set only by a resolution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Special Meetings of Stockholders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Amended Charter provides that our stockholders may not take 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provide that only the chairperson of our board of directors or a majority of our board of directors may call special meetings of our stockholders, thus prohibiting a stockholder from calling a special meeting. These provisions could delay the ability of our stockholders to force consideration of a proposal or for stockholders controlling a majority of our capital stock to take any action, including the removal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Amended Bylaws provide an advance notice procedure for stockholder proposals or nominations to be brought before a meeting of stockholders. In order for any matter to be “properly brought” before a meeting, a stockholder must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w:t>
      </w:r>
    </w:p>
    <w:p>
      <w:pPr>
        <w:spacing w:after="0" w:line="18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These advance notice requirements as set forth in our Amended Bylaws do not apply to Lender (to the extent then subject to the Investors Rights Agreement) for so long as that certain Investor Rights Agreement.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 or Bylaws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Amended Bylaws may be amended or repealed by our board of directors or by the affirmative vote of two-thirds voting power of all of the then-outstanding shares of our voting stock entitled to vote thereon. Generally, the approval by our board of directors and the affirmative vote of the holders of two-thirds in voting power of the outstanding shares entitled to vote thereon would be required to amend our Amended Charter.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Not Entitled to Cumulative Voting</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Amended Charter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Charter contains provisions that are similar to Section 203. Specifically, our Amended Charter provides that, subject to certain exceptions, we are not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Amended Charter provides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ours or any of our subsidiaries (each, a “Covered Person”), unless such matter, transaction or interest is presented to, or acquired, created or developed by, or otherwise comes into the possession of, a Covered Person expressly and solely in such Covered Person’s capacity as a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Rent the Runway. Pursuant to Section 262 of the DGCL, stockholders who properly request and perfect appraisal rights in connection with such merger or consolidation would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Equiniti Trust Company, LLC is the transfer agent and registrar for our Class A Common Stock.</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ownership and disposition of shares of our Class A Common Stock. This discussion does not purport to be a complete analysis of all potential tax effects. The effects of other U.S. federal tax laws, such as estate and gift tax laws, and any applicable state, local or non-U.S. tax laws are not discussed. This discussion is based on the U.S. Internal Revenue Code of 1986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shares of our Class A Common Stock.</w:t>
      </w:r>
    </w:p>
    <w:p>
      <w:pPr>
        <w:spacing w:after="0" w:line="18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limited to shares of our Class A Common Stock that are held as a “capital asset” within the meaning of Section 1221 of the Code (generally, property held for investment). This discussion does not address all U.S. federal income tax consequences relevant to a holder’s particular circumstances, including the impact of the alternative minimum tax or the Medicare contribution tax on net investment income. In addition, it does not address consequences relevant to holders subject to special rules, including, without limitation:</w:t>
      </w:r>
    </w:p>
    <w:p>
      <w:pPr>
        <w:spacing w:after="0" w:line="18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our Class A Common Stock as part of a hedge, straddle or other risk reduction strategy or as part of a conversion transaction or other integrated investment;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 or traders that elect to mark-to-market their securities;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or other pass-through entities for U.S. federal income tax purposes (and investors therein);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grantor trusts, tax-exempt organizations or governmental organizations;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shares of our Class A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being taken into account in an applicable financial statement (as defined in the Code);</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hold or will receive shares of our Class A Common Stock pursuant to the exercise of any employee stock option or otherwise as compensation and persons who hold restricted Class A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have owned (directly, indirectly or constructively) 5% or more of our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that have a functional currency other than the U.S. dollar;</w:t>
      </w:r>
    </w:p>
    <w:p>
      <w:pPr>
        <w:spacing w:after="0" w:line="225" w:lineRule="exact"/>
        <w:rPr>
          <w:sz w:val="20"/>
          <w:szCs w:val="20"/>
          <w:color w:val="auto"/>
        </w:rPr>
      </w:pPr>
    </w:p>
    <w:p>
      <w:pPr>
        <w:jc w:val="both"/>
        <w:ind w:right="140" w:firstLine="324"/>
        <w:spacing w:after="0" w:line="289"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shares of our Class A Common Stock, the tax treatment of a partner in the partnership will depend on the status of the partner, the activities of the partnership and certain determinations made at the partner level. Accordingly, partnerships and the partners in such partnerships should consult their tax advisors regarding the U.S. federal income tax consequences to them.</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2" w:name="page23"/>
    <w:bookmarkEnd w:id="22"/>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advice. Investors should consult their tax advisors with respect to the application of U.S. federal income tax laws to their particular situations as well as any tax consequences of the ownership and disposition of shares of our Class A Common Stock arising under the U.S. federal estate or gift tax laws or under the laws of any state, local or non-U.S. taxing jurisdiction or under any applicable income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Definition of a U.S. Holder</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shares of our Class A Common Stock that, for U.S. federal income tax purposes, is or is treated as any of the following:</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 regardless of its source.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Distributions on Common Stock</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do not anticipate declaring or paying cash dividends to holders of our Class A Common Stock in the foreseeable future. However, if we do make distributions of cash or property on our Class A Common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that certain holding period and other requirements are satisfied. Distributions in excess of our current and accumulated earnings and profits will constitute a return of capital and first be applied against and reduce a U.S. Holder’s adjusted tax basis in its Class A Common Stock but not below zero. Any excess will be treated as capital gain and will be treated as described below under “–Sale, Exchange or Other Disposition of Common Stock.”</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Common Stock</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Upon a sale, exchange, or other taxable disposition of our Class A Common Stock, a U.S. Holder generally will recognize capital gain or loss equal to the difference between the amount realized (not including any amount attributable to declared and unpaid dividends, which will be taxable to U.S. Holders who have not previously included such dividends in income as described above under “–Distributions on Common Stock”) and the U.S. Holder’s adjusted tax basis in our Class A Common Stock. Such capital gain or loss will generally be long-term capital gain or loss if the U.S. Holder’s holding period for our Class A Common Stock exceeded one year at the time of disposition. Long-term capital gains recognized by certain non-corporate U.S. Holders, including individuals, generally are subject to reduced rates of taxation. The deductibility of capital losses is subject to limitations.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dividend payments or receives proceeds from the sale or other taxable disposition of the shares of our Class A Common Stock. Certain U.S. Holders are exempt from backup withholding, including corporations and certain tax-exempt organizations. A U.S. Holder will be subject to backup withholding unless such holder provides the holder’s taxpayer identification number and otherwise complies with applicable requirements of the backup withholding rules or the holder provides proof of an applicable exemption.</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shares of our Class A Common Stock that is neither a U.S. Holder nor an entity treated as a partnership for U.S. federal income tax purposes.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Distributions on Common Stock</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do not anticipate declaring or paying cash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Disposition of Common Stock.”</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that the Non-U.S. Holder furnishes a valid IRS Form W-8BEN or W-8BEN-E (or other applicable documentation) claiming such benefits. Dividends will not be subject to withholding if they are effectively connected with the conduct of a trade or business within the United States and the Non-U.S. Holder provides a valid IRS Form W-8ECI. A Non-U.S. Holder that does not timely furnish the required documentation, but that qualifies for a reduced treaty rate, may obtain a refund of any excess amounts withheld by timely filing an appropriate claim for refund with the IRS.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their entitlement to benefits under any applicable income tax treaty.</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U.S. federal income tax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Sale or Other Disposition of Common Stock</w:t>
      </w:r>
    </w:p>
    <w:p>
      <w:pPr>
        <w:spacing w:after="0" w:line="22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Class A Common Stock unless:</w:t>
      </w:r>
    </w:p>
    <w:p>
      <w:pPr>
        <w:spacing w:after="0" w:line="162" w:lineRule="exact"/>
        <w:rPr>
          <w:sz w:val="20"/>
          <w:szCs w:val="20"/>
          <w:color w:val="auto"/>
        </w:rPr>
      </w:pPr>
    </w:p>
    <w:p>
      <w:pPr>
        <w:ind w:left="980" w:right="26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5"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 a U.S. real property interest (“USRPI”) by reason of our status as a U.S. real property holding corporation (“USRPHC”) for U.S. federal income tax purposes.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4" w:name="page25"/>
    <w:bookmarkEnd w:id="24"/>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Payments of dividends on our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common stock. If FATCA withholding is imposed, a beneficial owner that is not a foreign financial institution generally may obtain a refund of any amounts withheld by filing a U.S. federal income tax return (which may entail significant administrative burden).</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Investors should consult their tax advisors regarding the potential application of withholding under FATCA to the ownership and disposition of shares of our Class A Common Stock.</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Each Selling Stockholder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Broker dealers engaged by the Selling Stockholders may arrange for other brokers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 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6" w:name="page27"/>
    <w:bookmarkEnd w:id="26"/>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that are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agreed to keep this prospectus effective until the earlier of (i) the date on which the securities may be resold by the Selling Stockholders without registration and without regard to any volume or manner-of-sale limitations by reason of Rule 144, without the requirement for us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the company by Davis Polk &amp; Wardwell LLP. If the validity of any securities is also passed upon by counsel for the underwriters, dealers or agents of an offering of those securities, that counsel will be named in the applicable prospectus supplement.</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January 31, 2025, have been so incorporated in reliance on the report of PricewaterhouseCoopers LLP, an independent registered public accounting firm, given on the authority of said firm as experts in auditing and accounting.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securities offered by this prospectus. This prospectus does not include all of the information contained in the registration statement. You should refer to the registration statement and its exhibits for additional information. Whenever we make references in this prospectus to any of our contracts, agreement or other documents, the references are not necessarily complete, and you should refer to the exhibits attached to the registration statement for copies of the actual contract, agreement or other document.</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the SEC’s website at http://www.sec.gov. Information about us, including certain SEC filings, is also available at our website at investors.renttherunway.com. However, the information contained in, or that can be accessed through, our website is not incorporated by reference in, and is not part of, this prospectus.</w:t>
      </w:r>
    </w:p>
    <w:p>
      <w:pPr>
        <w:spacing w:after="0" w:line="180"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The SEC allows us to “incorporate by reference” in this prospectus the information in other documents that we file with the SEC, which means that we can disclose important information to you by referring you to those documents. The information incorporated or deemed to be incorporated by reference is considered to be a part of this prospectus, and any statement made in a document incorporated by reference into this prospectus will be deemed to be modified or superseded for purposes of this prospectus to the extent that a statement contained in this prospectus modifies or supersedes that statement.</w:t>
      </w:r>
    </w:p>
    <w:p>
      <w:pPr>
        <w:spacing w:after="0" w:line="16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future filings that we may make with the SEC under Sections 13(a), 13(c), 14 or 15(d) of the Exchange Act, including those made after the date of the initial filing of the registration statement of which this prospectus is a part and prior to effectiveness of such registration statement, prior to the termination of this offering (provided, however, that we are not incorporating, in each case, any documents or information deemed to have been “furnished” under Items 2.02, 7.01 or 9.01 of Form 8-K or other information deemed to have been “furnished” and not filed in accordance with SEC rules):</w:t>
      </w:r>
    </w:p>
    <w:p>
      <w:pPr>
        <w:spacing w:after="0" w:line="18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January 31, 2025, filed with the SEC on </w:t>
      </w:r>
      <w:hyperlink r:id="rId40">
        <w:r>
          <w:rPr>
            <w:rFonts w:ascii="Times New Roman" w:cs="Times New Roman" w:eastAsia="Times New Roman" w:hAnsi="Times New Roman"/>
            <w:sz w:val="18"/>
            <w:szCs w:val="18"/>
            <w:u w:val="single" w:color="auto"/>
            <w:color w:val="0000FF"/>
          </w:rPr>
          <w:t>April 15,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Quarterly Reports on Form 10-Q for the fiscal quarter ended April 30, 2025, filed with the SEC on </w:t>
      </w:r>
      <w:hyperlink r:id="rId41">
        <w:r>
          <w:rPr>
            <w:rFonts w:ascii="Times New Roman" w:cs="Times New Roman" w:eastAsia="Times New Roman" w:hAnsi="Times New Roman"/>
            <w:sz w:val="17"/>
            <w:szCs w:val="17"/>
            <w:u w:val="single" w:color="auto"/>
            <w:color w:val="0000FF"/>
          </w:rPr>
          <w:t>June 6, 2025</w:t>
        </w:r>
      </w:hyperlink>
      <w:r>
        <w:rPr>
          <w:rFonts w:ascii="Times New Roman" w:cs="Times New Roman" w:eastAsia="Times New Roman" w:hAnsi="Times New Roman"/>
          <w:sz w:val="17"/>
          <w:szCs w:val="17"/>
          <w:color w:val="auto"/>
        </w:rPr>
        <w:t xml:space="preserve">, for the fiscal quarter ended July 31, 2025, filed with the SEC on </w:t>
      </w:r>
      <w:hyperlink r:id="rId42">
        <w:r>
          <w:rPr>
            <w:rFonts w:ascii="Times New Roman" w:cs="Times New Roman" w:eastAsia="Times New Roman" w:hAnsi="Times New Roman"/>
            <w:sz w:val="17"/>
            <w:szCs w:val="17"/>
            <w:u w:val="single" w:color="auto"/>
            <w:color w:val="0000FF"/>
          </w:rPr>
          <w:t>September 12, 2025</w:t>
        </w:r>
      </w:hyperlink>
      <w:r>
        <w:rPr>
          <w:rFonts w:ascii="Times New Roman" w:cs="Times New Roman" w:eastAsia="Times New Roman" w:hAnsi="Times New Roman"/>
          <w:sz w:val="17"/>
          <w:szCs w:val="17"/>
          <w:color w:val="auto"/>
        </w:rPr>
        <w:t xml:space="preserve">, and for the fiscal quarter ended October 31, 2025, filed with the SEC on </w:t>
      </w:r>
      <w:hyperlink r:id="rId43">
        <w:r>
          <w:rPr>
            <w:rFonts w:ascii="Times New Roman" w:cs="Times New Roman" w:eastAsia="Times New Roman" w:hAnsi="Times New Roman"/>
            <w:sz w:val="17"/>
            <w:szCs w:val="17"/>
            <w:u w:val="single" w:color="auto"/>
            <w:color w:val="0000EE"/>
          </w:rPr>
          <w:t>December 12, 2025</w:t>
        </w:r>
      </w:hyperlink>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660" w:right="7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Statements on Schedule 14A, filed with the SEC on </w:t>
      </w:r>
      <w:hyperlink r:id="rId44">
        <w:r>
          <w:rPr>
            <w:rFonts w:ascii="Times New Roman" w:cs="Times New Roman" w:eastAsia="Times New Roman" w:hAnsi="Times New Roman"/>
            <w:sz w:val="18"/>
            <w:szCs w:val="18"/>
            <w:u w:val="single" w:color="auto"/>
            <w:color w:val="0000FF"/>
          </w:rPr>
          <w:t>May 22,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5">
        <w:r>
          <w:rPr>
            <w:rFonts w:ascii="Times New Roman" w:cs="Times New Roman" w:eastAsia="Times New Roman" w:hAnsi="Times New Roman"/>
            <w:sz w:val="18"/>
            <w:szCs w:val="18"/>
            <w:u w:val="single" w:color="auto"/>
            <w:color w:val="0000FF"/>
          </w:rPr>
          <w:t>September 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any information constituting prospective financial information);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3"/>
        </w:numPr>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FF"/>
          </w:rPr>
          <w:t>March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16,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11,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August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22,</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47">
        <w:r>
          <w:rPr>
            <w:rFonts w:ascii="Times New Roman" w:cs="Times New Roman" w:eastAsia="Times New Roman" w:hAnsi="Times New Roman"/>
            <w:sz w:val="18"/>
            <w:szCs w:val="18"/>
            <w:u w:val="single" w:color="auto"/>
            <w:color w:val="0000FF"/>
          </w:rPr>
          <w:t>October 29, 2025</w:t>
        </w:r>
      </w:hyperlink>
      <w:hyperlink r:id="rId46">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FF"/>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herein. Requests for such copies should be made by writing or telephoning us at the following address:</w:t>
      </w:r>
    </w:p>
    <w:p>
      <w:pPr>
        <w:spacing w:after="0" w:line="180"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rFonts w:ascii="Times New Roman" w:cs="Times New Roman" w:eastAsia="Times New Roman" w:hAnsi="Times New Roman"/>
          <w:sz w:val="18"/>
          <w:szCs w:val="18"/>
          <w:color w:val="0000FF"/>
        </w:rPr>
      </w:pPr>
    </w:p>
    <w:p>
      <w:pPr>
        <w:ind w:left="5500" w:hanging="438"/>
        <w:spacing w:after="0"/>
        <w:tabs>
          <w:tab w:leader="none" w:pos="5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524-6860</w:t>
      </w:r>
    </w:p>
    <w:p>
      <w:pPr>
        <w:spacing w:after="0" w:line="31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3268345</wp:posOffset>
            </wp:positionH>
            <wp:positionV relativeFrom="page">
              <wp:posOffset>817245</wp:posOffset>
            </wp:positionV>
            <wp:extent cx="1036955" cy="1388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03695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RENT THE RUNWAY, INC.</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28,532,444 Shares of Class A Common Stock</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jpeg"/><Relationship Id="rId51" Type="http://schemas.openxmlformats.org/officeDocument/2006/relationships/image" Target="media/image36.png"/><Relationship Id="rId52" Type="http://schemas.openxmlformats.org/officeDocument/2006/relationships/image" Target="media/image37.png"/><Relationship Id="rId40" Type="http://schemas.openxmlformats.org/officeDocument/2006/relationships/hyperlink" Target="https://www.sec.gov/ix?doc=/Archives/edgar/data/0001468327/000146832725000056/wdq-20250131.htm" TargetMode="External"/><Relationship Id="rId41" Type="http://schemas.openxmlformats.org/officeDocument/2006/relationships/hyperlink" Target="https://www.sec.gov/ix?doc=/Archives/edgar/data/0001468327/000146832725000097/rent-20250430.htm" TargetMode="External"/><Relationship Id="rId42" Type="http://schemas.openxmlformats.org/officeDocument/2006/relationships/hyperlink" Target="https://www.sec.gov/ix?doc=/Archives/edgar/data/1468327/000146832725000176/rent-20250731.htm" TargetMode="External"/><Relationship Id="rId43" Type="http://schemas.openxmlformats.org/officeDocument/2006/relationships/hyperlink" Target="https://www.sec.gov/ix?doc=/Archives/edgar/data/1468327/000146832725000237/rent-20251031.htm" TargetMode="External"/><Relationship Id="rId44" Type="http://schemas.openxmlformats.org/officeDocument/2006/relationships/hyperlink" Target="https://www.sec.gov/ix?doc=/Archives/edgar/data/0001468327/000114036125020175/ny20043016x1_def14a.htm" TargetMode="External"/><Relationship Id="rId45" Type="http://schemas.openxmlformats.org/officeDocument/2006/relationships/hyperlink" Target="https://www.sec.gov/Archives/edgar/data/1468327/000114036125036370/ny20054604x2_def14a.htm" TargetMode="External"/><Relationship Id="rId46" Type="http://schemas.openxmlformats.org/officeDocument/2006/relationships/hyperlink" Target="https://www.sec.gov/ix?doc=/Archives/edgar/data/1468327/000095010325013525/dp236134_8k.htm" TargetMode="External"/><Relationship Id="rId47" Type="http://schemas.openxmlformats.org/officeDocument/2006/relationships/hyperlink" Target="https://www.sec.gov/ix?doc=/Archives/edgar/data/1468327/000095010325013776/dp236389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2025-12-15T06:57:22Z</dcterms:created>
  <dcterms:modified xsi:type="dcterms:W3CDTF">2025-12-15T06:57:22Z</dcterms:modified>
</cp:coreProperties>
</file>