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160655</wp:posOffset>
            </wp:positionV>
            <wp:extent cx="6172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399"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150495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2980"/>
        <w:spacing w:after="0"/>
        <w:rPr>
          <w:sz w:val="20"/>
          <w:szCs w:val="20"/>
          <w:color w:val="auto"/>
        </w:rPr>
      </w:pPr>
      <w:r>
        <w:rPr>
          <w:rFonts w:ascii="Arial" w:cs="Arial" w:eastAsia="Arial" w:hAnsi="Arial"/>
          <w:sz w:val="25"/>
          <w:szCs w:val="25"/>
          <w:b w:val="1"/>
          <w:bCs w:val="1"/>
          <w:color w:val="auto"/>
        </w:rPr>
        <w:t>SCHEDULE 14A INFORMATION</w:t>
      </w:r>
    </w:p>
    <w:p>
      <w:pPr>
        <w:spacing w:after="0" w:line="136"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177165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Filed by the Registrant  </w:t>
      </w:r>
      <w:r>
        <w:rPr>
          <w:rFonts w:ascii="MS PGothic" w:cs="MS PGothic" w:eastAsia="MS PGothic" w:hAnsi="MS PGothic"/>
          <w:sz w:val="18"/>
          <w:szCs w:val="18"/>
          <w:color w:val="auto"/>
        </w:rPr>
        <w:t>☒</w:t>
      </w:r>
      <w:r>
        <w:rPr>
          <w:rFonts w:ascii="Arial" w:cs="Arial" w:eastAsia="Arial" w:hAnsi="Arial"/>
          <w:sz w:val="18"/>
          <w:szCs w:val="18"/>
          <w:color w:val="auto"/>
        </w:rPr>
        <w:t>       Filed by a Party other than the Registrant  </w:t>
      </w:r>
      <w:r>
        <w:rPr>
          <w:rFonts w:ascii="MS PGothic" w:cs="MS PGothic" w:eastAsia="MS PGothic" w:hAnsi="MS PGothic"/>
          <w:sz w:val="18"/>
          <w:szCs w:val="18"/>
          <w:color w:val="auto"/>
        </w:rPr>
        <w:t>☐</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155" w:lineRule="exact"/>
        <w:rPr>
          <w:sz w:val="24"/>
          <w:szCs w:val="24"/>
          <w:color w:val="auto"/>
        </w:rPr>
      </w:pPr>
    </w:p>
    <w:p>
      <w:pPr>
        <w:ind w:left="2220"/>
        <w:spacing w:after="0"/>
        <w:rPr>
          <w:sz w:val="20"/>
          <w:szCs w:val="20"/>
          <w:color w:val="auto"/>
        </w:rPr>
      </w:pPr>
      <w:r>
        <w:rPr>
          <w:rFonts w:ascii="Arial" w:cs="Arial" w:eastAsia="Arial" w:hAnsi="Arial"/>
          <w:sz w:val="43"/>
          <w:szCs w:val="43"/>
          <w:b w:val="1"/>
          <w:bCs w:val="1"/>
          <w:color w:val="auto"/>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116205</wp:posOffset>
            </wp:positionV>
            <wp:extent cx="6035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94"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403225</wp:posOffset>
            </wp:positionV>
            <wp:extent cx="6035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ind w:left="218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51" w:lineRule="exact"/>
        <w:rPr>
          <w:sz w:val="24"/>
          <w:szCs w:val="24"/>
          <w:color w:val="auto"/>
        </w:rPr>
      </w:pPr>
    </w:p>
    <w:p>
      <w:pPr>
        <w:spacing w:after="0" w:line="198" w:lineRule="exact"/>
        <w:tabs>
          <w:tab w:leader="none" w:pos="200" w:val="left"/>
          <w:tab w:leader="none" w:pos="300" w:val="left"/>
          <w:tab w:leader="none" w:pos="4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6"/>
          <w:szCs w:val="16"/>
          <w:color w:val="auto"/>
        </w:rPr>
        <w:t>No fee required.</w:t>
      </w:r>
    </w:p>
    <w:p>
      <w:pPr>
        <w:spacing w:after="0" w:line="275" w:lineRule="exact"/>
        <w:rPr>
          <w:sz w:val="24"/>
          <w:szCs w:val="24"/>
          <w:color w:val="auto"/>
        </w:rPr>
      </w:pPr>
    </w:p>
    <w:p>
      <w:pPr>
        <w:spacing w:after="0" w:line="198" w:lineRule="exact"/>
        <w:tabs>
          <w:tab w:leader="none" w:pos="200" w:val="left"/>
          <w:tab w:leader="none" w:pos="300" w:val="left"/>
          <w:tab w:leader="none" w:pos="4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6"/>
          <w:szCs w:val="16"/>
          <w:color w:val="auto"/>
        </w:rPr>
        <w:t>Fee paid previously with preliminary materials.</w:t>
      </w:r>
    </w:p>
    <w:p>
      <w:pPr>
        <w:spacing w:after="0" w:line="275" w:lineRule="exact"/>
        <w:rPr>
          <w:sz w:val="24"/>
          <w:szCs w:val="24"/>
          <w:color w:val="auto"/>
        </w:rPr>
      </w:pPr>
    </w:p>
    <w:p>
      <w:pPr>
        <w:spacing w:after="0" w:line="198" w:lineRule="exact"/>
        <w:tabs>
          <w:tab w:leader="none" w:pos="200" w:val="left"/>
          <w:tab w:leader="none" w:pos="300" w:val="left"/>
          <w:tab w:leader="none" w:pos="4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410845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222250</wp:posOffset>
            </wp:positionV>
            <wp:extent cx="6172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281940</wp:posOffset>
            </wp:positionV>
            <wp:extent cx="61722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5" w:right="1440"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92075</wp:posOffset>
            </wp:positionV>
            <wp:extent cx="6129655" cy="79724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9655" cy="7972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125095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1460500</wp:posOffset>
            </wp:positionH>
            <wp:positionV relativeFrom="paragraph">
              <wp:posOffset>92075</wp:posOffset>
            </wp:positionV>
            <wp:extent cx="3103245" cy="9601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032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10 Jay Street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11201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May 25,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71"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I am pleased to invite you to attend Rent the Runway, Inc.’s 2023 Annual Meeting of Stockholders to be held on Wednesday, July 12, 2023 at 9:00 a.m., Eastern Time. Our Annual Meeting will be a “virtual meeting” of stockholders, which will be conducted exclusively online via live webcast.</w:t>
      </w:r>
    </w:p>
    <w:p>
      <w:pPr>
        <w:spacing w:after="0" w:line="157"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Notice of Meeting and Proxy Statement on the following pages describe the matters to be presented at the Annual Meeting. Details regarding how to attend the meeting and the business to be conducted at the Annual Meeting are more fully described in the Notice of Annual Meeting and Proxy Statement.</w:t>
      </w:r>
    </w:p>
    <w:p>
      <w:pPr>
        <w:spacing w:after="0" w:line="14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Your vote is very important. Whether you plan to participate in the Annual Meeting or not, please be sure to vote. Voting instructions can be found on page </w:t>
      </w:r>
      <w:r>
        <w:rPr>
          <w:rFonts w:ascii="Arial" w:cs="Arial" w:eastAsia="Arial" w:hAnsi="Arial"/>
          <w:sz w:val="18"/>
          <w:szCs w:val="18"/>
          <w:u w:val="single" w:color="auto"/>
          <w:color w:val="0000EE"/>
        </w:rPr>
        <w:t>6</w:t>
      </w:r>
      <w:r>
        <w:rPr>
          <w:rFonts w:ascii="Arial" w:cs="Arial" w:eastAsia="Arial" w:hAnsi="Arial"/>
          <w:sz w:val="18"/>
          <w:szCs w:val="18"/>
          <w:color w:val="auto"/>
        </w:rPr>
        <w:t xml:space="preserve"> of the proxy statement.</w:t>
      </w:r>
    </w:p>
    <w:p>
      <w:pPr>
        <w:spacing w:after="0" w:line="13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On behalf of the Board of Directors and the management team, thank you for your ongoing support of and continued interest in Rent the Runway.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219710</wp:posOffset>
            </wp:positionV>
            <wp:extent cx="2168525" cy="866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852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Jennifer Hyman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Co-Founder, CEO &amp; Chair</w:t>
      </w:r>
    </w:p>
    <w:p>
      <w:pPr>
        <w:spacing w:after="0"/>
        <w:rPr>
          <w:sz w:val="20"/>
          <w:szCs w:val="20"/>
          <w:color w:val="auto"/>
        </w:rPr>
      </w:pPr>
      <w:r>
        <w:rPr>
          <w:rFonts w:ascii="Arial" w:cs="Arial" w:eastAsia="Arial" w:hAnsi="Arial"/>
          <w:sz w:val="18"/>
          <w:szCs w:val="18"/>
          <w:color w:val="auto"/>
        </w:rPr>
        <w:t>Rent the Runway,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117475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200" w:top="265" w:right="12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68" w:lineRule="exact"/>
        <w:rPr>
          <w:sz w:val="20"/>
          <w:szCs w:val="20"/>
          <w:color w:val="auto"/>
        </w:rPr>
      </w:pPr>
    </w:p>
    <w:p>
      <w:pPr>
        <w:ind w:right="1940"/>
        <w:spacing w:after="0" w:line="299" w:lineRule="auto"/>
        <w:rPr>
          <w:sz w:val="20"/>
          <w:szCs w:val="20"/>
          <w:color w:val="auto"/>
        </w:rPr>
      </w:pPr>
      <w:r>
        <w:rPr>
          <w:rFonts w:ascii="Arial" w:cs="Arial" w:eastAsia="Arial" w:hAnsi="Arial"/>
          <w:sz w:val="64"/>
          <w:szCs w:val="64"/>
          <w:b w:val="1"/>
          <w:bCs w:val="1"/>
          <w:color w:val="auto"/>
        </w:rPr>
        <w:t>Notice of 2023 Annual Meeting of Stockholders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July 12,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9:00 a.m. Eastern Time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Place: </w:t>
      </w:r>
      <w:r>
        <w:rPr>
          <w:rFonts w:ascii="Arial" w:cs="Arial" w:eastAsia="Arial" w:hAnsi="Arial"/>
          <w:sz w:val="18"/>
          <w:szCs w:val="18"/>
          <w:color w:val="auto"/>
        </w:rPr>
        <w:t>www.virtualshareholdermeeting.com/RENT2023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May 18, 2023</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Agenda:</w:t>
      </w:r>
    </w:p>
    <w:p>
      <w:pPr>
        <w:spacing w:after="0" w:line="168" w:lineRule="exact"/>
        <w:rPr>
          <w:sz w:val="20"/>
          <w:szCs w:val="20"/>
          <w:color w:val="auto"/>
        </w:rPr>
      </w:pPr>
    </w:p>
    <w:p>
      <w:pPr>
        <w:ind w:left="720" w:right="420" w:hanging="368"/>
        <w:spacing w:after="0" w:line="239"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 Scott Friend, Melanie Harris, Dan Nova, and Mike Roth as Class II Directors to serve until the 2026 Annual Meeting of Stockholders and until their respective successors shall have been duly elected and qualified;</w:t>
      </w:r>
    </w:p>
    <w:p>
      <w:pPr>
        <w:spacing w:after="0" w:line="1" w:lineRule="exact"/>
        <w:rPr>
          <w:rFonts w:ascii="Arial" w:cs="Arial" w:eastAsia="Arial" w:hAnsi="Arial"/>
          <w:sz w:val="18"/>
          <w:szCs w:val="18"/>
          <w:color w:val="auto"/>
        </w:rPr>
      </w:pPr>
    </w:p>
    <w:p>
      <w:pPr>
        <w:ind w:left="720" w:right="80" w:hanging="368"/>
        <w:spacing w:after="0" w:line="234"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Ratify the appointment of PricewaterhouseCoopers LLP as our independent registered public accounting firm for the fiscal year ending January 31, 2024; and</w:t>
      </w:r>
    </w:p>
    <w:p>
      <w:pPr>
        <w:spacing w:after="0" w:line="1" w:lineRule="exact"/>
        <w:rPr>
          <w:rFonts w:ascii="Arial" w:cs="Arial" w:eastAsia="Arial" w:hAnsi="Arial"/>
          <w:sz w:val="18"/>
          <w:szCs w:val="18"/>
          <w:color w:val="auto"/>
        </w:rPr>
      </w:pPr>
    </w:p>
    <w:p>
      <w:pPr>
        <w:ind w:left="720" w:hanging="36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Transact any other business that may properly come before the Annual Meeting.</w:t>
      </w:r>
    </w:p>
    <w:p>
      <w:pPr>
        <w:spacing w:after="0" w:line="15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Holders of record of our outstanding shares of capital stock, composed of Class A common stock and Class B common stock, at the close of business on May 18, 2023, are entitled to notice of and to vote at the Annual Meeting. A complete list of these stockholders will be available for examination by any stockholder during the 10 days prior to the Annual Meeting for a purpose relevant to the meeting by sending an email to investors@renttherunway.com and stating the purpose of the request and providing proof of ownership of Rent the Runway stock. This list of stockholders will also be available on the bottom panel of your screen during the meeting after entering the 16 digit control number included on the Notice of Internet Availability of Proxy Materials or any proxy card that you received, or on the materials provided by your bank or broker. The Annual Meeting may be continued or adjourned from time to time without notice other than by announcement at the Annual Meeting.</w:t>
      </w:r>
    </w:p>
    <w:p>
      <w:pPr>
        <w:spacing w:after="0" w:line="151"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Your vote is important. Whether or not you plan to attend the Annual Meeting, we encourage you to read the accompanying proxy statement and to submit your proxy or voting instructions as soon as possible. Even if you have voted by proxy, you may still vote during the Annual Meeting. Please note, however, that if your shares are held of record by a broker, bank, trustee, or nominee and you wish to vote during the Annual Meeting, you must follow the instructions from such broker, bank, trustee, 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342900</wp:posOffset>
            </wp:positionV>
            <wp:extent cx="1174115"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1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Cara Schembri</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 Secretary</w:t>
      </w:r>
    </w:p>
    <w:p>
      <w:pPr>
        <w:spacing w:after="0"/>
        <w:rPr>
          <w:sz w:val="20"/>
          <w:szCs w:val="20"/>
          <w:color w:val="auto"/>
        </w:rPr>
      </w:pPr>
      <w:r>
        <w:rPr>
          <w:rFonts w:ascii="Arial" w:cs="Arial" w:eastAsia="Arial" w:hAnsi="Arial"/>
          <w:sz w:val="18"/>
          <w:szCs w:val="18"/>
          <w:color w:val="auto"/>
        </w:rPr>
        <w:t>May 25, 2023</w:t>
      </w:r>
    </w:p>
    <w:p>
      <w:pPr>
        <w:spacing w:after="0" w:line="190"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2023 Annual Meeting of Stockholders to be Held on July 12, 2023: </w:t>
      </w:r>
      <w:r>
        <w:rPr>
          <w:rFonts w:ascii="Arial" w:cs="Arial" w:eastAsia="Arial" w:hAnsi="Arial"/>
          <w:sz w:val="18"/>
          <w:szCs w:val="18"/>
          <w:color w:val="auto"/>
        </w:rPr>
        <w:t>The proxy statement and the annual report to stockholders are available at</w:t>
      </w:r>
      <w:r>
        <w:rPr>
          <w:rFonts w:ascii="Arial" w:cs="Arial" w:eastAsia="Arial" w:hAnsi="Arial"/>
          <w:sz w:val="18"/>
          <w:szCs w:val="18"/>
          <w:b w:val="1"/>
          <w:bCs w:val="1"/>
          <w:color w:val="auto"/>
        </w:rPr>
        <w:t xml:space="preserve"> </w:t>
      </w:r>
      <w:r>
        <w:rPr>
          <w:rFonts w:ascii="Arial" w:cs="Arial" w:eastAsia="Arial" w:hAnsi="Arial"/>
          <w:sz w:val="18"/>
          <w:szCs w:val="18"/>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95885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200" w:top="265" w:right="1239" w:bottom="1440" w:gutter="0" w:footer="0" w:header="0"/>
        </w:sectPr>
      </w:pPr>
    </w:p>
    <w:bookmarkStart w:id="4" w:name="page5"/>
    <w:bookmarkEnd w:id="4"/>
    <w:p>
      <w:pPr>
        <w:ind w:left="76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65"/>
          <w:szCs w:val="65"/>
          <w:b w:val="1"/>
          <w:bCs w:val="1"/>
          <w:color w:val="auto"/>
        </w:rPr>
        <w:t>Table of Contents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80" w:type="dxa"/>
            <w:vAlign w:val="bottom"/>
            <w:gridSpan w:val="38"/>
          </w:tcPr>
          <w:p>
            <w:pPr>
              <w:spacing w:after="0"/>
              <w:rPr>
                <w:sz w:val="20"/>
                <w:szCs w:val="20"/>
                <w:color w:val="auto"/>
              </w:rPr>
            </w:pPr>
            <w:r>
              <w:rPr>
                <w:rFonts w:ascii="Arial" w:cs="Arial" w:eastAsia="Arial" w:hAnsi="Arial"/>
                <w:sz w:val="14"/>
                <w:szCs w:val="14"/>
                <w:color w:val="0000EE"/>
              </w:rPr>
              <w:t>Proxy Overview</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tcPr>
          <w:p>
            <w:pPr>
              <w:jc w:val="right"/>
              <w:ind w:right="860"/>
              <w:spacing w:after="0"/>
              <w:rPr>
                <w:sz w:val="20"/>
                <w:szCs w:val="20"/>
                <w:color w:val="auto"/>
              </w:rPr>
            </w:pPr>
            <w:r>
              <w:rPr>
                <w:rFonts w:ascii="Arial" w:cs="Arial" w:eastAsia="Arial" w:hAnsi="Arial"/>
                <w:sz w:val="28"/>
                <w:szCs w:val="28"/>
                <w:color w:val="0000EE"/>
                <w:w w:val="76"/>
                <w:vertAlign w:val="subscript"/>
              </w:rPr>
              <w:t>1</w:t>
            </w:r>
            <w:r>
              <w:rPr>
                <w:rFonts w:ascii="Arial" w:cs="Arial" w:eastAsia="Arial" w:hAnsi="Arial"/>
                <w:sz w:val="4"/>
                <w:szCs w:val="4"/>
                <w:color w:val="auto"/>
                <w:w w:val="76"/>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About Rent the Runway</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3"/>
          </w:tcPr>
          <w:p>
            <w:pPr>
              <w:jc w:val="right"/>
              <w:ind w:right="860"/>
              <w:spacing w:after="0"/>
              <w:rPr>
                <w:sz w:val="20"/>
                <w:szCs w:val="20"/>
                <w:color w:val="auto"/>
              </w:rPr>
            </w:pPr>
            <w:r>
              <w:rPr>
                <w:rFonts w:ascii="Arial" w:cs="Arial" w:eastAsia="Arial" w:hAnsi="Arial"/>
                <w:sz w:val="14"/>
                <w:szCs w:val="14"/>
                <w:color w:val="0000EE"/>
              </w:rPr>
              <w:t>2</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Fiscal Year 2022 Business Highlights</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3"/>
          </w:tcPr>
          <w:p>
            <w:pPr>
              <w:jc w:val="right"/>
              <w:ind w:right="860"/>
              <w:spacing w:after="0"/>
              <w:rPr>
                <w:sz w:val="20"/>
                <w:szCs w:val="20"/>
                <w:color w:val="auto"/>
              </w:rPr>
            </w:pPr>
            <w:r>
              <w:rPr>
                <w:rFonts w:ascii="Arial" w:cs="Arial" w:eastAsia="Arial" w:hAnsi="Arial"/>
                <w:sz w:val="14"/>
                <w:szCs w:val="14"/>
                <w:color w:val="0000EE"/>
              </w:rPr>
              <w:t>2</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Environmental and Social Impact</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3"/>
          </w:tcPr>
          <w:p>
            <w:pPr>
              <w:jc w:val="right"/>
              <w:ind w:right="860"/>
              <w:spacing w:after="0"/>
              <w:rPr>
                <w:sz w:val="20"/>
                <w:szCs w:val="20"/>
                <w:color w:val="auto"/>
              </w:rPr>
            </w:pPr>
            <w:r>
              <w:rPr>
                <w:rFonts w:ascii="Arial" w:cs="Arial" w:eastAsia="Arial" w:hAnsi="Arial"/>
                <w:sz w:val="14"/>
                <w:szCs w:val="14"/>
                <w:color w:val="0000EE"/>
              </w:rPr>
              <w:t>3</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Corporate Governance</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3"/>
          </w:tcPr>
          <w:p>
            <w:pPr>
              <w:jc w:val="right"/>
              <w:ind w:right="860"/>
              <w:spacing w:after="0"/>
              <w:rPr>
                <w:sz w:val="20"/>
                <w:szCs w:val="20"/>
                <w:color w:val="auto"/>
              </w:rPr>
            </w:pPr>
            <w:r>
              <w:rPr>
                <w:rFonts w:ascii="Arial" w:cs="Arial" w:eastAsia="Arial" w:hAnsi="Arial"/>
                <w:sz w:val="14"/>
                <w:szCs w:val="14"/>
                <w:color w:val="0000EE"/>
              </w:rPr>
              <w:t>5</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80" w:type="dxa"/>
            <w:vAlign w:val="bottom"/>
            <w:gridSpan w:val="38"/>
          </w:tcPr>
          <w:p>
            <w:pPr>
              <w:spacing w:after="0"/>
              <w:rPr>
                <w:sz w:val="20"/>
                <w:szCs w:val="20"/>
                <w:color w:val="auto"/>
              </w:rPr>
            </w:pPr>
            <w:r>
              <w:rPr>
                <w:rFonts w:ascii="Arial" w:cs="Arial" w:eastAsia="Arial" w:hAnsi="Arial"/>
                <w:sz w:val="14"/>
                <w:szCs w:val="14"/>
                <w:color w:val="0000EE"/>
              </w:rPr>
              <w:t>Voting and Meeting Information</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3"/>
          </w:tcPr>
          <w:p>
            <w:pPr>
              <w:jc w:val="right"/>
              <w:ind w:right="860"/>
              <w:spacing w:after="0" w:line="236" w:lineRule="exact"/>
              <w:rPr>
                <w:sz w:val="20"/>
                <w:szCs w:val="20"/>
                <w:color w:val="auto"/>
              </w:rPr>
            </w:pPr>
            <w:r>
              <w:rPr>
                <w:rFonts w:ascii="Arial" w:cs="Arial" w:eastAsia="Arial" w:hAnsi="Arial"/>
                <w:sz w:val="27"/>
                <w:szCs w:val="27"/>
                <w:color w:val="0000EE"/>
                <w:w w:val="79"/>
                <w:vertAlign w:val="subscript"/>
              </w:rPr>
              <w:t>6</w:t>
            </w:r>
            <w:r>
              <w:rPr>
                <w:rFonts w:ascii="Arial" w:cs="Arial" w:eastAsia="Arial" w:hAnsi="Arial"/>
                <w:sz w:val="3"/>
                <w:szCs w:val="3"/>
                <w:color w:val="auto"/>
                <w:w w:val="79"/>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80" w:type="dxa"/>
            <w:vAlign w:val="bottom"/>
            <w:gridSpan w:val="38"/>
          </w:tcPr>
          <w:p>
            <w:pPr>
              <w:spacing w:after="0"/>
              <w:rPr>
                <w:sz w:val="20"/>
                <w:szCs w:val="20"/>
                <w:color w:val="auto"/>
              </w:rPr>
            </w:pPr>
            <w:r>
              <w:rPr>
                <w:rFonts w:ascii="Arial" w:cs="Arial" w:eastAsia="Arial" w:hAnsi="Arial"/>
                <w:sz w:val="14"/>
                <w:szCs w:val="14"/>
                <w:color w:val="0000EE"/>
              </w:rPr>
              <w:t>Proposal No. 1 - Election of Directors</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60" w:type="dxa"/>
            <w:vAlign w:val="bottom"/>
          </w:tcPr>
          <w:p>
            <w:pPr>
              <w:spacing w:after="0"/>
              <w:rPr>
                <w:sz w:val="20"/>
                <w:szCs w:val="20"/>
                <w:color w:val="auto"/>
              </w:rPr>
            </w:pPr>
          </w:p>
        </w:tc>
        <w:tc>
          <w:tcPr>
            <w:tcW w:w="1040" w:type="dxa"/>
            <w:vAlign w:val="bottom"/>
            <w:gridSpan w:val="5"/>
          </w:tcPr>
          <w:p>
            <w:pPr>
              <w:jc w:val="right"/>
              <w:ind w:right="860"/>
              <w:spacing w:after="0"/>
              <w:rPr>
                <w:sz w:val="20"/>
                <w:szCs w:val="20"/>
                <w:color w:val="auto"/>
              </w:rPr>
            </w:pPr>
            <w:r>
              <w:rPr>
                <w:rFonts w:ascii="Arial" w:cs="Arial" w:eastAsia="Arial" w:hAnsi="Arial"/>
                <w:sz w:val="14"/>
                <w:szCs w:val="14"/>
                <w:color w:val="0000EE"/>
              </w:rPr>
              <w:t>11</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80" w:type="dxa"/>
            <w:vAlign w:val="bottom"/>
            <w:gridSpan w:val="38"/>
          </w:tcPr>
          <w:p>
            <w:pPr>
              <w:spacing w:after="0"/>
              <w:rPr>
                <w:sz w:val="20"/>
                <w:szCs w:val="20"/>
                <w:color w:val="auto"/>
              </w:rPr>
            </w:pPr>
            <w:r>
              <w:rPr>
                <w:rFonts w:ascii="Arial" w:cs="Arial" w:eastAsia="Arial" w:hAnsi="Arial"/>
                <w:sz w:val="14"/>
                <w:szCs w:val="14"/>
                <w:color w:val="0000EE"/>
              </w:rPr>
              <w:t>Information About Board Nominees and Continuing Directors</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12</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9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Nominees to our Board of Directors - Class II Directors</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12</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9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Class III Directors Whose Terms Expire at the 2024 Annual Meeting</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13</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9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Class I Directors Whose Terms Expire at the 2025 Annual Meeting</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14</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9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80" w:type="dxa"/>
            <w:vAlign w:val="bottom"/>
            <w:gridSpan w:val="38"/>
          </w:tcPr>
          <w:p>
            <w:pPr>
              <w:spacing w:after="0"/>
              <w:rPr>
                <w:sz w:val="20"/>
                <w:szCs w:val="20"/>
                <w:color w:val="auto"/>
              </w:rPr>
            </w:pPr>
            <w:r>
              <w:rPr>
                <w:rFonts w:ascii="Arial" w:cs="Arial" w:eastAsia="Arial" w:hAnsi="Arial"/>
                <w:sz w:val="14"/>
                <w:szCs w:val="14"/>
                <w:color w:val="0000EE"/>
              </w:rPr>
              <w:t>The Board and Corporate Governance</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16</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Board Leadership Structure</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16</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Board Diversity</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17</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Board Oversight of Risk</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17</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Director Independence</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17</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Board Meetings</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18</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Board Committees</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18</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Code of Conduct</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20</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Compensation Committee Interlocks and Insider Participation</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20</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9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Director Nomination Process</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20</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Stockholders Agreement</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21</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Communications with the Board</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22</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80" w:type="dxa"/>
            <w:vAlign w:val="bottom"/>
            <w:gridSpan w:val="38"/>
          </w:tcPr>
          <w:p>
            <w:pPr>
              <w:spacing w:after="0"/>
              <w:rPr>
                <w:sz w:val="20"/>
                <w:szCs w:val="20"/>
                <w:color w:val="auto"/>
              </w:rPr>
            </w:pPr>
            <w:r>
              <w:rPr>
                <w:rFonts w:ascii="Arial" w:cs="Arial" w:eastAsia="Arial" w:hAnsi="Arial"/>
                <w:sz w:val="14"/>
                <w:szCs w:val="14"/>
                <w:color w:val="0000EE"/>
              </w:rPr>
              <w:t>Director Compensation</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23</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80" w:type="dxa"/>
            <w:vAlign w:val="bottom"/>
            <w:gridSpan w:val="38"/>
          </w:tcPr>
          <w:p>
            <w:pPr>
              <w:spacing w:after="0"/>
              <w:rPr>
                <w:sz w:val="20"/>
                <w:szCs w:val="20"/>
                <w:color w:val="auto"/>
              </w:rPr>
            </w:pPr>
            <w:r>
              <w:rPr>
                <w:rFonts w:ascii="Arial" w:cs="Arial" w:eastAsia="Arial" w:hAnsi="Arial"/>
                <w:sz w:val="14"/>
                <w:szCs w:val="14"/>
                <w:color w:val="0000EE"/>
              </w:rPr>
              <w:t>Audit Committee Report</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26</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80" w:type="dxa"/>
            <w:vAlign w:val="bottom"/>
            <w:gridSpan w:val="38"/>
          </w:tcPr>
          <w:p>
            <w:pPr>
              <w:spacing w:after="0"/>
              <w:rPr>
                <w:sz w:val="20"/>
                <w:szCs w:val="20"/>
                <w:color w:val="auto"/>
              </w:rPr>
            </w:pPr>
            <w:r>
              <w:rPr>
                <w:rFonts w:ascii="Arial" w:cs="Arial" w:eastAsia="Arial" w:hAnsi="Arial"/>
                <w:sz w:val="14"/>
                <w:szCs w:val="14"/>
                <w:color w:val="0000EE"/>
              </w:rPr>
              <w:t>Proposal No. 2 - Ratification of the Appointment of Independent Registered Public Accounting Firm</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27</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9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500" w:type="dxa"/>
            <w:vAlign w:val="bottom"/>
            <w:tcBorders>
              <w:top w:val="single" w:sz="8" w:color="0000EE"/>
              <w:bottom w:val="single" w:sz="8" w:color="auto"/>
            </w:tcBorders>
          </w:tcPr>
          <w:p>
            <w:pPr>
              <w:spacing w:after="0"/>
              <w:rPr>
                <w:sz w:val="7"/>
                <w:szCs w:val="7"/>
                <w:color w:val="auto"/>
              </w:rPr>
            </w:pPr>
          </w:p>
        </w:tc>
        <w:tc>
          <w:tcPr>
            <w:tcW w:w="1300" w:type="dxa"/>
            <w:vAlign w:val="bottom"/>
            <w:tcBorders>
              <w:top w:val="single" w:sz="8" w:color="0000EE"/>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Fees and Services</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27</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Pre-Approval Policies and Procedures</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28</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80" w:type="dxa"/>
            <w:vAlign w:val="bottom"/>
            <w:gridSpan w:val="38"/>
          </w:tcPr>
          <w:p>
            <w:pPr>
              <w:spacing w:after="0"/>
              <w:rPr>
                <w:sz w:val="20"/>
                <w:szCs w:val="20"/>
                <w:color w:val="auto"/>
              </w:rPr>
            </w:pPr>
            <w:r>
              <w:rPr>
                <w:rFonts w:ascii="Arial" w:cs="Arial" w:eastAsia="Arial" w:hAnsi="Arial"/>
                <w:sz w:val="14"/>
                <w:szCs w:val="14"/>
                <w:color w:val="0000EE"/>
              </w:rPr>
              <w:t>Executive Officers</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29</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80" w:type="dxa"/>
            <w:vAlign w:val="bottom"/>
            <w:gridSpan w:val="38"/>
          </w:tcPr>
          <w:p>
            <w:pPr>
              <w:spacing w:after="0"/>
              <w:rPr>
                <w:sz w:val="20"/>
                <w:szCs w:val="20"/>
                <w:color w:val="auto"/>
              </w:rPr>
            </w:pPr>
            <w:r>
              <w:rPr>
                <w:rFonts w:ascii="Arial" w:cs="Arial" w:eastAsia="Arial" w:hAnsi="Arial"/>
                <w:sz w:val="14"/>
                <w:szCs w:val="14"/>
                <w:color w:val="0000EE"/>
              </w:rPr>
              <w:t>Executive Compensation</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31</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80" w:type="dxa"/>
            <w:vAlign w:val="bottom"/>
            <w:gridSpan w:val="38"/>
          </w:tcPr>
          <w:p>
            <w:pPr>
              <w:spacing w:after="0"/>
              <w:rPr>
                <w:sz w:val="20"/>
                <w:szCs w:val="20"/>
                <w:color w:val="auto"/>
              </w:rPr>
            </w:pPr>
            <w:r>
              <w:rPr>
                <w:rFonts w:ascii="Arial" w:cs="Arial" w:eastAsia="Arial" w:hAnsi="Arial"/>
                <w:sz w:val="14"/>
                <w:szCs w:val="14"/>
                <w:color w:val="0000EE"/>
              </w:rPr>
              <w:t>Equity Compensation Plan Information</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39</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80" w:type="dxa"/>
            <w:vAlign w:val="bottom"/>
            <w:gridSpan w:val="38"/>
          </w:tcPr>
          <w:p>
            <w:pPr>
              <w:spacing w:after="0"/>
              <w:rPr>
                <w:sz w:val="20"/>
                <w:szCs w:val="20"/>
                <w:color w:val="auto"/>
              </w:rPr>
            </w:pPr>
            <w:r>
              <w:rPr>
                <w:rFonts w:ascii="Arial" w:cs="Arial" w:eastAsia="Arial" w:hAnsi="Arial"/>
                <w:sz w:val="14"/>
                <w:szCs w:val="14"/>
                <w:color w:val="0000EE"/>
              </w:rPr>
              <w:t>Certain Relationships and Related Person Transactions</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40</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920" w:type="dxa"/>
            <w:vAlign w:val="bottom"/>
            <w:tcBorders>
              <w:top w:val="single" w:sz="8" w:color="0000EE"/>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80" w:type="dxa"/>
            <w:vAlign w:val="bottom"/>
            <w:gridSpan w:val="38"/>
          </w:tcPr>
          <w:p>
            <w:pPr>
              <w:spacing w:after="0"/>
              <w:rPr>
                <w:sz w:val="20"/>
                <w:szCs w:val="20"/>
                <w:color w:val="auto"/>
              </w:rPr>
            </w:pPr>
            <w:r>
              <w:rPr>
                <w:rFonts w:ascii="Arial" w:cs="Arial" w:eastAsia="Arial" w:hAnsi="Arial"/>
                <w:sz w:val="14"/>
                <w:szCs w:val="14"/>
                <w:color w:val="0000EE"/>
              </w:rPr>
              <w:t>Security Ownership of Certain Beneficial Owners, Directors, and Management</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42</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9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500" w:type="dxa"/>
            <w:vAlign w:val="bottom"/>
            <w:tcBorders>
              <w:top w:val="single" w:sz="8" w:color="0000EE"/>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spacing w:after="0"/>
              <w:rPr>
                <w:sz w:val="20"/>
                <w:szCs w:val="20"/>
                <w:color w:val="auto"/>
              </w:rPr>
            </w:pPr>
            <w:r>
              <w:rPr>
                <w:rFonts w:ascii="Arial" w:cs="Arial" w:eastAsia="Arial" w:hAnsi="Arial"/>
                <w:sz w:val="14"/>
                <w:szCs w:val="14"/>
                <w:color w:val="0000EE"/>
              </w:rPr>
              <w:t>Delinquent​</w:t>
            </w:r>
          </w:p>
        </w:tc>
        <w:tc>
          <w:tcPr>
            <w:tcW w:w="6000" w:type="dxa"/>
            <w:vAlign w:val="bottom"/>
            <w:gridSpan w:val="35"/>
          </w:tcPr>
          <w:p>
            <w:pPr>
              <w:ind w:left="20"/>
              <w:spacing w:after="0"/>
              <w:rPr>
                <w:sz w:val="20"/>
                <w:szCs w:val="20"/>
                <w:color w:val="auto"/>
              </w:rPr>
            </w:pPr>
            <w:r>
              <w:rPr>
                <w:rFonts w:ascii="Arial" w:cs="Arial" w:eastAsia="Arial" w:hAnsi="Arial"/>
                <w:sz w:val="14"/>
                <w:szCs w:val="14"/>
                <w:color w:val="0000EE"/>
              </w:rPr>
              <w:t>Section 16(a) Reports</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45</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80" w:type="dxa"/>
            <w:vAlign w:val="bottom"/>
            <w:gridSpan w:val="38"/>
          </w:tcPr>
          <w:p>
            <w:pPr>
              <w:spacing w:after="0"/>
              <w:rPr>
                <w:sz w:val="20"/>
                <w:szCs w:val="20"/>
                <w:color w:val="auto"/>
              </w:rPr>
            </w:pPr>
            <w:r>
              <w:rPr>
                <w:rFonts w:ascii="Arial" w:cs="Arial" w:eastAsia="Arial" w:hAnsi="Arial"/>
                <w:sz w:val="14"/>
                <w:szCs w:val="14"/>
                <w:color w:val="0000EE"/>
              </w:rPr>
              <w:t>Additional Information</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46</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Stockholder Proposals</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46</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Information Requests</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46</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Other Business</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46</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37"/>
          </w:tcPr>
          <w:p>
            <w:pPr>
              <w:spacing w:after="0"/>
              <w:rPr>
                <w:sz w:val="20"/>
                <w:szCs w:val="20"/>
                <w:color w:val="auto"/>
              </w:rPr>
            </w:pPr>
            <w:r>
              <w:rPr>
                <w:rFonts w:ascii="Arial" w:cs="Arial" w:eastAsia="Arial" w:hAnsi="Arial"/>
                <w:sz w:val="14"/>
                <w:szCs w:val="14"/>
                <w:color w:val="0000EE"/>
              </w:rPr>
              <w:t>Forward-Looking Statements</w:t>
            </w: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jc w:val="right"/>
              <w:ind w:right="860"/>
              <w:spacing w:after="0"/>
              <w:rPr>
                <w:sz w:val="20"/>
                <w:szCs w:val="20"/>
                <w:color w:val="auto"/>
              </w:rPr>
            </w:pPr>
            <w:r>
              <w:rPr>
                <w:rFonts w:ascii="Arial" w:cs="Arial" w:eastAsia="Arial" w:hAnsi="Arial"/>
                <w:sz w:val="14"/>
                <w:szCs w:val="14"/>
                <w:color w:val="0000EE"/>
              </w:rPr>
              <w:t>47</w:t>
            </w:r>
            <w:r>
              <w:rPr>
                <w:rFonts w:ascii="Arial" w:cs="Arial" w:eastAsia="Arial" w:hAnsi="Arial"/>
                <w:sz w:val="3"/>
                <w:szCs w:val="3"/>
                <w:color w:val="000000"/>
              </w:rPr>
              <w:t>​</w:t>
            </w: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0000EE"/>
              </w:rPr>
              <w:t>Annex 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ind w:left="620"/>
              <w:spacing w:after="0"/>
              <w:rPr>
                <w:sz w:val="20"/>
                <w:szCs w:val="20"/>
                <w:color w:val="auto"/>
              </w:rPr>
            </w:pPr>
            <w:r>
              <w:rPr>
                <w:rFonts w:ascii="Arial" w:cs="Arial" w:eastAsia="Arial" w:hAnsi="Arial"/>
                <w:sz w:val="4"/>
                <w:szCs w:val="4"/>
                <w:color w:val="auto"/>
              </w:rPr>
              <w:t>​</w:t>
            </w:r>
          </w:p>
        </w:tc>
        <w:tc>
          <w:tcPr>
            <w:tcW w:w="1120" w:type="dxa"/>
            <w:vAlign w:val="bottom"/>
          </w:tcPr>
          <w:p>
            <w:pPr>
              <w:ind w:left="360"/>
              <w:spacing w:after="0"/>
              <w:rPr>
                <w:sz w:val="20"/>
                <w:szCs w:val="20"/>
                <w:color w:val="auto"/>
              </w:rPr>
            </w:pPr>
            <w:r>
              <w:rPr>
                <w:rFonts w:ascii="Arial" w:cs="Arial" w:eastAsia="Arial" w:hAnsi="Arial"/>
                <w:sz w:val="4"/>
                <w:szCs w:val="4"/>
                <w:color w:val="auto"/>
              </w:rPr>
              <w:t>​</w:t>
            </w:r>
          </w:p>
        </w:tc>
        <w:tc>
          <w:tcPr>
            <w:tcW w:w="1100" w:type="dxa"/>
            <w:vAlign w:val="bottom"/>
            <w:gridSpan w:val="6"/>
          </w:tcPr>
          <w:p>
            <w:pPr>
              <w:spacing w:after="0"/>
              <w:rPr>
                <w:sz w:val="20"/>
                <w:szCs w:val="20"/>
                <w:color w:val="auto"/>
              </w:rPr>
            </w:pPr>
            <w:r>
              <w:rPr>
                <w:rFonts w:ascii="Arial" w:cs="Arial" w:eastAsia="Arial" w:hAnsi="Arial"/>
                <w:sz w:val="14"/>
                <w:szCs w:val="14"/>
                <w:color w:val="0000EE"/>
              </w:rPr>
              <w:t>A-1</w:t>
            </w:r>
            <w:r>
              <w:rPr>
                <w:rFonts w:ascii="Arial" w:cs="Arial" w:eastAsia="Arial" w:hAnsi="Arial"/>
                <w:sz w:val="3"/>
                <w:szCs w:val="3"/>
                <w:color w:val="000000"/>
              </w:rPr>
              <w:t>​</w:t>
            </w:r>
          </w:p>
        </w:tc>
      </w:tr>
      <w:tr>
        <w:trPr>
          <w:trHeight w:val="48"/>
        </w:trPr>
        <w:tc>
          <w:tcPr>
            <w:tcW w:w="7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Pr>
          <w:p>
            <w:pPr>
              <w:spacing w:after="0"/>
              <w:rPr>
                <w:sz w:val="4"/>
                <w:szCs w:val="4"/>
                <w:color w:val="auto"/>
              </w:rPr>
            </w:pPr>
          </w:p>
        </w:tc>
      </w:tr>
      <w:tr>
        <w:trPr>
          <w:trHeight w:val="176"/>
        </w:trPr>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Proxy Overview</w:t>
      </w:r>
    </w:p>
    <w:p>
      <w:pPr>
        <w:spacing w:after="0" w:line="232" w:lineRule="exact"/>
        <w:rPr>
          <w:sz w:val="20"/>
          <w:szCs w:val="20"/>
          <w:color w:val="auto"/>
        </w:rPr>
      </w:pPr>
    </w:p>
    <w:p>
      <w:pPr>
        <w:ind w:left="20" w:right="320"/>
        <w:spacing w:after="0" w:line="260" w:lineRule="auto"/>
        <w:rPr>
          <w:sz w:val="20"/>
          <w:szCs w:val="20"/>
          <w:color w:val="auto"/>
        </w:rPr>
      </w:pPr>
      <w:r>
        <w:rPr>
          <w:rFonts w:ascii="Arial" w:cs="Arial" w:eastAsia="Arial" w:hAnsi="Arial"/>
          <w:sz w:val="18"/>
          <w:szCs w:val="18"/>
          <w:color w:val="auto"/>
        </w:rPr>
        <w:t>This overview does not contain all of the information that you should consider, and you should read the entire Proxy Statement carefully before voting.</w:t>
      </w:r>
    </w:p>
    <w:p>
      <w:pPr>
        <w:spacing w:after="0" w:line="132" w:lineRule="exact"/>
        <w:rPr>
          <w:sz w:val="20"/>
          <w:szCs w:val="20"/>
          <w:color w:val="auto"/>
        </w:rPr>
      </w:pPr>
    </w:p>
    <w:p>
      <w:pPr>
        <w:ind w:left="20" w:right="80"/>
        <w:spacing w:after="0" w:line="247" w:lineRule="auto"/>
        <w:rPr>
          <w:sz w:val="20"/>
          <w:szCs w:val="20"/>
          <w:color w:val="auto"/>
        </w:rPr>
      </w:pPr>
      <w:r>
        <w:rPr>
          <w:rFonts w:ascii="Arial" w:cs="Arial" w:eastAsia="Arial" w:hAnsi="Arial"/>
          <w:sz w:val="18"/>
          <w:szCs w:val="18"/>
          <w:color w:val="auto"/>
        </w:rPr>
        <w:t>References in this Proxy Statement to (i)“we,” “us,” “our,” “ours,” “RTR,” “Rent the Runway” and the “Company” refer to Rent the Runway, Inc. and its subsidiary and (ii) “stockholders” refers to holders of our Class A common stock and Class B common stock.</w:t>
      </w:r>
    </w:p>
    <w:p>
      <w:pPr>
        <w:spacing w:after="0" w:line="157" w:lineRule="exact"/>
        <w:rPr>
          <w:sz w:val="20"/>
          <w:szCs w:val="20"/>
          <w:color w:val="auto"/>
        </w:rPr>
      </w:pPr>
    </w:p>
    <w:p>
      <w:pPr>
        <w:ind w:left="20" w:right="120"/>
        <w:spacing w:after="0" w:line="237" w:lineRule="auto"/>
        <w:rPr>
          <w:sz w:val="20"/>
          <w:szCs w:val="20"/>
          <w:color w:val="auto"/>
        </w:rPr>
      </w:pPr>
      <w:r>
        <w:rPr>
          <w:rFonts w:ascii="Arial" w:cs="Arial" w:eastAsia="Arial" w:hAnsi="Arial"/>
          <w:sz w:val="18"/>
          <w:szCs w:val="18"/>
          <w:color w:val="auto"/>
        </w:rPr>
        <w:t>This proxy statement and the Company’s Annual Report to Stockholders for the fiscal year ended January 31, 2023 (the “2022 Annual Report”) will be released on or about May 25, 2023 to our stockholders on the Record Date. On the same date, we will mail to our stockholders a Notice of Internet Availability of Proxy Materials (the “Internet Notice”) containing instructions on how to access this proxy statement and our 2022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2022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If you received printed copies of our proxy materials, then instructions regarding how you can vote are contained on the proxy card included in the materials.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Meeting Date: </w:t>
      </w:r>
      <w:r>
        <w:rPr>
          <w:rFonts w:ascii="Arial" w:cs="Arial" w:eastAsia="Arial" w:hAnsi="Arial"/>
          <w:sz w:val="18"/>
          <w:szCs w:val="18"/>
          <w:color w:val="auto"/>
        </w:rPr>
        <w:t>July 12, 2023</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May 18, 2023</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Meeting Time: </w:t>
      </w:r>
      <w:r>
        <w:rPr>
          <w:rFonts w:ascii="Arial" w:cs="Arial" w:eastAsia="Arial" w:hAnsi="Arial"/>
          <w:sz w:val="18"/>
          <w:szCs w:val="18"/>
          <w:color w:val="auto"/>
        </w:rPr>
        <w:t>9:00 am Eastern Time</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Virtual Meeting Only: </w:t>
      </w:r>
      <w:r>
        <w:rPr>
          <w:rFonts w:ascii="Arial" w:cs="Arial" w:eastAsia="Arial" w:hAnsi="Arial"/>
          <w:sz w:val="18"/>
          <w:szCs w:val="18"/>
          <w:color w:val="auto"/>
        </w:rPr>
        <w:t>www.virtualshareholdermeeting.com/RENT2023</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62865</wp:posOffset>
            </wp:positionV>
            <wp:extent cx="603504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5040" cy="257175"/>
                    </a:xfrm>
                    <a:prstGeom prst="rect">
                      <a:avLst/>
                    </a:prstGeom>
                    <a:noFill/>
                  </pic:spPr>
                </pic:pic>
              </a:graphicData>
            </a:graphic>
          </wp:anchor>
        </w:drawing>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120" w:type="dxa"/>
            <w:vAlign w:val="bottom"/>
          </w:tcPr>
          <w:p>
            <w:pPr>
              <w:spacing w:after="0"/>
              <w:rPr>
                <w:sz w:val="20"/>
                <w:szCs w:val="20"/>
                <w:color w:val="auto"/>
              </w:rPr>
            </w:pPr>
            <w:r>
              <w:rPr>
                <w:rFonts w:ascii="Arial" w:cs="Arial" w:eastAsia="Arial" w:hAnsi="Arial"/>
                <w:sz w:val="4"/>
                <w:szCs w:val="4"/>
                <w:color w:val="auto"/>
              </w:rPr>
              <w:t>​</w:t>
            </w:r>
          </w:p>
        </w:tc>
        <w:tc>
          <w:tcPr>
            <w:tcW w:w="340" w:type="dxa"/>
            <w:vAlign w:val="bottom"/>
          </w:tcPr>
          <w:p>
            <w:pPr>
              <w:ind w:left="28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Proposal</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780" w:type="dxa"/>
            <w:vAlign w:val="bottom"/>
          </w:tcPr>
          <w:p>
            <w:pPr>
              <w:ind w:left="40"/>
              <w:spacing w:after="0"/>
              <w:rPr>
                <w:sz w:val="20"/>
                <w:szCs w:val="20"/>
                <w:color w:val="auto"/>
              </w:rPr>
            </w:pPr>
            <w:r>
              <w:rPr>
                <w:rFonts w:ascii="Arial" w:cs="Arial" w:eastAsia="Arial" w:hAnsi="Arial"/>
                <w:sz w:val="14"/>
                <w:szCs w:val="14"/>
                <w:b w:val="1"/>
                <w:bCs w:val="1"/>
                <w:color w:val="auto"/>
              </w:rPr>
              <w:t>Board Recommendation</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Reference Page</w:t>
            </w:r>
          </w:p>
        </w:tc>
        <w:tc>
          <w:tcPr>
            <w:tcW w:w="200" w:type="dxa"/>
            <w:vAlign w:val="bottom"/>
          </w:tcPr>
          <w:p>
            <w:pPr>
              <w:ind w:left="100"/>
              <w:spacing w:after="0"/>
              <w:rPr>
                <w:sz w:val="20"/>
                <w:szCs w:val="20"/>
                <w:color w:val="auto"/>
              </w:rPr>
            </w:pPr>
            <w:r>
              <w:rPr>
                <w:rFonts w:ascii="Arial" w:cs="Arial" w:eastAsia="Arial" w:hAnsi="Arial"/>
                <w:sz w:val="4"/>
                <w:szCs w:val="4"/>
                <w:color w:val="auto"/>
              </w:rPr>
              <w:t>​</w:t>
            </w:r>
          </w:p>
        </w:tc>
      </w:tr>
      <w:tr>
        <w:trPr>
          <w:trHeight w:val="206"/>
        </w:trPr>
        <w:tc>
          <w:tcPr>
            <w:tcW w:w="1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277"/>
        </w:trPr>
        <w:tc>
          <w:tcPr>
            <w:tcW w:w="1120" w:type="dxa"/>
            <w:vAlign w:val="bottom"/>
          </w:tcPr>
          <w:p>
            <w:pPr>
              <w:ind w:left="160"/>
              <w:spacing w:after="0"/>
              <w:rPr>
                <w:sz w:val="20"/>
                <w:szCs w:val="20"/>
                <w:color w:val="auto"/>
              </w:rPr>
            </w:pPr>
            <w:r>
              <w:rPr>
                <w:rFonts w:ascii="Arial" w:cs="Arial" w:eastAsia="Arial" w:hAnsi="Arial"/>
                <w:sz w:val="14"/>
                <w:szCs w:val="14"/>
                <w:color w:val="auto"/>
              </w:rPr>
              <w:t>Proposal 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tcPr>
          <w:p>
            <w:pPr>
              <w:ind w:left="40"/>
              <w:spacing w:after="0"/>
              <w:rPr>
                <w:sz w:val="20"/>
                <w:szCs w:val="20"/>
                <w:color w:val="auto"/>
              </w:rPr>
            </w:pPr>
            <w:r>
              <w:rPr>
                <w:rFonts w:ascii="Arial" w:cs="Arial" w:eastAsia="Arial" w:hAnsi="Arial"/>
                <w:sz w:val="14"/>
                <w:szCs w:val="14"/>
                <w:color w:val="auto"/>
              </w:rPr>
              <w:t>The election of Scott Friend, Melanie Harris, Dan Nova, and Mike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For all nominees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color w:val="0000EE"/>
                <w:w w:val="89"/>
              </w:rPr>
              <w:t>11</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55"/>
        </w:trPr>
        <w:tc>
          <w:tcPr>
            <w:tcW w:w="1120" w:type="dxa"/>
            <w:vAlign w:val="bottom"/>
          </w:tcPr>
          <w:p>
            <w:pPr>
              <w:spacing w:after="0"/>
              <w:rPr>
                <w:sz w:val="20"/>
                <w:szCs w:val="20"/>
                <w:color w:val="auto"/>
              </w:rPr>
            </w:pPr>
            <w:r>
              <w:rPr>
                <w:rFonts w:ascii="Arial" w:cs="Arial" w:eastAsia="Arial" w:hAnsi="Arial"/>
                <w:sz w:val="4"/>
                <w:szCs w:val="4"/>
                <w:color w:val="auto"/>
              </w:rPr>
              <w:t>​</w:t>
            </w:r>
          </w:p>
        </w:tc>
        <w:tc>
          <w:tcPr>
            <w:tcW w:w="340" w:type="dxa"/>
            <w:vAlign w:val="bottom"/>
          </w:tcPr>
          <w:p>
            <w:pPr>
              <w:ind w:left="28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4240" w:type="dxa"/>
            <w:vAlign w:val="bottom"/>
          </w:tcPr>
          <w:p>
            <w:pPr>
              <w:ind w:left="40"/>
              <w:spacing w:after="0" w:line="155" w:lineRule="exact"/>
              <w:rPr>
                <w:sz w:val="20"/>
                <w:szCs w:val="20"/>
                <w:color w:val="auto"/>
              </w:rPr>
            </w:pPr>
            <w:r>
              <w:rPr>
                <w:rFonts w:ascii="Arial" w:cs="Arial" w:eastAsia="Arial" w:hAnsi="Arial"/>
                <w:sz w:val="14"/>
                <w:szCs w:val="14"/>
                <w:color w:val="auto"/>
              </w:rPr>
              <w:t>Roth as Class II Directors to serve until the 2026 Annual Meeting</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780" w:type="dxa"/>
            <w:vAlign w:val="bottom"/>
          </w:tcPr>
          <w:p>
            <w:pPr>
              <w:spacing w:after="0"/>
              <w:rPr>
                <w:sz w:val="13"/>
                <w:szCs w:val="13"/>
                <w:color w:val="auto"/>
              </w:rPr>
            </w:pP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40" w:type="dxa"/>
            <w:vAlign w:val="bottom"/>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ind w:left="100"/>
              <w:spacing w:after="0"/>
              <w:rPr>
                <w:sz w:val="20"/>
                <w:szCs w:val="20"/>
                <w:color w:val="auto"/>
              </w:rPr>
            </w:pPr>
            <w:r>
              <w:rPr>
                <w:rFonts w:ascii="Arial" w:cs="Arial" w:eastAsia="Arial" w:hAnsi="Arial"/>
                <w:sz w:val="4"/>
                <w:szCs w:val="4"/>
                <w:color w:val="auto"/>
              </w:rPr>
              <w:t>​</w:t>
            </w:r>
          </w:p>
        </w:tc>
      </w:tr>
      <w:tr>
        <w:trPr>
          <w:trHeight w:val="157"/>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40" w:type="dxa"/>
            <w:vAlign w:val="bottom"/>
          </w:tcPr>
          <w:p>
            <w:pPr>
              <w:ind w:left="40"/>
              <w:spacing w:after="0" w:line="157" w:lineRule="exact"/>
              <w:rPr>
                <w:sz w:val="20"/>
                <w:szCs w:val="20"/>
                <w:color w:val="auto"/>
              </w:rPr>
            </w:pPr>
            <w:r>
              <w:rPr>
                <w:rFonts w:ascii="Arial" w:cs="Arial" w:eastAsia="Arial" w:hAnsi="Arial"/>
                <w:sz w:val="14"/>
                <w:szCs w:val="14"/>
                <w:color w:val="auto"/>
              </w:rPr>
              <w:t>of Stockholders and until their respective successors shall have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2"/>
        </w:trPr>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40" w:type="dxa"/>
            <w:vAlign w:val="bottom"/>
          </w:tcPr>
          <w:p>
            <w:pPr>
              <w:ind w:left="40"/>
              <w:spacing w:after="0"/>
              <w:rPr>
                <w:sz w:val="20"/>
                <w:szCs w:val="20"/>
                <w:color w:val="auto"/>
              </w:rPr>
            </w:pPr>
            <w:r>
              <w:rPr>
                <w:rFonts w:ascii="Arial" w:cs="Arial" w:eastAsia="Arial" w:hAnsi="Arial"/>
                <w:sz w:val="14"/>
                <w:szCs w:val="14"/>
                <w:color w:val="auto"/>
              </w:rPr>
              <w:t>been duly elected and qualified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06"/>
        </w:trPr>
        <w:tc>
          <w:tcPr>
            <w:tcW w:w="1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r>
      <w:tr>
        <w:trPr>
          <w:trHeight w:val="277"/>
        </w:trPr>
        <w:tc>
          <w:tcPr>
            <w:tcW w:w="1120" w:type="dxa"/>
            <w:vAlign w:val="bottom"/>
          </w:tcPr>
          <w:p>
            <w:pPr>
              <w:ind w:left="160"/>
              <w:spacing w:after="0"/>
              <w:rPr>
                <w:sz w:val="20"/>
                <w:szCs w:val="20"/>
                <w:color w:val="auto"/>
              </w:rPr>
            </w:pPr>
            <w:r>
              <w:rPr>
                <w:rFonts w:ascii="Arial" w:cs="Arial" w:eastAsia="Arial" w:hAnsi="Arial"/>
                <w:sz w:val="14"/>
                <w:szCs w:val="14"/>
                <w:color w:val="auto"/>
              </w:rPr>
              <w:t>Proposal 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tcPr>
          <w:p>
            <w:pPr>
              <w:ind w:left="40"/>
              <w:spacing w:after="0"/>
              <w:rPr>
                <w:sz w:val="20"/>
                <w:szCs w:val="20"/>
                <w:color w:val="auto"/>
              </w:rPr>
            </w:pPr>
            <w:r>
              <w:rPr>
                <w:rFonts w:ascii="Arial" w:cs="Arial" w:eastAsia="Arial" w:hAnsi="Arial"/>
                <w:sz w:val="14"/>
                <w:szCs w:val="14"/>
                <w:color w:val="auto"/>
              </w:rPr>
              <w:t>The ratification of the appointment of PricewaterhouseCoopers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For</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color w:val="0000EE"/>
                <w:w w:val="89"/>
              </w:rPr>
              <w:t>27</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50"/>
        </w:trPr>
        <w:tc>
          <w:tcPr>
            <w:tcW w:w="1120" w:type="dxa"/>
            <w:vAlign w:val="bottom"/>
          </w:tcPr>
          <w:p>
            <w:pPr>
              <w:spacing w:after="0"/>
              <w:rPr>
                <w:sz w:val="20"/>
                <w:szCs w:val="20"/>
                <w:color w:val="auto"/>
              </w:rPr>
            </w:pPr>
            <w:r>
              <w:rPr>
                <w:rFonts w:ascii="Arial" w:cs="Arial" w:eastAsia="Arial" w:hAnsi="Arial"/>
                <w:sz w:val="4"/>
                <w:szCs w:val="4"/>
                <w:color w:val="auto"/>
              </w:rPr>
              <w:t>​</w:t>
            </w:r>
          </w:p>
        </w:tc>
        <w:tc>
          <w:tcPr>
            <w:tcW w:w="340" w:type="dxa"/>
            <w:vAlign w:val="bottom"/>
          </w:tcPr>
          <w:p>
            <w:pPr>
              <w:ind w:left="28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4240" w:type="dxa"/>
            <w:vAlign w:val="bottom"/>
          </w:tcPr>
          <w:p>
            <w:pPr>
              <w:ind w:left="40"/>
              <w:spacing w:after="0" w:line="151" w:lineRule="exact"/>
              <w:rPr>
                <w:sz w:val="20"/>
                <w:szCs w:val="20"/>
                <w:color w:val="auto"/>
              </w:rPr>
            </w:pPr>
            <w:r>
              <w:rPr>
                <w:rFonts w:ascii="Arial" w:cs="Arial" w:eastAsia="Arial" w:hAnsi="Arial"/>
                <w:sz w:val="14"/>
                <w:szCs w:val="14"/>
                <w:color w:val="auto"/>
              </w:rPr>
              <w:t>LLP as our independent registered public accounting firm for the</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780" w:type="dxa"/>
            <w:vAlign w:val="bottom"/>
          </w:tcPr>
          <w:p>
            <w:pPr>
              <w:spacing w:after="0"/>
              <w:rPr>
                <w:sz w:val="13"/>
                <w:szCs w:val="13"/>
                <w:color w:val="auto"/>
              </w:rPr>
            </w:pP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40" w:type="dxa"/>
            <w:vAlign w:val="bottom"/>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ind w:left="100"/>
              <w:spacing w:after="0"/>
              <w:rPr>
                <w:sz w:val="20"/>
                <w:szCs w:val="20"/>
                <w:color w:val="auto"/>
              </w:rPr>
            </w:pPr>
            <w:r>
              <w:rPr>
                <w:rFonts w:ascii="Arial" w:cs="Arial" w:eastAsia="Arial" w:hAnsi="Arial"/>
                <w:sz w:val="4"/>
                <w:szCs w:val="4"/>
                <w:color w:val="auto"/>
              </w:rPr>
              <w:t>​</w:t>
            </w:r>
          </w:p>
        </w:tc>
      </w:tr>
      <w:tr>
        <w:trPr>
          <w:trHeight w:val="182"/>
        </w:trPr>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40" w:type="dxa"/>
            <w:vAlign w:val="bottom"/>
          </w:tcPr>
          <w:p>
            <w:pPr>
              <w:ind w:left="40"/>
              <w:spacing w:after="0"/>
              <w:rPr>
                <w:sz w:val="20"/>
                <w:szCs w:val="20"/>
                <w:color w:val="auto"/>
              </w:rPr>
            </w:pPr>
            <w:r>
              <w:rPr>
                <w:rFonts w:ascii="Arial" w:cs="Arial" w:eastAsia="Arial" w:hAnsi="Arial"/>
                <w:sz w:val="14"/>
                <w:szCs w:val="14"/>
                <w:color w:val="auto"/>
              </w:rPr>
              <w:t>fiscal year ending January 31, 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39"/>
        </w:trPr>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bl>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About Rent the Runway</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mission is to power women to feel their best every day.</w:t>
      </w:r>
    </w:p>
    <w:p>
      <w:pPr>
        <w:spacing w:after="0" w:line="185" w:lineRule="exact"/>
        <w:rPr>
          <w:sz w:val="20"/>
          <w:szCs w:val="20"/>
          <w:color w:val="auto"/>
        </w:rPr>
      </w:pPr>
    </w:p>
    <w:p>
      <w:pPr>
        <w:ind w:left="20"/>
        <w:spacing w:after="0" w:line="237" w:lineRule="auto"/>
        <w:rPr>
          <w:sz w:val="20"/>
          <w:szCs w:val="20"/>
          <w:color w:val="auto"/>
        </w:rPr>
      </w:pPr>
      <w:r>
        <w:rPr>
          <w:rFonts w:ascii="Arial" w:cs="Arial" w:eastAsia="Arial" w:hAnsi="Arial"/>
          <w:sz w:val="18"/>
          <w:szCs w:val="18"/>
          <w:color w:val="auto"/>
        </w:rPr>
        <w:t>Since our founding in November 2009, we have built the world’s first and largest shared designer closet with tens of thousands of styles by hundreds of brand partners. We give customers access to our “Unlimited Closet” through our subscription offering (“Subscription”) or the ability to rent a-la-carte through our reserve offering (“Reserve”).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and ski wear. We have served approximately 3 million lifetime customers across all of our offerings and we had 171,998 Total Subscribers (active and paused) as of January 31, 2023. We had 126,712 Active Subscribers as of January 31, 2023 and 141,205 Active Subscribers as of April 8, 2023. In fiscal year 2022, 86% of our total revenue was generated by subscribers, compared to 84% in fiscal year 2021.</w:t>
      </w:r>
    </w:p>
    <w:p>
      <w:pPr>
        <w:spacing w:after="0" w:line="157" w:lineRule="exact"/>
        <w:rPr>
          <w:sz w:val="20"/>
          <w:szCs w:val="20"/>
          <w:color w:val="auto"/>
        </w:rPr>
      </w:pPr>
    </w:p>
    <w:p>
      <w:pPr>
        <w:ind w:left="20" w:right="180"/>
        <w:spacing w:after="0" w:line="239" w:lineRule="auto"/>
        <w:rPr>
          <w:sz w:val="20"/>
          <w:szCs w:val="20"/>
          <w:color w:val="auto"/>
        </w:rPr>
      </w:pPr>
      <w:r>
        <w:rPr>
          <w:rFonts w:ascii="Arial" w:cs="Arial" w:eastAsia="Arial" w:hAnsi="Arial"/>
          <w:sz w:val="18"/>
          <w:szCs w:val="18"/>
          <w:color w:val="auto"/>
        </w:rPr>
        <w:t>We have created a two-sided discovery engine: customers find new brands they love and brand partners find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their businesses and encourages them to partner more closely with us over time.</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Fiscal Year 2022 Business Highlights</w:t>
      </w:r>
    </w:p>
    <w:p>
      <w:pPr>
        <w:spacing w:after="0" w:line="228" w:lineRule="exact"/>
        <w:rPr>
          <w:sz w:val="20"/>
          <w:szCs w:val="20"/>
          <w:color w:val="auto"/>
        </w:rPr>
      </w:pPr>
    </w:p>
    <w:p>
      <w:pPr>
        <w:ind w:left="740" w:right="260" w:hanging="359"/>
        <w:spacing w:after="0" w:line="241"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126,712 ending Active Subscribers (excluding paused subscribers), representing an increase of 10% year-over-year from 115,240 at the end of the fiscal year 2021.</w:t>
      </w:r>
    </w:p>
    <w:p>
      <w:pPr>
        <w:spacing w:after="0" w:line="1"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141,205 Active Subscribers as of April 8, 2023, reaching a record high.</w:t>
      </w:r>
    </w:p>
    <w:p>
      <w:pPr>
        <w:ind w:left="740" w:right="100" w:hanging="359"/>
        <w:spacing w:after="0" w:line="234"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171,998 ending Total Subscribers (including paused subscribers), representing an increase of 8% year-over-year from 159,544 at the end of the fiscal year 2021.</w:t>
      </w:r>
    </w:p>
    <w:p>
      <w:pPr>
        <w:spacing w:after="0" w:line="1"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was $296.4 million, a 45.8% increase year-over-year from $203.3 million in fiscal year 2021.</w:t>
      </w:r>
    </w:p>
    <w:p>
      <w:pPr>
        <w:ind w:left="740" w:right="380" w:hanging="359"/>
        <w:spacing w:after="0" w:line="234"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was $120.0 million which increased from $69.7 million in fiscal year 2021. Gross margin was 40.5% in fiscal year 2022, as compared to 34.3% in fiscal year 2021.</w:t>
      </w:r>
    </w:p>
    <w:p>
      <w:pPr>
        <w:spacing w:after="0" w:line="1" w:lineRule="exact"/>
        <w:rPr>
          <w:rFonts w:ascii="Arial" w:cs="Arial" w:eastAsia="Arial" w:hAnsi="Arial"/>
          <w:sz w:val="18"/>
          <w:szCs w:val="18"/>
          <w:color w:val="auto"/>
        </w:rPr>
      </w:pPr>
    </w:p>
    <w:p>
      <w:pPr>
        <w:ind w:left="740" w:right="100" w:hanging="359"/>
        <w:spacing w:after="0" w:line="234"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was $(138.7) million, as compared to $(211.8) million in fiscal year 2021. Net Loss as a percentage of revenue was (46.8)%, as compared to (104.2)% in fiscal year 2021.</w:t>
      </w:r>
    </w:p>
    <w:p>
      <w:pPr>
        <w:spacing w:after="0" w:line="1" w:lineRule="exact"/>
        <w:rPr>
          <w:rFonts w:ascii="Arial" w:cs="Arial" w:eastAsia="Arial" w:hAnsi="Arial"/>
          <w:sz w:val="18"/>
          <w:szCs w:val="18"/>
          <w:color w:val="auto"/>
        </w:rPr>
      </w:pPr>
    </w:p>
    <w:p>
      <w:pPr>
        <w:ind w:left="740" w:right="120" w:hanging="359"/>
        <w:spacing w:after="0" w:line="261"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was $6.7 million, as compared to $(19.2) million in fiscal year 2021. Adjusted EBITDA margin was 2.3%, as compared to (9.4)% in fiscal year 2021. See Annex A for a reconciliation of Adjusted EBITDA to net income, the most directly comparable financial measure calculated in accordance with GAAP.</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265" w:right="125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Environmental and Social Impact</w:t>
      </w:r>
    </w:p>
    <w:p>
      <w:pPr>
        <w:spacing w:after="0" w:line="215" w:lineRule="exact"/>
        <w:rPr>
          <w:sz w:val="20"/>
          <w:szCs w:val="20"/>
          <w:color w:val="auto"/>
        </w:rPr>
      </w:pPr>
    </w:p>
    <w:p>
      <w:pPr>
        <w:ind w:left="20" w:right="20"/>
        <w:spacing w:after="0" w:line="241" w:lineRule="auto"/>
        <w:rPr>
          <w:sz w:val="20"/>
          <w:szCs w:val="20"/>
          <w:color w:val="auto"/>
        </w:rPr>
      </w:pPr>
      <w:r>
        <w:rPr>
          <w:rFonts w:ascii="Arial" w:cs="Arial" w:eastAsia="Arial" w:hAnsi="Arial"/>
          <w:sz w:val="18"/>
          <w:szCs w:val="18"/>
          <w:color w:val="auto"/>
        </w:rPr>
        <w:t>We believe that shared access to fashion has the power to curb the negative environmental and social impacts that stem from excess in the fashion industry. Driving positive impact is core to our business model: allowing our customers to buy less and wear more. We have also developed an Impact Strategy that is intended to expand and deepen our positive impact while advancing and complementing our business strategy. See our Annual Report on Form 10-K for additional details.</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Environmental Highlights</w:t>
      </w:r>
    </w:p>
    <w:p>
      <w:pPr>
        <w:spacing w:after="0" w:line="170" w:lineRule="exact"/>
        <w:rPr>
          <w:sz w:val="20"/>
          <w:szCs w:val="20"/>
          <w:color w:val="auto"/>
        </w:rPr>
      </w:pPr>
    </w:p>
    <w:p>
      <w:pPr>
        <w:jc w:val="both"/>
        <w:ind w:left="20" w:right="300"/>
        <w:spacing w:after="0" w:line="207" w:lineRule="auto"/>
        <w:rPr>
          <w:sz w:val="20"/>
          <w:szCs w:val="20"/>
          <w:color w:val="auto"/>
        </w:rPr>
      </w:pPr>
      <w:r>
        <w:rPr>
          <w:rFonts w:ascii="Arial" w:cs="Arial" w:eastAsia="Arial" w:hAnsi="Arial"/>
          <w:sz w:val="18"/>
          <w:szCs w:val="18"/>
          <w:color w:val="auto"/>
        </w:rPr>
        <w:t>In 2021, we commissioned a Life Cycle Assessment</w:t>
      </w:r>
      <w:r>
        <w:rPr>
          <w:rFonts w:ascii="Arial" w:cs="Arial" w:eastAsia="Arial" w:hAnsi="Arial"/>
          <w:sz w:val="29"/>
          <w:szCs w:val="29"/>
          <w:color w:val="auto"/>
          <w:vertAlign w:val="superscript"/>
        </w:rPr>
        <w:t>1</w:t>
      </w:r>
      <w:r>
        <w:rPr>
          <w:rFonts w:ascii="Arial" w:cs="Arial" w:eastAsia="Arial" w:hAnsi="Arial"/>
          <w:sz w:val="18"/>
          <w:szCs w:val="18"/>
          <w:color w:val="auto"/>
        </w:rPr>
        <w:t>, or LCA Study, to understand the environmental impact of our platform, which confirmed that renting from RTR results in net environmental savings compared to purchasing new clothing. We estimate, on a weighted average basis per rental garment, a net reduction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206375</wp:posOffset>
            </wp:positionV>
            <wp:extent cx="3103245" cy="33947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03245"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w:t>
      </w:r>
    </w:p>
    <w:p>
      <w:pPr>
        <w:spacing w:after="0" w:line="8" w:lineRule="exact"/>
        <w:rPr>
          <w:sz w:val="20"/>
          <w:szCs w:val="20"/>
          <w:color w:val="auto"/>
        </w:rPr>
      </w:pPr>
    </w:p>
    <w:p>
      <w:pPr>
        <w:ind w:left="740" w:right="220" w:hanging="359"/>
        <w:spacing w:after="0" w:line="187" w:lineRule="auto"/>
        <w:tabs>
          <w:tab w:leader="none" w:pos="740" w:val="left"/>
        </w:tabs>
        <w:numPr>
          <w:ilvl w:val="1"/>
          <w:numId w:val="4"/>
        </w:numPr>
        <w:rPr>
          <w:rFonts w:ascii="Arial" w:cs="Arial" w:eastAsia="Arial" w:hAnsi="Arial"/>
          <w:sz w:val="17"/>
          <w:szCs w:val="17"/>
          <w:color w:val="auto"/>
        </w:rPr>
      </w:pPr>
      <w:r>
        <w:rPr>
          <w:rFonts w:ascii="Arial" w:cs="Arial" w:eastAsia="Arial" w:hAnsi="Arial"/>
          <w:sz w:val="17"/>
          <w:szCs w:val="17"/>
          <w:color w:val="auto"/>
        </w:rPr>
        <w:t>We estimate that our rental model has displaced the need for production of more than 1.4 million estimated new garments over the past decade.</w:t>
      </w:r>
      <w:r>
        <w:rPr>
          <w:rFonts w:ascii="Arial" w:cs="Arial" w:eastAsia="Arial" w:hAnsi="Arial"/>
          <w:sz w:val="28"/>
          <w:szCs w:val="28"/>
          <w:color w:val="auto"/>
          <w:vertAlign w:val="superscript"/>
        </w:rPr>
        <w:t>2</w:t>
      </w:r>
    </w:p>
    <w:p>
      <w:pPr>
        <w:spacing w:after="0" w:line="1" w:lineRule="exact"/>
        <w:rPr>
          <w:rFonts w:ascii="Arial" w:cs="Arial" w:eastAsia="Arial" w:hAnsi="Arial"/>
          <w:sz w:val="17"/>
          <w:szCs w:val="17"/>
          <w:color w:val="auto"/>
        </w:rPr>
      </w:pPr>
    </w:p>
    <w:p>
      <w:pPr>
        <w:ind w:left="740" w:right="100" w:hanging="359"/>
        <w:spacing w:after="0" w:line="234" w:lineRule="auto"/>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of January 31, 2023, RTR performed more than 5.2 million garment repairs to extend the useful life of our rental garments (1.1 million repairs in fiscal year 2022 alone), and diverted more than 1.2 million decommissioned rental items from going into a landfill via resale, donation, or recycling.</w:t>
      </w:r>
    </w:p>
    <w:p>
      <w:pPr>
        <w:spacing w:after="0" w:line="2" w:lineRule="exact"/>
        <w:rPr>
          <w:rFonts w:ascii="Arial" w:cs="Arial" w:eastAsia="Arial" w:hAnsi="Arial"/>
          <w:sz w:val="18"/>
          <w:szCs w:val="18"/>
          <w:color w:val="auto"/>
        </w:rPr>
      </w:pPr>
    </w:p>
    <w:p>
      <w:pPr>
        <w:ind w:left="740" w:right="40" w:hanging="359"/>
        <w:spacing w:after="0" w:line="246" w:lineRule="auto"/>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RTR launched our patented garment bag in 2014, setting a new standard for reusable packaging. Since then, we have launched a second generation durable garment bag and have begun removing</w:t>
      </w:r>
    </w:p>
    <w:p>
      <w:pPr>
        <w:spacing w:after="0" w:line="28"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We commissioned a first of its kind study in the U.S. with Green Story and SgT, third-party consultants specializing in apparel Life Cycle</w:t>
      </w:r>
    </w:p>
    <w:p>
      <w:pPr>
        <w:ind w:left="380"/>
        <w:spacing w:after="0" w:line="229" w:lineRule="auto"/>
        <w:rPr>
          <w:rFonts w:ascii="Arial" w:cs="Arial" w:eastAsia="Arial" w:hAnsi="Arial"/>
          <w:sz w:val="18"/>
          <w:szCs w:val="18"/>
          <w:color w:val="auto"/>
        </w:rPr>
      </w:pPr>
      <w:r>
        <w:rPr>
          <w:rFonts w:ascii="Arial" w:cs="Arial" w:eastAsia="Arial" w:hAnsi="Arial"/>
          <w:sz w:val="14"/>
          <w:szCs w:val="14"/>
          <w:color w:val="auto"/>
        </w:rPr>
        <w:t>Assessments, to further understand the impact of RTR’s rental platform compared to existing linear models in the fashion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-245745</wp:posOffset>
            </wp:positionV>
            <wp:extent cx="16459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2" w:lineRule="exact"/>
        <w:rPr>
          <w:sz w:val="20"/>
          <w:szCs w:val="20"/>
          <w:color w:val="auto"/>
        </w:rPr>
      </w:pPr>
    </w:p>
    <w:p>
      <w:pPr>
        <w:ind w:left="380" w:hanging="359"/>
        <w:spacing w:after="0" w:line="230" w:lineRule="auto"/>
        <w:tabs>
          <w:tab w:leader="none" w:pos="380"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Displacement was calculated by taking the displacement rate for each product category then multiplying by the estimated number of units across all product categories from February 1, 2022 through January 31, 2023. Displacement rates are from our 2021 Life Cycle Assessment and calculated by (Rental Wears – Linear Wears) / Linear Wears, where “Rental Wears” is an estimate of the total amount of wears of our garments and “Linear Wears” is an estimate of how many garments would have been bought and worn in the traditional manner (which is not a rental model), had the Rental Wears not taken place. Environmental savings are based on results of the LCA Study and specifically the net upstream production impact across 12 product categories assessed in the LCA Study: blouses, sweaters, skirts, jeans, pants, jumpsuits, daytime dresses, maxi dresses, gowns, cocktail dresses, jackets, and coats. These categories represented approximately 85% of our 2019 product assortment. Examples of categories not included in our calculations include accessories and home goods. These savings calculations reflect the difference between the rental model and the full environmental cost of purchasing under the linear model.</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265" w:right="125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2" w:lineRule="exact"/>
        <w:rPr>
          <w:sz w:val="20"/>
          <w:szCs w:val="20"/>
          <w:color w:val="auto"/>
        </w:rPr>
      </w:pPr>
    </w:p>
    <w:p>
      <w:pPr>
        <w:ind w:left="740" w:right="20"/>
        <w:spacing w:after="0" w:line="238" w:lineRule="auto"/>
        <w:rPr>
          <w:sz w:val="20"/>
          <w:szCs w:val="20"/>
          <w:color w:val="auto"/>
        </w:rPr>
      </w:pPr>
      <w:r>
        <w:rPr>
          <w:rFonts w:ascii="Arial" w:cs="Arial" w:eastAsia="Arial" w:hAnsi="Arial"/>
          <w:sz w:val="18"/>
          <w:szCs w:val="18"/>
          <w:color w:val="auto"/>
        </w:rPr>
        <w:t>unnecessary plastic from our shipments to customers. Our new garment bags are made from recycled material and do not require wet cleaning, reducing our water usage. They were designed to be more durable and last longer, which means we expect to manufacture fewer of them and, in turn, believe that we can reduce the carbon footprint associated with their production.</w:t>
      </w:r>
    </w:p>
    <w:p>
      <w:pPr>
        <w:spacing w:after="0" w:line="1" w:lineRule="exact"/>
        <w:rPr>
          <w:sz w:val="20"/>
          <w:szCs w:val="20"/>
          <w:color w:val="auto"/>
        </w:rPr>
      </w:pPr>
    </w:p>
    <w:p>
      <w:pPr>
        <w:ind w:left="740" w:hanging="359"/>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fiscal year 2022:</w:t>
      </w:r>
    </w:p>
    <w:p>
      <w:pPr>
        <w:sectPr>
          <w:pgSz w:w="11900" w:h="16838" w:orient="portrait"/>
          <w:cols w:equalWidth="0" w:num="1">
            <w:col w:w="9520"/>
          </w:cols>
          <w:pgMar w:left="1180" w:top="265" w:right="1199" w:bottom="1440" w:gutter="0" w:footer="0" w:header="0"/>
        </w:sectPr>
      </w:pPr>
    </w:p>
    <w:p>
      <w:pPr>
        <w:spacing w:after="0" w:line="93" w:lineRule="exact"/>
        <w:rPr>
          <w:sz w:val="20"/>
          <w:szCs w:val="20"/>
          <w:color w:val="auto"/>
        </w:rPr>
      </w:pPr>
    </w:p>
    <w:p>
      <w:pPr>
        <w:ind w:left="740"/>
        <w:spacing w:after="0"/>
        <w:rPr>
          <w:sz w:val="20"/>
          <w:szCs w:val="20"/>
          <w:color w:val="auto"/>
        </w:rPr>
      </w:pPr>
      <w:r>
        <w:rPr>
          <w:rFonts w:ascii="Arial" w:cs="Arial" w:eastAsia="Arial" w:hAnsi="Arial"/>
          <w:sz w:val="9"/>
          <w:szCs w:val="9"/>
          <w:color w:val="auto"/>
        </w:rPr>
        <w:t>○</w:t>
      </w:r>
    </w:p>
    <w:p>
      <w:pPr>
        <w:spacing w:after="0" w:line="207" w:lineRule="exact"/>
        <w:rPr>
          <w:sz w:val="20"/>
          <w:szCs w:val="20"/>
          <w:color w:val="auto"/>
        </w:rPr>
      </w:pPr>
    </w:p>
    <w:p>
      <w:pPr>
        <w:ind w:left="74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We began offsetting all carbon emissions from shipping packages to and from customers.</w:t>
      </w:r>
    </w:p>
    <w:p>
      <w:pPr>
        <w:spacing w:after="0" w:line="10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expanded our at-home pickup offering, which we believe can reduce the overall carbon emissions associated with our customer returns, as it consolidates the return process.</w:t>
      </w:r>
    </w:p>
    <w:p>
      <w:pPr>
        <w:spacing w:after="0" w:line="65" w:lineRule="exact"/>
        <w:rPr>
          <w:sz w:val="20"/>
          <w:szCs w:val="20"/>
          <w:color w:val="auto"/>
        </w:rPr>
      </w:pPr>
    </w:p>
    <w:p>
      <w:pPr>
        <w:sectPr>
          <w:pgSz w:w="11900" w:h="16838" w:orient="portrait"/>
          <w:cols w:equalWidth="0" w:num="2">
            <w:col w:w="800" w:space="300"/>
            <w:col w:w="8420"/>
          </w:cols>
          <w:pgMar w:left="1180" w:top="265" w:right="1199" w:bottom="1440" w:gutter="0" w:footer="0" w:header="0"/>
          <w:type w:val="continuous"/>
        </w:sectPr>
      </w:pPr>
    </w:p>
    <w:p>
      <w:pPr>
        <w:ind w:left="1100" w:hanging="359"/>
        <w:spacing w:after="0" w:line="225" w:lineRule="auto"/>
        <w:tabs>
          <w:tab w:leader="none" w:pos="110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We made enhancements to our cleaning processes that result in less wear and tear on our garments and reduce our use of water and cleaning solutions as compared to prior years.</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Social Highlights</w:t>
      </w:r>
    </w:p>
    <w:p>
      <w:pPr>
        <w:spacing w:after="0" w:line="181" w:lineRule="exact"/>
        <w:rPr>
          <w:sz w:val="20"/>
          <w:szCs w:val="20"/>
          <w:color w:val="auto"/>
        </w:rPr>
      </w:pPr>
    </w:p>
    <w:p>
      <w:pPr>
        <w:ind w:left="740" w:right="640" w:hanging="359"/>
        <w:spacing w:after="0" w:line="239"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RTR equalized leave benefits across all full-time hourly and salaried U.S. employees on our corporate, customer experience, and warehouse teams in 2018, including parental leave, family paid sick leave, bereavement leave, and sabbatical benefits.</w:t>
      </w:r>
    </w:p>
    <w:p>
      <w:pPr>
        <w:spacing w:after="0" w:line="1" w:lineRule="exact"/>
        <w:rPr>
          <w:rFonts w:ascii="Arial" w:cs="Arial" w:eastAsia="Arial" w:hAnsi="Arial"/>
          <w:sz w:val="18"/>
          <w:szCs w:val="18"/>
          <w:color w:val="auto"/>
        </w:rPr>
      </w:pPr>
    </w:p>
    <w:p>
      <w:pPr>
        <w:ind w:left="740" w:right="180" w:hanging="359"/>
        <w:spacing w:after="0" w:line="23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fiscal year 2022, we estimate that we spent $1.76 million with Black designers and a total of $7.5 million with racial and ethnic minority designers. We estimate that we have invested more than $4.9 million in rental product purchases to support Black-owned businesses since June 2020. We continue to prioritize identifying new Black designers as well as deepen relationships with our existing Black designers.</w:t>
      </w:r>
    </w:p>
    <w:p>
      <w:pPr>
        <w:spacing w:after="0" w:line="2" w:lineRule="exact"/>
        <w:rPr>
          <w:rFonts w:ascii="Arial" w:cs="Arial" w:eastAsia="Arial" w:hAnsi="Arial"/>
          <w:sz w:val="18"/>
          <w:szCs w:val="18"/>
          <w:color w:val="auto"/>
        </w:rPr>
      </w:pPr>
    </w:p>
    <w:p>
      <w:pPr>
        <w:ind w:left="740" w:right="40" w:hanging="359"/>
        <w:spacing w:after="0" w:line="246"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estimate that we increased the penetration of racial and ethnic minority designers featured on our platform from 4% of brands in the fall of 2020 to 15% in the fall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202565</wp:posOffset>
            </wp:positionV>
            <wp:extent cx="4260215" cy="2057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6021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159385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Corporate Governance</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Key Highlights</w:t>
      </w:r>
    </w:p>
    <w:p>
      <w:pPr>
        <w:spacing w:after="0" w:line="176" w:lineRule="exact"/>
        <w:rPr>
          <w:sz w:val="20"/>
          <w:szCs w:val="20"/>
          <w:color w:val="auto"/>
        </w:rPr>
      </w:pPr>
    </w:p>
    <w:p>
      <w:pPr>
        <w:jc w:val="both"/>
        <w:ind w:left="20" w:right="480"/>
        <w:spacing w:after="0" w:line="289" w:lineRule="auto"/>
        <w:rPr>
          <w:sz w:val="20"/>
          <w:szCs w:val="20"/>
          <w:color w:val="auto"/>
        </w:rPr>
      </w:pPr>
      <w:r>
        <w:rPr>
          <w:rFonts w:ascii="Arial" w:cs="Arial" w:eastAsia="Arial" w:hAnsi="Arial"/>
          <w:sz w:val="17"/>
          <w:szCs w:val="17"/>
          <w:color w:val="auto"/>
        </w:rPr>
        <w:t>We carefully consider our corporate governance practices and believe that they are appropriately tailored to our business and promote the long-term interests of our stockholders. Our corporate governance practices include:</w:t>
      </w:r>
    </w:p>
    <w:p>
      <w:pPr>
        <w:spacing w:after="0" w:line="123" w:lineRule="exact"/>
        <w:rPr>
          <w:sz w:val="20"/>
          <w:szCs w:val="20"/>
          <w:color w:val="auto"/>
        </w:rPr>
      </w:pPr>
    </w:p>
    <w:p>
      <w:pPr>
        <w:ind w:left="740" w:hanging="359"/>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directors on the Board are independent, except for our CEO</w:t>
      </w:r>
    </w:p>
    <w:p>
      <w:pPr>
        <w:spacing w:after="0" w:line="7"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of our committee members are independent</w:t>
      </w:r>
    </w:p>
    <w:p>
      <w:pPr>
        <w:ind w:left="740" w:hanging="359"/>
        <w:spacing w:after="0" w:line="234"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Regular executive sessions of independent directors</w:t>
      </w:r>
    </w:p>
    <w:p>
      <w:pPr>
        <w:ind w:left="740" w:hanging="359"/>
        <w:spacing w:after="0" w:line="234"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Board comprised of sophisticated, engaged directors with diverse relevant expertise</w:t>
      </w:r>
    </w:p>
    <w:p>
      <w:pPr>
        <w:ind w:left="740" w:hanging="359"/>
        <w:spacing w:after="0" w:line="234"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Board and committees with an active role in risk management oversight</w:t>
      </w:r>
    </w:p>
    <w:p>
      <w:pPr>
        <w:ind w:left="740" w:hanging="359"/>
        <w:spacing w:after="0" w:line="234"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Robust code of conduct applicable to directors, officers, and employees</w:t>
      </w:r>
    </w:p>
    <w:p>
      <w:pPr>
        <w:ind w:left="740" w:hanging="359"/>
        <w:spacing w:after="0" w:line="234"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Periodic Board and committee self-evaluations</w:t>
      </w:r>
    </w:p>
    <w:p>
      <w:pPr>
        <w:ind w:left="740" w:hanging="359"/>
        <w:spacing w:after="0" w:line="234"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Periodic reviews of our corporate governance structure, including committee charters, corporate governance guidelines, and code of conduct, to ensure they are appropriate for a company of our stage of development and market size</w:t>
      </w:r>
    </w:p>
    <w:p>
      <w:pPr>
        <w:spacing w:after="0" w:line="2" w:lineRule="exact"/>
        <w:rPr>
          <w:rFonts w:ascii="Arial" w:cs="Arial" w:eastAsia="Arial" w:hAnsi="Arial"/>
          <w:sz w:val="18"/>
          <w:szCs w:val="18"/>
          <w:color w:val="auto"/>
        </w:rPr>
      </w:pPr>
    </w:p>
    <w:p>
      <w:pPr>
        <w:ind w:left="740" w:right="20" w:hanging="359"/>
        <w:spacing w:after="0" w:line="246"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Policy of no pledging without prior Board approval and no hedging of RTR shares for current employees and directors</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180" w:top="265" w:right="135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64"/>
          <w:szCs w:val="64"/>
          <w:b w:val="1"/>
          <w:bCs w:val="1"/>
          <w:color w:val="auto"/>
        </w:rPr>
        <w:t>Voting and Meeting Information</w:t>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the purpose of this proxy statement?</w:t>
      </w:r>
    </w:p>
    <w:p>
      <w:pPr>
        <w:spacing w:after="0" w:line="176" w:lineRule="exact"/>
        <w:rPr>
          <w:sz w:val="20"/>
          <w:szCs w:val="20"/>
          <w:color w:val="auto"/>
        </w:rPr>
      </w:pPr>
    </w:p>
    <w:p>
      <w:pPr>
        <w:ind w:left="20" w:right="180"/>
        <w:spacing w:after="0" w:line="243" w:lineRule="auto"/>
        <w:rPr>
          <w:sz w:val="20"/>
          <w:szCs w:val="20"/>
          <w:color w:val="auto"/>
        </w:rPr>
      </w:pPr>
      <w:r>
        <w:rPr>
          <w:rFonts w:ascii="Arial" w:cs="Arial" w:eastAsia="Arial" w:hAnsi="Arial"/>
          <w:sz w:val="18"/>
          <w:szCs w:val="18"/>
          <w:color w:val="auto"/>
        </w:rPr>
        <w:t>We are sending you this proxy statement because the Board of Directors of Rent the Runway is inviting you to vote (by soliciting your proxy) at our Annual Meeting of Stockholders on July 12, 2023 at 9:00 a.m., Eastern Time. This proxy statement summarizes information that is intended to assist you in making an informed vote on the proposals described in this proxy statement.</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Who is entitled to vote at the Annual Meeting?</w:t>
      </w:r>
    </w:p>
    <w:p>
      <w:pPr>
        <w:spacing w:after="0" w:line="190" w:lineRule="exact"/>
        <w:rPr>
          <w:sz w:val="20"/>
          <w:szCs w:val="20"/>
          <w:color w:val="auto"/>
        </w:rPr>
      </w:pPr>
    </w:p>
    <w:p>
      <w:pPr>
        <w:ind w:left="20" w:right="180"/>
        <w:spacing w:after="0" w:line="247" w:lineRule="auto"/>
        <w:rPr>
          <w:sz w:val="20"/>
          <w:szCs w:val="20"/>
          <w:color w:val="auto"/>
        </w:rPr>
      </w:pPr>
      <w:r>
        <w:rPr>
          <w:rFonts w:ascii="Arial" w:cs="Arial" w:eastAsia="Arial" w:hAnsi="Arial"/>
          <w:sz w:val="18"/>
          <w:szCs w:val="18"/>
          <w:color w:val="auto"/>
        </w:rPr>
        <w:t>Stockholders as of the close of business on May 18, 2023, the record date, are entitled to attend and vote at the Annual Meeting. There were approximately 64,082,703 shares of Class A common stock and 3,085,148 shares of Class B common stock outstanding on May 18, 2023 entitled to vote.</w:t>
      </w:r>
    </w:p>
    <w:p>
      <w:pPr>
        <w:spacing w:after="0" w:line="144" w:lineRule="exact"/>
        <w:rPr>
          <w:sz w:val="20"/>
          <w:szCs w:val="20"/>
          <w:color w:val="auto"/>
        </w:rPr>
      </w:pPr>
    </w:p>
    <w:p>
      <w:pPr>
        <w:ind w:left="20" w:right="500"/>
        <w:spacing w:after="0" w:line="269" w:lineRule="auto"/>
        <w:rPr>
          <w:sz w:val="20"/>
          <w:szCs w:val="20"/>
          <w:color w:val="auto"/>
        </w:rPr>
      </w:pPr>
      <w:r>
        <w:rPr>
          <w:rFonts w:ascii="Arial" w:cs="Arial" w:eastAsia="Arial" w:hAnsi="Arial"/>
          <w:sz w:val="17"/>
          <w:szCs w:val="17"/>
          <w:color w:val="auto"/>
        </w:rPr>
        <w:t>The meeting webcast will begin promptly at 9:00 a.m., Eastern Time, and will be accessible at www.virtualshareholdermeeting.com/RENT2023. We encourage you to access the meeting prior to the start time. Online check-in will begin at 8:45 a.m., Eastern Time, and you should allow ample time for the check-in procedures.</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per share do I have?</w:t>
      </w:r>
    </w:p>
    <w:p>
      <w:pPr>
        <w:spacing w:after="0" w:line="190" w:lineRule="exact"/>
        <w:rPr>
          <w:sz w:val="20"/>
          <w:szCs w:val="20"/>
          <w:color w:val="auto"/>
        </w:rPr>
      </w:pPr>
    </w:p>
    <w:p>
      <w:pPr>
        <w:ind w:left="20" w:right="220"/>
        <w:spacing w:after="0" w:line="247" w:lineRule="auto"/>
        <w:rPr>
          <w:sz w:val="20"/>
          <w:szCs w:val="20"/>
          <w:color w:val="auto"/>
        </w:rPr>
      </w:pPr>
      <w:r>
        <w:rPr>
          <w:rFonts w:ascii="Arial" w:cs="Arial" w:eastAsia="Arial" w:hAnsi="Arial"/>
          <w:sz w:val="18"/>
          <w:szCs w:val="18"/>
          <w:color w:val="auto"/>
        </w:rPr>
        <w:t>Each share of our Class A common stock has one vote per share and each share of our Class B common stock has twenty votes per share. Our Class A and Class B common stock will vote together as a single class on all matters to be voted upon at the annual meeting.</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do I vote in advance of the meeting?</w:t>
      </w:r>
    </w:p>
    <w:p>
      <w:pPr>
        <w:spacing w:after="0" w:line="176" w:lineRule="exact"/>
        <w:rPr>
          <w:sz w:val="20"/>
          <w:szCs w:val="20"/>
          <w:color w:val="auto"/>
        </w:rPr>
      </w:pPr>
    </w:p>
    <w:p>
      <w:pPr>
        <w:ind w:left="20" w:right="280"/>
        <w:spacing w:after="0" w:line="247" w:lineRule="auto"/>
        <w:rPr>
          <w:sz w:val="20"/>
          <w:szCs w:val="20"/>
          <w:color w:val="auto"/>
        </w:rPr>
      </w:pPr>
      <w:r>
        <w:rPr>
          <w:rFonts w:ascii="Arial" w:cs="Arial" w:eastAsia="Arial" w:hAnsi="Arial"/>
          <w:sz w:val="18"/>
          <w:szCs w:val="18"/>
          <w:color w:val="auto"/>
        </w:rPr>
        <w:t>If, on May 18, 2023, your Rent the Runway shares were registered directly in your name with our transfer agent, American Stock Transfer &amp; Trust Company, LLC, then you are a stockholder of record and you can vote your shares in one of two ways: either by proxy or during the virtual Annual Meeting electronically.</w:t>
      </w:r>
    </w:p>
    <w:p>
      <w:pPr>
        <w:spacing w:after="0" w:line="157" w:lineRule="exact"/>
        <w:rPr>
          <w:sz w:val="20"/>
          <w:szCs w:val="20"/>
          <w:color w:val="auto"/>
        </w:rPr>
      </w:pPr>
    </w:p>
    <w:p>
      <w:pPr>
        <w:ind w:left="20" w:right="220"/>
        <w:spacing w:after="0" w:line="247" w:lineRule="auto"/>
        <w:rPr>
          <w:sz w:val="20"/>
          <w:szCs w:val="20"/>
          <w:color w:val="auto"/>
        </w:rPr>
      </w:pPr>
      <w:r>
        <w:rPr>
          <w:rFonts w:ascii="Arial" w:cs="Arial" w:eastAsia="Arial" w:hAnsi="Arial"/>
          <w:sz w:val="18"/>
          <w:szCs w:val="18"/>
          <w:color w:val="auto"/>
        </w:rPr>
        <w:t>If, on May 18, 2023, your shares were held in “street name” through a bank or broker, you will receive instructions on how to vote from the bank or broker. You must follow their instructions in order for your shares to be voted. Internet and telephone voting also may be offered to stockholders owning shares through certain banks and brokers.</w:t>
      </w:r>
    </w:p>
    <w:p>
      <w:pPr>
        <w:spacing w:after="0" w:line="144" w:lineRule="exact"/>
        <w:rPr>
          <w:sz w:val="20"/>
          <w:szCs w:val="20"/>
          <w:color w:val="auto"/>
        </w:rPr>
      </w:pPr>
    </w:p>
    <w:p>
      <w:pPr>
        <w:ind w:left="20" w:right="220"/>
        <w:spacing w:after="0" w:line="239" w:lineRule="auto"/>
        <w:rPr>
          <w:sz w:val="20"/>
          <w:szCs w:val="20"/>
          <w:color w:val="auto"/>
        </w:rPr>
      </w:pPr>
      <w:r>
        <w:rPr>
          <w:rFonts w:ascii="Arial" w:cs="Arial" w:eastAsia="Arial" w:hAnsi="Arial"/>
          <w:sz w:val="18"/>
          <w:szCs w:val="18"/>
          <w:color w:val="auto"/>
        </w:rPr>
        <w:t>Internet and telephone voting also may be offered to stockholders owning shares through certain banks and brokers. If your shares are held in “street name,” you may visit www.proxyvote.com and enter the 16-digit control number included in the Internet Notice or voting instruction card provided to you by your bank or brokerage firm. If you hold your shares in street name and you did not receive a 16-digit control number, you may need to log in to your bank or brokerage firm’s website to access the meeting and vote. Instructions should also be provided on the Internet Notice or voting instruction card provided by your bank or brokerage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37465</wp:posOffset>
            </wp:positionV>
            <wp:extent cx="603504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5040" cy="265430"/>
                    </a:xfrm>
                    <a:prstGeom prst="rect">
                      <a:avLst/>
                    </a:prstGeom>
                    <a:noFill/>
                  </pic:spPr>
                </pic:pic>
              </a:graphicData>
            </a:graphic>
          </wp:anchor>
        </w:drawing>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0" w:type="dxa"/>
            <w:vAlign w:val="bottom"/>
          </w:tcPr>
          <w:p>
            <w:pPr>
              <w:spacing w:after="0"/>
              <w:rPr>
                <w:sz w:val="20"/>
                <w:szCs w:val="20"/>
                <w:color w:val="auto"/>
              </w:rPr>
            </w:pPr>
            <w:r>
              <w:rPr>
                <w:rFonts w:ascii="Arial" w:cs="Arial" w:eastAsia="Arial" w:hAnsi="Arial"/>
                <w:sz w:val="4"/>
                <w:szCs w:val="4"/>
                <w:color w:val="auto"/>
              </w:rPr>
              <w:t>​</w:t>
            </w:r>
          </w:p>
        </w:tc>
        <w:tc>
          <w:tcPr>
            <w:tcW w:w="9240" w:type="dxa"/>
            <w:vAlign w:val="bottom"/>
            <w:gridSpan w:val="4"/>
          </w:tcPr>
          <w:p>
            <w:pPr>
              <w:ind w:left="80"/>
              <w:spacing w:after="0"/>
              <w:rPr>
                <w:sz w:val="20"/>
                <w:szCs w:val="20"/>
                <w:color w:val="auto"/>
              </w:rPr>
            </w:pPr>
            <w:r>
              <w:rPr>
                <w:rFonts w:ascii="Arial" w:cs="Arial" w:eastAsia="Arial" w:hAnsi="Arial"/>
                <w:sz w:val="14"/>
                <w:szCs w:val="14"/>
                <w:b w:val="1"/>
                <w:bCs w:val="1"/>
                <w:color w:val="auto"/>
              </w:rPr>
              <w:t>If you choose to vote by proxy, you may do so:</w:t>
            </w:r>
          </w:p>
        </w:tc>
        <w:tc>
          <w:tcPr>
            <w:tcW w:w="180" w:type="dxa"/>
            <w:vAlign w:val="bottom"/>
          </w:tcPr>
          <w:p>
            <w:pPr>
              <w:ind w:left="80"/>
              <w:spacing w:after="0"/>
              <w:rPr>
                <w:sz w:val="20"/>
                <w:szCs w:val="20"/>
                <w:color w:val="auto"/>
              </w:rPr>
            </w:pPr>
            <w:r>
              <w:rPr>
                <w:rFonts w:ascii="Arial" w:cs="Arial" w:eastAsia="Arial" w:hAnsi="Arial"/>
                <w:sz w:val="4"/>
                <w:szCs w:val="4"/>
                <w:color w:val="auto"/>
              </w:rPr>
              <w:t>​</w:t>
            </w:r>
          </w:p>
        </w:tc>
      </w:tr>
      <w:tr>
        <w:trPr>
          <w:trHeight w:val="193"/>
        </w:trPr>
        <w:tc>
          <w:tcPr>
            <w:tcW w:w="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295"/>
        </w:trPr>
        <w:tc>
          <w:tcPr>
            <w:tcW w:w="80" w:type="dxa"/>
            <w:vAlign w:val="bottom"/>
          </w:tcPr>
          <w:p>
            <w:pPr>
              <w:spacing w:after="0"/>
              <w:rPr>
                <w:sz w:val="20"/>
                <w:szCs w:val="20"/>
                <w:color w:val="auto"/>
              </w:rPr>
            </w:pPr>
            <w:r>
              <w:rPr>
                <w:rFonts w:ascii="Arial" w:cs="Arial" w:eastAsia="Arial" w:hAnsi="Arial"/>
                <w:sz w:val="4"/>
                <w:szCs w:val="4"/>
                <w:color w:val="auto"/>
              </w:rPr>
              <w:t>​</w:t>
            </w:r>
          </w:p>
        </w:tc>
        <w:tc>
          <w:tcPr>
            <w:tcW w:w="1580" w:type="dxa"/>
            <w:vAlign w:val="bottom"/>
          </w:tcPr>
          <w:p>
            <w:pPr>
              <w:ind w:left="80"/>
              <w:spacing w:after="0"/>
              <w:rPr>
                <w:sz w:val="20"/>
                <w:szCs w:val="20"/>
                <w:color w:val="auto"/>
              </w:rPr>
            </w:pPr>
            <w:r>
              <w:rPr>
                <w:rFonts w:ascii="Arial" w:cs="Arial" w:eastAsia="Arial" w:hAnsi="Arial"/>
                <w:sz w:val="14"/>
                <w:szCs w:val="14"/>
                <w:color w:val="auto"/>
              </w:rPr>
              <w:t>By Internet</w:t>
            </w:r>
          </w:p>
        </w:tc>
        <w:tc>
          <w:tcPr>
            <w:tcW w:w="660" w:type="dxa"/>
            <w:vAlign w:val="bottom"/>
          </w:tcPr>
          <w:p>
            <w:pPr>
              <w:ind w:left="60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6880" w:type="dxa"/>
            <w:vAlign w:val="bottom"/>
          </w:tcPr>
          <w:p>
            <w:pPr>
              <w:ind w:left="40"/>
              <w:spacing w:after="0"/>
              <w:rPr>
                <w:sz w:val="20"/>
                <w:szCs w:val="20"/>
                <w:color w:val="auto"/>
              </w:rPr>
            </w:pPr>
            <w:r>
              <w:rPr>
                <w:rFonts w:ascii="Arial" w:cs="Arial" w:eastAsia="Arial" w:hAnsi="Arial"/>
                <w:sz w:val="14"/>
                <w:szCs w:val="14"/>
                <w:color w:val="auto"/>
              </w:rPr>
              <w:t>You can vote over the internet at www.proxyvote.com by following the instructions on the Internet Notice or</w:t>
            </w:r>
          </w:p>
        </w:tc>
        <w:tc>
          <w:tcPr>
            <w:tcW w:w="180" w:type="dxa"/>
            <w:vAlign w:val="bottom"/>
          </w:tcPr>
          <w:p>
            <w:pPr>
              <w:ind w:left="80"/>
              <w:spacing w:after="0"/>
              <w:rPr>
                <w:sz w:val="20"/>
                <w:szCs w:val="20"/>
                <w:color w:val="auto"/>
              </w:rPr>
            </w:pPr>
            <w:r>
              <w:rPr>
                <w:rFonts w:ascii="Arial" w:cs="Arial" w:eastAsia="Arial" w:hAnsi="Arial"/>
                <w:sz w:val="4"/>
                <w:szCs w:val="4"/>
                <w:color w:val="auto"/>
              </w:rPr>
              <w:t>​</w:t>
            </w:r>
          </w:p>
        </w:tc>
      </w:tr>
      <w:tr>
        <w:trPr>
          <w:trHeight w:val="182"/>
        </w:trPr>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80" w:type="dxa"/>
            <w:vAlign w:val="bottom"/>
          </w:tcPr>
          <w:p>
            <w:pPr>
              <w:ind w:left="40"/>
              <w:spacing w:after="0"/>
              <w:rPr>
                <w:sz w:val="20"/>
                <w:szCs w:val="20"/>
                <w:color w:val="auto"/>
              </w:rPr>
            </w:pPr>
            <w:r>
              <w:rPr>
                <w:rFonts w:ascii="Arial" w:cs="Arial" w:eastAsia="Arial" w:hAnsi="Arial"/>
                <w:sz w:val="14"/>
                <w:szCs w:val="14"/>
                <w:color w:val="auto"/>
              </w:rPr>
              <w:t>proxy card;</w:t>
            </w:r>
          </w:p>
        </w:tc>
        <w:tc>
          <w:tcPr>
            <w:tcW w:w="180" w:type="dxa"/>
            <w:vAlign w:val="bottom"/>
          </w:tcPr>
          <w:p>
            <w:pPr>
              <w:spacing w:after="0"/>
              <w:rPr>
                <w:sz w:val="15"/>
                <w:szCs w:val="15"/>
                <w:color w:val="auto"/>
              </w:rPr>
            </w:pPr>
          </w:p>
        </w:tc>
      </w:tr>
      <w:tr>
        <w:trPr>
          <w:trHeight w:val="110"/>
        </w:trPr>
        <w:tc>
          <w:tcPr>
            <w:tcW w:w="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r>
      <w:tr>
        <w:trPr>
          <w:trHeight w:val="290"/>
        </w:trPr>
        <w:tc>
          <w:tcPr>
            <w:tcW w:w="80" w:type="dxa"/>
            <w:vAlign w:val="bottom"/>
          </w:tcPr>
          <w:p>
            <w:pPr>
              <w:spacing w:after="0"/>
              <w:rPr>
                <w:sz w:val="20"/>
                <w:szCs w:val="20"/>
                <w:color w:val="auto"/>
              </w:rPr>
            </w:pPr>
            <w:r>
              <w:rPr>
                <w:rFonts w:ascii="Arial" w:cs="Arial" w:eastAsia="Arial" w:hAnsi="Arial"/>
                <w:sz w:val="4"/>
                <w:szCs w:val="4"/>
                <w:color w:val="auto"/>
              </w:rPr>
              <w:t>​</w:t>
            </w:r>
          </w:p>
        </w:tc>
        <w:tc>
          <w:tcPr>
            <w:tcW w:w="1580" w:type="dxa"/>
            <w:vAlign w:val="bottom"/>
          </w:tcPr>
          <w:p>
            <w:pPr>
              <w:ind w:left="80"/>
              <w:spacing w:after="0"/>
              <w:rPr>
                <w:sz w:val="20"/>
                <w:szCs w:val="20"/>
                <w:color w:val="auto"/>
              </w:rPr>
            </w:pPr>
            <w:r>
              <w:rPr>
                <w:rFonts w:ascii="Arial" w:cs="Arial" w:eastAsia="Arial" w:hAnsi="Arial"/>
                <w:sz w:val="14"/>
                <w:szCs w:val="14"/>
                <w:color w:val="auto"/>
              </w:rPr>
              <w:t>By Telephone</w:t>
            </w:r>
          </w:p>
        </w:tc>
        <w:tc>
          <w:tcPr>
            <w:tcW w:w="660" w:type="dxa"/>
            <w:vAlign w:val="bottom"/>
          </w:tcPr>
          <w:p>
            <w:pPr>
              <w:ind w:left="60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6880" w:type="dxa"/>
            <w:vAlign w:val="bottom"/>
          </w:tcPr>
          <w:p>
            <w:pPr>
              <w:ind w:left="40"/>
              <w:spacing w:after="0"/>
              <w:rPr>
                <w:sz w:val="20"/>
                <w:szCs w:val="20"/>
                <w:color w:val="auto"/>
              </w:rPr>
            </w:pPr>
            <w:r>
              <w:rPr>
                <w:rFonts w:ascii="Arial" w:cs="Arial" w:eastAsia="Arial" w:hAnsi="Arial"/>
                <w:sz w:val="14"/>
                <w:szCs w:val="14"/>
                <w:color w:val="auto"/>
              </w:rPr>
              <w:t>You can vote by telephone by calling toll-free 1-800-690-6903 and following the instructions on the Internet</w:t>
            </w:r>
          </w:p>
        </w:tc>
        <w:tc>
          <w:tcPr>
            <w:tcW w:w="180" w:type="dxa"/>
            <w:vAlign w:val="bottom"/>
          </w:tcPr>
          <w:p>
            <w:pPr>
              <w:ind w:left="80"/>
              <w:spacing w:after="0"/>
              <w:rPr>
                <w:sz w:val="20"/>
                <w:szCs w:val="20"/>
                <w:color w:val="auto"/>
              </w:rPr>
            </w:pPr>
            <w:r>
              <w:rPr>
                <w:rFonts w:ascii="Arial" w:cs="Arial" w:eastAsia="Arial" w:hAnsi="Arial"/>
                <w:sz w:val="4"/>
                <w:szCs w:val="4"/>
                <w:color w:val="auto"/>
              </w:rPr>
              <w:t>​</w:t>
            </w:r>
          </w:p>
        </w:tc>
      </w:tr>
      <w:tr>
        <w:trPr>
          <w:trHeight w:val="182"/>
        </w:trPr>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80" w:type="dxa"/>
            <w:vAlign w:val="bottom"/>
          </w:tcPr>
          <w:p>
            <w:pPr>
              <w:ind w:left="40"/>
              <w:spacing w:after="0"/>
              <w:rPr>
                <w:sz w:val="20"/>
                <w:szCs w:val="20"/>
                <w:color w:val="auto"/>
              </w:rPr>
            </w:pPr>
            <w:r>
              <w:rPr>
                <w:rFonts w:ascii="Arial" w:cs="Arial" w:eastAsia="Arial" w:hAnsi="Arial"/>
                <w:sz w:val="14"/>
                <w:szCs w:val="14"/>
                <w:color w:val="auto"/>
              </w:rPr>
              <w:t>Notice or proxy card; or</w:t>
            </w:r>
          </w:p>
        </w:tc>
        <w:tc>
          <w:tcPr>
            <w:tcW w:w="180" w:type="dxa"/>
            <w:vAlign w:val="bottom"/>
          </w:tcPr>
          <w:p>
            <w:pPr>
              <w:spacing w:after="0"/>
              <w:rPr>
                <w:sz w:val="15"/>
                <w:szCs w:val="15"/>
                <w:color w:val="auto"/>
              </w:rPr>
            </w:pPr>
          </w:p>
        </w:tc>
      </w:tr>
      <w:tr>
        <w:trPr>
          <w:trHeight w:val="101"/>
        </w:trPr>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r>
        <w:trPr>
          <w:trHeight w:val="291"/>
        </w:trPr>
        <w:tc>
          <w:tcPr>
            <w:tcW w:w="80" w:type="dxa"/>
            <w:vAlign w:val="bottom"/>
          </w:tcPr>
          <w:p>
            <w:pPr>
              <w:spacing w:after="0"/>
              <w:rPr>
                <w:sz w:val="20"/>
                <w:szCs w:val="20"/>
                <w:color w:val="auto"/>
              </w:rPr>
            </w:pPr>
            <w:r>
              <w:rPr>
                <w:rFonts w:ascii="Arial" w:cs="Arial" w:eastAsia="Arial" w:hAnsi="Arial"/>
                <w:sz w:val="4"/>
                <w:szCs w:val="4"/>
                <w:color w:val="auto"/>
              </w:rPr>
              <w:t>​</w:t>
            </w:r>
          </w:p>
        </w:tc>
        <w:tc>
          <w:tcPr>
            <w:tcW w:w="1580" w:type="dxa"/>
            <w:vAlign w:val="bottom"/>
          </w:tcPr>
          <w:p>
            <w:pPr>
              <w:ind w:left="80"/>
              <w:spacing w:after="0"/>
              <w:rPr>
                <w:sz w:val="20"/>
                <w:szCs w:val="20"/>
                <w:color w:val="auto"/>
              </w:rPr>
            </w:pPr>
            <w:r>
              <w:rPr>
                <w:rFonts w:ascii="Arial" w:cs="Arial" w:eastAsia="Arial" w:hAnsi="Arial"/>
                <w:sz w:val="14"/>
                <w:szCs w:val="14"/>
                <w:color w:val="auto"/>
              </w:rPr>
              <w:t>By Mail</w:t>
            </w:r>
          </w:p>
        </w:tc>
        <w:tc>
          <w:tcPr>
            <w:tcW w:w="660" w:type="dxa"/>
            <w:vAlign w:val="bottom"/>
          </w:tcPr>
          <w:p>
            <w:pPr>
              <w:ind w:left="60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6880" w:type="dxa"/>
            <w:vAlign w:val="bottom"/>
          </w:tcPr>
          <w:p>
            <w:pPr>
              <w:ind w:left="40"/>
              <w:spacing w:after="0"/>
              <w:rPr>
                <w:sz w:val="20"/>
                <w:szCs w:val="20"/>
                <w:color w:val="auto"/>
              </w:rPr>
            </w:pPr>
            <w:r>
              <w:rPr>
                <w:rFonts w:ascii="Arial" w:cs="Arial" w:eastAsia="Arial" w:hAnsi="Arial"/>
                <w:sz w:val="14"/>
                <w:szCs w:val="14"/>
                <w:color w:val="auto"/>
              </w:rPr>
              <w:t>You can vote by mail by signing, dating, and mailing the proxy card (if you received one by mail) to Vote</w:t>
            </w:r>
          </w:p>
        </w:tc>
        <w:tc>
          <w:tcPr>
            <w:tcW w:w="180" w:type="dxa"/>
            <w:vAlign w:val="bottom"/>
          </w:tcPr>
          <w:p>
            <w:pPr>
              <w:ind w:left="80"/>
              <w:spacing w:after="0"/>
              <w:rPr>
                <w:sz w:val="20"/>
                <w:szCs w:val="20"/>
                <w:color w:val="auto"/>
              </w:rPr>
            </w:pPr>
            <w:r>
              <w:rPr>
                <w:rFonts w:ascii="Arial" w:cs="Arial" w:eastAsia="Arial" w:hAnsi="Arial"/>
                <w:sz w:val="4"/>
                <w:szCs w:val="4"/>
                <w:color w:val="auto"/>
              </w:rPr>
              <w:t>​</w:t>
            </w:r>
          </w:p>
        </w:tc>
      </w:tr>
      <w:tr>
        <w:trPr>
          <w:trHeight w:val="182"/>
        </w:trPr>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80" w:type="dxa"/>
            <w:vAlign w:val="bottom"/>
          </w:tcPr>
          <w:p>
            <w:pPr>
              <w:ind w:left="40"/>
              <w:spacing w:after="0"/>
              <w:rPr>
                <w:sz w:val="20"/>
                <w:szCs w:val="20"/>
                <w:color w:val="auto"/>
              </w:rPr>
            </w:pPr>
            <w:r>
              <w:rPr>
                <w:rFonts w:ascii="Arial" w:cs="Arial" w:eastAsia="Arial" w:hAnsi="Arial"/>
                <w:sz w:val="14"/>
                <w:szCs w:val="14"/>
                <w:color w:val="auto"/>
              </w:rPr>
              <w:t>Processing, c/o Broadridge, 51 Mercedes Way, Edgewood, NY 11717.</w:t>
            </w:r>
          </w:p>
        </w:tc>
        <w:tc>
          <w:tcPr>
            <w:tcW w:w="180" w:type="dxa"/>
            <w:vAlign w:val="bottom"/>
          </w:tcPr>
          <w:p>
            <w:pPr>
              <w:spacing w:after="0"/>
              <w:rPr>
                <w:sz w:val="15"/>
                <w:szCs w:val="15"/>
                <w:color w:val="auto"/>
              </w:rPr>
            </w:pPr>
          </w:p>
        </w:tc>
      </w:tr>
      <w:tr>
        <w:trPr>
          <w:trHeight w:val="34"/>
        </w:trPr>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bl>
    <w:p>
      <w:pPr>
        <w:spacing w:after="0" w:line="31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00"/>
          </w:cols>
          <w:pgMar w:left="1180" w:top="265" w:right="10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ask questions at the Annual Meeting?</w:t>
      </w:r>
    </w:p>
    <w:p>
      <w:pPr>
        <w:spacing w:after="0" w:line="190" w:lineRule="exact"/>
        <w:rPr>
          <w:sz w:val="20"/>
          <w:szCs w:val="20"/>
          <w:color w:val="auto"/>
        </w:rPr>
      </w:pPr>
    </w:p>
    <w:p>
      <w:pPr>
        <w:ind w:left="20" w:right="180"/>
        <w:spacing w:after="0" w:line="247" w:lineRule="auto"/>
        <w:rPr>
          <w:sz w:val="20"/>
          <w:szCs w:val="20"/>
          <w:color w:val="auto"/>
        </w:rPr>
      </w:pPr>
      <w:r>
        <w:rPr>
          <w:rFonts w:ascii="Arial" w:cs="Arial" w:eastAsia="Arial" w:hAnsi="Arial"/>
          <w:sz w:val="18"/>
          <w:szCs w:val="18"/>
          <w:color w:val="auto"/>
        </w:rPr>
        <w:t>In order to ensure stockholders are afforded the same rights and opportunities to participate in the Annual Meeting as an in-person meeting, we will hold a live Q&amp;A session, during which we intend to answer questions submitted online during the meeting that are pertinent to the Company and the meeting matters.</w:t>
      </w:r>
    </w:p>
    <w:p>
      <w:pPr>
        <w:spacing w:after="0" w:line="144" w:lineRule="exact"/>
        <w:rPr>
          <w:sz w:val="20"/>
          <w:szCs w:val="20"/>
          <w:color w:val="auto"/>
        </w:rPr>
      </w:pPr>
    </w:p>
    <w:p>
      <w:pPr>
        <w:ind w:left="20" w:right="260"/>
        <w:spacing w:after="0" w:line="260" w:lineRule="auto"/>
        <w:rPr>
          <w:sz w:val="20"/>
          <w:szCs w:val="20"/>
          <w:color w:val="auto"/>
        </w:rPr>
      </w:pPr>
      <w:r>
        <w:rPr>
          <w:rFonts w:ascii="Arial" w:cs="Arial" w:eastAsia="Arial" w:hAnsi="Arial"/>
          <w:sz w:val="18"/>
          <w:szCs w:val="18"/>
          <w:color w:val="auto"/>
        </w:rPr>
        <w:t>Only stockholders of record as of the record date for the Annual Meeting and their proxy holders who have logged in using a 16-digit control number may submit questions or comments.</w:t>
      </w:r>
    </w:p>
    <w:p>
      <w:pPr>
        <w:spacing w:after="0" w:line="132" w:lineRule="exact"/>
        <w:rPr>
          <w:sz w:val="20"/>
          <w:szCs w:val="20"/>
          <w:color w:val="auto"/>
        </w:rPr>
      </w:pPr>
    </w:p>
    <w:p>
      <w:pPr>
        <w:ind w:left="20" w:right="480"/>
        <w:spacing w:after="0" w:line="289" w:lineRule="auto"/>
        <w:rPr>
          <w:sz w:val="20"/>
          <w:szCs w:val="20"/>
          <w:color w:val="auto"/>
        </w:rPr>
      </w:pPr>
      <w:r>
        <w:rPr>
          <w:rFonts w:ascii="Arial" w:cs="Arial" w:eastAsia="Arial" w:hAnsi="Arial"/>
          <w:sz w:val="17"/>
          <w:szCs w:val="17"/>
          <w:color w:val="auto"/>
        </w:rPr>
        <w:t>You will be able to ask questions by joining the virtual Annual Meeting at www.virtualshareholdermeeting.com/RENT2023 and typing your question in the box in the Annual Meeting portal.</w:t>
      </w:r>
    </w:p>
    <w:p>
      <w:pPr>
        <w:spacing w:after="0" w:line="123"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To help ensure that we have a productive and efficient meeting, and in fairness to all stockholders in attendance, you will also find posted our rules of conduct for the Annual Meeting when you log in prior to its start. In accordance with the rules of conduct, we ask that you limit your remarks to one brief question or comment that is relevant to the Annual Meeting or Rent the Runway’s business and that remarks are respectful of your fellow stockholders and meeting participants. Questions may be grouped by topic by Rent the Runway’s management with a representative question read aloud and answered. In addition, questions may be deemed to be out of order if they are, among other things, irrelevant to our business, repetitious of statements already made, or in furtherance of the speaker’s own personal, political, or business interests. Questions will be addressed in the Q&amp;A portion of the Annual Meeting.</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need technical assistance accessing or participating in the virtual Annual Meeting?</w:t>
      </w:r>
    </w:p>
    <w:p>
      <w:pPr>
        <w:spacing w:after="0" w:line="176" w:lineRule="exact"/>
        <w:rPr>
          <w:sz w:val="20"/>
          <w:szCs w:val="20"/>
          <w:color w:val="auto"/>
        </w:rPr>
      </w:pPr>
    </w:p>
    <w:p>
      <w:pPr>
        <w:jc w:val="both"/>
        <w:ind w:left="20" w:right="240"/>
        <w:spacing w:after="0" w:line="247" w:lineRule="auto"/>
        <w:rPr>
          <w:sz w:val="20"/>
          <w:szCs w:val="20"/>
          <w:color w:val="auto"/>
        </w:rPr>
      </w:pPr>
      <w:r>
        <w:rPr>
          <w:rFonts w:ascii="Arial" w:cs="Arial" w:eastAsia="Arial" w:hAnsi="Arial"/>
          <w:sz w:val="18"/>
          <w:szCs w:val="18"/>
          <w:color w:val="auto"/>
        </w:rPr>
        <w:t>If you encounter any difficulties accessing the virtual Annual Meeting during the check-in or meeting time, please call the technical support number that will be posted on the virtual Annual Meeting log in page. Technical support will be available starting at 8:30 a.m. Eastern Time on July 12, 2023.</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lose my 16-digit control number?</w:t>
      </w:r>
    </w:p>
    <w:p>
      <w:pPr>
        <w:spacing w:after="0" w:line="176" w:lineRule="exact"/>
        <w:rPr>
          <w:sz w:val="20"/>
          <w:szCs w:val="20"/>
          <w:color w:val="auto"/>
        </w:rPr>
      </w:pPr>
    </w:p>
    <w:p>
      <w:pPr>
        <w:ind w:left="20" w:right="120"/>
        <w:spacing w:after="0" w:line="260" w:lineRule="auto"/>
        <w:rPr>
          <w:sz w:val="20"/>
          <w:szCs w:val="20"/>
          <w:color w:val="auto"/>
        </w:rPr>
      </w:pPr>
      <w:r>
        <w:rPr>
          <w:rFonts w:ascii="Arial" w:cs="Arial" w:eastAsia="Arial" w:hAnsi="Arial"/>
          <w:sz w:val="18"/>
          <w:szCs w:val="18"/>
          <w:color w:val="auto"/>
        </w:rPr>
        <w:t>If you lose your 16-digit control number, you may join the Annual Meeting as a “Guest” but you will not be able to vote, ask questions, or access the list of stockholders as of the record date.</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the deadline for voting?</w:t>
      </w:r>
    </w:p>
    <w:p>
      <w:pPr>
        <w:spacing w:after="0" w:line="176" w:lineRule="exact"/>
        <w:rPr>
          <w:sz w:val="20"/>
          <w:szCs w:val="20"/>
          <w:color w:val="auto"/>
        </w:rPr>
      </w:pPr>
    </w:p>
    <w:p>
      <w:pPr>
        <w:ind w:left="20"/>
        <w:spacing w:after="0" w:line="241" w:lineRule="auto"/>
        <w:rPr>
          <w:sz w:val="20"/>
          <w:szCs w:val="20"/>
          <w:color w:val="auto"/>
        </w:rPr>
      </w:pPr>
      <w:r>
        <w:rPr>
          <w:rFonts w:ascii="Arial" w:cs="Arial" w:eastAsia="Arial" w:hAnsi="Arial"/>
          <w:sz w:val="18"/>
          <w:szCs w:val="18"/>
          <w:color w:val="auto"/>
        </w:rPr>
        <w:t>If you are a stockholder of record, your ability to vote by proxy by internet or telephone will end at 11:59 p.m. Eastern Time on July 11, 2023. If you prefer to vote by mail, you should complete and return the proxy card as soon as possible, so that it is received no later than the closing of the polls at the Annual Meeting on July 12, 2023. You will also be able to vote by attending and voting at the virtual Annual Meeting on July 12, 2023. However, we recommend that you submit your proxy in advance in the event your plans change or you are unable to attend the Annual Meeting.</w:t>
      </w:r>
    </w:p>
    <w:p>
      <w:pPr>
        <w:spacing w:after="0" w:line="162" w:lineRule="exact"/>
        <w:rPr>
          <w:sz w:val="20"/>
          <w:szCs w:val="20"/>
          <w:color w:val="auto"/>
        </w:rPr>
      </w:pPr>
    </w:p>
    <w:p>
      <w:pPr>
        <w:ind w:left="20" w:right="380"/>
        <w:spacing w:after="0" w:line="260" w:lineRule="auto"/>
        <w:rPr>
          <w:sz w:val="20"/>
          <w:szCs w:val="20"/>
          <w:color w:val="auto"/>
        </w:rPr>
      </w:pPr>
      <w:r>
        <w:rPr>
          <w:rFonts w:ascii="Arial" w:cs="Arial" w:eastAsia="Arial" w:hAnsi="Arial"/>
          <w:sz w:val="18"/>
          <w:szCs w:val="18"/>
          <w:color w:val="auto"/>
        </w:rPr>
        <w:t>If your Rent the Runway shares are held in an account with a broker, bank, trustee, or nominee, you should vote in accordance with the instructions from your broker, bank, trustee, or nominee.</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happens if I do not vote?</w:t>
      </w:r>
    </w:p>
    <w:p>
      <w:pPr>
        <w:spacing w:after="0" w:line="190" w:lineRule="exact"/>
        <w:rPr>
          <w:sz w:val="20"/>
          <w:szCs w:val="20"/>
          <w:color w:val="auto"/>
        </w:rPr>
      </w:pPr>
    </w:p>
    <w:p>
      <w:pPr>
        <w:ind w:left="20" w:right="60"/>
        <w:spacing w:after="0" w:line="260" w:lineRule="auto"/>
        <w:rPr>
          <w:sz w:val="20"/>
          <w:szCs w:val="20"/>
          <w:color w:val="auto"/>
        </w:rPr>
      </w:pPr>
      <w:r>
        <w:rPr>
          <w:rFonts w:ascii="Arial" w:cs="Arial" w:eastAsia="Arial" w:hAnsi="Arial"/>
          <w:sz w:val="18"/>
          <w:szCs w:val="18"/>
          <w:color w:val="auto"/>
        </w:rPr>
        <w:t>If you are a stockholder of record and do not vote by completing your proxy card, by telephone, through the internet, or online during the meeting, your shares will not be voted.</w:t>
      </w:r>
    </w:p>
    <w:p>
      <w:pPr>
        <w:spacing w:after="0" w:line="132" w:lineRule="exact"/>
        <w:rPr>
          <w:sz w:val="20"/>
          <w:szCs w:val="20"/>
          <w:color w:val="auto"/>
        </w:rPr>
      </w:pPr>
    </w:p>
    <w:p>
      <w:pPr>
        <w:ind w:left="20" w:right="60"/>
        <w:spacing w:after="0" w:line="239" w:lineRule="auto"/>
        <w:rPr>
          <w:sz w:val="20"/>
          <w:szCs w:val="20"/>
          <w:color w:val="auto"/>
        </w:rPr>
      </w:pPr>
      <w:r>
        <w:rPr>
          <w:rFonts w:ascii="Arial" w:cs="Arial" w:eastAsia="Arial" w:hAnsi="Arial"/>
          <w:sz w:val="18"/>
          <w:szCs w:val="18"/>
          <w:color w:val="auto"/>
        </w:rPr>
        <w:t>If your Rent the Runway shares are held in an account with a broker or other nominee, and you do not instruct your broker or other nominee how to vote your shares, your broker or other nominee may still be able to vote your shares in its discretion. In this regard, brokers and other securities intermediaries may use their discretion to vote your “uninstructed” shares with respect to matters considered under applicable exchange rules to be “routine,” but not with respect to “non-routine” matters. Proposal No. 1 (Election of Directors) is considered to be “non-routine” under applicable exchange rules, meaning that your broker may not vote your shares on this proposal in the absence of your voting instructions, which would result in a “broker non-vote.” Proposal No. 2 (Ratification of</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5" w:right="12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2" w:lineRule="exact"/>
        <w:rPr>
          <w:sz w:val="20"/>
          <w:szCs w:val="20"/>
          <w:color w:val="auto"/>
        </w:rPr>
      </w:pPr>
    </w:p>
    <w:p>
      <w:pPr>
        <w:ind w:left="20"/>
        <w:spacing w:after="0" w:line="243" w:lineRule="auto"/>
        <w:rPr>
          <w:sz w:val="20"/>
          <w:szCs w:val="20"/>
          <w:color w:val="auto"/>
        </w:rPr>
      </w:pPr>
      <w:r>
        <w:rPr>
          <w:rFonts w:ascii="Arial" w:cs="Arial" w:eastAsia="Arial" w:hAnsi="Arial"/>
          <w:sz w:val="18"/>
          <w:szCs w:val="18"/>
          <w:color w:val="auto"/>
        </w:rPr>
        <w:t>Auditors), however, is considered to be a “routine” matter, meaning that if you do not return voting instructions to your broker by its deadline, your shares may be voted by your broker in its discretion on Proposal No. 2. See “How many votes are required to approve each proposal?” below for more information. Please instruct your broker, bank, trustee, or nominee to ensure that your vote will be counted.</w:t>
      </w:r>
    </w:p>
    <w:p>
      <w:pPr>
        <w:spacing w:after="0" w:line="281" w:lineRule="exact"/>
        <w:rPr>
          <w:sz w:val="20"/>
          <w:szCs w:val="20"/>
          <w:color w:val="auto"/>
        </w:rPr>
      </w:pPr>
    </w:p>
    <w:p>
      <w:pPr>
        <w:ind w:left="20" w:right="640"/>
        <w:spacing w:after="0" w:line="274" w:lineRule="auto"/>
        <w:rPr>
          <w:sz w:val="20"/>
          <w:szCs w:val="20"/>
          <w:color w:val="auto"/>
        </w:rPr>
      </w:pPr>
      <w:r>
        <w:rPr>
          <w:rFonts w:ascii="Arial" w:cs="Arial" w:eastAsia="Arial" w:hAnsi="Arial"/>
          <w:sz w:val="20"/>
          <w:szCs w:val="20"/>
          <w:b w:val="1"/>
          <w:bCs w:val="1"/>
          <w:color w:val="auto"/>
        </w:rPr>
        <w:t>What is a “vote withheld” and an “abstention” and how will votes withheld and abstentions be treated?</w:t>
      </w:r>
    </w:p>
    <w:p>
      <w:pPr>
        <w:spacing w:after="0" w:line="97" w:lineRule="exact"/>
        <w:rPr>
          <w:sz w:val="20"/>
          <w:szCs w:val="20"/>
          <w:color w:val="auto"/>
        </w:rPr>
      </w:pPr>
    </w:p>
    <w:p>
      <w:pPr>
        <w:ind w:left="20" w:right="100"/>
        <w:spacing w:after="0" w:line="241" w:lineRule="auto"/>
        <w:rPr>
          <w:sz w:val="20"/>
          <w:szCs w:val="20"/>
          <w:color w:val="auto"/>
        </w:rPr>
      </w:pPr>
      <w:r>
        <w:rPr>
          <w:rFonts w:ascii="Arial" w:cs="Arial" w:eastAsia="Arial" w:hAnsi="Arial"/>
          <w:sz w:val="18"/>
          <w:szCs w:val="18"/>
          <w:color w:val="auto"/>
        </w:rPr>
        <w:t>A “vote withheld,” in the case of the proposal regarding the election of directors, or an “abstention,” in the case of the proposal regarding the ratification of the appointment of our auditors, represents a stockholder’s affirmative choice to decline to vote on a proposal. Votes withheld and abstentions are counted as present and entitled to vote for purposes of determining a quorum. Votes withheld have no effect on the election of directors. Abstentions have no effect on the ratification of the appointment of our auditors.</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return a proxy card but do not make specific choices?</w:t>
      </w:r>
    </w:p>
    <w:p>
      <w:pPr>
        <w:spacing w:after="0" w:line="190" w:lineRule="exact"/>
        <w:rPr>
          <w:sz w:val="20"/>
          <w:szCs w:val="20"/>
          <w:color w:val="auto"/>
        </w:rPr>
      </w:pPr>
    </w:p>
    <w:p>
      <w:pPr>
        <w:ind w:left="20" w:right="20"/>
        <w:spacing w:after="0" w:line="241" w:lineRule="auto"/>
        <w:rPr>
          <w:sz w:val="20"/>
          <w:szCs w:val="20"/>
          <w:color w:val="auto"/>
        </w:rPr>
      </w:pPr>
      <w:r>
        <w:rPr>
          <w:rFonts w:ascii="Arial" w:cs="Arial" w:eastAsia="Arial" w:hAnsi="Arial"/>
          <w:sz w:val="18"/>
          <w:szCs w:val="18"/>
          <w:color w:val="auto"/>
        </w:rPr>
        <w:t>If you submit a properly signed proxy card but do not provide any voting instructions, the persons named as proxies will vote in accordance with the recommendations of the Board, which are indicated above and with each proposal in this proxy statement. We know of no other business that will be presented at the Annual Meeting. However, if any other matter is properly presented at the meeting, the persons named as proxies will vote your shares using his or her best judgment.</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change my vote or revoke my proxy?</w:t>
      </w:r>
    </w:p>
    <w:p>
      <w:pPr>
        <w:spacing w:after="0" w:line="176" w:lineRule="exact"/>
        <w:rPr>
          <w:sz w:val="20"/>
          <w:szCs w:val="20"/>
          <w:color w:val="auto"/>
        </w:rPr>
      </w:pPr>
    </w:p>
    <w:p>
      <w:pPr>
        <w:ind w:left="20" w:right="180"/>
        <w:spacing w:after="0" w:line="247" w:lineRule="auto"/>
        <w:rPr>
          <w:sz w:val="20"/>
          <w:szCs w:val="20"/>
          <w:color w:val="auto"/>
        </w:rPr>
      </w:pPr>
      <w:r>
        <w:rPr>
          <w:rFonts w:ascii="Arial" w:cs="Arial" w:eastAsia="Arial" w:hAnsi="Arial"/>
          <w:sz w:val="18"/>
          <w:szCs w:val="18"/>
          <w:color w:val="auto"/>
        </w:rPr>
        <w:t>Yes. If your shares are registered directly in your name with our transfer agent, American Stock Transfer &amp; Trust Company, LLC, you may change your vote or revoke your proxy at any time prior to the final vote at the virtual Annual Meeting on July 12, 2023 by:</w:t>
      </w:r>
    </w:p>
    <w:p>
      <w:pPr>
        <w:spacing w:after="0" w:line="157" w:lineRule="exact"/>
        <w:rPr>
          <w:sz w:val="20"/>
          <w:szCs w:val="20"/>
          <w:color w:val="auto"/>
        </w:rPr>
      </w:pPr>
    </w:p>
    <w:p>
      <w:pPr>
        <w:ind w:left="740" w:right="740" w:hanging="359"/>
        <w:spacing w:after="0" w:line="241"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a new proxy bearing a later date (which automatically revokes the earlier proxy) by internet, telephone, or mail (and until the applicable deadline for each method);</w:t>
      </w:r>
    </w:p>
    <w:p>
      <w:pPr>
        <w:spacing w:after="0" w:line="1"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submitting written notice of revocation to the Secretary of the Company prior to the Annual Meeting; or</w:t>
      </w:r>
    </w:p>
    <w:p>
      <w:pPr>
        <w:ind w:left="740" w:hanging="359"/>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attending and voting at the virtual Annual Meeting.</w:t>
      </w:r>
    </w:p>
    <w:p>
      <w:pPr>
        <w:spacing w:after="0" w:line="159" w:lineRule="exact"/>
        <w:rPr>
          <w:sz w:val="20"/>
          <w:szCs w:val="20"/>
          <w:color w:val="auto"/>
        </w:rPr>
      </w:pPr>
    </w:p>
    <w:p>
      <w:pPr>
        <w:ind w:left="20" w:right="20"/>
        <w:spacing w:after="0" w:line="260" w:lineRule="auto"/>
        <w:rPr>
          <w:sz w:val="20"/>
          <w:szCs w:val="20"/>
          <w:color w:val="auto"/>
        </w:rPr>
      </w:pPr>
      <w:r>
        <w:rPr>
          <w:rFonts w:ascii="Arial" w:cs="Arial" w:eastAsia="Arial" w:hAnsi="Arial"/>
          <w:sz w:val="18"/>
          <w:szCs w:val="18"/>
          <w:color w:val="auto"/>
        </w:rPr>
        <w:t>Your most recent proxy submitted by proxy card, internet, or telephone is the one that will count. Your attendance at the virtual Annual Meeting by itself will not revoke your proxy if you do not also vote at the virtual Annual Meeting.</w:t>
      </w:r>
    </w:p>
    <w:p>
      <w:pPr>
        <w:spacing w:after="0" w:line="132" w:lineRule="exact"/>
        <w:rPr>
          <w:sz w:val="20"/>
          <w:szCs w:val="20"/>
          <w:color w:val="auto"/>
        </w:rPr>
      </w:pPr>
    </w:p>
    <w:p>
      <w:pPr>
        <w:ind w:left="20" w:right="40"/>
        <w:spacing w:after="0" w:line="243" w:lineRule="auto"/>
        <w:rPr>
          <w:sz w:val="20"/>
          <w:szCs w:val="20"/>
          <w:color w:val="auto"/>
        </w:rPr>
      </w:pPr>
      <w:r>
        <w:rPr>
          <w:rFonts w:ascii="Arial" w:cs="Arial" w:eastAsia="Arial" w:hAnsi="Arial"/>
          <w:sz w:val="18"/>
          <w:szCs w:val="18"/>
          <w:color w:val="auto"/>
        </w:rPr>
        <w:t>If you hold shares in an account with a broker, bank, trustee, or nominee, you may change your vote by submitting new voting instructions to your broker, bank, trustee, or nominee in accordance with the instructions they provide to you. If you have obtained a valid proxy from your broker, bank, trustee, or nominee giving you the right to vote your shares, you may change your vote by attending the virtual Annual Meeting and voting.</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159385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are required to approve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60325</wp:posOffset>
            </wp:positionV>
            <wp:extent cx="6035040" cy="257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5040" cy="257175"/>
                    </a:xfrm>
                    <a:prstGeom prst="rect">
                      <a:avLst/>
                    </a:prstGeom>
                    <a:noFill/>
                  </pic:spPr>
                </pic:pic>
              </a:graphicData>
            </a:graphic>
          </wp:anchor>
        </w:drawing>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80" w:type="dxa"/>
            <w:vAlign w:val="bottom"/>
          </w:tcPr>
          <w:p>
            <w:pPr>
              <w:spacing w:after="0"/>
              <w:rPr>
                <w:sz w:val="20"/>
                <w:szCs w:val="20"/>
                <w:color w:val="auto"/>
              </w:rPr>
            </w:pPr>
            <w:r>
              <w:rPr>
                <w:rFonts w:ascii="Arial" w:cs="Arial" w:eastAsia="Arial" w:hAnsi="Arial"/>
                <w:sz w:val="4"/>
                <w:szCs w:val="4"/>
                <w:color w:val="auto"/>
              </w:rPr>
              <w:t>​</w:t>
            </w: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Proposal</w:t>
            </w:r>
          </w:p>
        </w:tc>
        <w:tc>
          <w:tcPr>
            <w:tcW w:w="640" w:type="dxa"/>
            <w:vAlign w:val="bottom"/>
          </w:tcPr>
          <w:p>
            <w:pPr>
              <w:ind w:left="46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340" w:type="dxa"/>
            <w:vAlign w:val="bottom"/>
          </w:tcPr>
          <w:p>
            <w:pPr>
              <w:ind w:left="40"/>
              <w:spacing w:after="0"/>
              <w:rPr>
                <w:sz w:val="20"/>
                <w:szCs w:val="20"/>
                <w:color w:val="auto"/>
              </w:rPr>
            </w:pPr>
            <w:r>
              <w:rPr>
                <w:rFonts w:ascii="Arial" w:cs="Arial" w:eastAsia="Arial" w:hAnsi="Arial"/>
                <w:sz w:val="14"/>
                <w:szCs w:val="14"/>
                <w:b w:val="1"/>
                <w:bCs w:val="1"/>
                <w:color w:val="auto"/>
              </w:rPr>
              <w:t>Vote Required for Approval</w:t>
            </w:r>
          </w:p>
        </w:tc>
        <w:tc>
          <w:tcPr>
            <w:tcW w:w="600" w:type="dxa"/>
            <w:vAlign w:val="bottom"/>
          </w:tcPr>
          <w:p>
            <w:pPr>
              <w:ind w:left="440"/>
              <w:spacing w:after="0"/>
              <w:rPr>
                <w:sz w:val="20"/>
                <w:szCs w:val="20"/>
                <w:color w:val="auto"/>
              </w:rPr>
            </w:pPr>
            <w:r>
              <w:rPr>
                <w:rFonts w:ascii="Arial" w:cs="Arial" w:eastAsia="Arial" w:hAnsi="Arial"/>
                <w:sz w:val="4"/>
                <w:szCs w:val="4"/>
                <w:color w:val="auto"/>
              </w:rPr>
              <w:t>​​</w:t>
            </w:r>
          </w:p>
        </w:tc>
        <w:tc>
          <w:tcPr>
            <w:tcW w:w="1560" w:type="dxa"/>
            <w:vAlign w:val="bottom"/>
          </w:tcPr>
          <w:p>
            <w:pPr>
              <w:ind w:left="40"/>
              <w:spacing w:after="0"/>
              <w:rPr>
                <w:sz w:val="20"/>
                <w:szCs w:val="20"/>
                <w:color w:val="auto"/>
              </w:rPr>
            </w:pPr>
            <w:r>
              <w:rPr>
                <w:rFonts w:ascii="Arial" w:cs="Arial" w:eastAsia="Arial" w:hAnsi="Arial"/>
                <w:sz w:val="14"/>
                <w:szCs w:val="14"/>
                <w:b w:val="1"/>
                <w:bCs w:val="1"/>
                <w:color w:val="auto"/>
              </w:rPr>
              <w:t>Effect of Abstentions</w:t>
            </w:r>
          </w:p>
        </w:tc>
        <w:tc>
          <w:tcPr>
            <w:tcW w:w="220" w:type="dxa"/>
            <w:vAlign w:val="bottom"/>
          </w:tcPr>
          <w:p>
            <w:pPr>
              <w:ind w:left="60"/>
              <w:spacing w:after="0"/>
              <w:rPr>
                <w:sz w:val="20"/>
                <w:szCs w:val="20"/>
                <w:color w:val="auto"/>
              </w:rPr>
            </w:pPr>
            <w:r>
              <w:rPr>
                <w:rFonts w:ascii="Arial" w:cs="Arial" w:eastAsia="Arial" w:hAnsi="Arial"/>
                <w:sz w:val="4"/>
                <w:szCs w:val="4"/>
                <w:color w:val="auto"/>
              </w:rPr>
              <w:t>​​</w:t>
            </w:r>
          </w:p>
        </w:tc>
        <w:tc>
          <w:tcPr>
            <w:tcW w:w="2360" w:type="dxa"/>
            <w:vAlign w:val="bottom"/>
          </w:tcPr>
          <w:p>
            <w:pPr>
              <w:ind w:left="60"/>
              <w:spacing w:after="0"/>
              <w:rPr>
                <w:sz w:val="20"/>
                <w:szCs w:val="20"/>
                <w:color w:val="auto"/>
              </w:rPr>
            </w:pPr>
            <w:r>
              <w:rPr>
                <w:rFonts w:ascii="Arial" w:cs="Arial" w:eastAsia="Arial" w:hAnsi="Arial"/>
                <w:sz w:val="14"/>
                <w:szCs w:val="14"/>
                <w:b w:val="1"/>
                <w:bCs w:val="1"/>
                <w:color w:val="auto"/>
              </w:rPr>
              <w:t>Effect of Broker Non-Votes*</w:t>
            </w:r>
          </w:p>
        </w:tc>
        <w:tc>
          <w:tcPr>
            <w:tcW w:w="520" w:type="dxa"/>
            <w:vAlign w:val="bottom"/>
          </w:tcPr>
          <w:p>
            <w:pPr>
              <w:ind w:left="420"/>
              <w:spacing w:after="0"/>
              <w:rPr>
                <w:sz w:val="20"/>
                <w:szCs w:val="20"/>
                <w:color w:val="auto"/>
              </w:rPr>
            </w:pPr>
            <w:r>
              <w:rPr>
                <w:rFonts w:ascii="Arial" w:cs="Arial" w:eastAsia="Arial" w:hAnsi="Arial"/>
                <w:sz w:val="4"/>
                <w:szCs w:val="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130810</wp:posOffset>
            </wp:positionV>
            <wp:extent cx="60350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sectPr>
      </w:pPr>
    </w:p>
    <w:p>
      <w:pPr>
        <w:spacing w:after="0" w:line="349" w:lineRule="exact"/>
        <w:rPr>
          <w:sz w:val="20"/>
          <w:szCs w:val="20"/>
          <w:color w:val="auto"/>
        </w:rPr>
      </w:pPr>
    </w:p>
    <w:p>
      <w:pPr>
        <w:ind w:left="180"/>
        <w:spacing w:after="0"/>
        <w:tabs>
          <w:tab w:leader="none" w:pos="1940" w:val="left"/>
          <w:tab w:leader="none" w:pos="4880" w:val="left"/>
        </w:tabs>
        <w:rPr>
          <w:sz w:val="20"/>
          <w:szCs w:val="20"/>
          <w:color w:val="auto"/>
        </w:rPr>
      </w:pPr>
      <w:r>
        <w:rPr>
          <w:rFonts w:ascii="Arial" w:cs="Arial" w:eastAsia="Arial" w:hAnsi="Arial"/>
          <w:sz w:val="14"/>
          <w:szCs w:val="14"/>
          <w:color w:val="auto"/>
        </w:rPr>
        <w:t>1. Election of Directors</w:t>
      </w:r>
      <w:r>
        <w:rPr>
          <w:sz w:val="20"/>
          <w:szCs w:val="20"/>
          <w:color w:val="auto"/>
        </w:rPr>
        <w:tab/>
      </w:r>
      <w:r>
        <w:rPr>
          <w:rFonts w:ascii="Arial" w:cs="Arial" w:eastAsia="Arial" w:hAnsi="Arial"/>
          <w:sz w:val="14"/>
          <w:szCs w:val="14"/>
          <w:color w:val="auto"/>
        </w:rPr>
        <w:t>Each director is elected by a plurality of</w:t>
      </w:r>
      <w:r>
        <w:rPr>
          <w:sz w:val="20"/>
          <w:szCs w:val="20"/>
          <w:color w:val="auto"/>
        </w:rPr>
        <w:tab/>
      </w:r>
      <w:r>
        <w:rPr>
          <w:rFonts w:ascii="Arial" w:cs="Arial" w:eastAsia="Arial" w:hAnsi="Arial"/>
          <w:sz w:val="14"/>
          <w:szCs w:val="14"/>
          <w:color w:val="auto"/>
        </w:rPr>
        <w:t>Not applicable</w:t>
      </w:r>
    </w:p>
    <w:p>
      <w:pPr>
        <w:spacing w:after="0" w:line="11" w:lineRule="exact"/>
        <w:rPr>
          <w:sz w:val="20"/>
          <w:szCs w:val="20"/>
          <w:color w:val="auto"/>
        </w:rPr>
      </w:pPr>
    </w:p>
    <w:p>
      <w:pPr>
        <w:ind w:left="20"/>
        <w:spacing w:after="0"/>
        <w:tabs>
          <w:tab w:leader="none" w:pos="1720" w:val="left"/>
        </w:tabs>
        <w:rPr>
          <w:sz w:val="20"/>
          <w:szCs w:val="20"/>
          <w:color w:val="auto"/>
        </w:rPr>
      </w:pPr>
      <w:r>
        <w:rPr>
          <w:rFonts w:ascii="Arial" w:cs="Arial" w:eastAsia="Arial" w:hAnsi="Arial"/>
          <w:sz w:val="7"/>
          <w:szCs w:val="7"/>
          <w:color w:val="auto"/>
          <w:vertAlign w:val="subscript"/>
        </w:rPr>
        <w:t>​</w:t>
      </w:r>
      <w:r>
        <w:rPr>
          <w:sz w:val="20"/>
          <w:szCs w:val="20"/>
          <w:color w:val="auto"/>
        </w:rPr>
        <w:tab/>
      </w:r>
      <w:r>
        <w:rPr>
          <w:rFonts w:ascii="Arial" w:cs="Arial" w:eastAsia="Arial" w:hAnsi="Arial"/>
          <w:sz w:val="7"/>
          <w:szCs w:val="7"/>
          <w:color w:val="auto"/>
          <w:vertAlign w:val="subscript"/>
        </w:rPr>
        <w:t>​      ​</w:t>
      </w:r>
      <w:r>
        <w:rPr>
          <w:rFonts w:ascii="Arial" w:cs="Arial" w:eastAsia="Arial" w:hAnsi="Arial"/>
          <w:sz w:val="14"/>
          <w:szCs w:val="14"/>
          <w:color w:val="auto"/>
        </w:rPr>
        <w:t xml:space="preserve">      the votes cast. The four director nominees </w:t>
      </w:r>
      <w:r>
        <w:rPr>
          <w:rFonts w:ascii="Arial" w:cs="Arial" w:eastAsia="Arial" w:hAnsi="Arial"/>
          <w:sz w:val="7"/>
          <w:szCs w:val="7"/>
          <w:color w:val="auto"/>
          <w:vertAlign w:val="subscript"/>
        </w:rPr>
        <w:t>​      ​</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receiving the highest number of “FOR”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votes will be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74930</wp:posOffset>
            </wp:positionV>
            <wp:extent cx="60350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No effect. Brokers may not vote the shares</w:t>
      </w:r>
    </w:p>
    <w:p>
      <w:pPr>
        <w:spacing w:after="0" w:line="11" w:lineRule="exact"/>
        <w:rPr>
          <w:sz w:val="20"/>
          <w:szCs w:val="20"/>
          <w:color w:val="auto"/>
        </w:rPr>
      </w:pPr>
    </w:p>
    <w:p>
      <w:pPr>
        <w:ind w:right="100" w:hanging="215"/>
        <w:spacing w:after="0" w:line="258" w:lineRule="auto"/>
        <w:rPr>
          <w:sz w:val="20"/>
          <w:szCs w:val="20"/>
          <w:color w:val="auto"/>
        </w:rPr>
      </w:pPr>
      <w:r>
        <w:rPr>
          <w:rFonts w:ascii="Arial" w:cs="Arial" w:eastAsia="Arial" w:hAnsi="Arial"/>
          <w:sz w:val="7"/>
          <w:szCs w:val="7"/>
          <w:color w:val="auto"/>
          <w:vertAlign w:val="subscript"/>
        </w:rPr>
        <w:t>​ ​</w:t>
      </w:r>
      <w:r>
        <w:rPr>
          <w:rFonts w:ascii="Arial" w:cs="Arial" w:eastAsia="Arial" w:hAnsi="Arial"/>
          <w:sz w:val="14"/>
          <w:szCs w:val="14"/>
          <w:color w:val="auto"/>
        </w:rPr>
        <w:t xml:space="preserve"> if not instructed by the proxyholder, as this </w:t>
      </w:r>
      <w:r>
        <w:rPr>
          <w:rFonts w:ascii="Arial" w:cs="Arial" w:eastAsia="Arial" w:hAnsi="Arial"/>
          <w:sz w:val="7"/>
          <w:szCs w:val="7"/>
          <w:color w:val="auto"/>
          <w:vertAlign w:val="subscript"/>
        </w:rPr>
        <w:t>​</w:t>
      </w:r>
      <w:r>
        <w:rPr>
          <w:rFonts w:ascii="Arial" w:cs="Arial" w:eastAsia="Arial" w:hAnsi="Arial"/>
          <w:sz w:val="14"/>
          <w:szCs w:val="14"/>
          <w:color w:val="auto"/>
        </w:rPr>
        <w:t xml:space="preserve"> matter is considered “non-routine”</w:t>
      </w:r>
    </w:p>
    <w:p>
      <w:pPr>
        <w:spacing w:after="0" w:line="338" w:lineRule="exact"/>
        <w:rPr>
          <w:sz w:val="20"/>
          <w:szCs w:val="20"/>
          <w:color w:val="auto"/>
        </w:rPr>
      </w:pPr>
    </w:p>
    <w:p>
      <w:pPr>
        <w:sectPr>
          <w:pgSz w:w="11900" w:h="16838" w:orient="portrait"/>
          <w:cols w:equalWidth="0" w:num="2">
            <w:col w:w="5980" w:space="720"/>
            <w:col w:w="2820"/>
          </w:cols>
          <w:pgMar w:left="1180" w:top="265" w:right="1199" w:bottom="1440" w:gutter="0" w:footer="0" w:header="0"/>
          <w:type w:val="continuous"/>
        </w:sectPr>
      </w:pP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460" w:type="dxa"/>
            <w:vAlign w:val="bottom"/>
          </w:tcPr>
          <w:p>
            <w:pPr>
              <w:ind w:left="160"/>
              <w:spacing w:after="0"/>
              <w:rPr>
                <w:sz w:val="20"/>
                <w:szCs w:val="20"/>
                <w:color w:val="auto"/>
              </w:rPr>
            </w:pPr>
            <w:r>
              <w:rPr>
                <w:rFonts w:ascii="Arial" w:cs="Arial" w:eastAsia="Arial" w:hAnsi="Arial"/>
                <w:sz w:val="14"/>
                <w:szCs w:val="14"/>
                <w:color w:val="auto"/>
              </w:rPr>
              <w:t>2. Ratification of</w:t>
            </w:r>
          </w:p>
        </w:tc>
        <w:tc>
          <w:tcPr>
            <w:tcW w:w="3160" w:type="dxa"/>
            <w:vAlign w:val="bottom"/>
          </w:tcPr>
          <w:p>
            <w:pPr>
              <w:ind w:left="480"/>
              <w:spacing w:after="0"/>
              <w:rPr>
                <w:sz w:val="20"/>
                <w:szCs w:val="20"/>
                <w:color w:val="auto"/>
              </w:rPr>
            </w:pPr>
            <w:r>
              <w:rPr>
                <w:rFonts w:ascii="Arial" w:cs="Arial" w:eastAsia="Arial" w:hAnsi="Arial"/>
                <w:sz w:val="14"/>
                <w:szCs w:val="14"/>
                <w:color w:val="auto"/>
              </w:rPr>
              <w:t>Decided by a majority of the votes cast.</w:t>
            </w:r>
          </w:p>
        </w:tc>
        <w:tc>
          <w:tcPr>
            <w:tcW w:w="840" w:type="dxa"/>
            <w:vAlign w:val="bottom"/>
          </w:tcPr>
          <w:p>
            <w:pPr>
              <w:ind w:left="260"/>
              <w:spacing w:after="0"/>
              <w:rPr>
                <w:sz w:val="20"/>
                <w:szCs w:val="20"/>
                <w:color w:val="auto"/>
              </w:rPr>
            </w:pPr>
            <w:r>
              <w:rPr>
                <w:rFonts w:ascii="Arial" w:cs="Arial" w:eastAsia="Arial" w:hAnsi="Arial"/>
                <w:sz w:val="14"/>
                <w:szCs w:val="14"/>
                <w:color w:val="auto"/>
                <w:w w:val="99"/>
              </w:rPr>
              <w:t>No effect</w:t>
            </w:r>
          </w:p>
        </w:tc>
      </w:tr>
      <w:tr>
        <w:trPr>
          <w:trHeight w:val="162"/>
        </w:trPr>
        <w:tc>
          <w:tcPr>
            <w:tcW w:w="1460" w:type="dxa"/>
            <w:vAlign w:val="bottom"/>
          </w:tcPr>
          <w:p>
            <w:pPr>
              <w:ind w:left="340"/>
              <w:spacing w:after="0"/>
              <w:rPr>
                <w:sz w:val="20"/>
                <w:szCs w:val="20"/>
                <w:color w:val="auto"/>
              </w:rPr>
            </w:pPr>
            <w:r>
              <w:rPr>
                <w:rFonts w:ascii="Arial" w:cs="Arial" w:eastAsia="Arial" w:hAnsi="Arial"/>
                <w:sz w:val="14"/>
                <w:szCs w:val="14"/>
                <w:color w:val="auto"/>
              </w:rPr>
              <w:t>Auditors</w:t>
            </w:r>
          </w:p>
        </w:tc>
        <w:tc>
          <w:tcPr>
            <w:tcW w:w="3160" w:type="dxa"/>
            <w:vAlign w:val="bottom"/>
          </w:tcPr>
          <w:p>
            <w:pPr>
              <w:ind w:left="480"/>
              <w:spacing w:after="0"/>
              <w:rPr>
                <w:sz w:val="20"/>
                <w:szCs w:val="20"/>
                <w:color w:val="auto"/>
              </w:rPr>
            </w:pPr>
            <w:r>
              <w:rPr>
                <w:rFonts w:ascii="Arial" w:cs="Arial" w:eastAsia="Arial" w:hAnsi="Arial"/>
                <w:sz w:val="14"/>
                <w:szCs w:val="14"/>
                <w:color w:val="auto"/>
              </w:rPr>
              <w:t>This proposal will be approved if the</w:t>
            </w:r>
          </w:p>
        </w:tc>
        <w:tc>
          <w:tcPr>
            <w:tcW w:w="840" w:type="dxa"/>
            <w:vAlign w:val="bottom"/>
          </w:tcPr>
          <w:p>
            <w:pPr>
              <w:spacing w:after="0"/>
              <w:rPr>
                <w:sz w:val="14"/>
                <w:szCs w:val="14"/>
                <w:color w:val="auto"/>
              </w:rPr>
            </w:pPr>
          </w:p>
        </w:tc>
      </w:tr>
      <w:tr>
        <w:trPr>
          <w:trHeight w:val="162"/>
        </w:trPr>
        <w:tc>
          <w:tcPr>
            <w:tcW w:w="1460" w:type="dxa"/>
            <w:vAlign w:val="bottom"/>
          </w:tcPr>
          <w:p>
            <w:pPr>
              <w:spacing w:after="0"/>
              <w:rPr>
                <w:sz w:val="20"/>
                <w:szCs w:val="20"/>
                <w:color w:val="auto"/>
              </w:rPr>
            </w:pPr>
            <w:r>
              <w:rPr>
                <w:rFonts w:ascii="Arial" w:cs="Arial" w:eastAsia="Arial" w:hAnsi="Arial"/>
                <w:sz w:val="4"/>
                <w:szCs w:val="4"/>
                <w:color w:val="auto"/>
              </w:rPr>
              <w:t>​</w:t>
            </w:r>
          </w:p>
        </w:tc>
        <w:tc>
          <w:tcPr>
            <w:tcW w:w="3160" w:type="dxa"/>
            <w:vAlign w:val="bottom"/>
          </w:tcPr>
          <w:p>
            <w:pPr>
              <w:ind w:left="260"/>
              <w:spacing w:after="0"/>
              <w:rPr>
                <w:sz w:val="20"/>
                <w:szCs w:val="20"/>
                <w:color w:val="auto"/>
              </w:rPr>
            </w:pPr>
            <w:r>
              <w:rPr>
                <w:rFonts w:ascii="Arial" w:cs="Arial" w:eastAsia="Arial" w:hAnsi="Arial"/>
                <w:sz w:val="4"/>
                <w:szCs w:val="4"/>
                <w:color w:val="auto"/>
              </w:rPr>
              <w:t>​​</w:t>
            </w:r>
            <w:r>
              <w:rPr>
                <w:rFonts w:ascii="Arial" w:cs="Arial" w:eastAsia="Arial" w:hAnsi="Arial"/>
                <w:sz w:val="14"/>
                <w:szCs w:val="14"/>
                <w:color w:val="auto"/>
              </w:rPr>
              <w:t>number of votes cast “FOR” the proposal</w:t>
            </w:r>
          </w:p>
        </w:tc>
        <w:tc>
          <w:tcPr>
            <w:tcW w:w="840" w:type="dxa"/>
            <w:vAlign w:val="bottom"/>
          </w:tcPr>
          <w:p>
            <w:pPr>
              <w:ind w:left="60"/>
              <w:spacing w:after="0"/>
              <w:rPr>
                <w:sz w:val="20"/>
                <w:szCs w:val="20"/>
                <w:color w:val="auto"/>
              </w:rPr>
            </w:pPr>
            <w:r>
              <w:rPr>
                <w:rFonts w:ascii="Arial" w:cs="Arial" w:eastAsia="Arial" w:hAnsi="Arial"/>
                <w:sz w:val="4"/>
                <w:szCs w:val="4"/>
                <w:color w:val="auto"/>
              </w:rPr>
              <w:t>​​</w:t>
            </w:r>
          </w:p>
        </w:tc>
      </w:tr>
      <w:tr>
        <w:trPr>
          <w:trHeight w:val="162"/>
        </w:trPr>
        <w:tc>
          <w:tcPr>
            <w:tcW w:w="1460" w:type="dxa"/>
            <w:vAlign w:val="bottom"/>
          </w:tcPr>
          <w:p>
            <w:pPr>
              <w:spacing w:after="0"/>
              <w:rPr>
                <w:sz w:val="14"/>
                <w:szCs w:val="14"/>
                <w:color w:val="auto"/>
              </w:rPr>
            </w:pPr>
          </w:p>
        </w:tc>
        <w:tc>
          <w:tcPr>
            <w:tcW w:w="3160" w:type="dxa"/>
            <w:vAlign w:val="bottom"/>
          </w:tcPr>
          <w:p>
            <w:pPr>
              <w:ind w:left="480"/>
              <w:spacing w:after="0"/>
              <w:rPr>
                <w:sz w:val="20"/>
                <w:szCs w:val="20"/>
                <w:color w:val="auto"/>
              </w:rPr>
            </w:pPr>
            <w:r>
              <w:rPr>
                <w:rFonts w:ascii="Arial" w:cs="Arial" w:eastAsia="Arial" w:hAnsi="Arial"/>
                <w:sz w:val="14"/>
                <w:szCs w:val="14"/>
                <w:color w:val="auto"/>
              </w:rPr>
              <w:t>exceeds the number of votes cast</w:t>
            </w:r>
          </w:p>
        </w:tc>
        <w:tc>
          <w:tcPr>
            <w:tcW w:w="840" w:type="dxa"/>
            <w:vAlign w:val="bottom"/>
          </w:tcPr>
          <w:p>
            <w:pPr>
              <w:spacing w:after="0"/>
              <w:rPr>
                <w:sz w:val="14"/>
                <w:szCs w:val="14"/>
                <w:color w:val="auto"/>
              </w:rPr>
            </w:pPr>
          </w:p>
        </w:tc>
      </w:tr>
      <w:tr>
        <w:trPr>
          <w:trHeight w:val="182"/>
        </w:trPr>
        <w:tc>
          <w:tcPr>
            <w:tcW w:w="1460" w:type="dxa"/>
            <w:vAlign w:val="bottom"/>
          </w:tcPr>
          <w:p>
            <w:pPr>
              <w:spacing w:after="0"/>
              <w:rPr>
                <w:sz w:val="15"/>
                <w:szCs w:val="15"/>
                <w:color w:val="auto"/>
              </w:rPr>
            </w:pPr>
          </w:p>
        </w:tc>
        <w:tc>
          <w:tcPr>
            <w:tcW w:w="3160" w:type="dxa"/>
            <w:vAlign w:val="bottom"/>
          </w:tcPr>
          <w:p>
            <w:pPr>
              <w:ind w:left="480"/>
              <w:spacing w:after="0"/>
              <w:rPr>
                <w:sz w:val="20"/>
                <w:szCs w:val="20"/>
                <w:color w:val="auto"/>
              </w:rPr>
            </w:pPr>
            <w:r>
              <w:rPr>
                <w:rFonts w:ascii="Arial" w:cs="Arial" w:eastAsia="Arial" w:hAnsi="Arial"/>
                <w:sz w:val="14"/>
                <w:szCs w:val="14"/>
                <w:color w:val="auto"/>
              </w:rPr>
              <w:t>“AGAINST” the proposal.</w:t>
            </w:r>
          </w:p>
        </w:tc>
        <w:tc>
          <w:tcPr>
            <w:tcW w:w="8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24765</wp:posOffset>
            </wp:positionV>
            <wp:extent cx="60350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ind w:left="220"/>
              <w:spacing w:after="0"/>
              <w:rPr>
                <w:sz w:val="20"/>
                <w:szCs w:val="20"/>
                <w:color w:val="auto"/>
              </w:rPr>
            </w:pPr>
            <w:r>
              <w:rPr>
                <w:rFonts w:ascii="Arial" w:cs="Arial" w:eastAsia="Arial" w:hAnsi="Arial"/>
                <w:sz w:val="14"/>
                <w:szCs w:val="14"/>
                <w:color w:val="auto"/>
              </w:rPr>
              <w:t>No effect. Brokers may vote the shares if</w:t>
            </w:r>
          </w:p>
        </w:tc>
        <w:tc>
          <w:tcPr>
            <w:tcW w:w="60" w:type="dxa"/>
            <w:vAlign w:val="bottom"/>
          </w:tcPr>
          <w:p>
            <w:pPr>
              <w:spacing w:after="0"/>
              <w:rPr>
                <w:sz w:val="14"/>
                <w:szCs w:val="14"/>
                <w:color w:val="auto"/>
              </w:rPr>
            </w:pPr>
          </w:p>
        </w:tc>
      </w:tr>
      <w:tr>
        <w:trPr>
          <w:trHeight w:val="162"/>
        </w:trPr>
        <w:tc>
          <w:tcPr>
            <w:tcW w:w="2880" w:type="dxa"/>
            <w:vAlign w:val="bottom"/>
          </w:tcPr>
          <w:p>
            <w:pPr>
              <w:ind w:left="220"/>
              <w:spacing w:after="0"/>
              <w:rPr>
                <w:sz w:val="20"/>
                <w:szCs w:val="20"/>
                <w:color w:val="auto"/>
              </w:rPr>
            </w:pPr>
            <w:r>
              <w:rPr>
                <w:rFonts w:ascii="Arial" w:cs="Arial" w:eastAsia="Arial" w:hAnsi="Arial"/>
                <w:sz w:val="14"/>
                <w:szCs w:val="14"/>
                <w:color w:val="auto"/>
              </w:rPr>
              <w:t>not instructed by the proxyholder, as this</w:t>
            </w:r>
          </w:p>
        </w:tc>
        <w:tc>
          <w:tcPr>
            <w:tcW w:w="60" w:type="dxa"/>
            <w:vAlign w:val="bottom"/>
          </w:tcPr>
          <w:p>
            <w:pPr>
              <w:spacing w:after="0"/>
              <w:rPr>
                <w:sz w:val="14"/>
                <w:szCs w:val="14"/>
                <w:color w:val="auto"/>
              </w:rPr>
            </w:pPr>
          </w:p>
        </w:tc>
      </w:tr>
      <w:tr>
        <w:trPr>
          <w:trHeight w:val="182"/>
        </w:trPr>
        <w:tc>
          <w:tcPr>
            <w:tcW w:w="2880" w:type="dxa"/>
            <w:vAlign w:val="bottom"/>
          </w:tcPr>
          <w:p>
            <w:pPr>
              <w:spacing w:after="0"/>
              <w:rPr>
                <w:sz w:val="20"/>
                <w:szCs w:val="20"/>
                <w:color w:val="auto"/>
              </w:rPr>
            </w:pPr>
            <w:r>
              <w:rPr>
                <w:rFonts w:ascii="Arial" w:cs="Arial" w:eastAsia="Arial" w:hAnsi="Arial"/>
                <w:sz w:val="4"/>
                <w:szCs w:val="4"/>
                <w:color w:val="auto"/>
              </w:rPr>
              <w:t>​​</w:t>
            </w:r>
            <w:r>
              <w:rPr>
                <w:rFonts w:ascii="Arial" w:cs="Arial" w:eastAsia="Arial" w:hAnsi="Arial"/>
                <w:sz w:val="14"/>
                <w:szCs w:val="14"/>
                <w:color w:val="auto"/>
              </w:rPr>
              <w:t>matter is considered “routine”</w:t>
            </w:r>
          </w:p>
        </w:tc>
        <w:tc>
          <w:tcPr>
            <w:tcW w:w="60" w:type="dxa"/>
            <w:vAlign w:val="bottom"/>
          </w:tcPr>
          <w:p>
            <w:pPr>
              <w:ind w:left="60"/>
              <w:spacing w:after="0"/>
              <w:rPr>
                <w:sz w:val="20"/>
                <w:szCs w:val="20"/>
                <w:color w:val="auto"/>
              </w:rPr>
            </w:pPr>
            <w:r>
              <w:rPr>
                <w:rFonts w:ascii="Arial" w:cs="Arial" w:eastAsia="Arial" w:hAnsi="Arial"/>
                <w:sz w:val="4"/>
                <w:szCs w:val="4"/>
                <w:color w:val="auto"/>
              </w:rPr>
              <w:t>​</w:t>
            </w:r>
          </w:p>
        </w:tc>
      </w:tr>
    </w:tbl>
    <w:p>
      <w:pPr>
        <w:spacing w:after="0" w:line="523" w:lineRule="exact"/>
        <w:rPr>
          <w:sz w:val="20"/>
          <w:szCs w:val="20"/>
          <w:color w:val="auto"/>
        </w:rPr>
      </w:pPr>
    </w:p>
    <w:p>
      <w:pPr>
        <w:sectPr>
          <w:pgSz w:w="11900" w:h="16838" w:orient="portrait"/>
          <w:cols w:equalWidth="0" w:num="2">
            <w:col w:w="5760" w:space="720"/>
            <w:col w:w="3040"/>
          </w:cols>
          <w:pgMar w:left="1180" w:top="265" w:right="1199" w:bottom="1440" w:gutter="0" w:footer="0" w:header="0"/>
          <w:type w:val="continuous"/>
        </w:sectPr>
      </w:pPr>
    </w:p>
    <w:p>
      <w:pPr>
        <w:spacing w:after="0" w:line="23" w:lineRule="exact"/>
        <w:rPr>
          <w:sz w:val="20"/>
          <w:szCs w:val="20"/>
          <w:color w:val="auto"/>
        </w:rPr>
      </w:pPr>
    </w:p>
    <w:p>
      <w:pPr>
        <w:ind w:left="20" w:right="140"/>
        <w:spacing w:after="0" w:line="249" w:lineRule="auto"/>
        <w:rPr>
          <w:sz w:val="20"/>
          <w:szCs w:val="20"/>
          <w:color w:val="auto"/>
        </w:rPr>
      </w:pPr>
      <w:r>
        <w:rPr>
          <w:rFonts w:ascii="Arial" w:cs="Arial" w:eastAsia="Arial" w:hAnsi="Arial"/>
          <w:sz w:val="14"/>
          <w:szCs w:val="14"/>
          <w:color w:val="auto"/>
        </w:rPr>
        <w:t>*A “broker non-vote” occurs when a beneficial owner of shares held by a broker or nominee does not give voting instructions to his or her broker or other securities intermediary as to how to vote on matters deemed to be “non-routine” and, as a result, the broker, bank, or other securities intermediary may not vote the shares on those matters. As discussed above, this would be the case for Proposal No. 1, which is considered a “non-routine” matter. Therefore, we would expect broker non-votes to result from this proposal. We urge you to provide instructions so that your shares held in a stock brokerage account or by a bank or other record holder may be voted.</w:t>
      </w:r>
    </w:p>
    <w:p>
      <w:pPr>
        <w:spacing w:after="0" w:line="24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Who will count the votes?</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representative of Broadridge Financial Services, Inc. will tabulate the votes and act as inspector of election.</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a quorum?</w:t>
      </w:r>
    </w:p>
    <w:p>
      <w:pPr>
        <w:spacing w:after="0" w:line="176" w:lineRule="exact"/>
        <w:rPr>
          <w:sz w:val="20"/>
          <w:szCs w:val="20"/>
          <w:color w:val="auto"/>
        </w:rPr>
      </w:pPr>
    </w:p>
    <w:p>
      <w:pPr>
        <w:ind w:left="20" w:right="40"/>
        <w:spacing w:after="0" w:line="241" w:lineRule="auto"/>
        <w:rPr>
          <w:sz w:val="20"/>
          <w:szCs w:val="20"/>
          <w:color w:val="auto"/>
        </w:rPr>
      </w:pPr>
      <w:r>
        <w:rPr>
          <w:rFonts w:ascii="Arial" w:cs="Arial" w:eastAsia="Arial" w:hAnsi="Arial"/>
          <w:sz w:val="18"/>
          <w:szCs w:val="18"/>
          <w:color w:val="auto"/>
        </w:rPr>
        <w:t>A quorum is the minimum number of shares required to be present at the Annual Meeting for any business to be conducted. The presence at the Annual Meeting, electronically or by proxy, of the holders of a majority in voting power of common stock issued and outstanding and entitled to vote on the record date will constitute a quorum. If a quorum is not present, we will not be able to conduct any business, and the Annual Meeting will be adjourned, or rescheduled, by the chairperson of the meeting for a later date.</w:t>
      </w:r>
    </w:p>
    <w:p>
      <w:pPr>
        <w:spacing w:after="0" w:line="162" w:lineRule="exact"/>
        <w:rPr>
          <w:sz w:val="20"/>
          <w:szCs w:val="20"/>
          <w:color w:val="auto"/>
        </w:rPr>
      </w:pPr>
    </w:p>
    <w:p>
      <w:pPr>
        <w:ind w:left="20" w:right="60"/>
        <w:spacing w:after="0" w:line="260" w:lineRule="auto"/>
        <w:rPr>
          <w:sz w:val="20"/>
          <w:szCs w:val="20"/>
          <w:color w:val="auto"/>
        </w:rPr>
      </w:pPr>
      <w:r>
        <w:rPr>
          <w:rFonts w:ascii="Arial" w:cs="Arial" w:eastAsia="Arial" w:hAnsi="Arial"/>
          <w:sz w:val="18"/>
          <w:szCs w:val="18"/>
          <w:color w:val="auto"/>
        </w:rPr>
        <w:t>Instructions to “withhold” authority to vote in the election of directors, abstentions, and broker non-votes will be counted as present for determining whether or not a quorum is present.</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Where can I find the voting results of the Annual Meeting?</w:t>
      </w:r>
    </w:p>
    <w:p>
      <w:pPr>
        <w:spacing w:after="0" w:line="176" w:lineRule="exact"/>
        <w:rPr>
          <w:sz w:val="20"/>
          <w:szCs w:val="20"/>
          <w:color w:val="auto"/>
        </w:rPr>
      </w:pPr>
    </w:p>
    <w:p>
      <w:pPr>
        <w:ind w:left="20" w:right="60"/>
        <w:spacing w:after="0" w:line="260" w:lineRule="auto"/>
        <w:rPr>
          <w:sz w:val="20"/>
          <w:szCs w:val="20"/>
          <w:color w:val="auto"/>
        </w:rPr>
      </w:pPr>
      <w:r>
        <w:rPr>
          <w:rFonts w:ascii="Arial" w:cs="Arial" w:eastAsia="Arial" w:hAnsi="Arial"/>
          <w:sz w:val="18"/>
          <w:szCs w:val="18"/>
          <w:color w:val="auto"/>
        </w:rPr>
        <w:t>We plan to announce preliminary voting results at the Annual Meeting and will report the final voting results in a current report on Form 8-K within four business days of the Annual Meeting.</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Who pays for the proxy solicitation expenses?</w:t>
      </w:r>
    </w:p>
    <w:p>
      <w:pPr>
        <w:spacing w:after="0" w:line="176" w:lineRule="exact"/>
        <w:rPr>
          <w:sz w:val="20"/>
          <w:szCs w:val="20"/>
          <w:color w:val="auto"/>
        </w:rPr>
      </w:pPr>
    </w:p>
    <w:p>
      <w:pPr>
        <w:ind w:left="20" w:right="40"/>
        <w:spacing w:after="0" w:line="243" w:lineRule="auto"/>
        <w:rPr>
          <w:sz w:val="20"/>
          <w:szCs w:val="20"/>
          <w:color w:val="auto"/>
        </w:rPr>
      </w:pPr>
      <w:r>
        <w:rPr>
          <w:rFonts w:ascii="Arial" w:cs="Arial" w:eastAsia="Arial" w:hAnsi="Arial"/>
          <w:sz w:val="18"/>
          <w:szCs w:val="18"/>
          <w:color w:val="auto"/>
        </w:rPr>
        <w:t>We are soliciting proxies on behalf of our Board and will pay the related costs. As part of this process, we reimburse brokers and other custodians, nominees, and fiduciaries for their out-of-pocket expenses for forwarding proxy materials to our stockholders. Our directors, officers, and employees may also solicit proxies in person, by telephone, or by other means of communication, and will not receive any additional compensation for soliciting proxies.</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does it mean if I receive more than one set of materials?</w:t>
      </w:r>
    </w:p>
    <w:p>
      <w:pPr>
        <w:spacing w:after="0" w:line="190" w:lineRule="exact"/>
        <w:rPr>
          <w:sz w:val="20"/>
          <w:szCs w:val="20"/>
          <w:color w:val="auto"/>
        </w:rPr>
      </w:pPr>
    </w:p>
    <w:p>
      <w:pPr>
        <w:ind w:left="20" w:right="180"/>
        <w:spacing w:after="0" w:line="247" w:lineRule="auto"/>
        <w:rPr>
          <w:sz w:val="20"/>
          <w:szCs w:val="20"/>
          <w:color w:val="auto"/>
        </w:rPr>
      </w:pPr>
      <w:r>
        <w:rPr>
          <w:rFonts w:ascii="Arial" w:cs="Arial" w:eastAsia="Arial" w:hAnsi="Arial"/>
          <w:sz w:val="18"/>
          <w:szCs w:val="18"/>
          <w:color w:val="auto"/>
        </w:rPr>
        <w:t>If you receive more than one set of materials, it means you hold your shares in more than one name or account. In order to vote all of your shares, you should sign and return all of the proxy cards you receive or follow the instructions for any alternative voting procedures on the proxy cards or the Internet Notices you receive.</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do I obtain a separate set of proxy materials or request a single set for my household?</w:t>
      </w:r>
    </w:p>
    <w:p>
      <w:pPr>
        <w:spacing w:after="0" w:line="190" w:lineRule="exact"/>
        <w:rPr>
          <w:sz w:val="20"/>
          <w:szCs w:val="20"/>
          <w:color w:val="auto"/>
        </w:rPr>
      </w:pPr>
    </w:p>
    <w:p>
      <w:pPr>
        <w:ind w:left="20" w:right="100"/>
        <w:spacing w:after="0" w:line="239" w:lineRule="auto"/>
        <w:rPr>
          <w:sz w:val="20"/>
          <w:szCs w:val="20"/>
          <w:color w:val="auto"/>
        </w:rPr>
      </w:pPr>
      <w:r>
        <w:rPr>
          <w:rFonts w:ascii="Arial" w:cs="Arial" w:eastAsia="Arial" w:hAnsi="Arial"/>
          <w:sz w:val="18"/>
          <w:szCs w:val="18"/>
          <w:color w:val="auto"/>
        </w:rPr>
        <w:t>We have adopted a practice approved by the SEC called “householding.” This means that stockholders who have the same address and last name and do not participate in electronic delivery of proxy materials will receive only one copy of our annual report and proxy statement unless one or more of these stockholders notifies us that they wish to continue receiving individual copies. This procedure reduces printing costs, postage fees, and the environmental impact. Each stockholder who participates in householding will continue to be able to access or receive a separate proxy card.</w:t>
      </w:r>
    </w:p>
    <w:p>
      <w:pPr>
        <w:spacing w:after="0" w:line="154" w:lineRule="exact"/>
        <w:rPr>
          <w:sz w:val="20"/>
          <w:szCs w:val="20"/>
          <w:color w:val="auto"/>
        </w:rPr>
      </w:pPr>
    </w:p>
    <w:p>
      <w:pPr>
        <w:ind w:left="20"/>
        <w:spacing w:after="0" w:line="241" w:lineRule="auto"/>
        <w:rPr>
          <w:sz w:val="20"/>
          <w:szCs w:val="20"/>
          <w:color w:val="auto"/>
        </w:rPr>
      </w:pPr>
      <w:r>
        <w:rPr>
          <w:rFonts w:ascii="Arial" w:cs="Arial" w:eastAsia="Arial" w:hAnsi="Arial"/>
          <w:sz w:val="18"/>
          <w:szCs w:val="18"/>
          <w:color w:val="auto"/>
        </w:rPr>
        <w:t>If you prefer to receive a separate set of proxy materials or if you currently receive multiple copies and would like to request “householding” of your communications, please contact Broadridge by phone at 1 (866) 540-7095 or by mail to Broadridge, Householding Department, 51 Mercedes Way, Edgewood, New York 11717. If any stockholders in your household would like to receive a separate annual report or proxy statement, please send an email to investors@renttherunway.com. We will strive to promptly address your request.</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265" w:right="125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68" w:lineRule="exact"/>
        <w:rPr>
          <w:sz w:val="20"/>
          <w:szCs w:val="20"/>
          <w:color w:val="auto"/>
        </w:rPr>
      </w:pPr>
    </w:p>
    <w:p>
      <w:pPr>
        <w:ind w:left="20" w:right="3160"/>
        <w:spacing w:after="0" w:line="280" w:lineRule="auto"/>
        <w:rPr>
          <w:sz w:val="20"/>
          <w:szCs w:val="20"/>
          <w:color w:val="auto"/>
        </w:rPr>
      </w:pPr>
      <w:r>
        <w:rPr>
          <w:rFonts w:ascii="Arial" w:cs="Arial" w:eastAsia="Arial" w:hAnsi="Arial"/>
          <w:sz w:val="64"/>
          <w:szCs w:val="64"/>
          <w:b w:val="1"/>
          <w:bCs w:val="1"/>
          <w:color w:val="auto"/>
        </w:rPr>
        <w:t>Proposal No. 1 Election of Directors</w:t>
      </w:r>
    </w:p>
    <w:p>
      <w:pPr>
        <w:spacing w:after="0" w:line="5" w:lineRule="exact"/>
        <w:rPr>
          <w:sz w:val="20"/>
          <w:szCs w:val="20"/>
          <w:color w:val="auto"/>
        </w:rPr>
      </w:pPr>
    </w:p>
    <w:p>
      <w:pPr>
        <w:jc w:val="both"/>
        <w:ind w:left="20" w:right="60"/>
        <w:spacing w:after="0" w:line="243" w:lineRule="auto"/>
        <w:rPr>
          <w:sz w:val="20"/>
          <w:szCs w:val="20"/>
          <w:color w:val="auto"/>
        </w:rPr>
      </w:pPr>
      <w:r>
        <w:rPr>
          <w:rFonts w:ascii="Arial" w:cs="Arial" w:eastAsia="Arial" w:hAnsi="Arial"/>
          <w:sz w:val="18"/>
          <w:szCs w:val="18"/>
          <w:color w:val="auto"/>
        </w:rPr>
        <w:t>Our Board of Directors currently consists of 11 directors, who are divided into three classes with staggered three-year terms. At the Annual Meeting, four Class II directors are standing for election, each for a three-year term. The terms of office of directors in Class I and Class III do not expire until the annual meetings of stockholders to be held in 2025 and 2024, respectively.</w:t>
      </w:r>
    </w:p>
    <w:p>
      <w:pPr>
        <w:spacing w:after="0" w:line="137" w:lineRule="exact"/>
        <w:rPr>
          <w:sz w:val="20"/>
          <w:szCs w:val="20"/>
          <w:color w:val="auto"/>
        </w:rPr>
      </w:pPr>
    </w:p>
    <w:p>
      <w:pPr>
        <w:ind w:left="20" w:right="660"/>
        <w:spacing w:after="0" w:line="285" w:lineRule="auto"/>
        <w:rPr>
          <w:sz w:val="20"/>
          <w:szCs w:val="20"/>
          <w:color w:val="auto"/>
        </w:rPr>
      </w:pPr>
      <w:r>
        <w:rPr>
          <w:rFonts w:ascii="Arial" w:cs="Arial" w:eastAsia="Arial" w:hAnsi="Arial"/>
          <w:sz w:val="18"/>
          <w:szCs w:val="18"/>
          <w:b w:val="1"/>
          <w:bCs w:val="1"/>
          <w:color w:val="auto"/>
        </w:rPr>
        <w:t>The Board has nominated Scott Friend, Melanie Harris, Dan Nova, and Mike Roth for election as Class II directors at the Annual Meeting.</w:t>
      </w:r>
    </w:p>
    <w:p>
      <w:pPr>
        <w:spacing w:after="0" w:line="112" w:lineRule="exact"/>
        <w:rPr>
          <w:sz w:val="20"/>
          <w:szCs w:val="20"/>
          <w:color w:val="auto"/>
        </w:rPr>
      </w:pPr>
    </w:p>
    <w:p>
      <w:pPr>
        <w:ind w:left="20" w:right="120"/>
        <w:spacing w:after="0" w:line="243" w:lineRule="auto"/>
        <w:rPr>
          <w:sz w:val="20"/>
          <w:szCs w:val="20"/>
          <w:color w:val="auto"/>
        </w:rPr>
      </w:pPr>
      <w:r>
        <w:rPr>
          <w:rFonts w:ascii="Arial" w:cs="Arial" w:eastAsia="Arial" w:hAnsi="Arial"/>
          <w:sz w:val="18"/>
          <w:szCs w:val="18"/>
          <w:color w:val="auto"/>
        </w:rPr>
        <w:t>Each director is elected by a plurality of the votes cast. The four director nominees receiving the highest number of “FOR” votes will be elected. If elected at the Annual Meeting, the nominees will serve until our 2026 annual meeting of stockholders and until their successors have been elected and qualified or until they resign, die, or are removed from the Board of Directors.</w:t>
      </w:r>
    </w:p>
    <w:p>
      <w:pPr>
        <w:spacing w:after="0" w:line="147" w:lineRule="exact"/>
        <w:rPr>
          <w:sz w:val="20"/>
          <w:szCs w:val="20"/>
          <w:color w:val="auto"/>
        </w:rPr>
      </w:pPr>
    </w:p>
    <w:p>
      <w:pPr>
        <w:ind w:left="20" w:right="240"/>
        <w:spacing w:after="0" w:line="253" w:lineRule="auto"/>
        <w:rPr>
          <w:sz w:val="20"/>
          <w:szCs w:val="20"/>
          <w:color w:val="auto"/>
        </w:rPr>
      </w:pPr>
      <w:r>
        <w:rPr>
          <w:rFonts w:ascii="Arial" w:cs="Arial" w:eastAsia="Arial" w:hAnsi="Arial"/>
          <w:sz w:val="17"/>
          <w:szCs w:val="17"/>
          <w:color w:val="auto"/>
        </w:rPr>
        <w:t>In connection with the initial public offering (“IPO”) of our Class A common stock in October 2021, we entered into a Stockholders Agreement (the “Stockholders Agreement”) between the Company and certain stockholders of the Company, including (i) the Founder (as defined below), (ii) the Bain Capital Ventures Entities (as defined below); and</w:t>
      </w:r>
    </w:p>
    <w:p>
      <w:pPr>
        <w:spacing w:after="0" w:line="1" w:lineRule="exact"/>
        <w:rPr>
          <w:sz w:val="20"/>
          <w:szCs w:val="20"/>
          <w:color w:val="auto"/>
        </w:rPr>
      </w:pPr>
    </w:p>
    <w:p>
      <w:pPr>
        <w:ind w:left="20" w:firstLine="1"/>
        <w:spacing w:after="0" w:line="238" w:lineRule="auto"/>
        <w:tabs>
          <w:tab w:leader="none" w:pos="3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Highland Entities (as defined below). As a result of the Stockholders Agreement and the aggregate voting power of the parties to the agreement, we expect that the parties to the agreement acting in conjunction will control the election of directors at RTR. For more information, see “The Board and Corporate Governance—Stockholders Agreement.”</w:t>
      </w:r>
    </w:p>
    <w:p>
      <w:pPr>
        <w:spacing w:after="0" w:line="152" w:lineRule="exact"/>
        <w:rPr>
          <w:sz w:val="20"/>
          <w:szCs w:val="20"/>
          <w:color w:val="auto"/>
        </w:rPr>
      </w:pPr>
    </w:p>
    <w:p>
      <w:pPr>
        <w:jc w:val="both"/>
        <w:ind w:left="20" w:right="80"/>
        <w:spacing w:after="0" w:line="247" w:lineRule="auto"/>
        <w:rPr>
          <w:sz w:val="20"/>
          <w:szCs w:val="20"/>
          <w:color w:val="auto"/>
        </w:rPr>
      </w:pPr>
      <w:r>
        <w:rPr>
          <w:rFonts w:ascii="Arial" w:cs="Arial" w:eastAsia="Arial" w:hAnsi="Arial"/>
          <w:sz w:val="18"/>
          <w:szCs w:val="18"/>
          <w:color w:val="auto"/>
        </w:rPr>
        <w:t>The nominees have consented to serve as director, if elected. We have no reason to believe that any of the nominees will be unable or unwilling to serve as director. If, however, a nominee is unavailable for election, your proxy authorizes us to vote for a replacement nominee if the Board names one.</w:t>
      </w:r>
    </w:p>
    <w:p>
      <w:pPr>
        <w:spacing w:after="0" w:line="165" w:lineRule="exact"/>
        <w:rPr>
          <w:sz w:val="20"/>
          <w:szCs w:val="20"/>
          <w:color w:val="auto"/>
        </w:rPr>
      </w:pPr>
    </w:p>
    <w:p>
      <w:pPr>
        <w:ind w:left="20" w:right="440"/>
        <w:spacing w:after="0" w:line="276" w:lineRule="auto"/>
        <w:rPr>
          <w:sz w:val="20"/>
          <w:szCs w:val="20"/>
          <w:color w:val="auto"/>
        </w:rPr>
      </w:pPr>
      <w:r>
        <w:rPr>
          <w:rFonts w:ascii="Arial" w:cs="Arial" w:eastAsia="Arial" w:hAnsi="Arial"/>
          <w:sz w:val="22"/>
          <w:szCs w:val="22"/>
          <w:b w:val="1"/>
          <w:bCs w:val="1"/>
          <w:color w:val="auto"/>
        </w:rPr>
        <w:t>The Board of Directors recommends a vote “FOR” each of the director nominees named above.</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159385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68" w:lineRule="exact"/>
        <w:rPr>
          <w:sz w:val="20"/>
          <w:szCs w:val="20"/>
          <w:color w:val="auto"/>
        </w:rPr>
      </w:pPr>
    </w:p>
    <w:p>
      <w:pPr>
        <w:ind w:left="20" w:right="1480"/>
        <w:spacing w:after="0" w:line="263" w:lineRule="auto"/>
        <w:rPr>
          <w:sz w:val="20"/>
          <w:szCs w:val="20"/>
          <w:color w:val="auto"/>
        </w:rPr>
      </w:pPr>
      <w:r>
        <w:rPr>
          <w:rFonts w:ascii="Arial" w:cs="Arial" w:eastAsia="Arial" w:hAnsi="Arial"/>
          <w:sz w:val="65"/>
          <w:szCs w:val="65"/>
          <w:b w:val="1"/>
          <w:bCs w:val="1"/>
          <w:color w:val="auto"/>
        </w:rPr>
        <w:t>Information About Board Nominees and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-55245</wp:posOffset>
            </wp:positionV>
            <wp:extent cx="6035040" cy="257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5040" cy="25717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sectPr>
      </w:pP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200"/>
        </w:trPr>
        <w:tc>
          <w:tcPr>
            <w:tcW w:w="22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ind w:left="980"/>
              <w:spacing w:after="0"/>
              <w:rPr>
                <w:sz w:val="20"/>
                <w:szCs w:val="20"/>
                <w:color w:val="auto"/>
              </w:rPr>
            </w:pPr>
            <w:r>
              <w:rPr>
                <w:rFonts w:ascii="Arial" w:cs="Arial" w:eastAsia="Arial" w:hAnsi="Arial"/>
                <w:sz w:val="4"/>
                <w:szCs w:val="4"/>
                <w:color w:val="auto"/>
              </w:rPr>
              <w:t>​</w:t>
            </w:r>
          </w:p>
        </w:tc>
        <w:tc>
          <w:tcPr>
            <w:tcW w:w="540" w:type="dxa"/>
            <w:vAlign w:val="bottom"/>
          </w:tcPr>
          <w:p>
            <w:pPr>
              <w:ind w:left="280"/>
              <w:spacing w:after="0"/>
              <w:rPr>
                <w:sz w:val="20"/>
                <w:szCs w:val="20"/>
                <w:color w:val="auto"/>
              </w:rPr>
            </w:pPr>
            <w:r>
              <w:rPr>
                <w:rFonts w:ascii="Arial" w:cs="Arial" w:eastAsia="Arial" w:hAnsi="Arial"/>
                <w:sz w:val="4"/>
                <w:szCs w:val="4"/>
                <w:color w:val="auto"/>
              </w:rPr>
              <w:t>​</w:t>
            </w: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3"/>
                <w:szCs w:val="3"/>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720" w:type="dxa"/>
            <w:vAlign w:val="bottom"/>
          </w:tcPr>
          <w:p>
            <w:pPr>
              <w:ind w:left="260"/>
              <w:spacing w:after="0"/>
              <w:rPr>
                <w:sz w:val="20"/>
                <w:szCs w:val="20"/>
                <w:color w:val="auto"/>
              </w:rPr>
            </w:pPr>
            <w:r>
              <w:rPr>
                <w:rFonts w:ascii="Arial" w:cs="Arial" w:eastAsia="Arial" w:hAnsi="Arial"/>
                <w:sz w:val="14"/>
                <w:szCs w:val="14"/>
                <w:b w:val="1"/>
                <w:bCs w:val="1"/>
                <w:color w:val="auto"/>
              </w:rPr>
              <w:t>Position</w:t>
            </w:r>
          </w:p>
        </w:tc>
        <w:tc>
          <w:tcPr>
            <w:tcW w:w="40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3"/>
                <w:szCs w:val="3"/>
                <w:color w:val="auto"/>
              </w:rPr>
              <w:t>​</w:t>
            </w:r>
          </w:p>
        </w:tc>
      </w:tr>
      <w:tr>
        <w:trPr>
          <w:trHeight w:val="349"/>
        </w:trPr>
        <w:tc>
          <w:tcPr>
            <w:tcW w:w="2200" w:type="dxa"/>
            <w:vAlign w:val="bottom"/>
          </w:tcPr>
          <w:p>
            <w:pPr>
              <w:spacing w:after="0"/>
              <w:rPr>
                <w:sz w:val="20"/>
                <w:szCs w:val="20"/>
                <w:color w:val="auto"/>
              </w:rPr>
            </w:pPr>
            <w:r>
              <w:rPr>
                <w:rFonts w:ascii="Arial" w:cs="Arial" w:eastAsia="Arial" w:hAnsi="Arial"/>
                <w:sz w:val="14"/>
                <w:szCs w:val="14"/>
                <w:b w:val="1"/>
                <w:bCs w:val="1"/>
                <w:i w:val="1"/>
                <w:iCs w:val="1"/>
                <w:color w:val="auto"/>
              </w:rPr>
              <w:t>Class I Directors</w:t>
            </w:r>
          </w:p>
        </w:tc>
        <w:tc>
          <w:tcPr>
            <w:tcW w:w="1240" w:type="dxa"/>
            <w:vAlign w:val="bottom"/>
          </w:tcPr>
          <w:p>
            <w:pPr>
              <w:ind w:left="980"/>
              <w:spacing w:after="0"/>
              <w:rPr>
                <w:sz w:val="20"/>
                <w:szCs w:val="20"/>
                <w:color w:val="auto"/>
              </w:rPr>
            </w:pPr>
            <w:r>
              <w:rPr>
                <w:rFonts w:ascii="Arial" w:cs="Arial" w:eastAsia="Arial" w:hAnsi="Arial"/>
                <w:sz w:val="4"/>
                <w:szCs w:val="4"/>
                <w:color w:val="auto"/>
              </w:rPr>
              <w:t>​</w:t>
            </w:r>
          </w:p>
        </w:tc>
        <w:tc>
          <w:tcPr>
            <w:tcW w:w="540" w:type="dxa"/>
            <w:vAlign w:val="bottom"/>
          </w:tcPr>
          <w:p>
            <w:pPr>
              <w:ind w:left="280"/>
              <w:spacing w:after="0"/>
              <w:rPr>
                <w:sz w:val="20"/>
                <w:szCs w:val="20"/>
                <w:color w:val="auto"/>
              </w:rPr>
            </w:pPr>
            <w:r>
              <w:rPr>
                <w:rFonts w:ascii="Arial" w:cs="Arial" w:eastAsia="Arial" w:hAnsi="Arial"/>
                <w:sz w:val="4"/>
                <w:szCs w:val="4"/>
                <w:color w:val="auto"/>
              </w:rPr>
              <w:t>​</w:t>
            </w:r>
          </w:p>
        </w:tc>
        <w:tc>
          <w:tcPr>
            <w:tcW w:w="820" w:type="dxa"/>
            <w:vAlign w:val="bottom"/>
          </w:tcPr>
          <w:p>
            <w:pPr>
              <w:jc w:val="right"/>
              <w:ind w:right="199"/>
              <w:spacing w:after="0"/>
              <w:rPr>
                <w:sz w:val="20"/>
                <w:szCs w:val="20"/>
                <w:color w:val="auto"/>
              </w:rPr>
            </w:pPr>
            <w:r>
              <w:rPr>
                <w:rFonts w:ascii="Arial" w:cs="Arial" w:eastAsia="Arial" w:hAnsi="Arial"/>
                <w:sz w:val="4"/>
                <w:szCs w:val="4"/>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72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180" w:type="dxa"/>
            <w:vAlign w:val="bottom"/>
          </w:tcPr>
          <w:p>
            <w:pPr>
              <w:spacing w:after="0"/>
              <w:rPr>
                <w:sz w:val="24"/>
                <w:szCs w:val="24"/>
                <w:color w:val="auto"/>
              </w:rPr>
            </w:pPr>
          </w:p>
        </w:tc>
        <w:tc>
          <w:tcPr>
            <w:tcW w:w="60" w:type="dxa"/>
            <w:vAlign w:val="bottom"/>
          </w:tcPr>
          <w:p>
            <w:pPr>
              <w:ind w:left="60"/>
              <w:spacing w:after="0"/>
              <w:rPr>
                <w:sz w:val="20"/>
                <w:szCs w:val="20"/>
                <w:color w:val="auto"/>
              </w:rPr>
            </w:pPr>
            <w:r>
              <w:rPr>
                <w:rFonts w:ascii="Arial" w:cs="Arial" w:eastAsia="Arial" w:hAnsi="Arial"/>
                <w:sz w:val="4"/>
                <w:szCs w:val="4"/>
                <w:color w:val="auto"/>
              </w:rPr>
              <w:t>​</w:t>
            </w:r>
          </w:p>
        </w:tc>
      </w:tr>
      <w:tr>
        <w:trPr>
          <w:trHeight w:val="656"/>
        </w:trPr>
        <w:tc>
          <w:tcPr>
            <w:tcW w:w="2200" w:type="dxa"/>
            <w:vAlign w:val="bottom"/>
          </w:tcPr>
          <w:p>
            <w:pPr>
              <w:spacing w:after="0" w:line="309" w:lineRule="exact"/>
              <w:rPr>
                <w:sz w:val="20"/>
                <w:szCs w:val="20"/>
                <w:color w:val="auto"/>
              </w:rPr>
            </w:pPr>
            <w:r>
              <w:rPr>
                <w:rFonts w:ascii="Arial" w:cs="Arial" w:eastAsia="Arial" w:hAnsi="Arial"/>
                <w:sz w:val="14"/>
                <w:szCs w:val="14"/>
                <w:color w:val="auto"/>
              </w:rPr>
              <w:t>Tim Bixby</w:t>
            </w:r>
            <w:r>
              <w:rPr>
                <w:rFonts w:ascii="Arial" w:cs="Arial" w:eastAsia="Arial" w:hAnsi="Arial"/>
                <w:sz w:val="23"/>
                <w:szCs w:val="23"/>
                <w:color w:val="auto"/>
                <w:vertAlign w:val="superscript"/>
              </w:rPr>
              <w:t>(1)*</w:t>
            </w:r>
            <w:r>
              <w:rPr>
                <w:rFonts w:ascii="Arial Unicode MS" w:cs="Arial Unicode MS" w:eastAsia="Arial Unicode MS" w:hAnsi="Arial Unicode MS"/>
                <w:sz w:val="23"/>
                <w:szCs w:val="23"/>
                <w:color w:val="auto"/>
                <w:vertAlign w:val="superscript"/>
              </w:rPr>
              <w:t>��</w:t>
            </w:r>
          </w:p>
        </w:tc>
        <w:tc>
          <w:tcPr>
            <w:tcW w:w="1240" w:type="dxa"/>
            <w:vAlign w:val="bottom"/>
          </w:tcPr>
          <w:p>
            <w:pPr>
              <w:ind w:left="980"/>
              <w:spacing w:after="0"/>
              <w:rPr>
                <w:sz w:val="20"/>
                <w:szCs w:val="20"/>
                <w:color w:val="auto"/>
              </w:rPr>
            </w:pPr>
            <w:r>
              <w:rPr>
                <w:rFonts w:ascii="Arial" w:cs="Arial" w:eastAsia="Arial" w:hAnsi="Arial"/>
                <w:sz w:val="4"/>
                <w:szCs w:val="4"/>
                <w:color w:val="auto"/>
              </w:rPr>
              <w:t>​</w:t>
            </w:r>
          </w:p>
        </w:tc>
        <w:tc>
          <w:tcPr>
            <w:tcW w:w="540" w:type="dxa"/>
            <w:vAlign w:val="bottom"/>
          </w:tcPr>
          <w:p>
            <w:pPr>
              <w:ind w:left="280"/>
              <w:spacing w:after="0"/>
              <w:rPr>
                <w:sz w:val="20"/>
                <w:szCs w:val="20"/>
                <w:color w:val="auto"/>
              </w:rPr>
            </w:pPr>
            <w:r>
              <w:rPr>
                <w:rFonts w:ascii="Arial" w:cs="Arial" w:eastAsia="Arial" w:hAnsi="Arial"/>
                <w:sz w:val="4"/>
                <w:szCs w:val="4"/>
                <w:color w:val="auto"/>
              </w:rPr>
              <w:t>​</w:t>
            </w:r>
          </w:p>
        </w:tc>
        <w:tc>
          <w:tcPr>
            <w:tcW w:w="820" w:type="dxa"/>
            <w:vAlign w:val="bottom"/>
          </w:tcPr>
          <w:p>
            <w:pPr>
              <w:jc w:val="right"/>
              <w:ind w:right="199"/>
              <w:spacing w:after="0"/>
              <w:rPr>
                <w:sz w:val="20"/>
                <w:szCs w:val="20"/>
                <w:color w:val="auto"/>
              </w:rPr>
            </w:pPr>
            <w:r>
              <w:rPr>
                <w:rFonts w:ascii="Arial" w:cs="Arial" w:eastAsia="Arial" w:hAnsi="Arial"/>
                <w:sz w:val="14"/>
                <w:szCs w:val="14"/>
                <w:color w:val="auto"/>
              </w:rPr>
              <w:t>58</w:t>
            </w:r>
            <w:r>
              <w:rPr>
                <w:rFonts w:ascii="Arial" w:cs="Arial" w:eastAsia="Arial" w:hAnsi="Arial"/>
                <w:sz w:val="3"/>
                <w:szCs w:val="3"/>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720" w:type="dxa"/>
            <w:vAlign w:val="bottom"/>
          </w:tcPr>
          <w:p>
            <w:pPr>
              <w:ind w:left="260"/>
              <w:spacing w:after="0"/>
              <w:rPr>
                <w:sz w:val="20"/>
                <w:szCs w:val="20"/>
                <w:color w:val="auto"/>
              </w:rPr>
            </w:pPr>
            <w:r>
              <w:rPr>
                <w:rFonts w:ascii="Arial" w:cs="Arial" w:eastAsia="Arial" w:hAnsi="Arial"/>
                <w:sz w:val="14"/>
                <w:szCs w:val="14"/>
                <w:color w:val="auto"/>
              </w:rPr>
              <w:t>Director</w:t>
            </w:r>
          </w:p>
        </w:tc>
        <w:tc>
          <w:tcPr>
            <w:tcW w:w="40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240" w:type="dxa"/>
            <w:vAlign w:val="bottom"/>
            <w:gridSpan w:val="2"/>
          </w:tcPr>
          <w:p>
            <w:pPr>
              <w:ind w:left="260"/>
              <w:spacing w:after="0"/>
              <w:rPr>
                <w:sz w:val="20"/>
                <w:szCs w:val="20"/>
                <w:color w:val="auto"/>
              </w:rPr>
            </w:pPr>
            <w:r>
              <w:rPr>
                <w:rFonts w:ascii="Arial" w:cs="Arial" w:eastAsia="Arial" w:hAnsi="Arial"/>
                <w:sz w:val="14"/>
                <w:szCs w:val="14"/>
                <w:color w:val="auto"/>
              </w:rPr>
              <w:t xml:space="preserve">February 2021 </w:t>
            </w:r>
            <w:r>
              <w:rPr>
                <w:rFonts w:ascii="Arial" w:cs="Arial" w:eastAsia="Arial" w:hAnsi="Arial"/>
                <w:sz w:val="3"/>
                <w:szCs w:val="3"/>
                <w:color w:val="auto"/>
              </w:rPr>
              <w:t>​</w:t>
            </w:r>
          </w:p>
        </w:tc>
      </w:tr>
      <w:tr>
        <w:trPr>
          <w:trHeight w:val="423"/>
        </w:trPr>
        <w:tc>
          <w:tcPr>
            <w:tcW w:w="2200" w:type="dxa"/>
            <w:vAlign w:val="bottom"/>
          </w:tcPr>
          <w:p>
            <w:pPr>
              <w:spacing w:after="0"/>
              <w:rPr>
                <w:sz w:val="20"/>
                <w:szCs w:val="20"/>
                <w:color w:val="auto"/>
              </w:rPr>
            </w:pPr>
            <w:r>
              <w:rPr>
                <w:rFonts w:ascii="Arial" w:cs="Arial" w:eastAsia="Arial" w:hAnsi="Arial"/>
                <w:sz w:val="14"/>
                <w:szCs w:val="14"/>
                <w:color w:val="auto"/>
              </w:rPr>
              <w:t>Jennifer Fleiss</w:t>
            </w:r>
            <w:r>
              <w:rPr>
                <w:rFonts w:ascii="Arial" w:cs="Arial" w:eastAsia="Arial" w:hAnsi="Arial"/>
                <w:sz w:val="23"/>
                <w:szCs w:val="23"/>
                <w:color w:val="auto"/>
                <w:vertAlign w:val="superscript"/>
              </w:rPr>
              <w:t>(3)</w:t>
            </w:r>
          </w:p>
        </w:tc>
        <w:tc>
          <w:tcPr>
            <w:tcW w:w="1240" w:type="dxa"/>
            <w:vAlign w:val="bottom"/>
          </w:tcPr>
          <w:p>
            <w:pPr>
              <w:ind w:left="980"/>
              <w:spacing w:after="0"/>
              <w:rPr>
                <w:sz w:val="20"/>
                <w:szCs w:val="20"/>
                <w:color w:val="auto"/>
              </w:rPr>
            </w:pPr>
            <w:r>
              <w:rPr>
                <w:rFonts w:ascii="Arial" w:cs="Arial" w:eastAsia="Arial" w:hAnsi="Arial"/>
                <w:sz w:val="4"/>
                <w:szCs w:val="4"/>
                <w:color w:val="auto"/>
              </w:rPr>
              <w:t>​</w:t>
            </w:r>
          </w:p>
        </w:tc>
        <w:tc>
          <w:tcPr>
            <w:tcW w:w="540" w:type="dxa"/>
            <w:vAlign w:val="bottom"/>
          </w:tcPr>
          <w:p>
            <w:pPr>
              <w:ind w:left="280"/>
              <w:spacing w:after="0"/>
              <w:rPr>
                <w:sz w:val="20"/>
                <w:szCs w:val="20"/>
                <w:color w:val="auto"/>
              </w:rPr>
            </w:pPr>
            <w:r>
              <w:rPr>
                <w:rFonts w:ascii="Arial" w:cs="Arial" w:eastAsia="Arial" w:hAnsi="Arial"/>
                <w:sz w:val="4"/>
                <w:szCs w:val="4"/>
                <w:color w:val="auto"/>
              </w:rPr>
              <w:t>​</w:t>
            </w:r>
          </w:p>
        </w:tc>
        <w:tc>
          <w:tcPr>
            <w:tcW w:w="820" w:type="dxa"/>
            <w:vAlign w:val="bottom"/>
          </w:tcPr>
          <w:p>
            <w:pPr>
              <w:jc w:val="right"/>
              <w:ind w:right="199"/>
              <w:spacing w:after="0"/>
              <w:rPr>
                <w:sz w:val="20"/>
                <w:szCs w:val="20"/>
                <w:color w:val="auto"/>
              </w:rPr>
            </w:pPr>
            <w:r>
              <w:rPr>
                <w:rFonts w:ascii="Arial" w:cs="Arial" w:eastAsia="Arial" w:hAnsi="Arial"/>
                <w:sz w:val="14"/>
                <w:szCs w:val="14"/>
                <w:color w:val="auto"/>
              </w:rPr>
              <w:t>39</w:t>
            </w:r>
            <w:r>
              <w:rPr>
                <w:rFonts w:ascii="Arial" w:cs="Arial" w:eastAsia="Arial" w:hAnsi="Arial"/>
                <w:sz w:val="3"/>
                <w:szCs w:val="3"/>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720" w:type="dxa"/>
            <w:vAlign w:val="bottom"/>
          </w:tcPr>
          <w:p>
            <w:pPr>
              <w:ind w:left="260"/>
              <w:spacing w:after="0"/>
              <w:rPr>
                <w:sz w:val="20"/>
                <w:szCs w:val="20"/>
                <w:color w:val="auto"/>
              </w:rPr>
            </w:pPr>
            <w:r>
              <w:rPr>
                <w:rFonts w:ascii="Arial" w:cs="Arial" w:eastAsia="Arial" w:hAnsi="Arial"/>
                <w:sz w:val="14"/>
                <w:szCs w:val="14"/>
                <w:color w:val="auto"/>
              </w:rPr>
              <w:t>Co-Founder; Director</w:t>
            </w:r>
          </w:p>
        </w:tc>
        <w:tc>
          <w:tcPr>
            <w:tcW w:w="40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180" w:type="dxa"/>
            <w:vAlign w:val="bottom"/>
          </w:tcPr>
          <w:p>
            <w:pPr>
              <w:ind w:left="260"/>
              <w:spacing w:after="0"/>
              <w:rPr>
                <w:sz w:val="20"/>
                <w:szCs w:val="20"/>
                <w:color w:val="auto"/>
              </w:rPr>
            </w:pPr>
            <w:r>
              <w:rPr>
                <w:rFonts w:ascii="Arial" w:cs="Arial" w:eastAsia="Arial" w:hAnsi="Arial"/>
                <w:sz w:val="14"/>
                <w:szCs w:val="14"/>
                <w:color w:val="auto"/>
              </w:rPr>
              <w:t>March 2009</w:t>
            </w:r>
          </w:p>
        </w:tc>
        <w:tc>
          <w:tcPr>
            <w:tcW w:w="60" w:type="dxa"/>
            <w:vAlign w:val="bottom"/>
          </w:tcPr>
          <w:p>
            <w:pPr>
              <w:ind w:left="60"/>
              <w:spacing w:after="0"/>
              <w:rPr>
                <w:sz w:val="20"/>
                <w:szCs w:val="20"/>
                <w:color w:val="auto"/>
              </w:rPr>
            </w:pPr>
            <w:r>
              <w:rPr>
                <w:rFonts w:ascii="Arial" w:cs="Arial" w:eastAsia="Arial" w:hAnsi="Arial"/>
                <w:sz w:val="4"/>
                <w:szCs w:val="4"/>
                <w:color w:val="auto"/>
              </w:rPr>
              <w:t>​</w:t>
            </w:r>
          </w:p>
        </w:tc>
      </w:tr>
      <w:tr>
        <w:trPr>
          <w:trHeight w:val="432"/>
        </w:trPr>
        <w:tc>
          <w:tcPr>
            <w:tcW w:w="2200" w:type="dxa"/>
            <w:vAlign w:val="bottom"/>
          </w:tcPr>
          <w:p>
            <w:pPr>
              <w:spacing w:after="0"/>
              <w:rPr>
                <w:sz w:val="20"/>
                <w:szCs w:val="20"/>
                <w:color w:val="auto"/>
              </w:rPr>
            </w:pPr>
            <w:r>
              <w:rPr>
                <w:rFonts w:ascii="Arial" w:cs="Arial" w:eastAsia="Arial" w:hAnsi="Arial"/>
                <w:sz w:val="14"/>
                <w:szCs w:val="14"/>
                <w:color w:val="auto"/>
              </w:rPr>
              <w:t>Carley Roney</w:t>
            </w:r>
            <w:r>
              <w:rPr>
                <w:rFonts w:ascii="Arial" w:cs="Arial" w:eastAsia="Arial" w:hAnsi="Arial"/>
                <w:sz w:val="23"/>
                <w:szCs w:val="23"/>
                <w:color w:val="auto"/>
                <w:vertAlign w:val="superscript"/>
              </w:rPr>
              <w:t>(3)*</w:t>
            </w:r>
          </w:p>
        </w:tc>
        <w:tc>
          <w:tcPr>
            <w:tcW w:w="1240" w:type="dxa"/>
            <w:vAlign w:val="bottom"/>
          </w:tcPr>
          <w:p>
            <w:pPr>
              <w:ind w:left="980"/>
              <w:spacing w:after="0"/>
              <w:rPr>
                <w:sz w:val="20"/>
                <w:szCs w:val="20"/>
                <w:color w:val="auto"/>
              </w:rPr>
            </w:pPr>
            <w:r>
              <w:rPr>
                <w:rFonts w:ascii="Arial" w:cs="Arial" w:eastAsia="Arial" w:hAnsi="Arial"/>
                <w:sz w:val="4"/>
                <w:szCs w:val="4"/>
                <w:color w:val="auto"/>
              </w:rPr>
              <w:t>​</w:t>
            </w:r>
          </w:p>
        </w:tc>
        <w:tc>
          <w:tcPr>
            <w:tcW w:w="540" w:type="dxa"/>
            <w:vAlign w:val="bottom"/>
          </w:tcPr>
          <w:p>
            <w:pPr>
              <w:ind w:left="280"/>
              <w:spacing w:after="0"/>
              <w:rPr>
                <w:sz w:val="20"/>
                <w:szCs w:val="20"/>
                <w:color w:val="auto"/>
              </w:rPr>
            </w:pPr>
            <w:r>
              <w:rPr>
                <w:rFonts w:ascii="Arial" w:cs="Arial" w:eastAsia="Arial" w:hAnsi="Arial"/>
                <w:sz w:val="4"/>
                <w:szCs w:val="4"/>
                <w:color w:val="auto"/>
              </w:rPr>
              <w:t>​</w:t>
            </w:r>
          </w:p>
        </w:tc>
        <w:tc>
          <w:tcPr>
            <w:tcW w:w="820" w:type="dxa"/>
            <w:vAlign w:val="bottom"/>
          </w:tcPr>
          <w:p>
            <w:pPr>
              <w:jc w:val="right"/>
              <w:ind w:right="199"/>
              <w:spacing w:after="0"/>
              <w:rPr>
                <w:sz w:val="20"/>
                <w:szCs w:val="20"/>
                <w:color w:val="auto"/>
              </w:rPr>
            </w:pPr>
            <w:r>
              <w:rPr>
                <w:rFonts w:ascii="Arial" w:cs="Arial" w:eastAsia="Arial" w:hAnsi="Arial"/>
                <w:sz w:val="14"/>
                <w:szCs w:val="14"/>
                <w:color w:val="auto"/>
              </w:rPr>
              <w:t>54</w:t>
            </w:r>
            <w:r>
              <w:rPr>
                <w:rFonts w:ascii="Arial" w:cs="Arial" w:eastAsia="Arial" w:hAnsi="Arial"/>
                <w:sz w:val="3"/>
                <w:szCs w:val="3"/>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720" w:type="dxa"/>
            <w:vAlign w:val="bottom"/>
          </w:tcPr>
          <w:p>
            <w:pPr>
              <w:ind w:left="260"/>
              <w:spacing w:after="0"/>
              <w:rPr>
                <w:sz w:val="20"/>
                <w:szCs w:val="20"/>
                <w:color w:val="auto"/>
              </w:rPr>
            </w:pPr>
            <w:r>
              <w:rPr>
                <w:rFonts w:ascii="Arial" w:cs="Arial" w:eastAsia="Arial" w:hAnsi="Arial"/>
                <w:sz w:val="14"/>
                <w:szCs w:val="14"/>
                <w:color w:val="auto"/>
              </w:rPr>
              <w:t>Director</w:t>
            </w:r>
          </w:p>
        </w:tc>
        <w:tc>
          <w:tcPr>
            <w:tcW w:w="40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180" w:type="dxa"/>
            <w:vAlign w:val="bottom"/>
          </w:tcPr>
          <w:p>
            <w:pPr>
              <w:ind w:left="260"/>
              <w:spacing w:after="0"/>
              <w:rPr>
                <w:sz w:val="20"/>
                <w:szCs w:val="20"/>
                <w:color w:val="auto"/>
              </w:rPr>
            </w:pPr>
            <w:r>
              <w:rPr>
                <w:rFonts w:ascii="Arial" w:cs="Arial" w:eastAsia="Arial" w:hAnsi="Arial"/>
                <w:sz w:val="14"/>
                <w:szCs w:val="14"/>
                <w:color w:val="auto"/>
              </w:rPr>
              <w:t>May 2011</w:t>
            </w:r>
          </w:p>
        </w:tc>
        <w:tc>
          <w:tcPr>
            <w:tcW w:w="60" w:type="dxa"/>
            <w:vAlign w:val="bottom"/>
          </w:tcPr>
          <w:p>
            <w:pPr>
              <w:ind w:left="60"/>
              <w:spacing w:after="0"/>
              <w:rPr>
                <w:sz w:val="20"/>
                <w:szCs w:val="20"/>
                <w:color w:val="auto"/>
              </w:rPr>
            </w:pPr>
            <w:r>
              <w:rPr>
                <w:rFonts w:ascii="Arial" w:cs="Arial" w:eastAsia="Arial" w:hAnsi="Arial"/>
                <w:sz w:val="4"/>
                <w:szCs w:val="4"/>
                <w:color w:val="auto"/>
              </w:rPr>
              <w:t>​</w:t>
            </w:r>
          </w:p>
        </w:tc>
      </w:tr>
      <w:tr>
        <w:trPr>
          <w:trHeight w:val="243"/>
        </w:trPr>
        <w:tc>
          <w:tcPr>
            <w:tcW w:w="2200" w:type="dxa"/>
            <w:vAlign w:val="bottom"/>
          </w:tcPr>
          <w:p>
            <w:pPr>
              <w:spacing w:after="0"/>
              <w:rPr>
                <w:sz w:val="20"/>
                <w:szCs w:val="20"/>
                <w:color w:val="auto"/>
              </w:rPr>
            </w:pPr>
            <w:r>
              <w:rPr>
                <w:rFonts w:ascii="Arial" w:cs="Arial" w:eastAsia="Arial" w:hAnsi="Arial"/>
                <w:sz w:val="14"/>
                <w:szCs w:val="14"/>
                <w:b w:val="1"/>
                <w:bCs w:val="1"/>
                <w:i w:val="1"/>
                <w:iCs w:val="1"/>
                <w:color w:val="auto"/>
              </w:rPr>
              <w:t>Class II Directors</w:t>
            </w:r>
          </w:p>
        </w:tc>
        <w:tc>
          <w:tcPr>
            <w:tcW w:w="1240" w:type="dxa"/>
            <w:vAlign w:val="bottom"/>
          </w:tcPr>
          <w:p>
            <w:pPr>
              <w:ind w:left="980"/>
              <w:spacing w:after="0"/>
              <w:rPr>
                <w:sz w:val="20"/>
                <w:szCs w:val="20"/>
                <w:color w:val="auto"/>
              </w:rPr>
            </w:pPr>
            <w:r>
              <w:rPr>
                <w:rFonts w:ascii="Arial" w:cs="Arial" w:eastAsia="Arial" w:hAnsi="Arial"/>
                <w:sz w:val="4"/>
                <w:szCs w:val="4"/>
                <w:color w:val="auto"/>
              </w:rPr>
              <w:t>​</w:t>
            </w:r>
          </w:p>
        </w:tc>
        <w:tc>
          <w:tcPr>
            <w:tcW w:w="540" w:type="dxa"/>
            <w:vAlign w:val="bottom"/>
          </w:tcPr>
          <w:p>
            <w:pPr>
              <w:ind w:left="280"/>
              <w:spacing w:after="0"/>
              <w:rPr>
                <w:sz w:val="20"/>
                <w:szCs w:val="20"/>
                <w:color w:val="auto"/>
              </w:rPr>
            </w:pPr>
            <w:r>
              <w:rPr>
                <w:rFonts w:ascii="Arial" w:cs="Arial" w:eastAsia="Arial" w:hAnsi="Arial"/>
                <w:sz w:val="4"/>
                <w:szCs w:val="4"/>
                <w:color w:val="auto"/>
              </w:rPr>
              <w:t>​</w:t>
            </w:r>
          </w:p>
        </w:tc>
        <w:tc>
          <w:tcPr>
            <w:tcW w:w="820" w:type="dxa"/>
            <w:vAlign w:val="bottom"/>
          </w:tcPr>
          <w:p>
            <w:pPr>
              <w:jc w:val="right"/>
              <w:ind w:right="199"/>
              <w:spacing w:after="0"/>
              <w:rPr>
                <w:sz w:val="20"/>
                <w:szCs w:val="20"/>
                <w:color w:val="auto"/>
              </w:rPr>
            </w:pPr>
            <w:r>
              <w:rPr>
                <w:rFonts w:ascii="Arial" w:cs="Arial" w:eastAsia="Arial" w:hAnsi="Arial"/>
                <w:sz w:val="4"/>
                <w:szCs w:val="4"/>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720" w:type="dxa"/>
            <w:vAlign w:val="bottom"/>
          </w:tcPr>
          <w:p>
            <w:pPr>
              <w:spacing w:after="0"/>
              <w:rPr>
                <w:sz w:val="21"/>
                <w:szCs w:val="21"/>
                <w:color w:val="auto"/>
              </w:rPr>
            </w:pPr>
          </w:p>
        </w:tc>
        <w:tc>
          <w:tcPr>
            <w:tcW w:w="40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180" w:type="dxa"/>
            <w:vAlign w:val="bottom"/>
          </w:tcPr>
          <w:p>
            <w:pPr>
              <w:spacing w:after="0"/>
              <w:rPr>
                <w:sz w:val="21"/>
                <w:szCs w:val="21"/>
                <w:color w:val="auto"/>
              </w:rPr>
            </w:pPr>
          </w:p>
        </w:tc>
        <w:tc>
          <w:tcPr>
            <w:tcW w:w="60" w:type="dxa"/>
            <w:vAlign w:val="bottom"/>
          </w:tcPr>
          <w:p>
            <w:pPr>
              <w:ind w:left="60"/>
              <w:spacing w:after="0"/>
              <w:rPr>
                <w:sz w:val="20"/>
                <w:szCs w:val="20"/>
                <w:color w:val="auto"/>
              </w:rPr>
            </w:pPr>
            <w:r>
              <w:rPr>
                <w:rFonts w:ascii="Arial" w:cs="Arial" w:eastAsia="Arial" w:hAnsi="Arial"/>
                <w:sz w:val="4"/>
                <w:szCs w:val="4"/>
                <w:color w:val="auto"/>
              </w:rPr>
              <w:t>​</w:t>
            </w:r>
          </w:p>
        </w:tc>
      </w:tr>
      <w:tr>
        <w:trPr>
          <w:trHeight w:val="634"/>
        </w:trPr>
        <w:tc>
          <w:tcPr>
            <w:tcW w:w="2200" w:type="dxa"/>
            <w:vAlign w:val="bottom"/>
          </w:tcPr>
          <w:p>
            <w:pPr>
              <w:spacing w:after="0"/>
              <w:rPr>
                <w:sz w:val="20"/>
                <w:szCs w:val="20"/>
                <w:color w:val="auto"/>
              </w:rPr>
            </w:pPr>
            <w:r>
              <w:rPr>
                <w:rFonts w:ascii="Arial" w:cs="Arial" w:eastAsia="Arial" w:hAnsi="Arial"/>
                <w:sz w:val="14"/>
                <w:szCs w:val="14"/>
                <w:color w:val="auto"/>
              </w:rPr>
              <w:t>Scott Friend</w:t>
            </w:r>
            <w:r>
              <w:rPr>
                <w:rFonts w:ascii="Arial" w:cs="Arial" w:eastAsia="Arial" w:hAnsi="Arial"/>
                <w:sz w:val="23"/>
                <w:szCs w:val="23"/>
                <w:color w:val="auto"/>
                <w:vertAlign w:val="superscript"/>
              </w:rPr>
              <w:t>(2)(4)</w:t>
            </w:r>
          </w:p>
        </w:tc>
        <w:tc>
          <w:tcPr>
            <w:tcW w:w="1240" w:type="dxa"/>
            <w:vAlign w:val="bottom"/>
          </w:tcPr>
          <w:p>
            <w:pPr>
              <w:ind w:left="980"/>
              <w:spacing w:after="0"/>
              <w:rPr>
                <w:sz w:val="20"/>
                <w:szCs w:val="20"/>
                <w:color w:val="auto"/>
              </w:rPr>
            </w:pPr>
            <w:r>
              <w:rPr>
                <w:rFonts w:ascii="Arial" w:cs="Arial" w:eastAsia="Arial" w:hAnsi="Arial"/>
                <w:sz w:val="4"/>
                <w:szCs w:val="4"/>
                <w:color w:val="auto"/>
              </w:rPr>
              <w:t>​</w:t>
            </w:r>
          </w:p>
        </w:tc>
        <w:tc>
          <w:tcPr>
            <w:tcW w:w="540" w:type="dxa"/>
            <w:vAlign w:val="bottom"/>
          </w:tcPr>
          <w:p>
            <w:pPr>
              <w:ind w:left="280"/>
              <w:spacing w:after="0"/>
              <w:rPr>
                <w:sz w:val="20"/>
                <w:szCs w:val="20"/>
                <w:color w:val="auto"/>
              </w:rPr>
            </w:pPr>
            <w:r>
              <w:rPr>
                <w:rFonts w:ascii="Arial" w:cs="Arial" w:eastAsia="Arial" w:hAnsi="Arial"/>
                <w:sz w:val="4"/>
                <w:szCs w:val="4"/>
                <w:color w:val="auto"/>
              </w:rPr>
              <w:t>​</w:t>
            </w:r>
          </w:p>
        </w:tc>
        <w:tc>
          <w:tcPr>
            <w:tcW w:w="820" w:type="dxa"/>
            <w:vAlign w:val="bottom"/>
          </w:tcPr>
          <w:p>
            <w:pPr>
              <w:jc w:val="right"/>
              <w:ind w:right="199"/>
              <w:spacing w:after="0"/>
              <w:rPr>
                <w:sz w:val="20"/>
                <w:szCs w:val="20"/>
                <w:color w:val="auto"/>
              </w:rPr>
            </w:pPr>
            <w:r>
              <w:rPr>
                <w:rFonts w:ascii="Arial" w:cs="Arial" w:eastAsia="Arial" w:hAnsi="Arial"/>
                <w:sz w:val="14"/>
                <w:szCs w:val="14"/>
                <w:color w:val="auto"/>
              </w:rPr>
              <w:t>57</w:t>
            </w:r>
            <w:r>
              <w:rPr>
                <w:rFonts w:ascii="Arial" w:cs="Arial" w:eastAsia="Arial" w:hAnsi="Arial"/>
                <w:sz w:val="3"/>
                <w:szCs w:val="3"/>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720" w:type="dxa"/>
            <w:vAlign w:val="bottom"/>
          </w:tcPr>
          <w:p>
            <w:pPr>
              <w:ind w:left="260"/>
              <w:spacing w:after="0"/>
              <w:rPr>
                <w:sz w:val="20"/>
                <w:szCs w:val="20"/>
                <w:color w:val="auto"/>
              </w:rPr>
            </w:pPr>
            <w:r>
              <w:rPr>
                <w:rFonts w:ascii="Arial" w:cs="Arial" w:eastAsia="Arial" w:hAnsi="Arial"/>
                <w:sz w:val="14"/>
                <w:szCs w:val="14"/>
                <w:color w:val="auto"/>
              </w:rPr>
              <w:t>Director</w:t>
            </w:r>
          </w:p>
        </w:tc>
        <w:tc>
          <w:tcPr>
            <w:tcW w:w="40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180" w:type="dxa"/>
            <w:vAlign w:val="bottom"/>
          </w:tcPr>
          <w:p>
            <w:pPr>
              <w:ind w:left="260"/>
              <w:spacing w:after="0"/>
              <w:rPr>
                <w:sz w:val="20"/>
                <w:szCs w:val="20"/>
                <w:color w:val="auto"/>
              </w:rPr>
            </w:pPr>
            <w:r>
              <w:rPr>
                <w:rFonts w:ascii="Arial" w:cs="Arial" w:eastAsia="Arial" w:hAnsi="Arial"/>
                <w:sz w:val="14"/>
                <w:szCs w:val="14"/>
                <w:color w:val="auto"/>
              </w:rPr>
              <w:t>July 2009</w:t>
            </w:r>
          </w:p>
        </w:tc>
        <w:tc>
          <w:tcPr>
            <w:tcW w:w="60" w:type="dxa"/>
            <w:vAlign w:val="bottom"/>
          </w:tcPr>
          <w:p>
            <w:pPr>
              <w:ind w:left="60"/>
              <w:spacing w:after="0"/>
              <w:rPr>
                <w:sz w:val="20"/>
                <w:szCs w:val="20"/>
                <w:color w:val="auto"/>
              </w:rPr>
            </w:pPr>
            <w:r>
              <w:rPr>
                <w:rFonts w:ascii="Arial" w:cs="Arial" w:eastAsia="Arial" w:hAnsi="Arial"/>
                <w:sz w:val="4"/>
                <w:szCs w:val="4"/>
                <w:color w:val="auto"/>
              </w:rPr>
              <w:t>​</w:t>
            </w:r>
          </w:p>
        </w:tc>
      </w:tr>
      <w:tr>
        <w:trPr>
          <w:trHeight w:val="432"/>
        </w:trPr>
        <w:tc>
          <w:tcPr>
            <w:tcW w:w="2200" w:type="dxa"/>
            <w:vAlign w:val="bottom"/>
          </w:tcPr>
          <w:p>
            <w:pPr>
              <w:spacing w:after="0"/>
              <w:rPr>
                <w:sz w:val="20"/>
                <w:szCs w:val="20"/>
                <w:color w:val="auto"/>
              </w:rPr>
            </w:pPr>
            <w:r>
              <w:rPr>
                <w:rFonts w:ascii="Arial" w:cs="Arial" w:eastAsia="Arial" w:hAnsi="Arial"/>
                <w:sz w:val="14"/>
                <w:szCs w:val="14"/>
                <w:color w:val="auto"/>
              </w:rPr>
              <w:t>Melanie Harris</w:t>
            </w:r>
            <w:r>
              <w:rPr>
                <w:rFonts w:ascii="Arial" w:cs="Arial" w:eastAsia="Arial" w:hAnsi="Arial"/>
                <w:sz w:val="23"/>
                <w:szCs w:val="23"/>
                <w:color w:val="auto"/>
                <w:vertAlign w:val="superscript"/>
              </w:rPr>
              <w:t>(1)</w:t>
            </w:r>
          </w:p>
        </w:tc>
        <w:tc>
          <w:tcPr>
            <w:tcW w:w="1240" w:type="dxa"/>
            <w:vAlign w:val="bottom"/>
          </w:tcPr>
          <w:p>
            <w:pPr>
              <w:ind w:left="980"/>
              <w:spacing w:after="0"/>
              <w:rPr>
                <w:sz w:val="20"/>
                <w:szCs w:val="20"/>
                <w:color w:val="auto"/>
              </w:rPr>
            </w:pPr>
            <w:r>
              <w:rPr>
                <w:rFonts w:ascii="Arial" w:cs="Arial" w:eastAsia="Arial" w:hAnsi="Arial"/>
                <w:sz w:val="4"/>
                <w:szCs w:val="4"/>
                <w:color w:val="auto"/>
              </w:rPr>
              <w:t>​</w:t>
            </w:r>
          </w:p>
        </w:tc>
        <w:tc>
          <w:tcPr>
            <w:tcW w:w="540" w:type="dxa"/>
            <w:vAlign w:val="bottom"/>
          </w:tcPr>
          <w:p>
            <w:pPr>
              <w:ind w:left="280"/>
              <w:spacing w:after="0"/>
              <w:rPr>
                <w:sz w:val="20"/>
                <w:szCs w:val="20"/>
                <w:color w:val="auto"/>
              </w:rPr>
            </w:pPr>
            <w:r>
              <w:rPr>
                <w:rFonts w:ascii="Arial" w:cs="Arial" w:eastAsia="Arial" w:hAnsi="Arial"/>
                <w:sz w:val="4"/>
                <w:szCs w:val="4"/>
                <w:color w:val="auto"/>
              </w:rPr>
              <w:t>​</w:t>
            </w:r>
          </w:p>
        </w:tc>
        <w:tc>
          <w:tcPr>
            <w:tcW w:w="820" w:type="dxa"/>
            <w:vAlign w:val="bottom"/>
          </w:tcPr>
          <w:p>
            <w:pPr>
              <w:jc w:val="right"/>
              <w:ind w:right="199"/>
              <w:spacing w:after="0"/>
              <w:rPr>
                <w:sz w:val="20"/>
                <w:szCs w:val="20"/>
                <w:color w:val="auto"/>
              </w:rPr>
            </w:pPr>
            <w:r>
              <w:rPr>
                <w:rFonts w:ascii="Arial" w:cs="Arial" w:eastAsia="Arial" w:hAnsi="Arial"/>
                <w:sz w:val="14"/>
                <w:szCs w:val="14"/>
                <w:color w:val="auto"/>
              </w:rPr>
              <w:t>44</w:t>
            </w:r>
            <w:r>
              <w:rPr>
                <w:rFonts w:ascii="Arial" w:cs="Arial" w:eastAsia="Arial" w:hAnsi="Arial"/>
                <w:sz w:val="3"/>
                <w:szCs w:val="3"/>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720" w:type="dxa"/>
            <w:vAlign w:val="bottom"/>
          </w:tcPr>
          <w:p>
            <w:pPr>
              <w:ind w:left="260"/>
              <w:spacing w:after="0"/>
              <w:rPr>
                <w:sz w:val="20"/>
                <w:szCs w:val="20"/>
                <w:color w:val="auto"/>
              </w:rPr>
            </w:pPr>
            <w:r>
              <w:rPr>
                <w:rFonts w:ascii="Arial" w:cs="Arial" w:eastAsia="Arial" w:hAnsi="Arial"/>
                <w:sz w:val="14"/>
                <w:szCs w:val="14"/>
                <w:color w:val="auto"/>
              </w:rPr>
              <w:t>Director</w:t>
            </w:r>
          </w:p>
        </w:tc>
        <w:tc>
          <w:tcPr>
            <w:tcW w:w="40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180" w:type="dxa"/>
            <w:vAlign w:val="bottom"/>
          </w:tcPr>
          <w:p>
            <w:pPr>
              <w:ind w:left="260"/>
              <w:spacing w:after="0"/>
              <w:rPr>
                <w:sz w:val="20"/>
                <w:szCs w:val="20"/>
                <w:color w:val="auto"/>
              </w:rPr>
            </w:pPr>
            <w:r>
              <w:rPr>
                <w:rFonts w:ascii="Arial" w:cs="Arial" w:eastAsia="Arial" w:hAnsi="Arial"/>
                <w:sz w:val="14"/>
                <w:szCs w:val="14"/>
                <w:color w:val="auto"/>
              </w:rPr>
              <w:t>July 2021</w:t>
            </w:r>
          </w:p>
        </w:tc>
        <w:tc>
          <w:tcPr>
            <w:tcW w:w="60" w:type="dxa"/>
            <w:vAlign w:val="bottom"/>
          </w:tcPr>
          <w:p>
            <w:pPr>
              <w:ind w:left="60"/>
              <w:spacing w:after="0"/>
              <w:rPr>
                <w:sz w:val="20"/>
                <w:szCs w:val="20"/>
                <w:color w:val="auto"/>
              </w:rPr>
            </w:pPr>
            <w:r>
              <w:rPr>
                <w:rFonts w:ascii="Arial" w:cs="Arial" w:eastAsia="Arial" w:hAnsi="Arial"/>
                <w:sz w:val="4"/>
                <w:szCs w:val="4"/>
                <w:color w:val="auto"/>
              </w:rPr>
              <w:t>​</w:t>
            </w:r>
          </w:p>
        </w:tc>
      </w:tr>
      <w:tr>
        <w:trPr>
          <w:trHeight w:val="378"/>
        </w:trPr>
        <w:tc>
          <w:tcPr>
            <w:tcW w:w="2200" w:type="dxa"/>
            <w:vAlign w:val="bottom"/>
          </w:tcPr>
          <w:p>
            <w:pPr>
              <w:spacing w:after="0" w:line="322" w:lineRule="exact"/>
              <w:rPr>
                <w:sz w:val="20"/>
                <w:szCs w:val="20"/>
                <w:color w:val="auto"/>
              </w:rPr>
            </w:pPr>
            <w:r>
              <w:rPr>
                <w:rFonts w:ascii="Arial" w:cs="Arial" w:eastAsia="Arial" w:hAnsi="Arial"/>
                <w:sz w:val="28"/>
                <w:szCs w:val="28"/>
                <w:color w:val="auto"/>
                <w:vertAlign w:val="subscript"/>
              </w:rPr>
              <w:t>Dan Nova</w:t>
            </w:r>
            <w:r>
              <w:rPr>
                <w:rFonts w:ascii="Arial" w:cs="Arial" w:eastAsia="Arial" w:hAnsi="Arial"/>
                <w:sz w:val="12"/>
                <w:szCs w:val="12"/>
                <w:color w:val="auto"/>
              </w:rPr>
              <w:t>(1)(2)</w:t>
            </w:r>
            <w:r>
              <w:rPr>
                <w:rFonts w:ascii="Arial Unicode MS" w:cs="Arial Unicode MS" w:eastAsia="Arial Unicode MS" w:hAnsi="Arial Unicode MS"/>
                <w:sz w:val="12"/>
                <w:szCs w:val="12"/>
                <w:color w:val="auto"/>
              </w:rPr>
              <w:t>��</w:t>
            </w:r>
          </w:p>
        </w:tc>
        <w:tc>
          <w:tcPr>
            <w:tcW w:w="1240" w:type="dxa"/>
            <w:vAlign w:val="bottom"/>
          </w:tcPr>
          <w:p>
            <w:pPr>
              <w:ind w:left="980"/>
              <w:spacing w:after="0"/>
              <w:rPr>
                <w:sz w:val="20"/>
                <w:szCs w:val="20"/>
                <w:color w:val="auto"/>
              </w:rPr>
            </w:pPr>
            <w:r>
              <w:rPr>
                <w:rFonts w:ascii="Arial" w:cs="Arial" w:eastAsia="Arial" w:hAnsi="Arial"/>
                <w:sz w:val="4"/>
                <w:szCs w:val="4"/>
                <w:color w:val="auto"/>
              </w:rPr>
              <w:t>​</w:t>
            </w:r>
          </w:p>
        </w:tc>
        <w:tc>
          <w:tcPr>
            <w:tcW w:w="540" w:type="dxa"/>
            <w:vAlign w:val="bottom"/>
          </w:tcPr>
          <w:p>
            <w:pPr>
              <w:ind w:left="280"/>
              <w:spacing w:after="0"/>
              <w:rPr>
                <w:sz w:val="20"/>
                <w:szCs w:val="20"/>
                <w:color w:val="auto"/>
              </w:rPr>
            </w:pPr>
            <w:r>
              <w:rPr>
                <w:rFonts w:ascii="Arial" w:cs="Arial" w:eastAsia="Arial" w:hAnsi="Arial"/>
                <w:sz w:val="4"/>
                <w:szCs w:val="4"/>
                <w:color w:val="auto"/>
              </w:rPr>
              <w:t>​</w:t>
            </w:r>
          </w:p>
        </w:tc>
        <w:tc>
          <w:tcPr>
            <w:tcW w:w="820" w:type="dxa"/>
            <w:vAlign w:val="bottom"/>
          </w:tcPr>
          <w:p>
            <w:pPr>
              <w:jc w:val="right"/>
              <w:ind w:right="199"/>
              <w:spacing w:after="0"/>
              <w:rPr>
                <w:sz w:val="20"/>
                <w:szCs w:val="20"/>
                <w:color w:val="auto"/>
              </w:rPr>
            </w:pPr>
            <w:r>
              <w:rPr>
                <w:rFonts w:ascii="Arial" w:cs="Arial" w:eastAsia="Arial" w:hAnsi="Arial"/>
                <w:sz w:val="14"/>
                <w:szCs w:val="14"/>
                <w:color w:val="auto"/>
              </w:rPr>
              <w:t>61</w:t>
            </w:r>
            <w:r>
              <w:rPr>
                <w:rFonts w:ascii="Arial" w:cs="Arial" w:eastAsia="Arial" w:hAnsi="Arial"/>
                <w:sz w:val="3"/>
                <w:szCs w:val="3"/>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720" w:type="dxa"/>
            <w:vAlign w:val="bottom"/>
          </w:tcPr>
          <w:p>
            <w:pPr>
              <w:ind w:left="260"/>
              <w:spacing w:after="0"/>
              <w:rPr>
                <w:sz w:val="20"/>
                <w:szCs w:val="20"/>
                <w:color w:val="auto"/>
              </w:rPr>
            </w:pPr>
            <w:r>
              <w:rPr>
                <w:rFonts w:ascii="Arial" w:cs="Arial" w:eastAsia="Arial" w:hAnsi="Arial"/>
                <w:sz w:val="14"/>
                <w:szCs w:val="14"/>
                <w:color w:val="auto"/>
              </w:rPr>
              <w:t>Director</w:t>
            </w:r>
          </w:p>
        </w:tc>
        <w:tc>
          <w:tcPr>
            <w:tcW w:w="40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240" w:type="dxa"/>
            <w:vAlign w:val="bottom"/>
            <w:gridSpan w:val="2"/>
          </w:tcPr>
          <w:p>
            <w:pPr>
              <w:ind w:left="260"/>
              <w:spacing w:after="0"/>
              <w:rPr>
                <w:sz w:val="20"/>
                <w:szCs w:val="20"/>
                <w:color w:val="auto"/>
              </w:rPr>
            </w:pPr>
            <w:r>
              <w:rPr>
                <w:rFonts w:ascii="Arial" w:cs="Arial" w:eastAsia="Arial" w:hAnsi="Arial"/>
                <w:sz w:val="14"/>
                <w:szCs w:val="14"/>
                <w:color w:val="auto"/>
              </w:rPr>
              <w:t xml:space="preserve">February 2010 </w:t>
            </w:r>
            <w:r>
              <w:rPr>
                <w:rFonts w:ascii="Arial" w:cs="Arial" w:eastAsia="Arial" w:hAnsi="Arial"/>
                <w:sz w:val="3"/>
                <w:szCs w:val="3"/>
                <w:color w:val="auto"/>
              </w:rPr>
              <w:t>​</w:t>
            </w:r>
          </w:p>
        </w:tc>
      </w:tr>
      <w:tr>
        <w:trPr>
          <w:trHeight w:val="486"/>
        </w:trPr>
        <w:tc>
          <w:tcPr>
            <w:tcW w:w="2200" w:type="dxa"/>
            <w:vAlign w:val="bottom"/>
          </w:tcPr>
          <w:p>
            <w:pPr>
              <w:spacing w:after="0"/>
              <w:rPr>
                <w:sz w:val="20"/>
                <w:szCs w:val="20"/>
                <w:color w:val="auto"/>
              </w:rPr>
            </w:pPr>
            <w:r>
              <w:rPr>
                <w:rFonts w:ascii="Arial" w:cs="Arial" w:eastAsia="Arial" w:hAnsi="Arial"/>
                <w:sz w:val="14"/>
                <w:szCs w:val="14"/>
                <w:color w:val="auto"/>
              </w:rPr>
              <w:t>Mike Roth</w:t>
            </w:r>
            <w:r>
              <w:rPr>
                <w:rFonts w:ascii="Arial" w:cs="Arial" w:eastAsia="Arial" w:hAnsi="Arial"/>
                <w:sz w:val="23"/>
                <w:szCs w:val="23"/>
                <w:color w:val="auto"/>
                <w:vertAlign w:val="superscript"/>
              </w:rPr>
              <w:t>(2)</w:t>
            </w:r>
          </w:p>
        </w:tc>
        <w:tc>
          <w:tcPr>
            <w:tcW w:w="1240" w:type="dxa"/>
            <w:vAlign w:val="bottom"/>
          </w:tcPr>
          <w:p>
            <w:pPr>
              <w:ind w:left="980"/>
              <w:spacing w:after="0"/>
              <w:rPr>
                <w:sz w:val="20"/>
                <w:szCs w:val="20"/>
                <w:color w:val="auto"/>
              </w:rPr>
            </w:pPr>
            <w:r>
              <w:rPr>
                <w:rFonts w:ascii="Arial" w:cs="Arial" w:eastAsia="Arial" w:hAnsi="Arial"/>
                <w:sz w:val="4"/>
                <w:szCs w:val="4"/>
                <w:color w:val="auto"/>
              </w:rPr>
              <w:t>​</w:t>
            </w:r>
          </w:p>
        </w:tc>
        <w:tc>
          <w:tcPr>
            <w:tcW w:w="540" w:type="dxa"/>
            <w:vAlign w:val="bottom"/>
          </w:tcPr>
          <w:p>
            <w:pPr>
              <w:ind w:left="280"/>
              <w:spacing w:after="0"/>
              <w:rPr>
                <w:sz w:val="20"/>
                <w:szCs w:val="20"/>
                <w:color w:val="auto"/>
              </w:rPr>
            </w:pPr>
            <w:r>
              <w:rPr>
                <w:rFonts w:ascii="Arial" w:cs="Arial" w:eastAsia="Arial" w:hAnsi="Arial"/>
                <w:sz w:val="4"/>
                <w:szCs w:val="4"/>
                <w:color w:val="auto"/>
              </w:rPr>
              <w:t>​</w:t>
            </w:r>
          </w:p>
        </w:tc>
        <w:tc>
          <w:tcPr>
            <w:tcW w:w="820" w:type="dxa"/>
            <w:vAlign w:val="bottom"/>
          </w:tcPr>
          <w:p>
            <w:pPr>
              <w:jc w:val="right"/>
              <w:ind w:right="199"/>
              <w:spacing w:after="0"/>
              <w:rPr>
                <w:sz w:val="20"/>
                <w:szCs w:val="20"/>
                <w:color w:val="auto"/>
              </w:rPr>
            </w:pPr>
            <w:r>
              <w:rPr>
                <w:rFonts w:ascii="Arial" w:cs="Arial" w:eastAsia="Arial" w:hAnsi="Arial"/>
                <w:sz w:val="14"/>
                <w:szCs w:val="14"/>
                <w:color w:val="auto"/>
              </w:rPr>
              <w:t>56</w:t>
            </w:r>
            <w:r>
              <w:rPr>
                <w:rFonts w:ascii="Arial" w:cs="Arial" w:eastAsia="Arial" w:hAnsi="Arial"/>
                <w:sz w:val="3"/>
                <w:szCs w:val="3"/>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720" w:type="dxa"/>
            <w:vAlign w:val="bottom"/>
          </w:tcPr>
          <w:p>
            <w:pPr>
              <w:ind w:left="260"/>
              <w:spacing w:after="0"/>
              <w:rPr>
                <w:sz w:val="20"/>
                <w:szCs w:val="20"/>
                <w:color w:val="auto"/>
              </w:rPr>
            </w:pPr>
            <w:r>
              <w:rPr>
                <w:rFonts w:ascii="Arial" w:cs="Arial" w:eastAsia="Arial" w:hAnsi="Arial"/>
                <w:sz w:val="14"/>
                <w:szCs w:val="14"/>
                <w:color w:val="auto"/>
              </w:rPr>
              <w:t>Director</w:t>
            </w:r>
          </w:p>
        </w:tc>
        <w:tc>
          <w:tcPr>
            <w:tcW w:w="40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180" w:type="dxa"/>
            <w:vAlign w:val="bottom"/>
          </w:tcPr>
          <w:p>
            <w:pPr>
              <w:ind w:left="260"/>
              <w:spacing w:after="0"/>
              <w:rPr>
                <w:sz w:val="20"/>
                <w:szCs w:val="20"/>
                <w:color w:val="auto"/>
              </w:rPr>
            </w:pPr>
            <w:r>
              <w:rPr>
                <w:rFonts w:ascii="Arial" w:cs="Arial" w:eastAsia="Arial" w:hAnsi="Arial"/>
                <w:sz w:val="14"/>
                <w:szCs w:val="14"/>
                <w:color w:val="auto"/>
              </w:rPr>
              <w:t>January 2020</w:t>
            </w:r>
          </w:p>
        </w:tc>
        <w:tc>
          <w:tcPr>
            <w:tcW w:w="60" w:type="dxa"/>
            <w:vAlign w:val="bottom"/>
          </w:tcPr>
          <w:p>
            <w:pPr>
              <w:ind w:left="60"/>
              <w:spacing w:after="0"/>
              <w:rPr>
                <w:sz w:val="20"/>
                <w:szCs w:val="20"/>
                <w:color w:val="auto"/>
              </w:rPr>
            </w:pPr>
            <w:r>
              <w:rPr>
                <w:rFonts w:ascii="Arial" w:cs="Arial" w:eastAsia="Arial" w:hAnsi="Arial"/>
                <w:sz w:val="4"/>
                <w:szCs w:val="4"/>
                <w:color w:val="auto"/>
              </w:rPr>
              <w:t>​</w:t>
            </w:r>
          </w:p>
        </w:tc>
      </w:tr>
      <w:tr>
        <w:trPr>
          <w:trHeight w:val="243"/>
        </w:trPr>
        <w:tc>
          <w:tcPr>
            <w:tcW w:w="2200" w:type="dxa"/>
            <w:vAlign w:val="bottom"/>
          </w:tcPr>
          <w:p>
            <w:pPr>
              <w:spacing w:after="0"/>
              <w:rPr>
                <w:sz w:val="20"/>
                <w:szCs w:val="20"/>
                <w:color w:val="auto"/>
              </w:rPr>
            </w:pPr>
            <w:r>
              <w:rPr>
                <w:rFonts w:ascii="Arial" w:cs="Arial" w:eastAsia="Arial" w:hAnsi="Arial"/>
                <w:sz w:val="14"/>
                <w:szCs w:val="14"/>
                <w:b w:val="1"/>
                <w:bCs w:val="1"/>
                <w:i w:val="1"/>
                <w:iCs w:val="1"/>
                <w:color w:val="auto"/>
              </w:rPr>
              <w:t>Class III Directors</w:t>
            </w:r>
          </w:p>
        </w:tc>
        <w:tc>
          <w:tcPr>
            <w:tcW w:w="1240" w:type="dxa"/>
            <w:vAlign w:val="bottom"/>
          </w:tcPr>
          <w:p>
            <w:pPr>
              <w:ind w:left="980"/>
              <w:spacing w:after="0"/>
              <w:rPr>
                <w:sz w:val="20"/>
                <w:szCs w:val="20"/>
                <w:color w:val="auto"/>
              </w:rPr>
            </w:pPr>
            <w:r>
              <w:rPr>
                <w:rFonts w:ascii="Arial" w:cs="Arial" w:eastAsia="Arial" w:hAnsi="Arial"/>
                <w:sz w:val="4"/>
                <w:szCs w:val="4"/>
                <w:color w:val="auto"/>
              </w:rPr>
              <w:t>​</w:t>
            </w:r>
          </w:p>
        </w:tc>
        <w:tc>
          <w:tcPr>
            <w:tcW w:w="540" w:type="dxa"/>
            <w:vAlign w:val="bottom"/>
          </w:tcPr>
          <w:p>
            <w:pPr>
              <w:ind w:left="280"/>
              <w:spacing w:after="0"/>
              <w:rPr>
                <w:sz w:val="20"/>
                <w:szCs w:val="20"/>
                <w:color w:val="auto"/>
              </w:rPr>
            </w:pPr>
            <w:r>
              <w:rPr>
                <w:rFonts w:ascii="Arial" w:cs="Arial" w:eastAsia="Arial" w:hAnsi="Arial"/>
                <w:sz w:val="4"/>
                <w:szCs w:val="4"/>
                <w:color w:val="auto"/>
              </w:rPr>
              <w:t>​</w:t>
            </w:r>
          </w:p>
        </w:tc>
        <w:tc>
          <w:tcPr>
            <w:tcW w:w="820" w:type="dxa"/>
            <w:vAlign w:val="bottom"/>
          </w:tcPr>
          <w:p>
            <w:pPr>
              <w:jc w:val="right"/>
              <w:ind w:right="199"/>
              <w:spacing w:after="0"/>
              <w:rPr>
                <w:sz w:val="20"/>
                <w:szCs w:val="20"/>
                <w:color w:val="auto"/>
              </w:rPr>
            </w:pPr>
            <w:r>
              <w:rPr>
                <w:rFonts w:ascii="Arial" w:cs="Arial" w:eastAsia="Arial" w:hAnsi="Arial"/>
                <w:sz w:val="4"/>
                <w:szCs w:val="4"/>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720" w:type="dxa"/>
            <w:vAlign w:val="bottom"/>
          </w:tcPr>
          <w:p>
            <w:pPr>
              <w:spacing w:after="0"/>
              <w:rPr>
                <w:sz w:val="21"/>
                <w:szCs w:val="21"/>
                <w:color w:val="auto"/>
              </w:rPr>
            </w:pPr>
          </w:p>
        </w:tc>
        <w:tc>
          <w:tcPr>
            <w:tcW w:w="40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180" w:type="dxa"/>
            <w:vAlign w:val="bottom"/>
          </w:tcPr>
          <w:p>
            <w:pPr>
              <w:spacing w:after="0"/>
              <w:rPr>
                <w:sz w:val="21"/>
                <w:szCs w:val="21"/>
                <w:color w:val="auto"/>
              </w:rPr>
            </w:pPr>
          </w:p>
        </w:tc>
        <w:tc>
          <w:tcPr>
            <w:tcW w:w="60" w:type="dxa"/>
            <w:vAlign w:val="bottom"/>
          </w:tcPr>
          <w:p>
            <w:pPr>
              <w:ind w:left="60"/>
              <w:spacing w:after="0"/>
              <w:rPr>
                <w:sz w:val="20"/>
                <w:szCs w:val="20"/>
                <w:color w:val="auto"/>
              </w:rPr>
            </w:pPr>
            <w:r>
              <w:rPr>
                <w:rFonts w:ascii="Arial" w:cs="Arial" w:eastAsia="Arial" w:hAnsi="Arial"/>
                <w:sz w:val="4"/>
                <w:szCs w:val="4"/>
                <w:color w:val="auto"/>
              </w:rPr>
              <w:t>​</w:t>
            </w:r>
          </w:p>
        </w:tc>
      </w:tr>
      <w:tr>
        <w:trPr>
          <w:trHeight w:val="518"/>
        </w:trPr>
        <w:tc>
          <w:tcPr>
            <w:tcW w:w="2200" w:type="dxa"/>
            <w:vAlign w:val="bottom"/>
          </w:tcPr>
          <w:p>
            <w:pPr>
              <w:spacing w:after="0"/>
              <w:rPr>
                <w:sz w:val="20"/>
                <w:szCs w:val="20"/>
                <w:color w:val="auto"/>
              </w:rPr>
            </w:pPr>
            <w:r>
              <w:rPr>
                <w:rFonts w:ascii="Arial" w:cs="Arial" w:eastAsia="Arial" w:hAnsi="Arial"/>
                <w:sz w:val="14"/>
                <w:szCs w:val="14"/>
                <w:color w:val="auto"/>
              </w:rPr>
              <w:t>Jennifer Y. Hyman</w:t>
            </w:r>
          </w:p>
        </w:tc>
        <w:tc>
          <w:tcPr>
            <w:tcW w:w="1240" w:type="dxa"/>
            <w:vAlign w:val="bottom"/>
          </w:tcPr>
          <w:p>
            <w:pPr>
              <w:ind w:left="980"/>
              <w:spacing w:after="0"/>
              <w:rPr>
                <w:sz w:val="20"/>
                <w:szCs w:val="20"/>
                <w:color w:val="auto"/>
              </w:rPr>
            </w:pPr>
            <w:r>
              <w:rPr>
                <w:rFonts w:ascii="Arial" w:cs="Arial" w:eastAsia="Arial" w:hAnsi="Arial"/>
                <w:sz w:val="4"/>
                <w:szCs w:val="4"/>
                <w:color w:val="auto"/>
              </w:rPr>
              <w:t>​</w:t>
            </w:r>
          </w:p>
        </w:tc>
        <w:tc>
          <w:tcPr>
            <w:tcW w:w="540" w:type="dxa"/>
            <w:vAlign w:val="bottom"/>
          </w:tcPr>
          <w:p>
            <w:pPr>
              <w:ind w:left="280"/>
              <w:spacing w:after="0"/>
              <w:rPr>
                <w:sz w:val="20"/>
                <w:szCs w:val="20"/>
                <w:color w:val="auto"/>
              </w:rPr>
            </w:pPr>
            <w:r>
              <w:rPr>
                <w:rFonts w:ascii="Arial" w:cs="Arial" w:eastAsia="Arial" w:hAnsi="Arial"/>
                <w:sz w:val="4"/>
                <w:szCs w:val="4"/>
                <w:color w:val="auto"/>
              </w:rPr>
              <w:t>​</w:t>
            </w:r>
          </w:p>
        </w:tc>
        <w:tc>
          <w:tcPr>
            <w:tcW w:w="820" w:type="dxa"/>
            <w:vAlign w:val="bottom"/>
          </w:tcPr>
          <w:p>
            <w:pPr>
              <w:jc w:val="right"/>
              <w:ind w:right="199"/>
              <w:spacing w:after="0"/>
              <w:rPr>
                <w:sz w:val="20"/>
                <w:szCs w:val="20"/>
                <w:color w:val="auto"/>
              </w:rPr>
            </w:pPr>
            <w:r>
              <w:rPr>
                <w:rFonts w:ascii="Arial" w:cs="Arial" w:eastAsia="Arial" w:hAnsi="Arial"/>
                <w:sz w:val="14"/>
                <w:szCs w:val="14"/>
                <w:color w:val="auto"/>
              </w:rPr>
              <w:t>42</w:t>
            </w:r>
            <w:r>
              <w:rPr>
                <w:rFonts w:ascii="Arial" w:cs="Arial" w:eastAsia="Arial" w:hAnsi="Arial"/>
                <w:sz w:val="3"/>
                <w:szCs w:val="3"/>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2120" w:type="dxa"/>
            <w:vAlign w:val="bottom"/>
            <w:gridSpan w:val="2"/>
          </w:tcPr>
          <w:p>
            <w:pPr>
              <w:ind w:left="260"/>
              <w:spacing w:after="0"/>
              <w:rPr>
                <w:sz w:val="20"/>
                <w:szCs w:val="20"/>
                <w:color w:val="auto"/>
              </w:rPr>
            </w:pPr>
            <w:r>
              <w:rPr>
                <w:rFonts w:ascii="Arial" w:cs="Arial" w:eastAsia="Arial" w:hAnsi="Arial"/>
                <w:sz w:val="14"/>
                <w:szCs w:val="14"/>
                <w:color w:val="auto"/>
              </w:rPr>
              <w:t>Co-Founder; CEO; Chair</w:t>
            </w:r>
            <w:r>
              <w:rPr>
                <w:rFonts w:ascii="Arial" w:cs="Arial" w:eastAsia="Arial" w:hAnsi="Arial"/>
                <w:sz w:val="3"/>
                <w:szCs w:val="3"/>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180" w:type="dxa"/>
            <w:vAlign w:val="bottom"/>
          </w:tcPr>
          <w:p>
            <w:pPr>
              <w:ind w:left="260"/>
              <w:spacing w:after="0"/>
              <w:rPr>
                <w:sz w:val="20"/>
                <w:szCs w:val="20"/>
                <w:color w:val="auto"/>
              </w:rPr>
            </w:pPr>
            <w:r>
              <w:rPr>
                <w:rFonts w:ascii="Arial" w:cs="Arial" w:eastAsia="Arial" w:hAnsi="Arial"/>
                <w:sz w:val="14"/>
                <w:szCs w:val="14"/>
                <w:color w:val="auto"/>
              </w:rPr>
              <w:t>March 2009</w:t>
            </w:r>
          </w:p>
        </w:tc>
        <w:tc>
          <w:tcPr>
            <w:tcW w:w="60" w:type="dxa"/>
            <w:vAlign w:val="bottom"/>
          </w:tcPr>
          <w:p>
            <w:pPr>
              <w:ind w:left="60"/>
              <w:spacing w:after="0"/>
              <w:rPr>
                <w:sz w:val="20"/>
                <w:szCs w:val="20"/>
                <w:color w:val="auto"/>
              </w:rPr>
            </w:pPr>
            <w:r>
              <w:rPr>
                <w:rFonts w:ascii="Arial" w:cs="Arial" w:eastAsia="Arial" w:hAnsi="Arial"/>
                <w:sz w:val="4"/>
                <w:szCs w:val="4"/>
                <w:color w:val="auto"/>
              </w:rPr>
              <w:t>​</w:t>
            </w:r>
          </w:p>
        </w:tc>
      </w:tr>
      <w:tr>
        <w:trPr>
          <w:trHeight w:val="548"/>
        </w:trPr>
        <w:tc>
          <w:tcPr>
            <w:tcW w:w="2200" w:type="dxa"/>
            <w:vAlign w:val="bottom"/>
          </w:tcPr>
          <w:p>
            <w:pPr>
              <w:spacing w:after="0"/>
              <w:rPr>
                <w:sz w:val="20"/>
                <w:szCs w:val="20"/>
                <w:color w:val="auto"/>
              </w:rPr>
            </w:pPr>
            <w:r>
              <w:rPr>
                <w:rFonts w:ascii="Arial" w:cs="Arial" w:eastAsia="Arial" w:hAnsi="Arial"/>
                <w:sz w:val="14"/>
                <w:szCs w:val="14"/>
                <w:color w:val="auto"/>
              </w:rPr>
              <w:t>Beth Kaplan</w:t>
            </w:r>
            <w:r>
              <w:rPr>
                <w:rFonts w:ascii="Arial" w:cs="Arial" w:eastAsia="Arial" w:hAnsi="Arial"/>
                <w:sz w:val="23"/>
                <w:szCs w:val="23"/>
                <w:color w:val="auto"/>
                <w:vertAlign w:val="superscript"/>
              </w:rPr>
              <w:t>(1)(2)*</w:t>
            </w:r>
          </w:p>
        </w:tc>
        <w:tc>
          <w:tcPr>
            <w:tcW w:w="1240" w:type="dxa"/>
            <w:vAlign w:val="bottom"/>
          </w:tcPr>
          <w:p>
            <w:pPr>
              <w:ind w:left="980"/>
              <w:spacing w:after="0"/>
              <w:rPr>
                <w:sz w:val="20"/>
                <w:szCs w:val="20"/>
                <w:color w:val="auto"/>
              </w:rPr>
            </w:pPr>
            <w:r>
              <w:rPr>
                <w:rFonts w:ascii="Arial" w:cs="Arial" w:eastAsia="Arial" w:hAnsi="Arial"/>
                <w:sz w:val="4"/>
                <w:szCs w:val="4"/>
                <w:color w:val="auto"/>
              </w:rPr>
              <w:t>​</w:t>
            </w:r>
          </w:p>
        </w:tc>
        <w:tc>
          <w:tcPr>
            <w:tcW w:w="540" w:type="dxa"/>
            <w:vAlign w:val="bottom"/>
          </w:tcPr>
          <w:p>
            <w:pPr>
              <w:ind w:left="280"/>
              <w:spacing w:after="0"/>
              <w:rPr>
                <w:sz w:val="20"/>
                <w:szCs w:val="20"/>
                <w:color w:val="auto"/>
              </w:rPr>
            </w:pPr>
            <w:r>
              <w:rPr>
                <w:rFonts w:ascii="Arial" w:cs="Arial" w:eastAsia="Arial" w:hAnsi="Arial"/>
                <w:sz w:val="4"/>
                <w:szCs w:val="4"/>
                <w:color w:val="auto"/>
              </w:rPr>
              <w:t>​</w:t>
            </w:r>
          </w:p>
        </w:tc>
        <w:tc>
          <w:tcPr>
            <w:tcW w:w="820" w:type="dxa"/>
            <w:vAlign w:val="bottom"/>
          </w:tcPr>
          <w:p>
            <w:pPr>
              <w:jc w:val="right"/>
              <w:ind w:right="199"/>
              <w:spacing w:after="0"/>
              <w:rPr>
                <w:sz w:val="20"/>
                <w:szCs w:val="20"/>
                <w:color w:val="auto"/>
              </w:rPr>
            </w:pPr>
            <w:r>
              <w:rPr>
                <w:rFonts w:ascii="Arial" w:cs="Arial" w:eastAsia="Arial" w:hAnsi="Arial"/>
                <w:sz w:val="14"/>
                <w:szCs w:val="14"/>
                <w:color w:val="auto"/>
              </w:rPr>
              <w:t>65</w:t>
            </w:r>
            <w:r>
              <w:rPr>
                <w:rFonts w:ascii="Arial" w:cs="Arial" w:eastAsia="Arial" w:hAnsi="Arial"/>
                <w:sz w:val="3"/>
                <w:szCs w:val="3"/>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720" w:type="dxa"/>
            <w:vAlign w:val="bottom"/>
          </w:tcPr>
          <w:p>
            <w:pPr>
              <w:ind w:left="260"/>
              <w:spacing w:after="0"/>
              <w:rPr>
                <w:sz w:val="20"/>
                <w:szCs w:val="20"/>
                <w:color w:val="auto"/>
              </w:rPr>
            </w:pPr>
            <w:r>
              <w:rPr>
                <w:rFonts w:ascii="Arial" w:cs="Arial" w:eastAsia="Arial" w:hAnsi="Arial"/>
                <w:sz w:val="14"/>
                <w:szCs w:val="14"/>
                <w:color w:val="auto"/>
              </w:rPr>
              <w:t>Director</w:t>
            </w:r>
          </w:p>
        </w:tc>
        <w:tc>
          <w:tcPr>
            <w:tcW w:w="40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240" w:type="dxa"/>
            <w:vAlign w:val="bottom"/>
            <w:gridSpan w:val="2"/>
          </w:tcPr>
          <w:p>
            <w:pPr>
              <w:ind w:left="260"/>
              <w:spacing w:after="0"/>
              <w:rPr>
                <w:sz w:val="20"/>
                <w:szCs w:val="20"/>
                <w:color w:val="auto"/>
              </w:rPr>
            </w:pPr>
            <w:r>
              <w:rPr>
                <w:rFonts w:ascii="Arial" w:cs="Arial" w:eastAsia="Arial" w:hAnsi="Arial"/>
                <w:sz w:val="14"/>
                <w:szCs w:val="14"/>
                <w:color w:val="auto"/>
              </w:rPr>
              <w:t xml:space="preserve">February 2014 </w:t>
            </w:r>
            <w:r>
              <w:rPr>
                <w:rFonts w:ascii="Arial" w:cs="Arial" w:eastAsia="Arial" w:hAnsi="Arial"/>
                <w:sz w:val="3"/>
                <w:szCs w:val="3"/>
                <w:color w:val="auto"/>
              </w:rPr>
              <w:t>​</w:t>
            </w:r>
          </w:p>
        </w:tc>
      </w:tr>
      <w:tr>
        <w:trPr>
          <w:trHeight w:val="445"/>
        </w:trPr>
        <w:tc>
          <w:tcPr>
            <w:tcW w:w="2200" w:type="dxa"/>
            <w:vAlign w:val="bottom"/>
          </w:tcPr>
          <w:p>
            <w:pPr>
              <w:spacing w:after="0"/>
              <w:rPr>
                <w:sz w:val="20"/>
                <w:szCs w:val="20"/>
                <w:color w:val="auto"/>
              </w:rPr>
            </w:pPr>
            <w:r>
              <w:rPr>
                <w:rFonts w:ascii="Arial" w:cs="Arial" w:eastAsia="Arial" w:hAnsi="Arial"/>
                <w:sz w:val="14"/>
                <w:szCs w:val="14"/>
                <w:color w:val="auto"/>
              </w:rPr>
              <w:t>Emil Michael</w:t>
            </w:r>
            <w:r>
              <w:rPr>
                <w:rFonts w:ascii="Arial" w:cs="Arial" w:eastAsia="Arial" w:hAnsi="Arial"/>
                <w:sz w:val="23"/>
                <w:szCs w:val="23"/>
                <w:color w:val="auto"/>
                <w:vertAlign w:val="superscript"/>
              </w:rPr>
              <w:t>(3)</w:t>
            </w:r>
          </w:p>
        </w:tc>
        <w:tc>
          <w:tcPr>
            <w:tcW w:w="1240" w:type="dxa"/>
            <w:vAlign w:val="bottom"/>
          </w:tcPr>
          <w:p>
            <w:pPr>
              <w:ind w:left="980"/>
              <w:spacing w:after="0"/>
              <w:rPr>
                <w:sz w:val="20"/>
                <w:szCs w:val="20"/>
                <w:color w:val="auto"/>
              </w:rPr>
            </w:pPr>
            <w:r>
              <w:rPr>
                <w:rFonts w:ascii="Arial" w:cs="Arial" w:eastAsia="Arial" w:hAnsi="Arial"/>
                <w:sz w:val="4"/>
                <w:szCs w:val="4"/>
                <w:color w:val="auto"/>
              </w:rPr>
              <w:t>​</w:t>
            </w:r>
          </w:p>
        </w:tc>
        <w:tc>
          <w:tcPr>
            <w:tcW w:w="540" w:type="dxa"/>
            <w:vAlign w:val="bottom"/>
          </w:tcPr>
          <w:p>
            <w:pPr>
              <w:ind w:left="280"/>
              <w:spacing w:after="0"/>
              <w:rPr>
                <w:sz w:val="20"/>
                <w:szCs w:val="20"/>
                <w:color w:val="auto"/>
              </w:rPr>
            </w:pPr>
            <w:r>
              <w:rPr>
                <w:rFonts w:ascii="Arial" w:cs="Arial" w:eastAsia="Arial" w:hAnsi="Arial"/>
                <w:sz w:val="4"/>
                <w:szCs w:val="4"/>
                <w:color w:val="auto"/>
              </w:rPr>
              <w:t>​</w:t>
            </w:r>
          </w:p>
        </w:tc>
        <w:tc>
          <w:tcPr>
            <w:tcW w:w="820" w:type="dxa"/>
            <w:vAlign w:val="bottom"/>
          </w:tcPr>
          <w:p>
            <w:pPr>
              <w:jc w:val="right"/>
              <w:ind w:right="199"/>
              <w:spacing w:after="0"/>
              <w:rPr>
                <w:sz w:val="20"/>
                <w:szCs w:val="20"/>
                <w:color w:val="auto"/>
              </w:rPr>
            </w:pPr>
            <w:r>
              <w:rPr>
                <w:rFonts w:ascii="Arial" w:cs="Arial" w:eastAsia="Arial" w:hAnsi="Arial"/>
                <w:sz w:val="14"/>
                <w:szCs w:val="14"/>
                <w:color w:val="auto"/>
              </w:rPr>
              <w:t>50</w:t>
            </w:r>
            <w:r>
              <w:rPr>
                <w:rFonts w:ascii="Arial" w:cs="Arial" w:eastAsia="Arial" w:hAnsi="Arial"/>
                <w:sz w:val="3"/>
                <w:szCs w:val="3"/>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720" w:type="dxa"/>
            <w:vAlign w:val="bottom"/>
          </w:tcPr>
          <w:p>
            <w:pPr>
              <w:ind w:left="260"/>
              <w:spacing w:after="0"/>
              <w:rPr>
                <w:sz w:val="20"/>
                <w:szCs w:val="20"/>
                <w:color w:val="auto"/>
              </w:rPr>
            </w:pPr>
            <w:r>
              <w:rPr>
                <w:rFonts w:ascii="Arial" w:cs="Arial" w:eastAsia="Arial" w:hAnsi="Arial"/>
                <w:sz w:val="14"/>
                <w:szCs w:val="14"/>
                <w:color w:val="auto"/>
              </w:rPr>
              <w:t>Director</w:t>
            </w:r>
          </w:p>
        </w:tc>
        <w:tc>
          <w:tcPr>
            <w:tcW w:w="40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180" w:type="dxa"/>
            <w:vAlign w:val="bottom"/>
          </w:tcPr>
          <w:p>
            <w:pPr>
              <w:ind w:left="260"/>
              <w:spacing w:after="0"/>
              <w:rPr>
                <w:sz w:val="20"/>
                <w:szCs w:val="20"/>
                <w:color w:val="auto"/>
              </w:rPr>
            </w:pPr>
            <w:r>
              <w:rPr>
                <w:rFonts w:ascii="Arial" w:cs="Arial" w:eastAsia="Arial" w:hAnsi="Arial"/>
                <w:sz w:val="14"/>
                <w:szCs w:val="14"/>
                <w:color w:val="auto"/>
              </w:rPr>
              <w:t>May 2023</w:t>
            </w:r>
          </w:p>
        </w:tc>
        <w:tc>
          <w:tcPr>
            <w:tcW w:w="60" w:type="dxa"/>
            <w:vAlign w:val="bottom"/>
          </w:tcPr>
          <w:p>
            <w:pPr>
              <w:ind w:left="60"/>
              <w:spacing w:after="0"/>
              <w:rPr>
                <w:sz w:val="20"/>
                <w:szCs w:val="20"/>
                <w:color w:val="auto"/>
              </w:rPr>
            </w:pPr>
            <w:r>
              <w:rPr>
                <w:rFonts w:ascii="Arial" w:cs="Arial" w:eastAsia="Arial" w:hAnsi="Arial"/>
                <w:sz w:val="4"/>
                <w:szCs w:val="4"/>
                <w:color w:val="auto"/>
              </w:rPr>
              <w:t>​</w:t>
            </w:r>
          </w:p>
        </w:tc>
      </w:tr>
      <w:tr>
        <w:trPr>
          <w:trHeight w:val="432"/>
        </w:trPr>
        <w:tc>
          <w:tcPr>
            <w:tcW w:w="2200" w:type="dxa"/>
            <w:vAlign w:val="bottom"/>
          </w:tcPr>
          <w:p>
            <w:pPr>
              <w:spacing w:after="0"/>
              <w:rPr>
                <w:sz w:val="20"/>
                <w:szCs w:val="20"/>
                <w:color w:val="auto"/>
              </w:rPr>
            </w:pPr>
            <w:r>
              <w:rPr>
                <w:rFonts w:ascii="Arial" w:cs="Arial" w:eastAsia="Arial" w:hAnsi="Arial"/>
                <w:sz w:val="14"/>
                <w:szCs w:val="14"/>
                <w:color w:val="auto"/>
              </w:rPr>
              <w:t>Gwyneth Paltrow</w:t>
            </w:r>
            <w:r>
              <w:rPr>
                <w:rFonts w:ascii="Arial" w:cs="Arial" w:eastAsia="Arial" w:hAnsi="Arial"/>
                <w:sz w:val="23"/>
                <w:szCs w:val="23"/>
                <w:color w:val="auto"/>
                <w:vertAlign w:val="superscript"/>
              </w:rPr>
              <w:t>(3)</w:t>
            </w:r>
          </w:p>
        </w:tc>
        <w:tc>
          <w:tcPr>
            <w:tcW w:w="1240" w:type="dxa"/>
            <w:vAlign w:val="bottom"/>
          </w:tcPr>
          <w:p>
            <w:pPr>
              <w:ind w:left="980"/>
              <w:spacing w:after="0"/>
              <w:rPr>
                <w:sz w:val="20"/>
                <w:szCs w:val="20"/>
                <w:color w:val="auto"/>
              </w:rPr>
            </w:pPr>
            <w:r>
              <w:rPr>
                <w:rFonts w:ascii="Arial" w:cs="Arial" w:eastAsia="Arial" w:hAnsi="Arial"/>
                <w:sz w:val="4"/>
                <w:szCs w:val="4"/>
                <w:color w:val="auto"/>
              </w:rPr>
              <w:t>​</w:t>
            </w:r>
          </w:p>
        </w:tc>
        <w:tc>
          <w:tcPr>
            <w:tcW w:w="540" w:type="dxa"/>
            <w:vAlign w:val="bottom"/>
          </w:tcPr>
          <w:p>
            <w:pPr>
              <w:ind w:left="280"/>
              <w:spacing w:after="0"/>
              <w:rPr>
                <w:sz w:val="20"/>
                <w:szCs w:val="20"/>
                <w:color w:val="auto"/>
              </w:rPr>
            </w:pPr>
            <w:r>
              <w:rPr>
                <w:rFonts w:ascii="Arial" w:cs="Arial" w:eastAsia="Arial" w:hAnsi="Arial"/>
                <w:sz w:val="4"/>
                <w:szCs w:val="4"/>
                <w:color w:val="auto"/>
              </w:rPr>
              <w:t>​</w:t>
            </w:r>
          </w:p>
        </w:tc>
        <w:tc>
          <w:tcPr>
            <w:tcW w:w="820" w:type="dxa"/>
            <w:vAlign w:val="bottom"/>
          </w:tcPr>
          <w:p>
            <w:pPr>
              <w:jc w:val="right"/>
              <w:ind w:right="199"/>
              <w:spacing w:after="0"/>
              <w:rPr>
                <w:sz w:val="20"/>
                <w:szCs w:val="20"/>
                <w:color w:val="auto"/>
              </w:rPr>
            </w:pPr>
            <w:r>
              <w:rPr>
                <w:rFonts w:ascii="Arial" w:cs="Arial" w:eastAsia="Arial" w:hAnsi="Arial"/>
                <w:sz w:val="14"/>
                <w:szCs w:val="14"/>
                <w:color w:val="auto"/>
              </w:rPr>
              <w:t>50</w:t>
            </w:r>
            <w:r>
              <w:rPr>
                <w:rFonts w:ascii="Arial" w:cs="Arial" w:eastAsia="Arial" w:hAnsi="Arial"/>
                <w:sz w:val="3"/>
                <w:szCs w:val="3"/>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720" w:type="dxa"/>
            <w:vAlign w:val="bottom"/>
          </w:tcPr>
          <w:p>
            <w:pPr>
              <w:ind w:left="260"/>
              <w:spacing w:after="0"/>
              <w:rPr>
                <w:sz w:val="20"/>
                <w:szCs w:val="20"/>
                <w:color w:val="auto"/>
              </w:rPr>
            </w:pPr>
            <w:r>
              <w:rPr>
                <w:rFonts w:ascii="Arial" w:cs="Arial" w:eastAsia="Arial" w:hAnsi="Arial"/>
                <w:sz w:val="14"/>
                <w:szCs w:val="14"/>
                <w:color w:val="auto"/>
              </w:rPr>
              <w:t>Director</w:t>
            </w:r>
          </w:p>
        </w:tc>
        <w:tc>
          <w:tcPr>
            <w:tcW w:w="40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ind w:left="260"/>
              <w:spacing w:after="0"/>
              <w:rPr>
                <w:sz w:val="20"/>
                <w:szCs w:val="20"/>
                <w:color w:val="auto"/>
              </w:rPr>
            </w:pPr>
            <w:r>
              <w:rPr>
                <w:rFonts w:ascii="Arial" w:cs="Arial" w:eastAsia="Arial" w:hAnsi="Arial"/>
                <w:sz w:val="4"/>
                <w:szCs w:val="4"/>
                <w:color w:val="auto"/>
              </w:rPr>
              <w:t>​</w:t>
            </w:r>
          </w:p>
        </w:tc>
        <w:tc>
          <w:tcPr>
            <w:tcW w:w="1180" w:type="dxa"/>
            <w:vAlign w:val="bottom"/>
          </w:tcPr>
          <w:p>
            <w:pPr>
              <w:ind w:left="260"/>
              <w:spacing w:after="0"/>
              <w:rPr>
                <w:sz w:val="20"/>
                <w:szCs w:val="20"/>
                <w:color w:val="auto"/>
              </w:rPr>
            </w:pPr>
            <w:r>
              <w:rPr>
                <w:rFonts w:ascii="Arial" w:cs="Arial" w:eastAsia="Arial" w:hAnsi="Arial"/>
                <w:sz w:val="14"/>
                <w:szCs w:val="14"/>
                <w:color w:val="auto"/>
              </w:rPr>
              <w:t>May 2021</w:t>
            </w:r>
          </w:p>
        </w:tc>
        <w:tc>
          <w:tcPr>
            <w:tcW w:w="60" w:type="dxa"/>
            <w:vAlign w:val="bottom"/>
          </w:tcPr>
          <w:p>
            <w:pPr>
              <w:ind w:left="60"/>
              <w:spacing w:after="0"/>
              <w:rPr>
                <w:sz w:val="20"/>
                <w:szCs w:val="20"/>
                <w:color w:val="auto"/>
              </w:rPr>
            </w:pPr>
            <w:r>
              <w:rPr>
                <w:rFonts w:ascii="Arial" w:cs="Arial" w:eastAsia="Arial" w:hAnsi="Arial"/>
                <w:sz w:val="4"/>
                <w:szCs w:val="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-3880485</wp:posOffset>
            </wp:positionV>
            <wp:extent cx="60350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-3597275</wp:posOffset>
            </wp:positionV>
            <wp:extent cx="60350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-3322955</wp:posOffset>
            </wp:positionV>
            <wp:extent cx="60350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-3048635</wp:posOffset>
            </wp:positionV>
            <wp:extent cx="60350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-2766060</wp:posOffset>
            </wp:positionV>
            <wp:extent cx="60350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-2491740</wp:posOffset>
            </wp:positionV>
            <wp:extent cx="60350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-2217420</wp:posOffset>
            </wp:positionV>
            <wp:extent cx="60350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-1934210</wp:posOffset>
            </wp:positionV>
            <wp:extent cx="60350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-1659890</wp:posOffset>
            </wp:positionV>
            <wp:extent cx="60350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-1385570</wp:posOffset>
            </wp:positionV>
            <wp:extent cx="60350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-1111250</wp:posOffset>
            </wp:positionV>
            <wp:extent cx="60350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-828675</wp:posOffset>
            </wp:positionV>
            <wp:extent cx="60350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-554355</wp:posOffset>
            </wp:positionV>
            <wp:extent cx="60350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-280035</wp:posOffset>
            </wp:positionV>
            <wp:extent cx="60350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-48260</wp:posOffset>
            </wp:positionV>
            <wp:extent cx="60350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type w:val="continuous"/>
        </w:sectPr>
      </w:pPr>
    </w:p>
    <w:p>
      <w:pPr>
        <w:spacing w:after="0" w:line="107" w:lineRule="exact"/>
        <w:rPr>
          <w:sz w:val="20"/>
          <w:szCs w:val="20"/>
          <w:color w:val="auto"/>
        </w:rPr>
      </w:pPr>
    </w:p>
    <w:p>
      <w:pPr>
        <w:ind w:left="380" w:hanging="359"/>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Member of the Nominating and ESG Committee.</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Lead independent director.</w:t>
      </w:r>
    </w:p>
    <w:p>
      <w:pPr>
        <w:spacing w:after="0" w:line="55" w:lineRule="exact"/>
        <w:rPr>
          <w:sz w:val="20"/>
          <w:szCs w:val="20"/>
          <w:color w:val="auto"/>
        </w:rPr>
      </w:pPr>
    </w:p>
    <w:p>
      <w:pPr>
        <w:jc w:val="both"/>
        <w:ind w:left="20" w:right="8060" w:firstLine="1"/>
        <w:spacing w:after="0" w:line="211" w:lineRule="exact"/>
        <w:tabs>
          <w:tab w:leader="none" w:pos="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Committee chair.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Financial expert.</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Nominees to our Board of Directors - Class II Directors</w:t>
      </w:r>
    </w:p>
    <w:p>
      <w:pPr>
        <w:spacing w:after="0" w:line="205" w:lineRule="exact"/>
        <w:rPr>
          <w:sz w:val="20"/>
          <w:szCs w:val="20"/>
          <w:color w:val="auto"/>
        </w:rPr>
      </w:pPr>
    </w:p>
    <w:p>
      <w:pPr>
        <w:ind w:left="20"/>
        <w:spacing w:after="0" w:line="253" w:lineRule="auto"/>
        <w:rPr>
          <w:sz w:val="20"/>
          <w:szCs w:val="20"/>
          <w:color w:val="auto"/>
        </w:rPr>
      </w:pPr>
      <w:r>
        <w:rPr>
          <w:rFonts w:ascii="Arial" w:cs="Arial" w:eastAsia="Arial" w:hAnsi="Arial"/>
          <w:sz w:val="17"/>
          <w:szCs w:val="17"/>
          <w:b w:val="1"/>
          <w:bCs w:val="1"/>
          <w:color w:val="auto"/>
        </w:rPr>
        <w:t xml:space="preserve">Scott Friend </w:t>
      </w:r>
      <w:r>
        <w:rPr>
          <w:rFonts w:ascii="Arial" w:cs="Arial" w:eastAsia="Arial" w:hAnsi="Arial"/>
          <w:sz w:val="17"/>
          <w:szCs w:val="17"/>
          <w:color w:val="auto"/>
        </w:rPr>
        <w:t>has served as a member of our Board of Directors since July 2009 and as our lead independent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since October 2021. Mr. Friend has been a partner at Bain Capital Ventures, the venture capital division of Bain Capital, a multi-asset alternative investment firm, since September 2006. Mr. Friend currently serves on the board of directors of Persado, an AI-generated language platform; Attentive, a mobile marketing platform; Flow Commerce, Inc., a platform expanding e-commerce companies' global reach; Mirakl, a French cloud-based e-commerce company which provides online marketplace software to retailers, manufacturers, and wholesalers; and mParticle, a customer data platform.</w:t>
      </w:r>
    </w:p>
    <w:p>
      <w:pPr>
        <w:spacing w:after="0" w:line="1" w:lineRule="exact"/>
        <w:rPr>
          <w:sz w:val="20"/>
          <w:szCs w:val="20"/>
          <w:color w:val="auto"/>
        </w:rPr>
      </w:pPr>
    </w:p>
    <w:p>
      <w:pPr>
        <w:ind w:left="20" w:right="300"/>
        <w:spacing w:after="0"/>
        <w:rPr>
          <w:sz w:val="20"/>
          <w:szCs w:val="20"/>
          <w:color w:val="auto"/>
        </w:rPr>
      </w:pPr>
      <w:r>
        <w:rPr>
          <w:rFonts w:ascii="Arial" w:cs="Arial" w:eastAsia="Arial" w:hAnsi="Arial"/>
          <w:sz w:val="18"/>
          <w:szCs w:val="18"/>
          <w:color w:val="auto"/>
        </w:rPr>
        <w:t>Mr. Friend holds a B.A. in Engineering and Economics from Brown University and an M.B.A. from Harvard Business School. We believe Mr. Friend is qualified to serve on our Board of Directors because of his extensive corporate strategy, financial, and management experience.</w:t>
      </w:r>
    </w:p>
    <w:p>
      <w:pPr>
        <w:sectPr>
          <w:pgSz w:w="11900" w:h="16838" w:orient="portrait"/>
          <w:cols w:equalWidth="0" w:num="1">
            <w:col w:w="9520"/>
          </w:cols>
          <w:pgMar w:left="1180" w:top="265" w:right="1199" w:bottom="1440" w:gutter="0" w:footer="0" w:header="0"/>
          <w:type w:val="continuous"/>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167005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ind w:left="20" w:right="260"/>
        <w:spacing w:after="0"/>
        <w:rPr>
          <w:sz w:val="20"/>
          <w:szCs w:val="20"/>
          <w:color w:val="auto"/>
        </w:rPr>
      </w:pPr>
      <w:r>
        <w:rPr>
          <w:rFonts w:ascii="Arial" w:cs="Arial" w:eastAsia="Arial" w:hAnsi="Arial"/>
          <w:sz w:val="18"/>
          <w:szCs w:val="18"/>
          <w:b w:val="1"/>
          <w:bCs w:val="1"/>
          <w:color w:val="auto"/>
        </w:rPr>
        <w:t xml:space="preserve">Melanie Harris </w:t>
      </w:r>
      <w:r>
        <w:rPr>
          <w:rFonts w:ascii="Arial" w:cs="Arial" w:eastAsia="Arial" w:hAnsi="Arial"/>
          <w:sz w:val="18"/>
          <w:szCs w:val="18"/>
          <w:color w:val="auto"/>
        </w:rPr>
        <w:t>has served as a member of our Board of Directors since July 2021. Ms. Harris has been the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&amp; General Manager of Jordan Brand in North America (a division of Nike, Inc., a footwear and clothing company) since January 2023. Prior to that, she was the Vice President, Strategy &amp; Development at Nike, Inc. from May 2019 to January 2023. She previously served in various capacities at Bain &amp; Company, a global consulting firm, from January 2010 to May 2019, most recently as a Partner. Ms. Harris holds a B.A. in Political Science from Yale University and an M.B.A. from Harvard Business School. We believe Ms. Harris is qualified to serve on our Board of Directors because of her extensive leadership experience with e-commerce and consumer products companies and her financial background.</w:t>
      </w:r>
    </w:p>
    <w:p>
      <w:pPr>
        <w:spacing w:after="0" w:line="153" w:lineRule="exact"/>
        <w:rPr>
          <w:sz w:val="20"/>
          <w:szCs w:val="20"/>
          <w:color w:val="auto"/>
        </w:rPr>
      </w:pPr>
    </w:p>
    <w:p>
      <w:pPr>
        <w:ind w:left="20" w:right="140"/>
        <w:spacing w:after="0" w:line="255" w:lineRule="auto"/>
        <w:rPr>
          <w:sz w:val="20"/>
          <w:szCs w:val="20"/>
          <w:color w:val="auto"/>
        </w:rPr>
      </w:pPr>
      <w:r>
        <w:rPr>
          <w:rFonts w:ascii="Arial" w:cs="Arial" w:eastAsia="Arial" w:hAnsi="Arial"/>
          <w:sz w:val="17"/>
          <w:szCs w:val="17"/>
          <w:b w:val="1"/>
          <w:bCs w:val="1"/>
          <w:color w:val="auto"/>
        </w:rPr>
        <w:t xml:space="preserve">Dan Nova </w:t>
      </w:r>
      <w:r>
        <w:rPr>
          <w:rFonts w:ascii="Arial" w:cs="Arial" w:eastAsia="Arial" w:hAnsi="Arial"/>
          <w:sz w:val="17"/>
          <w:szCs w:val="17"/>
          <w:color w:val="auto"/>
        </w:rPr>
        <w:t>has served as a member of our Board of Directors since February 2010. Mr. Nova has been a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Partner at Highland Capital Partners, a global venture capital firm with offices in Cambridge and Silicon Valley, since 1996. From October 2020 to December 2022, Mr. Nova also served as the Chief Investment Officer and a director of Highland Transcend Partners I Corp., a publicly-traded special purpose acquisition company. Mr. Nova also serves on the board of directors of ThredUp Inc., a publicly-traded online resale platform, and serves on the board of directors of a number of privately held companies, including Catalant, Clearco, Kyruus, and RapidSOS. Mr. Nova holds a B.S. in Computer Science and Marketing from Boston College and an M.B.A. from Harvard Business School. We believe Mr. Nova is qualified to serve on our Board of Directors because of his profound experience in the venture capital industry, financial expertise and extensive private and public board, financial, and management experience.</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Mike Roth </w:t>
      </w:r>
      <w:r>
        <w:rPr>
          <w:rFonts w:ascii="Arial" w:cs="Arial" w:eastAsia="Arial" w:hAnsi="Arial"/>
          <w:sz w:val="18"/>
          <w:szCs w:val="18"/>
          <w:color w:val="auto"/>
        </w:rPr>
        <w:t>has served as a member of our Board of Directors since January 2020. From 1999 to 2019, Mr. Roth served</w:t>
      </w:r>
      <w:r>
        <w:rPr>
          <w:rFonts w:ascii="Arial" w:cs="Arial" w:eastAsia="Arial" w:hAnsi="Arial"/>
          <w:sz w:val="18"/>
          <w:szCs w:val="18"/>
          <w:b w:val="1"/>
          <w:bCs w:val="1"/>
          <w:color w:val="auto"/>
        </w:rPr>
        <w:t xml:space="preserve"> </w:t>
      </w:r>
      <w:r>
        <w:rPr>
          <w:rFonts w:ascii="Arial" w:cs="Arial" w:eastAsia="Arial" w:hAnsi="Arial"/>
          <w:sz w:val="18"/>
          <w:szCs w:val="18"/>
          <w:color w:val="auto"/>
        </w:rPr>
        <w:t>in various capacities at Amazon.com, Inc., an e-commerce and technology company, most recently as Vice President of Global Customer Fulfillment Operations &amp; Transportation. Mr. Roth also currently serves on the board of directors for Inpost A.S, a Polish logistics company; Fleetpride, Inc., the largest truck and trailer parts distributor in the U.S.; and LaserShip, Inc., a last-mile delivery company. Mr. Roth holds a Diplom Chemiker degree in Chemistry from Universität Tübingen, Germany. We believe Mr. Roth is qualified to serve on our Board of Directors because of his extensive leadership experience in e-commerce companies and his knowledge in logistical operations.</w:t>
      </w:r>
    </w:p>
    <w:p>
      <w:pPr>
        <w:spacing w:after="0" w:line="308" w:lineRule="exact"/>
        <w:rPr>
          <w:sz w:val="20"/>
          <w:szCs w:val="20"/>
          <w:color w:val="auto"/>
        </w:rPr>
      </w:pPr>
    </w:p>
    <w:p>
      <w:pPr>
        <w:ind w:left="20" w:right="860"/>
        <w:spacing w:after="0" w:line="295" w:lineRule="auto"/>
        <w:rPr>
          <w:sz w:val="20"/>
          <w:szCs w:val="20"/>
          <w:color w:val="auto"/>
        </w:rPr>
      </w:pPr>
      <w:r>
        <w:rPr>
          <w:rFonts w:ascii="Arial" w:cs="Arial" w:eastAsia="Arial" w:hAnsi="Arial"/>
          <w:sz w:val="36"/>
          <w:szCs w:val="36"/>
          <w:b w:val="1"/>
          <w:bCs w:val="1"/>
          <w:color w:val="auto"/>
        </w:rPr>
        <w:t>Class III Directors Whose Terms Expire at the 2024 Annual Meeting</w:t>
      </w:r>
    </w:p>
    <w:p>
      <w:pPr>
        <w:spacing w:after="0" w:line="20" w:lineRule="exact"/>
        <w:rPr>
          <w:sz w:val="20"/>
          <w:szCs w:val="20"/>
          <w:color w:val="auto"/>
        </w:rPr>
      </w:pPr>
    </w:p>
    <w:p>
      <w:pPr>
        <w:ind w:left="20" w:right="100"/>
        <w:spacing w:after="0" w:line="239" w:lineRule="auto"/>
        <w:rPr>
          <w:sz w:val="20"/>
          <w:szCs w:val="20"/>
          <w:color w:val="auto"/>
        </w:rPr>
      </w:pPr>
      <w:r>
        <w:rPr>
          <w:rFonts w:ascii="Arial" w:cs="Arial" w:eastAsia="Arial" w:hAnsi="Arial"/>
          <w:sz w:val="18"/>
          <w:szCs w:val="18"/>
          <w:b w:val="1"/>
          <w:bCs w:val="1"/>
          <w:color w:val="auto"/>
        </w:rPr>
        <w:t xml:space="preserve">Jennifer Y. Hyman </w:t>
      </w:r>
      <w:r>
        <w:rPr>
          <w:rFonts w:ascii="Arial" w:cs="Arial" w:eastAsia="Arial" w:hAnsi="Arial"/>
          <w:sz w:val="18"/>
          <w:szCs w:val="18"/>
          <w:color w:val="auto"/>
        </w:rPr>
        <w:t>has served as our Co-Founder since November 2008 and our Chief Executive Officer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Chair of our Board of Directors since March 2009. Prior to co-founding Rent the Runway, she served as Director of Business at IMG, a global talent management company, from 2006 to 2007. Ms. Hyman also serves on the board of directors of The Estee Lauder Companies Inc., a global manufacturer and marketer of luxury beauty products, and on the supervisory board of Zalando SE, a European online fashion platform. Ms. Hyman holds a B.A. in Social Studies from Harvard University and an M.B.A. from Harvard Business School. We believe Ms. Hyman is qualified to Chair our Board of Directors because of the perspective and experience she brings as our Chief Executive Officer and as one of our Co-Founders, as well as her proven innovation and expertise at the intersection of the consumer, retail, and technology sectors.</w:t>
      </w:r>
    </w:p>
    <w:p>
      <w:pPr>
        <w:spacing w:after="0" w:line="143" w:lineRule="exact"/>
        <w:rPr>
          <w:sz w:val="20"/>
          <w:szCs w:val="20"/>
          <w:color w:val="auto"/>
        </w:rPr>
      </w:pPr>
    </w:p>
    <w:p>
      <w:pPr>
        <w:ind w:left="20"/>
        <w:spacing w:after="0" w:line="238" w:lineRule="auto"/>
        <w:rPr>
          <w:sz w:val="20"/>
          <w:szCs w:val="20"/>
          <w:color w:val="auto"/>
        </w:rPr>
      </w:pPr>
      <w:r>
        <w:rPr>
          <w:rFonts w:ascii="Arial" w:cs="Arial" w:eastAsia="Arial" w:hAnsi="Arial"/>
          <w:sz w:val="18"/>
          <w:szCs w:val="18"/>
          <w:b w:val="1"/>
          <w:bCs w:val="1"/>
          <w:color w:val="auto"/>
        </w:rPr>
        <w:t xml:space="preserve">Beth Kaplan </w:t>
      </w:r>
      <w:r>
        <w:rPr>
          <w:rFonts w:ascii="Arial" w:cs="Arial" w:eastAsia="Arial" w:hAnsi="Arial"/>
          <w:sz w:val="18"/>
          <w:szCs w:val="18"/>
          <w:color w:val="auto"/>
        </w:rPr>
        <w:t>has served as a member of our Board of Directors since February 2014 and formerly served as our</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Operating Officer from 2012 to 2015. Ms. Kaplan is the managing member of Axcel Partners, LLC, a venture capital firm investing in early stage and growth companies and is a Venture Partner at Revolution Ventures, an early stage venture capital firm investing in technology-enabled businesses. She previously served as the President and Chief Operating Officer of GNC. Ms. Kaplan currently serves on the board of directors of a number of companies, including public companies Brilliant Earth, a jewelry company; Howard Hughes Corporation, a real estate development and management company; Crocs, a manufacturer of footwear; and private company, Cooper’s Hawk, a full-service restaurant and winery chain. She also served on the board of the Meredith Corporation, a public company, from 2017 to 2021. Ms. Kaplan holds a B.S. in Marketing, Finance, and Economics and an M.B.A. from the Wharton School at the University of Pennsylvania. We believe Ms. Kaplan is qualified to serve on our Board of Directors because of her strategic, operational, and management and directorship experience in public and private companies.</w:t>
      </w: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159385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ind w:left="20" w:right="40"/>
        <w:spacing w:after="0" w:line="237" w:lineRule="auto"/>
        <w:rPr>
          <w:sz w:val="20"/>
          <w:szCs w:val="20"/>
          <w:color w:val="auto"/>
        </w:rPr>
      </w:pPr>
      <w:r>
        <w:rPr>
          <w:rFonts w:ascii="Arial" w:cs="Arial" w:eastAsia="Arial" w:hAnsi="Arial"/>
          <w:sz w:val="18"/>
          <w:szCs w:val="18"/>
          <w:b w:val="1"/>
          <w:bCs w:val="1"/>
          <w:color w:val="auto"/>
        </w:rPr>
        <w:t xml:space="preserve">Emil Michael </w:t>
      </w:r>
      <w:r>
        <w:rPr>
          <w:rFonts w:ascii="Arial" w:cs="Arial" w:eastAsia="Arial" w:hAnsi="Arial"/>
          <w:sz w:val="18"/>
          <w:szCs w:val="18"/>
          <w:color w:val="auto"/>
        </w:rPr>
        <w:t>has served as a member of our Board of Directors since May 2023. Mr. Michael has been the Chairman</w:t>
      </w:r>
      <w:r>
        <w:rPr>
          <w:rFonts w:ascii="Arial" w:cs="Arial" w:eastAsia="Arial" w:hAnsi="Arial"/>
          <w:sz w:val="18"/>
          <w:szCs w:val="18"/>
          <w:b w:val="1"/>
          <w:bCs w:val="1"/>
          <w:color w:val="auto"/>
        </w:rPr>
        <w:t xml:space="preserve"> </w:t>
      </w:r>
      <w:r>
        <w:rPr>
          <w:rFonts w:ascii="Arial" w:cs="Arial" w:eastAsia="Arial" w:hAnsi="Arial"/>
          <w:sz w:val="18"/>
          <w:szCs w:val="18"/>
          <w:color w:val="auto"/>
        </w:rPr>
        <w:t>and CEO of M8 Enterprises LLC, a solely-owned consulting and advisory business, since January 2018. From July 2013 to June 2017, Mr. Michael served as the Chief Business Officer of Uber Technologies Inc., a global ride sharing and delivery app. Prior to that, Mr. Michael served as Chief Operating Officer of Klout, a social media analytics company. Before joining Klout, he served as a White House Fellow working for the Secretary of Defense as a Special Assistant. Mr. Michael was also part of the founding team of TellmeNetworks, a speech recognition technology company. He has served on the board of directors of D-Wave Quantum, a publicly-traded quantum computer company, since August 2022 and from October 2020 to August 2022, served as chairman of the board of directors of DPCM Capital, which was a publicly-traded Special Purpose Acquisition Company that acquired D-Wave Quantum.</w:t>
      </w:r>
    </w:p>
    <w:p>
      <w:pPr>
        <w:spacing w:after="0" w:line="5" w:lineRule="exact"/>
        <w:rPr>
          <w:sz w:val="20"/>
          <w:szCs w:val="20"/>
          <w:color w:val="auto"/>
        </w:rPr>
      </w:pPr>
    </w:p>
    <w:p>
      <w:pPr>
        <w:ind w:left="20" w:right="60"/>
        <w:spacing w:after="0" w:line="238" w:lineRule="auto"/>
        <w:rPr>
          <w:sz w:val="20"/>
          <w:szCs w:val="20"/>
          <w:color w:val="auto"/>
        </w:rPr>
      </w:pPr>
      <w:r>
        <w:rPr>
          <w:rFonts w:ascii="Arial" w:cs="Arial" w:eastAsia="Arial" w:hAnsi="Arial"/>
          <w:sz w:val="18"/>
          <w:szCs w:val="18"/>
          <w:color w:val="auto"/>
        </w:rPr>
        <w:t>Mr. Michael also serves on the board of several privately held companies and as an advisor or investor to a number of start-up companies. Mr. Michael received his B.A. from Harvard University and his J.D. from Stanford Law School. We believe that Mr. Michael is qualified to serve on our Board of Directors because of his deep expertise leading and advising high-growth technology companies, and his extensive corporate strategy and business development acumen.</w:t>
      </w:r>
    </w:p>
    <w:p>
      <w:pPr>
        <w:spacing w:after="0" w:line="156" w:lineRule="exact"/>
        <w:rPr>
          <w:sz w:val="20"/>
          <w:szCs w:val="20"/>
          <w:color w:val="auto"/>
        </w:rPr>
      </w:pPr>
    </w:p>
    <w:p>
      <w:pPr>
        <w:ind w:left="20" w:right="40"/>
        <w:spacing w:after="0" w:line="239" w:lineRule="auto"/>
        <w:rPr>
          <w:sz w:val="20"/>
          <w:szCs w:val="20"/>
          <w:color w:val="auto"/>
        </w:rPr>
      </w:pPr>
      <w:r>
        <w:rPr>
          <w:rFonts w:ascii="Arial" w:cs="Arial" w:eastAsia="Arial" w:hAnsi="Arial"/>
          <w:sz w:val="18"/>
          <w:szCs w:val="18"/>
          <w:b w:val="1"/>
          <w:bCs w:val="1"/>
          <w:color w:val="auto"/>
        </w:rPr>
        <w:t xml:space="preserve">Gwyneth Paltrow </w:t>
      </w:r>
      <w:r>
        <w:rPr>
          <w:rFonts w:ascii="Arial" w:cs="Arial" w:eastAsia="Arial" w:hAnsi="Arial"/>
          <w:sz w:val="18"/>
          <w:szCs w:val="18"/>
          <w:color w:val="auto"/>
        </w:rPr>
        <w:t>has served as a member of our Board of Directors since May 2021. Ms. Paltrow is an entrepreneur,</w:t>
      </w:r>
      <w:r>
        <w:rPr>
          <w:rFonts w:ascii="Arial" w:cs="Arial" w:eastAsia="Arial" w:hAnsi="Arial"/>
          <w:sz w:val="18"/>
          <w:szCs w:val="18"/>
          <w:b w:val="1"/>
          <w:bCs w:val="1"/>
          <w:color w:val="auto"/>
        </w:rPr>
        <w:t xml:space="preserve"> </w:t>
      </w:r>
      <w:r>
        <w:rPr>
          <w:rFonts w:ascii="Arial" w:cs="Arial" w:eastAsia="Arial" w:hAnsi="Arial"/>
          <w:sz w:val="18"/>
          <w:szCs w:val="18"/>
          <w:color w:val="auto"/>
        </w:rPr>
        <w:t>an Oscar- and Emmy-winning actress, and a New York Times-bestselling author. She founded Goop, Inc., or goop—a global lifestyle brand and contextual commerce business—in 2008 and has served as the Chief Executive Officer since 2016, having previously served as the Chief Creative Officer from 2008 to 2016. Under Ms. Paltrow's direction, goop has expanded internationally to the United Kingdom and the European Union and has extended its ventures to include The goop Lab, a television show on Netflix; The goop Podcast; a book imprint; permanent and pop-up retail stores; a digital shop; live events; and goop-brand products across beauty, fashion, and wellness. We believe Ms. Paltrow is qualified to serve on our Board of Directors because of her entrepreneurial expertise, her deep understanding of consumer marketing, and her experience leading an e-commerce company.</w:t>
      </w:r>
    </w:p>
    <w:p>
      <w:pPr>
        <w:spacing w:after="0" w:line="294" w:lineRule="exact"/>
        <w:rPr>
          <w:sz w:val="20"/>
          <w:szCs w:val="20"/>
          <w:color w:val="auto"/>
        </w:rPr>
      </w:pPr>
    </w:p>
    <w:p>
      <w:pPr>
        <w:ind w:left="20" w:right="1040"/>
        <w:spacing w:after="0" w:line="295" w:lineRule="auto"/>
        <w:rPr>
          <w:sz w:val="20"/>
          <w:szCs w:val="20"/>
          <w:color w:val="auto"/>
        </w:rPr>
      </w:pPr>
      <w:r>
        <w:rPr>
          <w:rFonts w:ascii="Arial" w:cs="Arial" w:eastAsia="Arial" w:hAnsi="Arial"/>
          <w:sz w:val="36"/>
          <w:szCs w:val="36"/>
          <w:b w:val="1"/>
          <w:bCs w:val="1"/>
          <w:color w:val="auto"/>
        </w:rPr>
        <w:t>Class I Directors Whose Terms Expire at the 2025 Annual Meeting</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Tim Bixby </w:t>
      </w:r>
      <w:r>
        <w:rPr>
          <w:rFonts w:ascii="Arial" w:cs="Arial" w:eastAsia="Arial" w:hAnsi="Arial"/>
          <w:sz w:val="18"/>
          <w:szCs w:val="18"/>
          <w:color w:val="auto"/>
        </w:rPr>
        <w:t>has served as a member of our Board of Directors since February 2021. Mr. Bixby has been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of Lemonade, Inc., a consumer insurance provider, since June 2017. From 2016 to 2020, Mr. Bixby served as a member of the board of advisors of Sightworthy, an on-demand video marketing company. Prior to that, he served as the Chief Financial Officer of Shutterstock, Inc., a digital content licensing marketplace, from 2011 to 2015, and as Chief Financial Officer, President and a Director of LivePerson, Inc. from 1999 to 2011. Mr. Bixby holds a B.A. in Mathematics from Dartmouth College and an M.B.A. from Harvard Business School. We believe Mr. Bixby is qualified to serve on our Board of Directors because of his experience as a public company chief financial officer and his extensive knowledge of technology-based companies.</w:t>
      </w:r>
    </w:p>
    <w:p>
      <w:pPr>
        <w:spacing w:after="0" w:line="140" w:lineRule="exact"/>
        <w:rPr>
          <w:sz w:val="20"/>
          <w:szCs w:val="20"/>
          <w:color w:val="auto"/>
        </w:rPr>
      </w:pPr>
    </w:p>
    <w:p>
      <w:pPr>
        <w:ind w:left="20" w:right="120"/>
        <w:spacing w:after="0" w:line="252" w:lineRule="auto"/>
        <w:rPr>
          <w:sz w:val="20"/>
          <w:szCs w:val="20"/>
          <w:color w:val="auto"/>
        </w:rPr>
      </w:pPr>
      <w:r>
        <w:rPr>
          <w:rFonts w:ascii="Arial" w:cs="Arial" w:eastAsia="Arial" w:hAnsi="Arial"/>
          <w:sz w:val="17"/>
          <w:szCs w:val="17"/>
          <w:b w:val="1"/>
          <w:bCs w:val="1"/>
          <w:color w:val="auto"/>
        </w:rPr>
        <w:t xml:space="preserve">Jennifer Fleiss </w:t>
      </w:r>
      <w:r>
        <w:rPr>
          <w:rFonts w:ascii="Arial" w:cs="Arial" w:eastAsia="Arial" w:hAnsi="Arial"/>
          <w:sz w:val="17"/>
          <w:szCs w:val="17"/>
          <w:color w:val="auto"/>
        </w:rPr>
        <w:t>co-founded RTR in November 2008 and has served as a member of our Board of Directors since</w:t>
      </w:r>
      <w:r>
        <w:rPr>
          <w:rFonts w:ascii="Arial" w:cs="Arial" w:eastAsia="Arial" w:hAnsi="Arial"/>
          <w:sz w:val="17"/>
          <w:szCs w:val="17"/>
          <w:b w:val="1"/>
          <w:bCs w:val="1"/>
          <w:color w:val="auto"/>
        </w:rPr>
        <w:t xml:space="preserve"> </w:t>
      </w:r>
      <w:r>
        <w:rPr>
          <w:rFonts w:ascii="Arial" w:cs="Arial" w:eastAsia="Arial" w:hAnsi="Arial"/>
          <w:sz w:val="17"/>
          <w:szCs w:val="17"/>
          <w:color w:val="auto"/>
        </w:rPr>
        <w:t>March 2009. She previously served as our Head of Logistics and Business Development from November 2008 to March 2017. From March 2017 to January 2020, she served as the Co-Founder &amp; Chief Executive Officer of JetBlack, a digital commerce platform and subsidiary of Walmart, Inc. Ms. Fleiss joined Volition Capital, a growth equity firm, in February 2021. She also serves as an advisor at investment firms Prelude Growth Partners and Torch Capital and invests and advises early-stage start-ups. Ms. Fleiss has served on the boards of The Lanvin Group, a publicly-traded holding company of several luxury brands, since 2022, Party City, a publicly-traded retail chain of party stores, since 2020; and Shutterfly, Inc., a manufacturer and digital retailer of personalized products and services, since 2019.</w:t>
      </w:r>
    </w:p>
    <w:p>
      <w:pPr>
        <w:ind w:left="20" w:right="220"/>
        <w:spacing w:after="0"/>
        <w:rPr>
          <w:sz w:val="20"/>
          <w:szCs w:val="20"/>
          <w:color w:val="auto"/>
        </w:rPr>
      </w:pPr>
      <w:r>
        <w:rPr>
          <w:rFonts w:ascii="Arial" w:cs="Arial" w:eastAsia="Arial" w:hAnsi="Arial"/>
          <w:sz w:val="18"/>
          <w:szCs w:val="18"/>
          <w:color w:val="auto"/>
        </w:rPr>
        <w:t>Ms. Fleiss holds a B.A. in Political Science from Yale University and an M.B.A. from Harvard Business School. We believe Ms. Fleiss is qualified to serve on our Board of Directors because of the perspective she brings as one of our Co-Founders, as well as her experience advising public and private companies.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5" w:right="121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ind w:left="20"/>
        <w:spacing w:after="0" w:line="239" w:lineRule="auto"/>
        <w:rPr>
          <w:sz w:val="20"/>
          <w:szCs w:val="20"/>
          <w:color w:val="auto"/>
        </w:rPr>
      </w:pPr>
      <w:r>
        <w:rPr>
          <w:rFonts w:ascii="Arial" w:cs="Arial" w:eastAsia="Arial" w:hAnsi="Arial"/>
          <w:sz w:val="18"/>
          <w:szCs w:val="18"/>
          <w:b w:val="1"/>
          <w:bCs w:val="1"/>
          <w:color w:val="auto"/>
        </w:rPr>
        <w:t xml:space="preserve">Carley Roney </w:t>
      </w:r>
      <w:r>
        <w:rPr>
          <w:rFonts w:ascii="Arial" w:cs="Arial" w:eastAsia="Arial" w:hAnsi="Arial"/>
          <w:sz w:val="18"/>
          <w:szCs w:val="18"/>
          <w:color w:val="auto"/>
        </w:rPr>
        <w:t>has served as a member of our Board of Directors since May 2011. Ms. Roney is the co-founder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former Chief Creative Officer of XO Group, creator of global leading digital wedding planning and e-commerce platform, The Knot. Under her leadership as co-founder and Chief Creative Officer from 1996 to 2018, XO Group became a public company with presence across multiple media platforms and partnerships across Asia, Europe, Australia, and Brazil. Ms. Roney also advises start-up companies and serves as a board member for two organizations focused on racial equity, Brooklyn Community Foundation and Power of Two. Ms. Roney holds a B.F.A. in Film and Television and an M.A. in Critical Theory from New York University. We believe Ms. Roney is qualified to serve on our Board of Directors because of her entrepreneurial expertise, her marketing and product innovation, and her public company management experience.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159385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5" w:right="12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68" w:lineRule="exact"/>
        <w:rPr>
          <w:sz w:val="20"/>
          <w:szCs w:val="20"/>
          <w:color w:val="auto"/>
        </w:rPr>
      </w:pPr>
    </w:p>
    <w:p>
      <w:pPr>
        <w:ind w:left="20" w:right="1640"/>
        <w:spacing w:after="0" w:line="290" w:lineRule="auto"/>
        <w:rPr>
          <w:sz w:val="20"/>
          <w:szCs w:val="20"/>
          <w:color w:val="auto"/>
        </w:rPr>
      </w:pPr>
      <w:r>
        <w:rPr>
          <w:rFonts w:ascii="Arial" w:cs="Arial" w:eastAsia="Arial" w:hAnsi="Arial"/>
          <w:sz w:val="65"/>
          <w:szCs w:val="65"/>
          <w:b w:val="1"/>
          <w:bCs w:val="1"/>
          <w:color w:val="auto"/>
        </w:rPr>
        <w:t>The Board and Corporate Governance</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Leadership Structure</w:t>
      </w:r>
    </w:p>
    <w:p>
      <w:pPr>
        <w:spacing w:after="0" w:line="228" w:lineRule="exact"/>
        <w:rPr>
          <w:sz w:val="20"/>
          <w:szCs w:val="20"/>
          <w:color w:val="auto"/>
        </w:rPr>
      </w:pPr>
    </w:p>
    <w:p>
      <w:pPr>
        <w:ind w:left="20" w:right="60"/>
        <w:spacing w:after="0" w:line="239" w:lineRule="auto"/>
        <w:rPr>
          <w:sz w:val="20"/>
          <w:szCs w:val="20"/>
          <w:color w:val="auto"/>
        </w:rPr>
      </w:pPr>
      <w:r>
        <w:rPr>
          <w:rFonts w:ascii="Arial" w:cs="Arial" w:eastAsia="Arial" w:hAnsi="Arial"/>
          <w:sz w:val="18"/>
          <w:szCs w:val="18"/>
          <w:color w:val="auto"/>
        </w:rPr>
        <w:t>Jennifer Hyman is the chair of our Board of Directors and Scott Friend serves as our lead independent director. Our Board of Directors believes that our current leadership structure provides us with effective leadership and is in the best interest of us and our stockholders. Ms. Hyman co-founded and has led our company since its inception. Her strategic vision and in-depth knowledge of our operations, opportunities, and challenges makes her well qualified to serve as both Chair and CEO. In addition, having a lead independent director strengthens the Board’s independence and oversight of our business.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lead independent director, Mr. Friend’s responsibilities include:</w:t>
      </w:r>
    </w:p>
    <w:p>
      <w:pPr>
        <w:spacing w:after="0" w:line="185" w:lineRule="exact"/>
        <w:rPr>
          <w:sz w:val="20"/>
          <w:szCs w:val="20"/>
          <w:color w:val="auto"/>
        </w:rPr>
      </w:pPr>
    </w:p>
    <w:p>
      <w:pPr>
        <w:ind w:left="740" w:right="180" w:hanging="359"/>
        <w:spacing w:after="0" w:line="241"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presiding at all meetings of the Board at which the Chair is not present, including over executive sessions of the independent directors;</w:t>
      </w:r>
    </w:p>
    <w:p>
      <w:pPr>
        <w:spacing w:after="0" w:line="1"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working with management to set board meeting schedules and agendas;</w:t>
      </w:r>
    </w:p>
    <w:p>
      <w:pPr>
        <w:ind w:left="740" w:hanging="359"/>
        <w:spacing w:after="0" w:line="23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leading the board evaluation process with the Nominating and ESG Committee; and</w:t>
      </w:r>
    </w:p>
    <w:p>
      <w:pPr>
        <w:ind w:left="740" w:hanging="359"/>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acting as the liaison between the independent directors and the chair of our Board of Directors.</w:t>
      </w:r>
    </w:p>
    <w:p>
      <w:pPr>
        <w:spacing w:after="0" w:line="159"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Our corporate governance guidelines provide the flexibility for our Board to modify our leadership structure in the future in a manner that it believes is in the best interest of the Company. The Board will continue to evaluate our leadership structure periodically and make changes in the future as it deems appropriate.</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265" w:right="12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Diversity</w:t>
      </w:r>
    </w:p>
    <w:p>
      <w:pPr>
        <w:spacing w:after="0" w:line="215"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Our Nominating and ESG Committee is responsible for reviewing with the Board the appropriate characteristics, skills, and experience required for the Board of Directors as a whole and its individual members. As of the date of this proxy statement, 55% of the members of our Board of Directors identify as women. In its evaluation of director candidates, our Nominating and ESG Committee considers diversity factors such as gender, race, ethnicity, experience, and area of expertise, as well as other individual qualities and attributes that contribute to the total diversity of viewpoints and experience represented on the Board. The Board also considers other factors, including issues of character, integrity, judgment, potential conflicts of interest, and other commitments,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34925</wp:posOffset>
            </wp:positionV>
            <wp:extent cx="603504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5040" cy="265430"/>
                    </a:xfrm>
                    <a:prstGeom prst="rect">
                      <a:avLst/>
                    </a:prstGeom>
                    <a:noFill/>
                  </pic:spPr>
                </pic:pic>
              </a:graphicData>
            </a:graphic>
          </wp:anchor>
        </w:drawing>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1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Board Diversity Matrix (as of May 25, 2023)</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3"/>
        </w:trPr>
        <w:tc>
          <w:tcPr>
            <w:tcW w:w="418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41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5"/>
        </w:trPr>
        <w:tc>
          <w:tcPr>
            <w:tcW w:w="4180" w:type="dxa"/>
            <w:vAlign w:val="bottom"/>
          </w:tcPr>
          <w:p>
            <w:pPr>
              <w:ind w:left="160"/>
              <w:spacing w:after="0"/>
              <w:rPr>
                <w:sz w:val="20"/>
                <w:szCs w:val="20"/>
                <w:color w:val="auto"/>
              </w:rPr>
            </w:pPr>
            <w:r>
              <w:rPr>
                <w:rFonts w:ascii="Arial" w:cs="Arial" w:eastAsia="Arial" w:hAnsi="Arial"/>
                <w:sz w:val="14"/>
                <w:szCs w:val="14"/>
                <w:color w:val="auto"/>
              </w:rPr>
              <w:t>Total Number of Directors</w:t>
            </w:r>
          </w:p>
        </w:tc>
        <w:tc>
          <w:tcPr>
            <w:tcW w:w="1340" w:type="dxa"/>
            <w:vAlign w:val="bottom"/>
          </w:tcPr>
          <w:p>
            <w:pPr>
              <w:ind w:left="1120"/>
              <w:spacing w:after="0"/>
              <w:rPr>
                <w:sz w:val="20"/>
                <w:szCs w:val="20"/>
                <w:color w:val="auto"/>
              </w:rPr>
            </w:pPr>
            <w:r>
              <w:rPr>
                <w:rFonts w:ascii="Arial" w:cs="Arial" w:eastAsia="Arial" w:hAnsi="Arial"/>
                <w:sz w:val="4"/>
                <w:szCs w:val="4"/>
                <w:color w:val="auto"/>
              </w:rPr>
              <w:t>​</w:t>
            </w:r>
          </w:p>
        </w:tc>
        <w:tc>
          <w:tcPr>
            <w:tcW w:w="420" w:type="dxa"/>
            <w:vAlign w:val="bottom"/>
          </w:tcPr>
          <w:p>
            <w:pPr>
              <w:ind w:left="20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11</w:t>
            </w:r>
            <w:r>
              <w:rPr>
                <w:rFonts w:ascii="Arial" w:cs="Arial" w:eastAsia="Arial" w:hAnsi="Arial"/>
                <w:sz w:val="3"/>
                <w:szCs w:val="3"/>
                <w:color w:val="auto"/>
              </w:rPr>
              <w:t>​</w:t>
            </w:r>
          </w:p>
        </w:tc>
        <w:tc>
          <w:tcPr>
            <w:tcW w:w="440" w:type="dxa"/>
            <w:vAlign w:val="bottom"/>
          </w:tcPr>
          <w:p>
            <w:pPr>
              <w:ind w:left="220"/>
              <w:spacing w:after="0"/>
              <w:rPr>
                <w:sz w:val="20"/>
                <w:szCs w:val="20"/>
                <w:color w:val="auto"/>
              </w:rPr>
            </w:pPr>
            <w:r>
              <w:rPr>
                <w:rFonts w:ascii="Arial" w:cs="Arial" w:eastAsia="Arial" w:hAnsi="Arial"/>
                <w:sz w:val="4"/>
                <w:szCs w:val="4"/>
                <w:color w:val="auto"/>
              </w:rPr>
              <w:t>​</w:t>
            </w:r>
          </w:p>
        </w:tc>
        <w:tc>
          <w:tcPr>
            <w:tcW w:w="740" w:type="dxa"/>
            <w:vAlign w:val="bottom"/>
          </w:tcPr>
          <w:p>
            <w:pPr>
              <w:jc w:val="right"/>
              <w:ind w:right="153"/>
              <w:spacing w:after="0"/>
              <w:rPr>
                <w:sz w:val="20"/>
                <w:szCs w:val="20"/>
                <w:color w:val="auto"/>
              </w:rPr>
            </w:pPr>
            <w:r>
              <w:rPr>
                <w:rFonts w:ascii="Arial" w:cs="Arial" w:eastAsia="Arial" w:hAnsi="Arial"/>
                <w:sz w:val="4"/>
                <w:szCs w:val="4"/>
                <w:color w:val="auto"/>
              </w:rPr>
              <w:t>​</w:t>
            </w:r>
          </w:p>
        </w:tc>
        <w:tc>
          <w:tcPr>
            <w:tcW w:w="440" w:type="dxa"/>
            <w:vAlign w:val="bottom"/>
          </w:tcPr>
          <w:p>
            <w:pPr>
              <w:ind w:left="200"/>
              <w:spacing w:after="0"/>
              <w:rPr>
                <w:sz w:val="20"/>
                <w:szCs w:val="20"/>
                <w:color w:val="auto"/>
              </w:rPr>
            </w:pPr>
            <w:r>
              <w:rPr>
                <w:rFonts w:ascii="Arial" w:cs="Arial" w:eastAsia="Arial" w:hAnsi="Arial"/>
                <w:sz w:val="4"/>
                <w:szCs w:val="4"/>
                <w:color w:val="auto"/>
              </w:rPr>
              <w:t>​</w:t>
            </w:r>
          </w:p>
        </w:tc>
        <w:tc>
          <w:tcPr>
            <w:tcW w:w="1040" w:type="dxa"/>
            <w:vAlign w:val="bottom"/>
          </w:tcPr>
          <w:p>
            <w:pPr>
              <w:jc w:val="right"/>
              <w:ind w:right="55"/>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120"/>
        </w:trPr>
        <w:tc>
          <w:tcPr>
            <w:tcW w:w="4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4180" w:type="dxa"/>
            <w:vAlign w:val="bottom"/>
          </w:tcPr>
          <w:p>
            <w:pPr>
              <w:spacing w:after="0"/>
              <w:rPr>
                <w:sz w:val="24"/>
                <w:szCs w:val="24"/>
                <w:color w:val="auto"/>
              </w:rPr>
            </w:pPr>
          </w:p>
        </w:tc>
        <w:tc>
          <w:tcPr>
            <w:tcW w:w="1340" w:type="dxa"/>
            <w:vAlign w:val="bottom"/>
          </w:tcPr>
          <w:p>
            <w:pPr>
              <w:ind w:left="1120"/>
              <w:spacing w:after="0"/>
              <w:rPr>
                <w:sz w:val="20"/>
                <w:szCs w:val="20"/>
                <w:color w:val="auto"/>
              </w:rPr>
            </w:pPr>
            <w:r>
              <w:rPr>
                <w:rFonts w:ascii="Arial" w:cs="Arial" w:eastAsia="Arial" w:hAnsi="Arial"/>
                <w:sz w:val="4"/>
                <w:szCs w:val="4"/>
                <w:color w:val="auto"/>
              </w:rPr>
              <w:t>​</w:t>
            </w:r>
          </w:p>
        </w:tc>
        <w:tc>
          <w:tcPr>
            <w:tcW w:w="420" w:type="dxa"/>
            <w:vAlign w:val="bottom"/>
          </w:tcPr>
          <w:p>
            <w:pPr>
              <w:ind w:left="20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Female</w:t>
            </w:r>
            <w:r>
              <w:rPr>
                <w:rFonts w:ascii="Arial" w:cs="Arial" w:eastAsia="Arial" w:hAnsi="Arial"/>
                <w:sz w:val="3"/>
                <w:szCs w:val="3"/>
                <w:color w:val="auto"/>
              </w:rPr>
              <w:t>​</w:t>
            </w:r>
          </w:p>
        </w:tc>
        <w:tc>
          <w:tcPr>
            <w:tcW w:w="440" w:type="dxa"/>
            <w:vAlign w:val="bottom"/>
          </w:tcPr>
          <w:p>
            <w:pPr>
              <w:ind w:left="220"/>
              <w:spacing w:after="0"/>
              <w:rPr>
                <w:sz w:val="20"/>
                <w:szCs w:val="20"/>
                <w:color w:val="auto"/>
              </w:rPr>
            </w:pPr>
            <w:r>
              <w:rPr>
                <w:rFonts w:ascii="Arial" w:cs="Arial" w:eastAsia="Arial" w:hAnsi="Arial"/>
                <w:sz w:val="4"/>
                <w:szCs w:val="4"/>
                <w:color w:val="auto"/>
              </w:rPr>
              <w:t>​</w:t>
            </w:r>
          </w:p>
        </w:tc>
        <w:tc>
          <w:tcPr>
            <w:tcW w:w="740" w:type="dxa"/>
            <w:vAlign w:val="bottom"/>
          </w:tcPr>
          <w:p>
            <w:pPr>
              <w:jc w:val="right"/>
              <w:ind w:right="153"/>
              <w:spacing w:after="0"/>
              <w:rPr>
                <w:sz w:val="20"/>
                <w:szCs w:val="20"/>
                <w:color w:val="auto"/>
              </w:rPr>
            </w:pPr>
            <w:r>
              <w:rPr>
                <w:rFonts w:ascii="Arial" w:cs="Arial" w:eastAsia="Arial" w:hAnsi="Arial"/>
                <w:sz w:val="14"/>
                <w:szCs w:val="14"/>
                <w:color w:val="auto"/>
              </w:rPr>
              <w:t>Male</w:t>
            </w:r>
            <w:r>
              <w:rPr>
                <w:rFonts w:ascii="Arial" w:cs="Arial" w:eastAsia="Arial" w:hAnsi="Arial"/>
                <w:sz w:val="3"/>
                <w:szCs w:val="3"/>
                <w:color w:val="auto"/>
              </w:rPr>
              <w:t>​</w:t>
            </w:r>
          </w:p>
        </w:tc>
        <w:tc>
          <w:tcPr>
            <w:tcW w:w="440" w:type="dxa"/>
            <w:vAlign w:val="bottom"/>
          </w:tcPr>
          <w:p>
            <w:pPr>
              <w:ind w:left="200"/>
              <w:spacing w:after="0"/>
              <w:rPr>
                <w:sz w:val="20"/>
                <w:szCs w:val="20"/>
                <w:color w:val="auto"/>
              </w:rPr>
            </w:pPr>
            <w:r>
              <w:rPr>
                <w:rFonts w:ascii="Arial" w:cs="Arial" w:eastAsia="Arial" w:hAnsi="Arial"/>
                <w:sz w:val="4"/>
                <w:szCs w:val="4"/>
                <w:color w:val="auto"/>
              </w:rPr>
              <w:t>​</w:t>
            </w:r>
          </w:p>
        </w:tc>
        <w:tc>
          <w:tcPr>
            <w:tcW w:w="1040" w:type="dxa"/>
            <w:vAlign w:val="bottom"/>
          </w:tcPr>
          <w:p>
            <w:pPr>
              <w:jc w:val="right"/>
              <w:ind w:right="55"/>
              <w:spacing w:after="0"/>
              <w:rPr>
                <w:sz w:val="20"/>
                <w:szCs w:val="20"/>
                <w:color w:val="auto"/>
              </w:rPr>
            </w:pPr>
            <w:r>
              <w:rPr>
                <w:rFonts w:ascii="Arial" w:cs="Arial" w:eastAsia="Arial" w:hAnsi="Arial"/>
                <w:sz w:val="14"/>
                <w:szCs w:val="14"/>
                <w:color w:val="auto"/>
              </w:rPr>
              <w:t>Non-Binary</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107"/>
        </w:trPr>
        <w:tc>
          <w:tcPr>
            <w:tcW w:w="41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5"/>
        </w:trPr>
        <w:tc>
          <w:tcPr>
            <w:tcW w:w="4180" w:type="dxa"/>
            <w:vAlign w:val="bottom"/>
          </w:tcPr>
          <w:p>
            <w:pPr>
              <w:ind w:left="160"/>
              <w:spacing w:after="0"/>
              <w:rPr>
                <w:sz w:val="20"/>
                <w:szCs w:val="20"/>
                <w:color w:val="auto"/>
              </w:rPr>
            </w:pPr>
            <w:r>
              <w:rPr>
                <w:rFonts w:ascii="Arial" w:cs="Arial" w:eastAsia="Arial" w:hAnsi="Arial"/>
                <w:sz w:val="14"/>
                <w:szCs w:val="14"/>
                <w:b w:val="1"/>
                <w:bCs w:val="1"/>
                <w:color w:val="auto"/>
              </w:rPr>
              <w:t>Part I: Gender Identity</w:t>
            </w:r>
          </w:p>
        </w:tc>
        <w:tc>
          <w:tcPr>
            <w:tcW w:w="1340" w:type="dxa"/>
            <w:vAlign w:val="bottom"/>
          </w:tcPr>
          <w:p>
            <w:pPr>
              <w:ind w:left="1120"/>
              <w:spacing w:after="0"/>
              <w:rPr>
                <w:sz w:val="20"/>
                <w:szCs w:val="20"/>
                <w:color w:val="auto"/>
              </w:rPr>
            </w:pPr>
            <w:r>
              <w:rPr>
                <w:rFonts w:ascii="Arial" w:cs="Arial" w:eastAsia="Arial" w:hAnsi="Arial"/>
                <w:sz w:val="4"/>
                <w:szCs w:val="4"/>
                <w:color w:val="auto"/>
              </w:rPr>
              <w:t>​</w:t>
            </w:r>
          </w:p>
        </w:tc>
        <w:tc>
          <w:tcPr>
            <w:tcW w:w="420" w:type="dxa"/>
            <w:vAlign w:val="bottom"/>
          </w:tcPr>
          <w:p>
            <w:pPr>
              <w:ind w:left="20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6</w:t>
            </w:r>
            <w:r>
              <w:rPr>
                <w:rFonts w:ascii="Arial" w:cs="Arial" w:eastAsia="Arial" w:hAnsi="Arial"/>
                <w:sz w:val="3"/>
                <w:szCs w:val="3"/>
                <w:color w:val="auto"/>
              </w:rPr>
              <w:t>​</w:t>
            </w:r>
          </w:p>
        </w:tc>
        <w:tc>
          <w:tcPr>
            <w:tcW w:w="440" w:type="dxa"/>
            <w:vAlign w:val="bottom"/>
          </w:tcPr>
          <w:p>
            <w:pPr>
              <w:ind w:left="220"/>
              <w:spacing w:after="0"/>
              <w:rPr>
                <w:sz w:val="20"/>
                <w:szCs w:val="20"/>
                <w:color w:val="auto"/>
              </w:rPr>
            </w:pPr>
            <w:r>
              <w:rPr>
                <w:rFonts w:ascii="Arial" w:cs="Arial" w:eastAsia="Arial" w:hAnsi="Arial"/>
                <w:sz w:val="4"/>
                <w:szCs w:val="4"/>
                <w:color w:val="auto"/>
              </w:rPr>
              <w:t>​</w:t>
            </w:r>
          </w:p>
        </w:tc>
        <w:tc>
          <w:tcPr>
            <w:tcW w:w="740" w:type="dxa"/>
            <w:vAlign w:val="bottom"/>
          </w:tcPr>
          <w:p>
            <w:pPr>
              <w:jc w:val="right"/>
              <w:ind w:right="153"/>
              <w:spacing w:after="0"/>
              <w:rPr>
                <w:sz w:val="20"/>
                <w:szCs w:val="20"/>
                <w:color w:val="auto"/>
              </w:rPr>
            </w:pPr>
            <w:r>
              <w:rPr>
                <w:rFonts w:ascii="Arial" w:cs="Arial" w:eastAsia="Arial" w:hAnsi="Arial"/>
                <w:sz w:val="14"/>
                <w:szCs w:val="14"/>
                <w:color w:val="auto"/>
              </w:rPr>
              <w:t>5</w:t>
            </w:r>
            <w:r>
              <w:rPr>
                <w:rFonts w:ascii="Arial" w:cs="Arial" w:eastAsia="Arial" w:hAnsi="Arial"/>
                <w:sz w:val="3"/>
                <w:szCs w:val="3"/>
                <w:color w:val="auto"/>
              </w:rPr>
              <w:t>​</w:t>
            </w:r>
          </w:p>
        </w:tc>
        <w:tc>
          <w:tcPr>
            <w:tcW w:w="440" w:type="dxa"/>
            <w:vAlign w:val="bottom"/>
          </w:tcPr>
          <w:p>
            <w:pPr>
              <w:ind w:left="200"/>
              <w:spacing w:after="0"/>
              <w:rPr>
                <w:sz w:val="20"/>
                <w:szCs w:val="20"/>
                <w:color w:val="auto"/>
              </w:rPr>
            </w:pPr>
            <w:r>
              <w:rPr>
                <w:rFonts w:ascii="Arial" w:cs="Arial" w:eastAsia="Arial" w:hAnsi="Arial"/>
                <w:sz w:val="4"/>
                <w:szCs w:val="4"/>
                <w:color w:val="auto"/>
              </w:rPr>
              <w:t>​</w:t>
            </w:r>
          </w:p>
        </w:tc>
        <w:tc>
          <w:tcPr>
            <w:tcW w:w="1040" w:type="dxa"/>
            <w:vAlign w:val="bottom"/>
          </w:tcPr>
          <w:p>
            <w:pPr>
              <w:jc w:val="right"/>
              <w:ind w:right="55"/>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110"/>
        </w:trPr>
        <w:tc>
          <w:tcPr>
            <w:tcW w:w="41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41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Part II: Demographic Background</w:t>
            </w:r>
          </w:p>
        </w:tc>
        <w:tc>
          <w:tcPr>
            <w:tcW w:w="1340" w:type="dxa"/>
            <w:vAlign w:val="bottom"/>
          </w:tcPr>
          <w:p>
            <w:pPr>
              <w:ind w:left="1120"/>
              <w:spacing w:after="0"/>
              <w:rPr>
                <w:sz w:val="20"/>
                <w:szCs w:val="20"/>
                <w:color w:val="auto"/>
              </w:rPr>
            </w:pPr>
            <w:r>
              <w:rPr>
                <w:rFonts w:ascii="Arial" w:cs="Arial" w:eastAsia="Arial" w:hAnsi="Arial"/>
                <w:sz w:val="4"/>
                <w:szCs w:val="4"/>
                <w:color w:val="auto"/>
              </w:rPr>
              <w:t>​</w:t>
            </w:r>
          </w:p>
        </w:tc>
        <w:tc>
          <w:tcPr>
            <w:tcW w:w="420" w:type="dxa"/>
            <w:vAlign w:val="bottom"/>
          </w:tcPr>
          <w:p>
            <w:pPr>
              <w:ind w:left="20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149"/>
              <w:spacing w:after="0"/>
              <w:rPr>
                <w:sz w:val="20"/>
                <w:szCs w:val="20"/>
                <w:color w:val="auto"/>
              </w:rPr>
            </w:pPr>
            <w:r>
              <w:rPr>
                <w:rFonts w:ascii="Arial" w:cs="Arial" w:eastAsia="Arial" w:hAnsi="Arial"/>
                <w:sz w:val="4"/>
                <w:szCs w:val="4"/>
                <w:color w:val="auto"/>
              </w:rPr>
              <w:t>​</w:t>
            </w:r>
          </w:p>
        </w:tc>
        <w:tc>
          <w:tcPr>
            <w:tcW w:w="440" w:type="dxa"/>
            <w:vAlign w:val="bottom"/>
          </w:tcPr>
          <w:p>
            <w:pPr>
              <w:ind w:left="220"/>
              <w:spacing w:after="0"/>
              <w:rPr>
                <w:sz w:val="20"/>
                <w:szCs w:val="20"/>
                <w:color w:val="auto"/>
              </w:rPr>
            </w:pPr>
            <w:r>
              <w:rPr>
                <w:rFonts w:ascii="Arial" w:cs="Arial" w:eastAsia="Arial" w:hAnsi="Arial"/>
                <w:sz w:val="4"/>
                <w:szCs w:val="4"/>
                <w:color w:val="auto"/>
              </w:rPr>
              <w:t>​</w:t>
            </w:r>
          </w:p>
        </w:tc>
        <w:tc>
          <w:tcPr>
            <w:tcW w:w="740" w:type="dxa"/>
            <w:vAlign w:val="bottom"/>
          </w:tcPr>
          <w:p>
            <w:pPr>
              <w:jc w:val="right"/>
              <w:ind w:right="153"/>
              <w:spacing w:after="0"/>
              <w:rPr>
                <w:sz w:val="20"/>
                <w:szCs w:val="20"/>
                <w:color w:val="auto"/>
              </w:rPr>
            </w:pPr>
            <w:r>
              <w:rPr>
                <w:rFonts w:ascii="Arial" w:cs="Arial" w:eastAsia="Arial" w:hAnsi="Arial"/>
                <w:sz w:val="4"/>
                <w:szCs w:val="4"/>
                <w:color w:val="auto"/>
              </w:rPr>
              <w:t>​</w:t>
            </w:r>
          </w:p>
        </w:tc>
        <w:tc>
          <w:tcPr>
            <w:tcW w:w="440" w:type="dxa"/>
            <w:vAlign w:val="bottom"/>
          </w:tcPr>
          <w:p>
            <w:pPr>
              <w:ind w:left="200"/>
              <w:spacing w:after="0"/>
              <w:rPr>
                <w:sz w:val="20"/>
                <w:szCs w:val="20"/>
                <w:color w:val="auto"/>
              </w:rPr>
            </w:pPr>
            <w:r>
              <w:rPr>
                <w:rFonts w:ascii="Arial" w:cs="Arial" w:eastAsia="Arial" w:hAnsi="Arial"/>
                <w:sz w:val="4"/>
                <w:szCs w:val="4"/>
                <w:color w:val="auto"/>
              </w:rPr>
              <w:t>​</w:t>
            </w:r>
          </w:p>
        </w:tc>
        <w:tc>
          <w:tcPr>
            <w:tcW w:w="1040" w:type="dxa"/>
            <w:vAlign w:val="bottom"/>
          </w:tcPr>
          <w:p>
            <w:pPr>
              <w:jc w:val="right"/>
              <w:ind w:right="55"/>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3"/>
        </w:trPr>
        <w:tc>
          <w:tcPr>
            <w:tcW w:w="418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41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5"/>
        </w:trPr>
        <w:tc>
          <w:tcPr>
            <w:tcW w:w="4180" w:type="dxa"/>
            <w:vAlign w:val="bottom"/>
          </w:tcPr>
          <w:p>
            <w:pPr>
              <w:ind w:left="160"/>
              <w:spacing w:after="0"/>
              <w:rPr>
                <w:sz w:val="20"/>
                <w:szCs w:val="20"/>
                <w:color w:val="auto"/>
              </w:rPr>
            </w:pPr>
            <w:r>
              <w:rPr>
                <w:rFonts w:ascii="Arial" w:cs="Arial" w:eastAsia="Arial" w:hAnsi="Arial"/>
                <w:sz w:val="14"/>
                <w:szCs w:val="14"/>
                <w:color w:val="auto"/>
              </w:rPr>
              <w:t>African American or Black</w:t>
            </w:r>
          </w:p>
        </w:tc>
        <w:tc>
          <w:tcPr>
            <w:tcW w:w="1340" w:type="dxa"/>
            <w:vAlign w:val="bottom"/>
          </w:tcPr>
          <w:p>
            <w:pPr>
              <w:ind w:left="1120"/>
              <w:spacing w:after="0"/>
              <w:rPr>
                <w:sz w:val="20"/>
                <w:szCs w:val="20"/>
                <w:color w:val="auto"/>
              </w:rPr>
            </w:pPr>
            <w:r>
              <w:rPr>
                <w:rFonts w:ascii="Arial" w:cs="Arial" w:eastAsia="Arial" w:hAnsi="Arial"/>
                <w:sz w:val="4"/>
                <w:szCs w:val="4"/>
                <w:color w:val="auto"/>
              </w:rPr>
              <w:t>​</w:t>
            </w:r>
          </w:p>
        </w:tc>
        <w:tc>
          <w:tcPr>
            <w:tcW w:w="420" w:type="dxa"/>
            <w:vAlign w:val="bottom"/>
          </w:tcPr>
          <w:p>
            <w:pPr>
              <w:ind w:left="20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1</w:t>
            </w:r>
            <w:r>
              <w:rPr>
                <w:rFonts w:ascii="Arial" w:cs="Arial" w:eastAsia="Arial" w:hAnsi="Arial"/>
                <w:sz w:val="3"/>
                <w:szCs w:val="3"/>
                <w:color w:val="auto"/>
              </w:rPr>
              <w:t>​</w:t>
            </w:r>
          </w:p>
        </w:tc>
        <w:tc>
          <w:tcPr>
            <w:tcW w:w="440" w:type="dxa"/>
            <w:vAlign w:val="bottom"/>
          </w:tcPr>
          <w:p>
            <w:pPr>
              <w:ind w:left="220"/>
              <w:spacing w:after="0"/>
              <w:rPr>
                <w:sz w:val="20"/>
                <w:szCs w:val="20"/>
                <w:color w:val="auto"/>
              </w:rPr>
            </w:pPr>
            <w:r>
              <w:rPr>
                <w:rFonts w:ascii="Arial" w:cs="Arial" w:eastAsia="Arial" w:hAnsi="Arial"/>
                <w:sz w:val="4"/>
                <w:szCs w:val="4"/>
                <w:color w:val="auto"/>
              </w:rPr>
              <w:t>​</w:t>
            </w:r>
          </w:p>
        </w:tc>
        <w:tc>
          <w:tcPr>
            <w:tcW w:w="740" w:type="dxa"/>
            <w:vAlign w:val="bottom"/>
          </w:tcPr>
          <w:p>
            <w:pPr>
              <w:jc w:val="right"/>
              <w:ind w:right="153"/>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440" w:type="dxa"/>
            <w:vAlign w:val="bottom"/>
          </w:tcPr>
          <w:p>
            <w:pPr>
              <w:ind w:left="200"/>
              <w:spacing w:after="0"/>
              <w:rPr>
                <w:sz w:val="20"/>
                <w:szCs w:val="20"/>
                <w:color w:val="auto"/>
              </w:rPr>
            </w:pPr>
            <w:r>
              <w:rPr>
                <w:rFonts w:ascii="Arial" w:cs="Arial" w:eastAsia="Arial" w:hAnsi="Arial"/>
                <w:sz w:val="4"/>
                <w:szCs w:val="4"/>
                <w:color w:val="auto"/>
              </w:rPr>
              <w:t>​</w:t>
            </w:r>
          </w:p>
        </w:tc>
        <w:tc>
          <w:tcPr>
            <w:tcW w:w="1040" w:type="dxa"/>
            <w:vAlign w:val="bottom"/>
          </w:tcPr>
          <w:p>
            <w:pPr>
              <w:jc w:val="right"/>
              <w:ind w:right="55"/>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107"/>
        </w:trPr>
        <w:tc>
          <w:tcPr>
            <w:tcW w:w="41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71"/>
        </w:trPr>
        <w:tc>
          <w:tcPr>
            <w:tcW w:w="4180" w:type="dxa"/>
            <w:vAlign w:val="bottom"/>
          </w:tcPr>
          <w:p>
            <w:pPr>
              <w:ind w:left="160"/>
              <w:spacing w:after="0"/>
              <w:rPr>
                <w:sz w:val="20"/>
                <w:szCs w:val="20"/>
                <w:color w:val="auto"/>
              </w:rPr>
            </w:pPr>
            <w:r>
              <w:rPr>
                <w:rFonts w:ascii="Arial" w:cs="Arial" w:eastAsia="Arial" w:hAnsi="Arial"/>
                <w:sz w:val="14"/>
                <w:szCs w:val="14"/>
                <w:color w:val="auto"/>
              </w:rPr>
              <w:t>Alaskan Native or Native American</w:t>
            </w:r>
          </w:p>
        </w:tc>
        <w:tc>
          <w:tcPr>
            <w:tcW w:w="1340" w:type="dxa"/>
            <w:vAlign w:val="bottom"/>
          </w:tcPr>
          <w:p>
            <w:pPr>
              <w:ind w:left="1120"/>
              <w:spacing w:after="0"/>
              <w:rPr>
                <w:sz w:val="20"/>
                <w:szCs w:val="20"/>
                <w:color w:val="auto"/>
              </w:rPr>
            </w:pPr>
            <w:r>
              <w:rPr>
                <w:rFonts w:ascii="Arial" w:cs="Arial" w:eastAsia="Arial" w:hAnsi="Arial"/>
                <w:sz w:val="4"/>
                <w:szCs w:val="4"/>
                <w:color w:val="auto"/>
              </w:rPr>
              <w:t>​</w:t>
            </w:r>
          </w:p>
        </w:tc>
        <w:tc>
          <w:tcPr>
            <w:tcW w:w="420" w:type="dxa"/>
            <w:vAlign w:val="bottom"/>
          </w:tcPr>
          <w:p>
            <w:pPr>
              <w:ind w:left="20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149"/>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440" w:type="dxa"/>
            <w:vAlign w:val="bottom"/>
          </w:tcPr>
          <w:p>
            <w:pPr>
              <w:ind w:left="220"/>
              <w:spacing w:after="0"/>
              <w:rPr>
                <w:sz w:val="20"/>
                <w:szCs w:val="20"/>
                <w:color w:val="auto"/>
              </w:rPr>
            </w:pPr>
            <w:r>
              <w:rPr>
                <w:rFonts w:ascii="Arial" w:cs="Arial" w:eastAsia="Arial" w:hAnsi="Arial"/>
                <w:sz w:val="4"/>
                <w:szCs w:val="4"/>
                <w:color w:val="auto"/>
              </w:rPr>
              <w:t>​</w:t>
            </w:r>
          </w:p>
        </w:tc>
        <w:tc>
          <w:tcPr>
            <w:tcW w:w="740" w:type="dxa"/>
            <w:vAlign w:val="bottom"/>
          </w:tcPr>
          <w:p>
            <w:pPr>
              <w:jc w:val="right"/>
              <w:ind w:right="153"/>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440" w:type="dxa"/>
            <w:vAlign w:val="bottom"/>
          </w:tcPr>
          <w:p>
            <w:pPr>
              <w:ind w:left="200"/>
              <w:spacing w:after="0"/>
              <w:rPr>
                <w:sz w:val="20"/>
                <w:szCs w:val="20"/>
                <w:color w:val="auto"/>
              </w:rPr>
            </w:pPr>
            <w:r>
              <w:rPr>
                <w:rFonts w:ascii="Arial" w:cs="Arial" w:eastAsia="Arial" w:hAnsi="Arial"/>
                <w:sz w:val="4"/>
                <w:szCs w:val="4"/>
                <w:color w:val="auto"/>
              </w:rPr>
              <w:t>​</w:t>
            </w:r>
          </w:p>
        </w:tc>
        <w:tc>
          <w:tcPr>
            <w:tcW w:w="1040" w:type="dxa"/>
            <w:vAlign w:val="bottom"/>
          </w:tcPr>
          <w:p>
            <w:pPr>
              <w:jc w:val="right"/>
              <w:ind w:right="55"/>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54"/>
        </w:trPr>
        <w:tc>
          <w:tcPr>
            <w:tcW w:w="41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4180" w:type="dxa"/>
            <w:vAlign w:val="bottom"/>
          </w:tcPr>
          <w:p>
            <w:pPr>
              <w:ind w:left="160"/>
              <w:spacing w:after="0"/>
              <w:rPr>
                <w:sz w:val="20"/>
                <w:szCs w:val="20"/>
                <w:color w:val="auto"/>
              </w:rPr>
            </w:pPr>
            <w:r>
              <w:rPr>
                <w:rFonts w:ascii="Arial" w:cs="Arial" w:eastAsia="Arial" w:hAnsi="Arial"/>
                <w:sz w:val="14"/>
                <w:szCs w:val="14"/>
                <w:color w:val="auto"/>
              </w:rPr>
              <w:t>Asian</w:t>
            </w:r>
          </w:p>
        </w:tc>
        <w:tc>
          <w:tcPr>
            <w:tcW w:w="1340" w:type="dxa"/>
            <w:vAlign w:val="bottom"/>
          </w:tcPr>
          <w:p>
            <w:pPr>
              <w:ind w:left="1120"/>
              <w:spacing w:after="0"/>
              <w:rPr>
                <w:sz w:val="20"/>
                <w:szCs w:val="20"/>
                <w:color w:val="auto"/>
              </w:rPr>
            </w:pPr>
            <w:r>
              <w:rPr>
                <w:rFonts w:ascii="Arial" w:cs="Arial" w:eastAsia="Arial" w:hAnsi="Arial"/>
                <w:sz w:val="4"/>
                <w:szCs w:val="4"/>
                <w:color w:val="auto"/>
              </w:rPr>
              <w:t>​</w:t>
            </w:r>
          </w:p>
        </w:tc>
        <w:tc>
          <w:tcPr>
            <w:tcW w:w="420" w:type="dxa"/>
            <w:vAlign w:val="bottom"/>
          </w:tcPr>
          <w:p>
            <w:pPr>
              <w:ind w:left="20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440" w:type="dxa"/>
            <w:vAlign w:val="bottom"/>
          </w:tcPr>
          <w:p>
            <w:pPr>
              <w:ind w:left="220"/>
              <w:spacing w:after="0"/>
              <w:rPr>
                <w:sz w:val="20"/>
                <w:szCs w:val="20"/>
                <w:color w:val="auto"/>
              </w:rPr>
            </w:pPr>
            <w:r>
              <w:rPr>
                <w:rFonts w:ascii="Arial" w:cs="Arial" w:eastAsia="Arial" w:hAnsi="Arial"/>
                <w:sz w:val="4"/>
                <w:szCs w:val="4"/>
                <w:color w:val="auto"/>
              </w:rPr>
              <w:t>​</w:t>
            </w:r>
          </w:p>
        </w:tc>
        <w:tc>
          <w:tcPr>
            <w:tcW w:w="740" w:type="dxa"/>
            <w:vAlign w:val="bottom"/>
          </w:tcPr>
          <w:p>
            <w:pPr>
              <w:jc w:val="right"/>
              <w:ind w:right="153"/>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440" w:type="dxa"/>
            <w:vAlign w:val="bottom"/>
          </w:tcPr>
          <w:p>
            <w:pPr>
              <w:ind w:left="200"/>
              <w:spacing w:after="0"/>
              <w:rPr>
                <w:sz w:val="20"/>
                <w:szCs w:val="20"/>
                <w:color w:val="auto"/>
              </w:rPr>
            </w:pPr>
            <w:r>
              <w:rPr>
                <w:rFonts w:ascii="Arial" w:cs="Arial" w:eastAsia="Arial" w:hAnsi="Arial"/>
                <w:sz w:val="4"/>
                <w:szCs w:val="4"/>
                <w:color w:val="auto"/>
              </w:rPr>
              <w:t>​</w:t>
            </w:r>
          </w:p>
        </w:tc>
        <w:tc>
          <w:tcPr>
            <w:tcW w:w="1040" w:type="dxa"/>
            <w:vAlign w:val="bottom"/>
          </w:tcPr>
          <w:p>
            <w:pPr>
              <w:jc w:val="right"/>
              <w:ind w:right="55"/>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120"/>
        </w:trPr>
        <w:tc>
          <w:tcPr>
            <w:tcW w:w="4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1"/>
        </w:trPr>
        <w:tc>
          <w:tcPr>
            <w:tcW w:w="4180" w:type="dxa"/>
            <w:vAlign w:val="bottom"/>
          </w:tcPr>
          <w:p>
            <w:pPr>
              <w:ind w:left="160"/>
              <w:spacing w:after="0"/>
              <w:rPr>
                <w:sz w:val="20"/>
                <w:szCs w:val="20"/>
                <w:color w:val="auto"/>
              </w:rPr>
            </w:pPr>
            <w:r>
              <w:rPr>
                <w:rFonts w:ascii="Arial" w:cs="Arial" w:eastAsia="Arial" w:hAnsi="Arial"/>
                <w:sz w:val="14"/>
                <w:szCs w:val="14"/>
                <w:color w:val="auto"/>
              </w:rPr>
              <w:t>Hispanic or Latinx</w:t>
            </w:r>
          </w:p>
        </w:tc>
        <w:tc>
          <w:tcPr>
            <w:tcW w:w="1340" w:type="dxa"/>
            <w:vAlign w:val="bottom"/>
          </w:tcPr>
          <w:p>
            <w:pPr>
              <w:ind w:left="1120"/>
              <w:spacing w:after="0"/>
              <w:rPr>
                <w:sz w:val="20"/>
                <w:szCs w:val="20"/>
                <w:color w:val="auto"/>
              </w:rPr>
            </w:pPr>
            <w:r>
              <w:rPr>
                <w:rFonts w:ascii="Arial" w:cs="Arial" w:eastAsia="Arial" w:hAnsi="Arial"/>
                <w:sz w:val="4"/>
                <w:szCs w:val="4"/>
                <w:color w:val="auto"/>
              </w:rPr>
              <w:t>​</w:t>
            </w:r>
          </w:p>
        </w:tc>
        <w:tc>
          <w:tcPr>
            <w:tcW w:w="420" w:type="dxa"/>
            <w:vAlign w:val="bottom"/>
          </w:tcPr>
          <w:p>
            <w:pPr>
              <w:ind w:left="20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149"/>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440" w:type="dxa"/>
            <w:vAlign w:val="bottom"/>
          </w:tcPr>
          <w:p>
            <w:pPr>
              <w:ind w:left="220"/>
              <w:spacing w:after="0"/>
              <w:rPr>
                <w:sz w:val="20"/>
                <w:szCs w:val="20"/>
                <w:color w:val="auto"/>
              </w:rPr>
            </w:pPr>
            <w:r>
              <w:rPr>
                <w:rFonts w:ascii="Arial" w:cs="Arial" w:eastAsia="Arial" w:hAnsi="Arial"/>
                <w:sz w:val="4"/>
                <w:szCs w:val="4"/>
                <w:color w:val="auto"/>
              </w:rPr>
              <w:t>​</w:t>
            </w:r>
          </w:p>
        </w:tc>
        <w:tc>
          <w:tcPr>
            <w:tcW w:w="740" w:type="dxa"/>
            <w:vAlign w:val="bottom"/>
          </w:tcPr>
          <w:p>
            <w:pPr>
              <w:jc w:val="right"/>
              <w:ind w:right="153"/>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440" w:type="dxa"/>
            <w:vAlign w:val="bottom"/>
          </w:tcPr>
          <w:p>
            <w:pPr>
              <w:ind w:left="200"/>
              <w:spacing w:after="0"/>
              <w:rPr>
                <w:sz w:val="20"/>
                <w:szCs w:val="20"/>
                <w:color w:val="auto"/>
              </w:rPr>
            </w:pPr>
            <w:r>
              <w:rPr>
                <w:rFonts w:ascii="Arial" w:cs="Arial" w:eastAsia="Arial" w:hAnsi="Arial"/>
                <w:sz w:val="4"/>
                <w:szCs w:val="4"/>
                <w:color w:val="auto"/>
              </w:rPr>
              <w:t>​</w:t>
            </w:r>
          </w:p>
        </w:tc>
        <w:tc>
          <w:tcPr>
            <w:tcW w:w="1040" w:type="dxa"/>
            <w:vAlign w:val="bottom"/>
          </w:tcPr>
          <w:p>
            <w:pPr>
              <w:jc w:val="right"/>
              <w:ind w:right="55"/>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41"/>
        </w:trPr>
        <w:tc>
          <w:tcPr>
            <w:tcW w:w="4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4180" w:type="dxa"/>
            <w:vAlign w:val="bottom"/>
          </w:tcPr>
          <w:p>
            <w:pPr>
              <w:ind w:left="160"/>
              <w:spacing w:after="0"/>
              <w:rPr>
                <w:sz w:val="20"/>
                <w:szCs w:val="20"/>
                <w:color w:val="auto"/>
              </w:rPr>
            </w:pPr>
            <w:r>
              <w:rPr>
                <w:rFonts w:ascii="Arial" w:cs="Arial" w:eastAsia="Arial" w:hAnsi="Arial"/>
                <w:sz w:val="14"/>
                <w:szCs w:val="14"/>
                <w:color w:val="auto"/>
              </w:rPr>
              <w:t>Native Hawaiian or Pacific Islander</w:t>
            </w:r>
          </w:p>
        </w:tc>
        <w:tc>
          <w:tcPr>
            <w:tcW w:w="1340" w:type="dxa"/>
            <w:vAlign w:val="bottom"/>
          </w:tcPr>
          <w:p>
            <w:pPr>
              <w:ind w:left="1120"/>
              <w:spacing w:after="0"/>
              <w:rPr>
                <w:sz w:val="20"/>
                <w:szCs w:val="20"/>
                <w:color w:val="auto"/>
              </w:rPr>
            </w:pPr>
            <w:r>
              <w:rPr>
                <w:rFonts w:ascii="Arial" w:cs="Arial" w:eastAsia="Arial" w:hAnsi="Arial"/>
                <w:sz w:val="4"/>
                <w:szCs w:val="4"/>
                <w:color w:val="auto"/>
              </w:rPr>
              <w:t>​</w:t>
            </w:r>
          </w:p>
        </w:tc>
        <w:tc>
          <w:tcPr>
            <w:tcW w:w="420" w:type="dxa"/>
            <w:vAlign w:val="bottom"/>
          </w:tcPr>
          <w:p>
            <w:pPr>
              <w:ind w:left="20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440" w:type="dxa"/>
            <w:vAlign w:val="bottom"/>
          </w:tcPr>
          <w:p>
            <w:pPr>
              <w:ind w:left="220"/>
              <w:spacing w:after="0"/>
              <w:rPr>
                <w:sz w:val="20"/>
                <w:szCs w:val="20"/>
                <w:color w:val="auto"/>
              </w:rPr>
            </w:pPr>
            <w:r>
              <w:rPr>
                <w:rFonts w:ascii="Arial" w:cs="Arial" w:eastAsia="Arial" w:hAnsi="Arial"/>
                <w:sz w:val="4"/>
                <w:szCs w:val="4"/>
                <w:color w:val="auto"/>
              </w:rPr>
              <w:t>​</w:t>
            </w:r>
          </w:p>
        </w:tc>
        <w:tc>
          <w:tcPr>
            <w:tcW w:w="740" w:type="dxa"/>
            <w:vAlign w:val="bottom"/>
          </w:tcPr>
          <w:p>
            <w:pPr>
              <w:jc w:val="right"/>
              <w:ind w:right="153"/>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440" w:type="dxa"/>
            <w:vAlign w:val="bottom"/>
          </w:tcPr>
          <w:p>
            <w:pPr>
              <w:ind w:left="200"/>
              <w:spacing w:after="0"/>
              <w:rPr>
                <w:sz w:val="20"/>
                <w:szCs w:val="20"/>
                <w:color w:val="auto"/>
              </w:rPr>
            </w:pPr>
            <w:r>
              <w:rPr>
                <w:rFonts w:ascii="Arial" w:cs="Arial" w:eastAsia="Arial" w:hAnsi="Arial"/>
                <w:sz w:val="4"/>
                <w:szCs w:val="4"/>
                <w:color w:val="auto"/>
              </w:rPr>
              <w:t>​</w:t>
            </w:r>
          </w:p>
        </w:tc>
        <w:tc>
          <w:tcPr>
            <w:tcW w:w="1040" w:type="dxa"/>
            <w:vAlign w:val="bottom"/>
          </w:tcPr>
          <w:p>
            <w:pPr>
              <w:jc w:val="right"/>
              <w:ind w:right="55"/>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107"/>
        </w:trPr>
        <w:tc>
          <w:tcPr>
            <w:tcW w:w="41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5"/>
        </w:trPr>
        <w:tc>
          <w:tcPr>
            <w:tcW w:w="4180" w:type="dxa"/>
            <w:vAlign w:val="bottom"/>
          </w:tcPr>
          <w:p>
            <w:pPr>
              <w:ind w:left="160"/>
              <w:spacing w:after="0"/>
              <w:rPr>
                <w:sz w:val="20"/>
                <w:szCs w:val="20"/>
                <w:color w:val="auto"/>
              </w:rPr>
            </w:pPr>
            <w:r>
              <w:rPr>
                <w:rFonts w:ascii="Arial" w:cs="Arial" w:eastAsia="Arial" w:hAnsi="Arial"/>
                <w:sz w:val="14"/>
                <w:szCs w:val="14"/>
                <w:color w:val="auto"/>
              </w:rPr>
              <w:t>White</w:t>
            </w:r>
          </w:p>
        </w:tc>
        <w:tc>
          <w:tcPr>
            <w:tcW w:w="1340" w:type="dxa"/>
            <w:vAlign w:val="bottom"/>
          </w:tcPr>
          <w:p>
            <w:pPr>
              <w:ind w:left="1120"/>
              <w:spacing w:after="0"/>
              <w:rPr>
                <w:sz w:val="20"/>
                <w:szCs w:val="20"/>
                <w:color w:val="auto"/>
              </w:rPr>
            </w:pPr>
            <w:r>
              <w:rPr>
                <w:rFonts w:ascii="Arial" w:cs="Arial" w:eastAsia="Arial" w:hAnsi="Arial"/>
                <w:sz w:val="4"/>
                <w:szCs w:val="4"/>
                <w:color w:val="auto"/>
              </w:rPr>
              <w:t>​</w:t>
            </w:r>
          </w:p>
        </w:tc>
        <w:tc>
          <w:tcPr>
            <w:tcW w:w="420" w:type="dxa"/>
            <w:vAlign w:val="bottom"/>
          </w:tcPr>
          <w:p>
            <w:pPr>
              <w:ind w:left="20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5</w:t>
            </w:r>
            <w:r>
              <w:rPr>
                <w:rFonts w:ascii="Arial" w:cs="Arial" w:eastAsia="Arial" w:hAnsi="Arial"/>
                <w:sz w:val="3"/>
                <w:szCs w:val="3"/>
                <w:color w:val="auto"/>
              </w:rPr>
              <w:t>​</w:t>
            </w:r>
          </w:p>
        </w:tc>
        <w:tc>
          <w:tcPr>
            <w:tcW w:w="440" w:type="dxa"/>
            <w:vAlign w:val="bottom"/>
          </w:tcPr>
          <w:p>
            <w:pPr>
              <w:ind w:left="220"/>
              <w:spacing w:after="0"/>
              <w:rPr>
                <w:sz w:val="20"/>
                <w:szCs w:val="20"/>
                <w:color w:val="auto"/>
              </w:rPr>
            </w:pPr>
            <w:r>
              <w:rPr>
                <w:rFonts w:ascii="Arial" w:cs="Arial" w:eastAsia="Arial" w:hAnsi="Arial"/>
                <w:sz w:val="4"/>
                <w:szCs w:val="4"/>
                <w:color w:val="auto"/>
              </w:rPr>
              <w:t>​</w:t>
            </w:r>
          </w:p>
        </w:tc>
        <w:tc>
          <w:tcPr>
            <w:tcW w:w="740" w:type="dxa"/>
            <w:vAlign w:val="bottom"/>
          </w:tcPr>
          <w:p>
            <w:pPr>
              <w:jc w:val="right"/>
              <w:ind w:right="153"/>
              <w:spacing w:after="0"/>
              <w:rPr>
                <w:sz w:val="20"/>
                <w:szCs w:val="20"/>
                <w:color w:val="auto"/>
              </w:rPr>
            </w:pPr>
            <w:r>
              <w:rPr>
                <w:rFonts w:ascii="Arial" w:cs="Arial" w:eastAsia="Arial" w:hAnsi="Arial"/>
                <w:sz w:val="14"/>
                <w:szCs w:val="14"/>
                <w:color w:val="auto"/>
              </w:rPr>
              <w:t>4</w:t>
            </w:r>
            <w:r>
              <w:rPr>
                <w:rFonts w:ascii="Arial" w:cs="Arial" w:eastAsia="Arial" w:hAnsi="Arial"/>
                <w:sz w:val="3"/>
                <w:szCs w:val="3"/>
                <w:color w:val="auto"/>
              </w:rPr>
              <w:t>​</w:t>
            </w:r>
          </w:p>
        </w:tc>
        <w:tc>
          <w:tcPr>
            <w:tcW w:w="440" w:type="dxa"/>
            <w:vAlign w:val="bottom"/>
          </w:tcPr>
          <w:p>
            <w:pPr>
              <w:ind w:left="200"/>
              <w:spacing w:after="0"/>
              <w:rPr>
                <w:sz w:val="20"/>
                <w:szCs w:val="20"/>
                <w:color w:val="auto"/>
              </w:rPr>
            </w:pPr>
            <w:r>
              <w:rPr>
                <w:rFonts w:ascii="Arial" w:cs="Arial" w:eastAsia="Arial" w:hAnsi="Arial"/>
                <w:sz w:val="4"/>
                <w:szCs w:val="4"/>
                <w:color w:val="auto"/>
              </w:rPr>
              <w:t>​</w:t>
            </w:r>
          </w:p>
        </w:tc>
        <w:tc>
          <w:tcPr>
            <w:tcW w:w="1040" w:type="dxa"/>
            <w:vAlign w:val="bottom"/>
          </w:tcPr>
          <w:p>
            <w:pPr>
              <w:jc w:val="right"/>
              <w:ind w:right="55"/>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120"/>
        </w:trPr>
        <w:tc>
          <w:tcPr>
            <w:tcW w:w="4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1"/>
        </w:trPr>
        <w:tc>
          <w:tcPr>
            <w:tcW w:w="4180" w:type="dxa"/>
            <w:vAlign w:val="bottom"/>
          </w:tcPr>
          <w:p>
            <w:pPr>
              <w:ind w:left="160"/>
              <w:spacing w:after="0"/>
              <w:rPr>
                <w:sz w:val="20"/>
                <w:szCs w:val="20"/>
                <w:color w:val="auto"/>
              </w:rPr>
            </w:pPr>
            <w:r>
              <w:rPr>
                <w:rFonts w:ascii="Arial" w:cs="Arial" w:eastAsia="Arial" w:hAnsi="Arial"/>
                <w:sz w:val="14"/>
                <w:szCs w:val="14"/>
                <w:color w:val="auto"/>
              </w:rPr>
              <w:t>Two or More Races or Ethnicities</w:t>
            </w:r>
          </w:p>
        </w:tc>
        <w:tc>
          <w:tcPr>
            <w:tcW w:w="1340" w:type="dxa"/>
            <w:vAlign w:val="bottom"/>
          </w:tcPr>
          <w:p>
            <w:pPr>
              <w:ind w:left="1120"/>
              <w:spacing w:after="0"/>
              <w:rPr>
                <w:sz w:val="20"/>
                <w:szCs w:val="20"/>
                <w:color w:val="auto"/>
              </w:rPr>
            </w:pPr>
            <w:r>
              <w:rPr>
                <w:rFonts w:ascii="Arial" w:cs="Arial" w:eastAsia="Arial" w:hAnsi="Arial"/>
                <w:sz w:val="4"/>
                <w:szCs w:val="4"/>
                <w:color w:val="auto"/>
              </w:rPr>
              <w:t>​</w:t>
            </w:r>
          </w:p>
        </w:tc>
        <w:tc>
          <w:tcPr>
            <w:tcW w:w="420" w:type="dxa"/>
            <w:vAlign w:val="bottom"/>
          </w:tcPr>
          <w:p>
            <w:pPr>
              <w:ind w:left="20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149"/>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440" w:type="dxa"/>
            <w:vAlign w:val="bottom"/>
          </w:tcPr>
          <w:p>
            <w:pPr>
              <w:ind w:left="220"/>
              <w:spacing w:after="0"/>
              <w:rPr>
                <w:sz w:val="20"/>
                <w:szCs w:val="20"/>
                <w:color w:val="auto"/>
              </w:rPr>
            </w:pPr>
            <w:r>
              <w:rPr>
                <w:rFonts w:ascii="Arial" w:cs="Arial" w:eastAsia="Arial" w:hAnsi="Arial"/>
                <w:sz w:val="4"/>
                <w:szCs w:val="4"/>
                <w:color w:val="auto"/>
              </w:rPr>
              <w:t>​</w:t>
            </w:r>
          </w:p>
        </w:tc>
        <w:tc>
          <w:tcPr>
            <w:tcW w:w="740" w:type="dxa"/>
            <w:vAlign w:val="bottom"/>
          </w:tcPr>
          <w:p>
            <w:pPr>
              <w:jc w:val="right"/>
              <w:ind w:right="153"/>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440" w:type="dxa"/>
            <w:vAlign w:val="bottom"/>
          </w:tcPr>
          <w:p>
            <w:pPr>
              <w:ind w:left="200"/>
              <w:spacing w:after="0"/>
              <w:rPr>
                <w:sz w:val="20"/>
                <w:szCs w:val="20"/>
                <w:color w:val="auto"/>
              </w:rPr>
            </w:pPr>
            <w:r>
              <w:rPr>
                <w:rFonts w:ascii="Arial" w:cs="Arial" w:eastAsia="Arial" w:hAnsi="Arial"/>
                <w:sz w:val="4"/>
                <w:szCs w:val="4"/>
                <w:color w:val="auto"/>
              </w:rPr>
              <w:t>​</w:t>
            </w:r>
          </w:p>
        </w:tc>
        <w:tc>
          <w:tcPr>
            <w:tcW w:w="1040" w:type="dxa"/>
            <w:vAlign w:val="bottom"/>
          </w:tcPr>
          <w:p>
            <w:pPr>
              <w:jc w:val="right"/>
              <w:ind w:right="55"/>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41"/>
        </w:trPr>
        <w:tc>
          <w:tcPr>
            <w:tcW w:w="4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4180" w:type="dxa"/>
            <w:vAlign w:val="bottom"/>
          </w:tcPr>
          <w:p>
            <w:pPr>
              <w:ind w:left="160"/>
              <w:spacing w:after="0"/>
              <w:rPr>
                <w:sz w:val="20"/>
                <w:szCs w:val="20"/>
                <w:color w:val="auto"/>
              </w:rPr>
            </w:pPr>
            <w:r>
              <w:rPr>
                <w:rFonts w:ascii="Arial" w:cs="Arial" w:eastAsia="Arial" w:hAnsi="Arial"/>
                <w:sz w:val="14"/>
                <w:szCs w:val="14"/>
                <w:color w:val="auto"/>
              </w:rPr>
              <w:t>LGBTQ+</w:t>
            </w:r>
          </w:p>
        </w:tc>
        <w:tc>
          <w:tcPr>
            <w:tcW w:w="1340" w:type="dxa"/>
            <w:vAlign w:val="bottom"/>
          </w:tcPr>
          <w:p>
            <w:pPr>
              <w:ind w:left="1120"/>
              <w:spacing w:after="0"/>
              <w:rPr>
                <w:sz w:val="20"/>
                <w:szCs w:val="20"/>
                <w:color w:val="auto"/>
              </w:rPr>
            </w:pPr>
            <w:r>
              <w:rPr>
                <w:rFonts w:ascii="Arial" w:cs="Arial" w:eastAsia="Arial" w:hAnsi="Arial"/>
                <w:sz w:val="4"/>
                <w:szCs w:val="4"/>
                <w:color w:val="auto"/>
              </w:rPr>
              <w:t>​</w:t>
            </w:r>
          </w:p>
        </w:tc>
        <w:tc>
          <w:tcPr>
            <w:tcW w:w="420" w:type="dxa"/>
            <w:vAlign w:val="bottom"/>
          </w:tcPr>
          <w:p>
            <w:pPr>
              <w:ind w:left="20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440" w:type="dxa"/>
            <w:vAlign w:val="bottom"/>
          </w:tcPr>
          <w:p>
            <w:pPr>
              <w:ind w:left="220"/>
              <w:spacing w:after="0"/>
              <w:rPr>
                <w:sz w:val="20"/>
                <w:szCs w:val="20"/>
                <w:color w:val="auto"/>
              </w:rPr>
            </w:pPr>
            <w:r>
              <w:rPr>
                <w:rFonts w:ascii="Arial" w:cs="Arial" w:eastAsia="Arial" w:hAnsi="Arial"/>
                <w:sz w:val="4"/>
                <w:szCs w:val="4"/>
                <w:color w:val="auto"/>
              </w:rPr>
              <w:t>​</w:t>
            </w:r>
          </w:p>
        </w:tc>
        <w:tc>
          <w:tcPr>
            <w:tcW w:w="740" w:type="dxa"/>
            <w:vAlign w:val="bottom"/>
          </w:tcPr>
          <w:p>
            <w:pPr>
              <w:jc w:val="right"/>
              <w:ind w:right="153"/>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440" w:type="dxa"/>
            <w:vAlign w:val="bottom"/>
          </w:tcPr>
          <w:p>
            <w:pPr>
              <w:ind w:left="200"/>
              <w:spacing w:after="0"/>
              <w:rPr>
                <w:sz w:val="20"/>
                <w:szCs w:val="20"/>
                <w:color w:val="auto"/>
              </w:rPr>
            </w:pPr>
            <w:r>
              <w:rPr>
                <w:rFonts w:ascii="Arial" w:cs="Arial" w:eastAsia="Arial" w:hAnsi="Arial"/>
                <w:sz w:val="4"/>
                <w:szCs w:val="4"/>
                <w:color w:val="auto"/>
              </w:rPr>
              <w:t>​</w:t>
            </w:r>
          </w:p>
        </w:tc>
        <w:tc>
          <w:tcPr>
            <w:tcW w:w="1040" w:type="dxa"/>
            <w:vAlign w:val="bottom"/>
          </w:tcPr>
          <w:p>
            <w:pPr>
              <w:jc w:val="right"/>
              <w:ind w:right="55"/>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0" w:type="dxa"/>
            <w:vAlign w:val="bottom"/>
          </w:tcPr>
          <w:p>
            <w:pPr>
              <w:spacing w:after="0"/>
              <w:rPr>
                <w:sz w:val="1"/>
                <w:szCs w:val="1"/>
                <w:color w:val="auto"/>
              </w:rPr>
            </w:pPr>
          </w:p>
        </w:tc>
      </w:tr>
      <w:tr>
        <w:trPr>
          <w:trHeight w:val="106"/>
        </w:trPr>
        <w:tc>
          <w:tcPr>
            <w:tcW w:w="41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41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Prefer not to disclose</w:t>
            </w:r>
          </w:p>
        </w:tc>
        <w:tc>
          <w:tcPr>
            <w:tcW w:w="1340" w:type="dxa"/>
            <w:vAlign w:val="bottom"/>
            <w:tcBorders>
              <w:bottom w:val="single" w:sz="8" w:color="auto"/>
            </w:tcBorders>
          </w:tcPr>
          <w:p>
            <w:pPr>
              <w:ind w:left="1120"/>
              <w:spacing w:after="0"/>
              <w:rPr>
                <w:sz w:val="20"/>
                <w:szCs w:val="20"/>
                <w:color w:val="auto"/>
              </w:rPr>
            </w:pPr>
            <w:r>
              <w:rPr>
                <w:rFonts w:ascii="Arial" w:cs="Arial" w:eastAsia="Arial" w:hAnsi="Arial"/>
                <w:sz w:val="4"/>
                <w:szCs w:val="4"/>
                <w:color w:val="auto"/>
              </w:rPr>
              <w:t>​</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ind w:right="149"/>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4"/>
                <w:szCs w:val="4"/>
                <w:color w:val="auto"/>
              </w:rPr>
              <w:t>​</w:t>
            </w: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28"/>
                <w:szCs w:val="28"/>
                <w:color w:val="auto"/>
                <w:vertAlign w:val="subscript"/>
              </w:rPr>
              <w:t>1</w:t>
            </w:r>
            <w:r>
              <w:rPr>
                <w:rFonts w:ascii="Arial" w:cs="Arial" w:eastAsia="Arial" w:hAnsi="Arial"/>
                <w:sz w:val="4"/>
                <w:szCs w:val="4"/>
                <w:color w:val="auto"/>
              </w:rPr>
              <w:t>​</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4"/>
                <w:szCs w:val="4"/>
                <w:color w:val="auto"/>
              </w:rPr>
              <w:t>​</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Oversight of Risk</w:t>
      </w:r>
    </w:p>
    <w:p>
      <w:pPr>
        <w:spacing w:after="0" w:line="228" w:lineRule="exact"/>
        <w:rPr>
          <w:sz w:val="20"/>
          <w:szCs w:val="20"/>
          <w:color w:val="auto"/>
        </w:rPr>
      </w:pPr>
    </w:p>
    <w:p>
      <w:pPr>
        <w:ind w:left="20" w:right="120"/>
        <w:spacing w:after="0" w:line="238" w:lineRule="auto"/>
        <w:rPr>
          <w:sz w:val="20"/>
          <w:szCs w:val="20"/>
          <w:color w:val="auto"/>
        </w:rPr>
      </w:pPr>
      <w:r>
        <w:rPr>
          <w:rFonts w:ascii="Arial" w:cs="Arial" w:eastAsia="Arial" w:hAnsi="Arial"/>
          <w:sz w:val="18"/>
          <w:szCs w:val="18"/>
          <w:color w:val="auto"/>
        </w:rPr>
        <w:t>Our Board of Directors is responsible for overseeing our risk management process. The Board focuses on our general risk management strategy, the most significant risks facing us, and oversees the implementation of risk mitigation strategies by management. The Board administers its oversight function directly as a whole and through its standing committees that address risks inherent in their respective areas of oversight. For example, our Audit Committee reviews matters that could have a significant impact on our financial statements. Our Compensation Committee is responsible for overseeing risks relating to our compensation plans, policies, and practices. Our Nominating and ESG Committee is responsible for overseeing risks related to certain corporate governance practices and overseeing our ESG strategy and progress.</w:t>
      </w:r>
    </w:p>
    <w:p>
      <w:pPr>
        <w:spacing w:after="0" w:line="34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Director Independence</w:t>
      </w:r>
    </w:p>
    <w:p>
      <w:pPr>
        <w:spacing w:after="0" w:line="215" w:lineRule="exact"/>
        <w:rPr>
          <w:sz w:val="20"/>
          <w:szCs w:val="20"/>
          <w:color w:val="auto"/>
        </w:rPr>
      </w:pPr>
    </w:p>
    <w:p>
      <w:pPr>
        <w:ind w:left="20" w:right="20"/>
        <w:spacing w:after="0" w:line="243" w:lineRule="auto"/>
        <w:rPr>
          <w:sz w:val="20"/>
          <w:szCs w:val="20"/>
          <w:color w:val="auto"/>
        </w:rPr>
      </w:pPr>
      <w:r>
        <w:rPr>
          <w:rFonts w:ascii="Arial" w:cs="Arial" w:eastAsia="Arial" w:hAnsi="Arial"/>
          <w:sz w:val="18"/>
          <w:szCs w:val="18"/>
          <w:color w:val="auto"/>
        </w:rPr>
        <w:t>Our Board of Directors assesses the independence of each director at least annually and has determined that, other than Jennifer Hyman, all current directors and director nominees are independent in accordance with Nasdaq listing standards and the applicable rules and regulations of the SEC. Ms. Hyman is not considered independent because she is an employee.</w:t>
      </w:r>
    </w:p>
    <w:p>
      <w:pPr>
        <w:sectPr>
          <w:pgSz w:w="11900" w:h="16838" w:orient="portrait"/>
          <w:cols w:equalWidth="0" w:num="1">
            <w:col w:w="9520"/>
          </w:cols>
          <w:pgMar w:left="1180" w:top="265" w:right="119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158115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2" w:lineRule="exact"/>
        <w:rPr>
          <w:sz w:val="20"/>
          <w:szCs w:val="20"/>
          <w:color w:val="auto"/>
        </w:rPr>
      </w:pPr>
    </w:p>
    <w:p>
      <w:pPr>
        <w:ind w:left="20" w:right="100"/>
        <w:spacing w:after="0" w:line="241" w:lineRule="auto"/>
        <w:rPr>
          <w:sz w:val="20"/>
          <w:szCs w:val="20"/>
          <w:color w:val="auto"/>
        </w:rPr>
      </w:pPr>
      <w:r>
        <w:rPr>
          <w:rFonts w:ascii="Arial" w:cs="Arial" w:eastAsia="Arial" w:hAnsi="Arial"/>
          <w:sz w:val="18"/>
          <w:szCs w:val="18"/>
          <w:color w:val="auto"/>
        </w:rPr>
        <w:t>In addition, our Board has determined that each member of our Audit Committee, Compensation Committee, and Nominating and ESG Committee is independent and, in the case of the Audit Committee and Compensation Committee, meets the heightened independence requirements applicable to each such Committee in accordance with the listing standards of Nasdaq and the applicable rules and regulations of the SEC. In addition, our former director, Dan Rosensweig, was also determined to be independent while he served on our Board of Directors.</w:t>
      </w:r>
    </w:p>
    <w:p>
      <w:pPr>
        <w:spacing w:after="0" w:line="343"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Meetings</w:t>
      </w:r>
    </w:p>
    <w:p>
      <w:pPr>
        <w:spacing w:after="0" w:line="228" w:lineRule="exact"/>
        <w:rPr>
          <w:sz w:val="20"/>
          <w:szCs w:val="20"/>
          <w:color w:val="auto"/>
        </w:rPr>
      </w:pPr>
    </w:p>
    <w:p>
      <w:pPr>
        <w:ind w:left="20"/>
        <w:spacing w:after="0" w:line="241" w:lineRule="auto"/>
        <w:rPr>
          <w:sz w:val="20"/>
          <w:szCs w:val="20"/>
          <w:color w:val="auto"/>
        </w:rPr>
      </w:pPr>
      <w:r>
        <w:rPr>
          <w:rFonts w:ascii="Arial" w:cs="Arial" w:eastAsia="Arial" w:hAnsi="Arial"/>
          <w:sz w:val="18"/>
          <w:szCs w:val="18"/>
          <w:color w:val="auto"/>
        </w:rPr>
        <w:t>Our Board met eight times during fiscal year 2022. Each current director attended at least 75% of the total number of fiscal year 2022 meetings of the Board and of each Committee on which he or she served, which were held during the period in which that director served, except for Ms. Paltrow. We encourage all directors and director nominees to attend the Annual Meeting; however, attendance is not mandatory. All but one of our incumbent directors attended our 2022 Annual Meeting of Stockholders.</w:t>
      </w:r>
    </w:p>
    <w:p>
      <w:pPr>
        <w:spacing w:after="0" w:line="343"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Committees</w:t>
      </w:r>
    </w:p>
    <w:p>
      <w:pPr>
        <w:spacing w:after="0" w:line="215" w:lineRule="exact"/>
        <w:rPr>
          <w:sz w:val="20"/>
          <w:szCs w:val="20"/>
          <w:color w:val="auto"/>
        </w:rPr>
      </w:pPr>
    </w:p>
    <w:p>
      <w:pPr>
        <w:ind w:left="20" w:right="140"/>
        <w:spacing w:after="0" w:line="239" w:lineRule="auto"/>
        <w:rPr>
          <w:sz w:val="20"/>
          <w:szCs w:val="20"/>
          <w:color w:val="auto"/>
        </w:rPr>
      </w:pPr>
      <w:r>
        <w:rPr>
          <w:rFonts w:ascii="Arial" w:cs="Arial" w:eastAsia="Arial" w:hAnsi="Arial"/>
          <w:sz w:val="18"/>
          <w:szCs w:val="18"/>
          <w:color w:val="auto"/>
        </w:rPr>
        <w:t>Our Board has the following standing committees: the Audit Committee, the Compensation Committee, and the Nominating and ESG Committee. Members of these committees serve until their resignation or until otherwise determined by our Board. The composition and functions of each committee are described below. The charter of each committee, our Corporate Governance Guidelines, and our Code of Conduct are available on our investor website (investors.renttherunway.com) under “Governance-Governance Documents” or by writing to our offices at 10 Jay Street, Brooklyn, New York 11201.</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Audit Committee</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Audit Committee consists of the following members:</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Tim Bixby - </w:t>
      </w:r>
      <w:r>
        <w:rPr>
          <w:rFonts w:ascii="Arial" w:cs="Arial" w:eastAsia="Arial" w:hAnsi="Arial"/>
          <w:sz w:val="18"/>
          <w:szCs w:val="18"/>
          <w:i w:val="1"/>
          <w:iCs w:val="1"/>
          <w:color w:val="auto"/>
        </w:rPr>
        <w:t>Chair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w:t>
      </w:r>
    </w:p>
    <w:p>
      <w:pPr>
        <w:ind w:left="380"/>
        <w:spacing w:after="0" w:line="234" w:lineRule="auto"/>
        <w:rPr>
          <w:sz w:val="20"/>
          <w:szCs w:val="20"/>
          <w:color w:val="auto"/>
        </w:rPr>
      </w:pPr>
      <w:r>
        <w:rPr>
          <w:rFonts w:ascii="Arial" w:cs="Arial" w:eastAsia="Arial" w:hAnsi="Arial"/>
          <w:sz w:val="18"/>
          <w:szCs w:val="18"/>
          <w:color w:val="auto"/>
        </w:rPr>
        <w:t>Melanie Harris</w:t>
      </w:r>
    </w:p>
    <w:p>
      <w:pPr>
        <w:ind w:left="380"/>
        <w:spacing w:after="0" w:line="235" w:lineRule="auto"/>
        <w:rPr>
          <w:sz w:val="20"/>
          <w:szCs w:val="20"/>
          <w:color w:val="auto"/>
        </w:rPr>
      </w:pPr>
      <w:r>
        <w:rPr>
          <w:rFonts w:ascii="Arial" w:cs="Arial" w:eastAsia="Arial" w:hAnsi="Arial"/>
          <w:sz w:val="18"/>
          <w:szCs w:val="18"/>
          <w:color w:val="auto"/>
        </w:rPr>
        <w:t> </w:t>
      </w:r>
    </w:p>
    <w:p>
      <w:pPr>
        <w:ind w:left="380"/>
        <w:spacing w:after="0" w:line="235" w:lineRule="auto"/>
        <w:rPr>
          <w:sz w:val="20"/>
          <w:szCs w:val="20"/>
          <w:color w:val="auto"/>
        </w:rPr>
      </w:pPr>
      <w:r>
        <w:rPr>
          <w:rFonts w:ascii="Arial" w:cs="Arial" w:eastAsia="Arial" w:hAnsi="Arial"/>
          <w:sz w:val="18"/>
          <w:szCs w:val="18"/>
          <w:color w:val="auto"/>
        </w:rPr>
        <w:t>Beth Kaplan</w:t>
      </w:r>
    </w:p>
    <w:p>
      <w:pPr>
        <w:ind w:left="380"/>
        <w:spacing w:after="0" w:line="235" w:lineRule="auto"/>
        <w:rPr>
          <w:sz w:val="20"/>
          <w:szCs w:val="20"/>
          <w:color w:val="auto"/>
        </w:rPr>
      </w:pPr>
      <w:r>
        <w:rPr>
          <w:rFonts w:ascii="Arial" w:cs="Arial" w:eastAsia="Arial" w:hAnsi="Arial"/>
          <w:sz w:val="18"/>
          <w:szCs w:val="18"/>
          <w:color w:val="auto"/>
        </w:rPr>
        <w:t> </w:t>
      </w:r>
    </w:p>
    <w:p>
      <w:pPr>
        <w:ind w:left="380"/>
        <w:spacing w:after="0"/>
        <w:rPr>
          <w:sz w:val="20"/>
          <w:szCs w:val="20"/>
          <w:color w:val="auto"/>
        </w:rPr>
      </w:pPr>
      <w:r>
        <w:rPr>
          <w:rFonts w:ascii="Arial" w:cs="Arial" w:eastAsia="Arial" w:hAnsi="Arial"/>
          <w:sz w:val="18"/>
          <w:szCs w:val="18"/>
          <w:color w:val="auto"/>
        </w:rPr>
        <w:t>Dan Nova</w:t>
      </w:r>
    </w:p>
    <w:p>
      <w:pPr>
        <w:spacing w:after="0" w:line="173" w:lineRule="exact"/>
        <w:rPr>
          <w:sz w:val="20"/>
          <w:szCs w:val="20"/>
          <w:color w:val="auto"/>
        </w:rPr>
      </w:pPr>
    </w:p>
    <w:p>
      <w:pPr>
        <w:ind w:left="20" w:right="600"/>
        <w:spacing w:after="0" w:line="260" w:lineRule="auto"/>
        <w:rPr>
          <w:sz w:val="20"/>
          <w:szCs w:val="20"/>
          <w:color w:val="auto"/>
        </w:rPr>
      </w:pPr>
      <w:r>
        <w:rPr>
          <w:rFonts w:ascii="Arial" w:cs="Arial" w:eastAsia="Arial" w:hAnsi="Arial"/>
          <w:sz w:val="18"/>
          <w:szCs w:val="18"/>
          <w:color w:val="auto"/>
        </w:rPr>
        <w:t>We have adopted an Audit Committee charter that outlines the principal functions of the Audit Committee, which include:</w:t>
      </w:r>
    </w:p>
    <w:p>
      <w:pPr>
        <w:spacing w:after="0" w:line="132" w:lineRule="exact"/>
        <w:rPr>
          <w:sz w:val="20"/>
          <w:szCs w:val="20"/>
          <w:color w:val="auto"/>
        </w:rPr>
      </w:pPr>
    </w:p>
    <w:p>
      <w:pPr>
        <w:ind w:left="740" w:hanging="359"/>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our corporate accounting and financial reporting processes;</w:t>
      </w:r>
    </w:p>
    <w:p>
      <w:pPr>
        <w:spacing w:after="0" w:line="7" w:lineRule="exact"/>
        <w:rPr>
          <w:rFonts w:ascii="Arial" w:cs="Arial" w:eastAsia="Arial" w:hAnsi="Arial"/>
          <w:sz w:val="18"/>
          <w:szCs w:val="18"/>
          <w:color w:val="auto"/>
        </w:rPr>
      </w:pPr>
    </w:p>
    <w:p>
      <w:pPr>
        <w:ind w:left="740" w:right="360" w:hanging="359"/>
        <w:spacing w:after="0" w:line="23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 and the effectiveness of our internal control over financial reporting, when required;</w:t>
      </w:r>
    </w:p>
    <w:p>
      <w:pPr>
        <w:spacing w:after="0" w:line="2" w:lineRule="exact"/>
        <w:rPr>
          <w:rFonts w:ascii="Arial" w:cs="Arial" w:eastAsia="Arial" w:hAnsi="Arial"/>
          <w:sz w:val="18"/>
          <w:szCs w:val="18"/>
          <w:color w:val="auto"/>
        </w:rPr>
      </w:pPr>
    </w:p>
    <w:p>
      <w:pPr>
        <w:ind w:left="740" w:right="100" w:hanging="359"/>
        <w:spacing w:after="0" w:line="23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registered public accounting firm, our interim and year end results of operations;</w:t>
      </w:r>
    </w:p>
    <w:p>
      <w:pPr>
        <w:spacing w:after="0" w:line="2" w:lineRule="exact"/>
        <w:rPr>
          <w:rFonts w:ascii="Arial" w:cs="Arial" w:eastAsia="Arial" w:hAnsi="Arial"/>
          <w:sz w:val="18"/>
          <w:szCs w:val="18"/>
          <w:color w:val="auto"/>
        </w:rPr>
      </w:pPr>
    </w:p>
    <w:p>
      <w:pPr>
        <w:ind w:left="740" w:right="100" w:hanging="359"/>
        <w:spacing w:after="0" w:line="23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procedures for the receipt, retention and treatment of complaints received by our company regarding accounting, internal accounting controls, or auditing matters and for employees to submit concerns anonymously about questionable accounting or auditing matters;</w:t>
      </w:r>
    </w:p>
    <w:p>
      <w:pPr>
        <w:spacing w:after="0" w:line="2"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related party transactions;</w:t>
      </w:r>
    </w:p>
    <w:p>
      <w:pPr>
        <w:ind w:left="740" w:right="120" w:hanging="359"/>
        <w:spacing w:after="0" w:line="23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pre-approving audit and permissible non-audit services to be performed by the independent registered public accounting firm; and</w:t>
      </w:r>
    </w:p>
    <w:p>
      <w:pPr>
        <w:spacing w:after="0" w:line="1" w:lineRule="exact"/>
        <w:rPr>
          <w:rFonts w:ascii="Arial" w:cs="Arial" w:eastAsia="Arial" w:hAnsi="Arial"/>
          <w:sz w:val="18"/>
          <w:szCs w:val="18"/>
          <w:color w:val="auto"/>
        </w:rPr>
      </w:pPr>
    </w:p>
    <w:p>
      <w:pPr>
        <w:ind w:left="740" w:hanging="359"/>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5" w:right="121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2" w:lineRule="exact"/>
        <w:rPr>
          <w:sz w:val="20"/>
          <w:szCs w:val="20"/>
          <w:color w:val="auto"/>
        </w:rPr>
      </w:pPr>
    </w:p>
    <w:p>
      <w:pPr>
        <w:ind w:left="20" w:right="260"/>
        <w:spacing w:after="0" w:line="243" w:lineRule="auto"/>
        <w:rPr>
          <w:sz w:val="20"/>
          <w:szCs w:val="20"/>
          <w:color w:val="auto"/>
        </w:rPr>
      </w:pPr>
      <w:r>
        <w:rPr>
          <w:rFonts w:ascii="Arial" w:cs="Arial" w:eastAsia="Arial" w:hAnsi="Arial"/>
          <w:sz w:val="18"/>
          <w:szCs w:val="18"/>
          <w:color w:val="auto"/>
        </w:rPr>
        <w:t>Our Board of Directors has determined that Tim Bixby and Dan Nova are each an “audit committee financial expert” within the meaning of SEC regulations. Each member of our Audit Committee can read and understand fundamental financial statements in accordance with applicable requirements. In fiscal year 2022, our Audit Committee met four times.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Compensation Committee</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Compensation Committee consists of the following members:</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Beth Kaplan - </w:t>
      </w:r>
      <w:r>
        <w:rPr>
          <w:rFonts w:ascii="Arial" w:cs="Arial" w:eastAsia="Arial" w:hAnsi="Arial"/>
          <w:sz w:val="18"/>
          <w:szCs w:val="18"/>
          <w:i w:val="1"/>
          <w:iCs w:val="1"/>
          <w:color w:val="auto"/>
        </w:rPr>
        <w:t>Chair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w:t>
      </w:r>
    </w:p>
    <w:p>
      <w:pPr>
        <w:ind w:left="380"/>
        <w:spacing w:after="0" w:line="234" w:lineRule="auto"/>
        <w:rPr>
          <w:sz w:val="20"/>
          <w:szCs w:val="20"/>
          <w:color w:val="auto"/>
        </w:rPr>
      </w:pPr>
      <w:r>
        <w:rPr>
          <w:rFonts w:ascii="Arial" w:cs="Arial" w:eastAsia="Arial" w:hAnsi="Arial"/>
          <w:sz w:val="18"/>
          <w:szCs w:val="18"/>
          <w:color w:val="auto"/>
        </w:rPr>
        <w:t>Scott Friend</w:t>
      </w:r>
    </w:p>
    <w:p>
      <w:pPr>
        <w:ind w:left="380"/>
        <w:spacing w:after="0" w:line="235" w:lineRule="auto"/>
        <w:rPr>
          <w:sz w:val="20"/>
          <w:szCs w:val="20"/>
          <w:color w:val="auto"/>
        </w:rPr>
      </w:pPr>
      <w:r>
        <w:rPr>
          <w:rFonts w:ascii="Arial" w:cs="Arial" w:eastAsia="Arial" w:hAnsi="Arial"/>
          <w:sz w:val="18"/>
          <w:szCs w:val="18"/>
          <w:color w:val="auto"/>
        </w:rPr>
        <w:t> </w:t>
      </w:r>
    </w:p>
    <w:p>
      <w:pPr>
        <w:ind w:left="380"/>
        <w:spacing w:after="0" w:line="235" w:lineRule="auto"/>
        <w:rPr>
          <w:sz w:val="20"/>
          <w:szCs w:val="20"/>
          <w:color w:val="auto"/>
        </w:rPr>
      </w:pPr>
      <w:r>
        <w:rPr>
          <w:rFonts w:ascii="Arial" w:cs="Arial" w:eastAsia="Arial" w:hAnsi="Arial"/>
          <w:sz w:val="18"/>
          <w:szCs w:val="18"/>
          <w:color w:val="auto"/>
        </w:rPr>
        <w:t>Dan Nova</w:t>
      </w:r>
    </w:p>
    <w:p>
      <w:pPr>
        <w:ind w:left="380"/>
        <w:spacing w:after="0" w:line="235" w:lineRule="auto"/>
        <w:rPr>
          <w:sz w:val="20"/>
          <w:szCs w:val="20"/>
          <w:color w:val="auto"/>
        </w:rPr>
      </w:pPr>
      <w:r>
        <w:rPr>
          <w:rFonts w:ascii="Arial" w:cs="Arial" w:eastAsia="Arial" w:hAnsi="Arial"/>
          <w:sz w:val="18"/>
          <w:szCs w:val="18"/>
          <w:color w:val="auto"/>
        </w:rPr>
        <w:t> </w:t>
      </w:r>
    </w:p>
    <w:p>
      <w:pPr>
        <w:ind w:left="380"/>
        <w:spacing w:after="0"/>
        <w:rPr>
          <w:sz w:val="20"/>
          <w:szCs w:val="20"/>
          <w:color w:val="auto"/>
        </w:rPr>
      </w:pPr>
      <w:r>
        <w:rPr>
          <w:rFonts w:ascii="Arial" w:cs="Arial" w:eastAsia="Arial" w:hAnsi="Arial"/>
          <w:sz w:val="18"/>
          <w:szCs w:val="18"/>
          <w:color w:val="auto"/>
        </w:rPr>
        <w:t>Mike Roth</w:t>
      </w:r>
    </w:p>
    <w:p>
      <w:pPr>
        <w:spacing w:after="0" w:line="173" w:lineRule="exact"/>
        <w:rPr>
          <w:sz w:val="20"/>
          <w:szCs w:val="20"/>
          <w:color w:val="auto"/>
        </w:rPr>
      </w:pPr>
    </w:p>
    <w:p>
      <w:pPr>
        <w:ind w:left="20" w:right="680"/>
        <w:spacing w:after="0" w:line="260" w:lineRule="auto"/>
        <w:rPr>
          <w:sz w:val="20"/>
          <w:szCs w:val="20"/>
          <w:color w:val="auto"/>
        </w:rPr>
      </w:pPr>
      <w:r>
        <w:rPr>
          <w:rFonts w:ascii="Arial" w:cs="Arial" w:eastAsia="Arial" w:hAnsi="Arial"/>
          <w:sz w:val="18"/>
          <w:szCs w:val="18"/>
          <w:color w:val="auto"/>
        </w:rPr>
        <w:t>We have adopted a Compensation Committee charter that outlines the principal functions of the Compensation Committee, which include:</w:t>
      </w:r>
    </w:p>
    <w:p>
      <w:pPr>
        <w:spacing w:after="0" w:line="132" w:lineRule="exact"/>
        <w:rPr>
          <w:sz w:val="20"/>
          <w:szCs w:val="20"/>
          <w:color w:val="auto"/>
        </w:rPr>
      </w:pPr>
    </w:p>
    <w:p>
      <w:pPr>
        <w:ind w:left="740" w:right="320" w:hanging="359"/>
        <w:spacing w:after="0" w:line="241"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chief executive officer and other executive officers;</w:t>
      </w:r>
    </w:p>
    <w:p>
      <w:pPr>
        <w:spacing w:after="0" w:line="1"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ind w:left="740" w:hanging="359"/>
        <w:spacing w:after="0" w:line="234"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ind w:left="740" w:hanging="359"/>
        <w:spacing w:after="0"/>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reviewing and approving employment agreements and severance arrangements for our executive officers; and</w:t>
      </w:r>
    </w:p>
    <w:p>
      <w:pPr>
        <w:spacing w:after="0" w:line="7" w:lineRule="exact"/>
        <w:rPr>
          <w:rFonts w:ascii="Arial" w:cs="Arial" w:eastAsia="Arial" w:hAnsi="Arial"/>
          <w:sz w:val="17"/>
          <w:szCs w:val="17"/>
          <w:color w:val="auto"/>
        </w:rPr>
      </w:pPr>
    </w:p>
    <w:p>
      <w:pPr>
        <w:ind w:left="740" w:right="300" w:hanging="359"/>
        <w:spacing w:after="0" w:line="246"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our talent and employee development programs and our strategy, efforts, and results regarding diversity, equity, and inclusion.</w:t>
      </w:r>
    </w:p>
    <w:p>
      <w:pPr>
        <w:spacing w:after="0" w:line="144"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color w:val="auto"/>
        </w:rPr>
        <w:t>Our Board has determined that each member of our Compensation Committee is a “non-employee director” as defined in Rule 16b-3 promulgated under the Exchange Act. In fiscal year 2022, our Compensation Committee met seven times.</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Nominating and ESG Committee</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Nominating and ESG Committee consists of the following members: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Carley Roney - Chair</w:t>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w:t>
      </w:r>
    </w:p>
    <w:p>
      <w:pPr>
        <w:ind w:left="380"/>
        <w:spacing w:after="0" w:line="234" w:lineRule="auto"/>
        <w:rPr>
          <w:sz w:val="20"/>
          <w:szCs w:val="20"/>
          <w:color w:val="auto"/>
        </w:rPr>
      </w:pPr>
      <w:r>
        <w:rPr>
          <w:rFonts w:ascii="Arial" w:cs="Arial" w:eastAsia="Arial" w:hAnsi="Arial"/>
          <w:sz w:val="18"/>
          <w:szCs w:val="18"/>
          <w:color w:val="auto"/>
        </w:rPr>
        <w:t>Jennifer Fleiss</w:t>
      </w:r>
    </w:p>
    <w:p>
      <w:pPr>
        <w:ind w:left="380"/>
        <w:spacing w:after="0" w:line="235" w:lineRule="auto"/>
        <w:rPr>
          <w:sz w:val="20"/>
          <w:szCs w:val="20"/>
          <w:color w:val="auto"/>
        </w:rPr>
      </w:pPr>
      <w:r>
        <w:rPr>
          <w:rFonts w:ascii="Arial" w:cs="Arial" w:eastAsia="Arial" w:hAnsi="Arial"/>
          <w:sz w:val="18"/>
          <w:szCs w:val="18"/>
          <w:color w:val="auto"/>
        </w:rPr>
        <w:t> </w:t>
      </w:r>
    </w:p>
    <w:p>
      <w:pPr>
        <w:ind w:left="380"/>
        <w:spacing w:after="0" w:line="235" w:lineRule="auto"/>
        <w:rPr>
          <w:sz w:val="20"/>
          <w:szCs w:val="20"/>
          <w:color w:val="auto"/>
        </w:rPr>
      </w:pPr>
      <w:r>
        <w:rPr>
          <w:rFonts w:ascii="Arial" w:cs="Arial" w:eastAsia="Arial" w:hAnsi="Arial"/>
          <w:sz w:val="18"/>
          <w:szCs w:val="18"/>
          <w:color w:val="auto"/>
        </w:rPr>
        <w:t>Emil Michael</w:t>
      </w:r>
    </w:p>
    <w:p>
      <w:pPr>
        <w:ind w:left="380"/>
        <w:spacing w:after="0" w:line="235" w:lineRule="auto"/>
        <w:rPr>
          <w:sz w:val="20"/>
          <w:szCs w:val="20"/>
          <w:color w:val="auto"/>
        </w:rPr>
      </w:pPr>
      <w:r>
        <w:rPr>
          <w:rFonts w:ascii="Arial" w:cs="Arial" w:eastAsia="Arial" w:hAnsi="Arial"/>
          <w:sz w:val="18"/>
          <w:szCs w:val="18"/>
          <w:color w:val="auto"/>
        </w:rPr>
        <w:t> </w:t>
      </w:r>
    </w:p>
    <w:p>
      <w:pPr>
        <w:ind w:left="380"/>
        <w:spacing w:after="0"/>
        <w:rPr>
          <w:sz w:val="20"/>
          <w:szCs w:val="20"/>
          <w:color w:val="auto"/>
        </w:rPr>
      </w:pPr>
      <w:r>
        <w:rPr>
          <w:rFonts w:ascii="Arial" w:cs="Arial" w:eastAsia="Arial" w:hAnsi="Arial"/>
          <w:sz w:val="18"/>
          <w:szCs w:val="18"/>
          <w:color w:val="auto"/>
        </w:rPr>
        <w:t>Gwyneth Paltrow</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adopted a Nominating and ESG Committee charter that outlines the principal functions of the Nominating and</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ESG Committee, which include:</w:t>
      </w:r>
    </w:p>
    <w:p>
      <w:pPr>
        <w:spacing w:after="0" w:line="159" w:lineRule="exact"/>
        <w:rPr>
          <w:sz w:val="20"/>
          <w:szCs w:val="20"/>
          <w:color w:val="auto"/>
        </w:rPr>
      </w:pPr>
    </w:p>
    <w:p>
      <w:pPr>
        <w:ind w:left="740" w:right="520" w:hanging="359"/>
        <w:spacing w:after="0" w:line="241"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1" w:lineRule="exact"/>
        <w:rPr>
          <w:rFonts w:ascii="Arial" w:cs="Arial" w:eastAsia="Arial" w:hAnsi="Arial"/>
          <w:sz w:val="18"/>
          <w:szCs w:val="18"/>
          <w:color w:val="auto"/>
        </w:rPr>
      </w:pPr>
    </w:p>
    <w:p>
      <w:pPr>
        <w:ind w:left="740" w:right="920" w:hanging="359"/>
        <w:spacing w:after="0" w:line="234"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1" w:lineRule="exact"/>
        <w:rPr>
          <w:rFonts w:ascii="Arial" w:cs="Arial" w:eastAsia="Arial" w:hAnsi="Arial"/>
          <w:sz w:val="18"/>
          <w:szCs w:val="18"/>
          <w:color w:val="auto"/>
        </w:rPr>
      </w:pPr>
    </w:p>
    <w:p>
      <w:pPr>
        <w:ind w:left="740" w:right="820" w:hanging="359"/>
        <w:spacing w:after="0" w:line="234"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corporate governance matters;</w:t>
      </w:r>
    </w:p>
    <w:p>
      <w:pPr>
        <w:spacing w:after="0" w:line="1" w:lineRule="exact"/>
        <w:rPr>
          <w:rFonts w:ascii="Arial" w:cs="Arial" w:eastAsia="Arial" w:hAnsi="Arial"/>
          <w:sz w:val="18"/>
          <w:szCs w:val="18"/>
          <w:color w:val="auto"/>
        </w:rPr>
      </w:pPr>
    </w:p>
    <w:p>
      <w:pPr>
        <w:ind w:left="740" w:right="160" w:hanging="359"/>
        <w:spacing w:after="0" w:line="234"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 and</w:t>
      </w:r>
    </w:p>
    <w:p>
      <w:pPr>
        <w:spacing w:after="0" w:line="1" w:lineRule="exact"/>
        <w:rPr>
          <w:rFonts w:ascii="Arial" w:cs="Arial" w:eastAsia="Arial" w:hAnsi="Arial"/>
          <w:sz w:val="18"/>
          <w:szCs w:val="18"/>
          <w:color w:val="auto"/>
        </w:rPr>
      </w:pPr>
    </w:p>
    <w:p>
      <w:pPr>
        <w:ind w:left="740" w:hanging="359"/>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our sustainability strategies, policies, and practices.</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fiscal year 2022, our Nominating and ESG Committee met two times.</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Code of Conduct</w:t>
      </w:r>
    </w:p>
    <w:p>
      <w:pPr>
        <w:spacing w:after="0" w:line="215"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Our Code of Conduct describes the standards of conduct expected of everyone at RTR. The code applies to all of our directors, officers, and employees, including our principal executive officer, principal financial officer, principal accounting officer and controller, or persons performing similar functions. A copy of the code is available on our Investor Relations website at investors.renttherunway.com in the “Governance” section. In addition, we intend to post on our website all disclosures that are required by law or by Nasdaq rules concerning any amendments to, or waivers from, any provision of our Code of Conduct.</w:t>
      </w:r>
    </w:p>
    <w:p>
      <w:pPr>
        <w:spacing w:after="0" w:line="308" w:lineRule="exact"/>
        <w:rPr>
          <w:sz w:val="20"/>
          <w:szCs w:val="20"/>
          <w:color w:val="auto"/>
        </w:rPr>
      </w:pPr>
    </w:p>
    <w:p>
      <w:pPr>
        <w:ind w:left="20" w:right="1220"/>
        <w:spacing w:after="0" w:line="295" w:lineRule="auto"/>
        <w:rPr>
          <w:sz w:val="20"/>
          <w:szCs w:val="20"/>
          <w:color w:val="auto"/>
        </w:rPr>
      </w:pPr>
      <w:r>
        <w:rPr>
          <w:rFonts w:ascii="Arial" w:cs="Arial" w:eastAsia="Arial" w:hAnsi="Arial"/>
          <w:sz w:val="36"/>
          <w:szCs w:val="36"/>
          <w:b w:val="1"/>
          <w:bCs w:val="1"/>
          <w:color w:val="auto"/>
        </w:rPr>
        <w:t>Compensation Committee Interlocks and Insider Participation</w:t>
      </w:r>
    </w:p>
    <w:p>
      <w:pPr>
        <w:spacing w:after="0" w:line="30" w:lineRule="exact"/>
        <w:rPr>
          <w:sz w:val="20"/>
          <w:szCs w:val="20"/>
          <w:color w:val="auto"/>
        </w:rPr>
      </w:pPr>
    </w:p>
    <w:p>
      <w:pPr>
        <w:ind w:left="20" w:right="20"/>
        <w:spacing w:after="0" w:line="241" w:lineRule="auto"/>
        <w:rPr>
          <w:sz w:val="20"/>
          <w:szCs w:val="20"/>
          <w:color w:val="auto"/>
        </w:rPr>
      </w:pPr>
      <w:r>
        <w:rPr>
          <w:rFonts w:ascii="Arial" w:cs="Arial" w:eastAsia="Arial" w:hAnsi="Arial"/>
          <w:sz w:val="18"/>
          <w:szCs w:val="18"/>
          <w:color w:val="auto"/>
        </w:rPr>
        <w:t>Beth Kaplan, Scott Friend, Dan Nova, Mike Roth and Dan Rosensweig served on our Compensation Committee during fiscal year 2022. None of these individuals is currently, or has been within the past three years, one of our officers or an employee.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343"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Director Nomination Process</w:t>
      </w:r>
    </w:p>
    <w:p>
      <w:pPr>
        <w:spacing w:after="0" w:line="215" w:lineRule="exact"/>
        <w:rPr>
          <w:sz w:val="20"/>
          <w:szCs w:val="20"/>
          <w:color w:val="auto"/>
        </w:rPr>
      </w:pPr>
    </w:p>
    <w:p>
      <w:pPr>
        <w:ind w:left="20" w:right="120"/>
        <w:spacing w:after="0" w:line="243" w:lineRule="auto"/>
        <w:rPr>
          <w:sz w:val="20"/>
          <w:szCs w:val="20"/>
          <w:color w:val="auto"/>
        </w:rPr>
      </w:pPr>
      <w:r>
        <w:rPr>
          <w:rFonts w:ascii="Arial" w:cs="Arial" w:eastAsia="Arial" w:hAnsi="Arial"/>
          <w:sz w:val="18"/>
          <w:szCs w:val="18"/>
          <w:color w:val="auto"/>
        </w:rPr>
        <w:t>The Nominating and ESG Committee and/or the Board is responsible for identifying and reviewing the qualifications of potential director candidates and recommending to the Board those candidates to be nominated for election to the Board, subject to any obligations and procedures governing the designation of directors to the Board that are included in the Stockholders Agreement.</w:t>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Identifying and Evaluating Nominees</w:t>
      </w:r>
    </w:p>
    <w:p>
      <w:pPr>
        <w:spacing w:after="0" w:line="181" w:lineRule="exact"/>
        <w:rPr>
          <w:sz w:val="20"/>
          <w:szCs w:val="20"/>
          <w:color w:val="auto"/>
        </w:rPr>
      </w:pPr>
    </w:p>
    <w:p>
      <w:pPr>
        <w:jc w:val="both"/>
        <w:ind w:left="20" w:right="180"/>
        <w:spacing w:after="0" w:line="247" w:lineRule="auto"/>
        <w:rPr>
          <w:sz w:val="20"/>
          <w:szCs w:val="20"/>
          <w:color w:val="auto"/>
        </w:rPr>
      </w:pPr>
      <w:r>
        <w:rPr>
          <w:rFonts w:ascii="Arial" w:cs="Arial" w:eastAsia="Arial" w:hAnsi="Arial"/>
          <w:sz w:val="18"/>
          <w:szCs w:val="18"/>
          <w:color w:val="auto"/>
        </w:rPr>
        <w:t>When identifying and evaluating potential director nominees, including current members of the Board who are eligible for re-election, the Nominating and ESG Committee seeks a balance of knowledge, experience, and capability on the Board and may consider the following:</w:t>
      </w:r>
    </w:p>
    <w:p>
      <w:pPr>
        <w:spacing w:after="0" w:line="144" w:lineRule="exact"/>
        <w:rPr>
          <w:sz w:val="20"/>
          <w:szCs w:val="20"/>
          <w:color w:val="auto"/>
        </w:rPr>
      </w:pPr>
    </w:p>
    <w:p>
      <w:pPr>
        <w:ind w:left="740" w:right="720" w:hanging="359"/>
        <w:spacing w:after="0" w:line="241"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 held company;</w:t>
      </w:r>
    </w:p>
    <w:p>
      <w:pPr>
        <w:spacing w:after="0" w:line="1"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ind w:left="740" w:hanging="359"/>
        <w:spacing w:after="0" w:line="234"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 as a board member of another publicly held company;</w:t>
      </w:r>
    </w:p>
    <w:p>
      <w:pPr>
        <w:ind w:left="740" w:hanging="359"/>
        <w:spacing w:after="0" w:line="234"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professional and academic experience relevant to our industry, operations, and target markets;</w:t>
      </w:r>
    </w:p>
    <w:p>
      <w:pPr>
        <w:ind w:left="740" w:right="420" w:hanging="359"/>
        <w:spacing w:after="0" w:line="234"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exercise mature business judgment, including, but not limited to, the ability to make independent analytical inquiries;</w:t>
      </w:r>
    </w:p>
    <w:p>
      <w:pPr>
        <w:spacing w:after="0" w:line="1"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leadership skills;</w:t>
      </w:r>
    </w:p>
    <w:p>
      <w:pPr>
        <w:ind w:left="740" w:hanging="359"/>
        <w:spacing w:after="0" w:line="234"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 in finance and accounting and/or executive compensation practices;</w:t>
      </w:r>
    </w:p>
    <w:p>
      <w:pPr>
        <w:ind w:left="740" w:right="160" w:hanging="359"/>
        <w:spacing w:after="0" w:line="234"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sufficiency of time for preparation, participation, and attendance at Board meetings and committee meetings; and</w:t>
      </w:r>
    </w:p>
    <w:p>
      <w:pPr>
        <w:spacing w:after="0" w:line="1" w:lineRule="exact"/>
        <w:rPr>
          <w:rFonts w:ascii="Arial" w:cs="Arial" w:eastAsia="Arial" w:hAnsi="Arial"/>
          <w:sz w:val="18"/>
          <w:szCs w:val="18"/>
          <w:color w:val="auto"/>
        </w:rPr>
      </w:pPr>
    </w:p>
    <w:p>
      <w:pPr>
        <w:ind w:left="740" w:right="120" w:hanging="359"/>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diversity of background and perspective, including, with respect to age, gender, race, and geographic background as well as diversity of expertise and experience in substantive matters pertaining to our business relative to other Board members.</w:t>
      </w:r>
    </w:p>
    <w:p>
      <w:pPr>
        <w:spacing w:after="0" w:line="164" w:lineRule="exact"/>
        <w:rPr>
          <w:sz w:val="20"/>
          <w:szCs w:val="20"/>
          <w:color w:val="auto"/>
        </w:rPr>
      </w:pPr>
    </w:p>
    <w:p>
      <w:pPr>
        <w:ind w:left="20" w:right="40"/>
        <w:spacing w:after="0" w:line="241" w:lineRule="auto"/>
        <w:rPr>
          <w:sz w:val="20"/>
          <w:szCs w:val="20"/>
          <w:color w:val="auto"/>
        </w:rPr>
      </w:pPr>
      <w:r>
        <w:rPr>
          <w:rFonts w:ascii="Arial" w:cs="Arial" w:eastAsia="Arial" w:hAnsi="Arial"/>
          <w:sz w:val="18"/>
          <w:szCs w:val="18"/>
          <w:color w:val="auto"/>
        </w:rPr>
        <w:t>To facilitate the search process for director candidates, the Nominating and ESG Committee may solicit our current directors and executives for the names of potentially qualified candidates or may ask directors and executives to pursue their own business contacts for the names of potentially qualified candidates. The Nominating and ESG Committee may also consult with outside advisors or retain search firms to assist in the search for qualified candidates, or consider director candidates recommended by our stockholders. Once</w:t>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2" w:lineRule="exact"/>
        <w:rPr>
          <w:sz w:val="20"/>
          <w:szCs w:val="20"/>
          <w:color w:val="auto"/>
        </w:rPr>
      </w:pPr>
    </w:p>
    <w:p>
      <w:pPr>
        <w:jc w:val="both"/>
        <w:ind w:left="20" w:right="100"/>
        <w:spacing w:after="0" w:line="247" w:lineRule="auto"/>
        <w:rPr>
          <w:sz w:val="20"/>
          <w:szCs w:val="20"/>
          <w:color w:val="auto"/>
        </w:rPr>
      </w:pPr>
      <w:r>
        <w:rPr>
          <w:rFonts w:ascii="Arial" w:cs="Arial" w:eastAsia="Arial" w:hAnsi="Arial"/>
          <w:sz w:val="18"/>
          <w:szCs w:val="18"/>
          <w:color w:val="auto"/>
        </w:rPr>
        <w:t>potential candidates are identified, the Nominating and ESG Committee reviews the backgrounds of those candidates, evaluates candidates’ independence from us and potential conflicts of interest, and determines if candidates meet the qualifications desired by the Nominating and ESG Committee of candidates for election as director.</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Stockholder Recommendations and Nominees</w:t>
      </w:r>
    </w:p>
    <w:p>
      <w:pPr>
        <w:spacing w:after="0" w:line="181" w:lineRule="exact"/>
        <w:rPr>
          <w:sz w:val="20"/>
          <w:szCs w:val="20"/>
          <w:color w:val="auto"/>
        </w:rPr>
      </w:pPr>
    </w:p>
    <w:p>
      <w:pPr>
        <w:ind w:left="20" w:right="40"/>
        <w:spacing w:after="0" w:line="237" w:lineRule="auto"/>
        <w:rPr>
          <w:sz w:val="20"/>
          <w:szCs w:val="20"/>
          <w:color w:val="auto"/>
        </w:rPr>
      </w:pPr>
      <w:r>
        <w:rPr>
          <w:rFonts w:ascii="Arial" w:cs="Arial" w:eastAsia="Arial" w:hAnsi="Arial"/>
          <w:sz w:val="18"/>
          <w:szCs w:val="18"/>
          <w:color w:val="auto"/>
        </w:rPr>
        <w:t>The Nominating and ESG Committee and/or the Board will consider stockholder recommendations, so long as they comply with applicable law, our Bylaws, and the procedures described below. Stockholder recommendations for candidates to the Board must be received in writing and emailed to corporatesecretary@renttherunway.com or sent to our headquarters, Rent the Runway, Inc., 10 Jay Street, Brooklyn, NY 11201, to the attention of our General Counsel and Secretary. The recommendation must be received sufficiently in advance of our consideration of our director nominees for the next annual meeting and must include the candidate’s name, home and business contact information, detailed biographical data and qualifications, information regarding any relationships between the candidate and RTR within the last three years, and evidence of the recommending person’s ownership of RTR stock. Recommendations must also include a statement from the recommending stockholder in support of the candidate that addresses the criteria for Board membership, personal references, and the consent of the candidate to serve.</w:t>
      </w:r>
    </w:p>
    <w:p>
      <w:pPr>
        <w:spacing w:after="0" w:line="157" w:lineRule="exact"/>
        <w:rPr>
          <w:sz w:val="20"/>
          <w:szCs w:val="20"/>
          <w:color w:val="auto"/>
        </w:rPr>
      </w:pPr>
    </w:p>
    <w:p>
      <w:pPr>
        <w:ind w:left="20" w:right="60"/>
        <w:spacing w:after="0" w:line="243" w:lineRule="auto"/>
        <w:rPr>
          <w:sz w:val="20"/>
          <w:szCs w:val="20"/>
          <w:color w:val="auto"/>
        </w:rPr>
      </w:pPr>
      <w:r>
        <w:rPr>
          <w:rFonts w:ascii="Arial" w:cs="Arial" w:eastAsia="Arial" w:hAnsi="Arial"/>
          <w:sz w:val="18"/>
          <w:szCs w:val="18"/>
          <w:color w:val="auto"/>
        </w:rPr>
        <w:t>The Nominating and ESG Committee and/or the Board will review the qualifications of any candidate recommended by stockholders in accordance with the criteria described above. In addition, in the Nominating and ESG Committee’s and/or the Board’s discretion, its review may include interviewing references, performing background checks, direct interviews with the candidate, or other actions it deems necessary or proper.</w:t>
      </w:r>
    </w:p>
    <w:p>
      <w:pPr>
        <w:spacing w:after="0" w:line="161" w:lineRule="exact"/>
        <w:rPr>
          <w:sz w:val="20"/>
          <w:szCs w:val="20"/>
          <w:color w:val="auto"/>
        </w:rPr>
      </w:pPr>
    </w:p>
    <w:p>
      <w:pPr>
        <w:ind w:left="20" w:right="740"/>
        <w:spacing w:after="0" w:line="260" w:lineRule="auto"/>
        <w:rPr>
          <w:sz w:val="20"/>
          <w:szCs w:val="20"/>
          <w:color w:val="auto"/>
        </w:rPr>
      </w:pPr>
      <w:r>
        <w:rPr>
          <w:rFonts w:ascii="Arial" w:cs="Arial" w:eastAsia="Arial" w:hAnsi="Arial"/>
          <w:sz w:val="18"/>
          <w:szCs w:val="18"/>
          <w:color w:val="auto"/>
        </w:rPr>
        <w:t>Stockholders may also nominate candidates for election to our Board by following the procedures described in “Additional Information – Stockholder Proposals” below.</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Stockholders Agreement</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connection with our IPO, we entered into a Stockholders Agreement (the “Stockholders Agreement”) between the</w:t>
      </w:r>
    </w:p>
    <w:p>
      <w:pPr>
        <w:spacing w:after="0" w:line="8" w:lineRule="exact"/>
        <w:rPr>
          <w:sz w:val="20"/>
          <w:szCs w:val="20"/>
          <w:color w:val="auto"/>
        </w:rPr>
      </w:pPr>
    </w:p>
    <w:p>
      <w:pPr>
        <w:ind w:left="20" w:firstLine="1"/>
        <w:spacing w:after="0" w:line="236" w:lineRule="auto"/>
        <w:tabs>
          <w:tab w:leader="none" w:pos="2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Company, (ii) Jennifer Y. Hyman, the Trust under Article Second UA dtd 9/19/2012 (the “2012 Trust”), the BS 2021 Family Trust (the “Family Trust”), the JYH 2021 Children’s Trust (the “Children’s Trust”, and, together with Jennifer Y. Hyman, the 2012 Trust and the Family Trust, the “Founder”), (iii) Bain Capital Venture Fund 2009, L.P. (“BCV Fund 2009”), BCIP Venture Associates (“BCIP Venture”) and BCIP Venture Associates-B (“BCIP Venture-B”, and, together with BCV Fund 2009 and BCIP Venture, the “Bain Capital Ventures Entities”), and (iv) Highland Capital Partners VIII Limited Partnership (“Highland Capital 8”), Highland Capital Partners VIII-B Limited Partnership (“Highland Capital 8-B”) and Highland Capital Partners VIII-C Limited Partnership (“Highland Capital 8-C” and, together with Highland Capital 8 and Highland Capital 8-B, the “Highland Entities”).</w:t>
      </w:r>
    </w:p>
    <w:p>
      <w:pPr>
        <w:spacing w:after="0" w:line="155" w:lineRule="exact"/>
        <w:rPr>
          <w:sz w:val="20"/>
          <w:szCs w:val="20"/>
          <w:color w:val="auto"/>
        </w:rPr>
      </w:pPr>
    </w:p>
    <w:p>
      <w:pPr>
        <w:ind w:left="20" w:right="180"/>
        <w:spacing w:after="0" w:line="260" w:lineRule="auto"/>
        <w:rPr>
          <w:sz w:val="20"/>
          <w:szCs w:val="20"/>
          <w:color w:val="auto"/>
        </w:rPr>
      </w:pPr>
      <w:r>
        <w:rPr>
          <w:rFonts w:ascii="Arial" w:cs="Arial" w:eastAsia="Arial" w:hAnsi="Arial"/>
          <w:sz w:val="18"/>
          <w:szCs w:val="18"/>
          <w:color w:val="auto"/>
        </w:rPr>
        <w:t>The Stockholders Agreement requires us to, among other things, nominate a number of individuals for election as our directors at any meeting of our stockholders, such that:</w:t>
      </w:r>
    </w:p>
    <w:p>
      <w:pPr>
        <w:spacing w:after="0" w:line="146" w:lineRule="exact"/>
        <w:rPr>
          <w:sz w:val="20"/>
          <w:szCs w:val="20"/>
          <w:color w:val="auto"/>
        </w:rPr>
      </w:pPr>
    </w:p>
    <w:p>
      <w:pPr>
        <w:jc w:val="both"/>
        <w:ind w:left="740" w:hanging="359"/>
        <w:spacing w:after="0" w:line="24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Bain Capital Ventures Entities are entitled to designate for nomination one director for so long as the Bain Capital Ventures Entities beneficially own, directly or indirectly, in the aggregate at least five percent (5%) of all issued and outstanding shares of Class A common stock;</w:t>
      </w:r>
    </w:p>
    <w:p>
      <w:pPr>
        <w:spacing w:after="0" w:line="143" w:lineRule="exact"/>
        <w:rPr>
          <w:rFonts w:ascii="Arial" w:cs="Arial" w:eastAsia="Arial" w:hAnsi="Arial"/>
          <w:sz w:val="18"/>
          <w:szCs w:val="18"/>
          <w:color w:val="auto"/>
        </w:rPr>
      </w:pPr>
    </w:p>
    <w:p>
      <w:pPr>
        <w:jc w:val="both"/>
        <w:ind w:left="740" w:right="80" w:hanging="359"/>
        <w:spacing w:after="0" w:line="24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Highland Entities are entitled to designate for nomination one director for so long as the Highland Entities beneficially own, directly or indirectly, in the aggregate at least five percent (5%) of all issued and outstanding shares of Class A common stock;</w:t>
      </w:r>
    </w:p>
    <w:p>
      <w:pPr>
        <w:spacing w:after="0" w:line="143" w:lineRule="exact"/>
        <w:rPr>
          <w:rFonts w:ascii="Arial" w:cs="Arial" w:eastAsia="Arial" w:hAnsi="Arial"/>
          <w:sz w:val="18"/>
          <w:szCs w:val="18"/>
          <w:color w:val="auto"/>
        </w:rPr>
      </w:pPr>
    </w:p>
    <w:p>
      <w:pPr>
        <w:ind w:left="740" w:right="280" w:hanging="359"/>
        <w:spacing w:after="0" w:line="243"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Founder is entitled to designate for nomination (i) nine directors for so long as the Founder beneficially owns, directly or indirectly, in the aggregate shares of Class A common stock and Class B common stock representing fifteen percent (15%) or more of the total voting power of all issued and outstanding shares of Class A common stock and Class B common stock and (ii) five directors for so long</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159385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2" w:lineRule="exact"/>
        <w:rPr>
          <w:sz w:val="20"/>
          <w:szCs w:val="20"/>
          <w:color w:val="auto"/>
        </w:rPr>
      </w:pPr>
    </w:p>
    <w:p>
      <w:pPr>
        <w:ind w:left="740" w:right="100"/>
        <w:spacing w:after="0" w:line="243" w:lineRule="auto"/>
        <w:rPr>
          <w:sz w:val="20"/>
          <w:szCs w:val="20"/>
          <w:color w:val="auto"/>
        </w:rPr>
      </w:pPr>
      <w:r>
        <w:rPr>
          <w:rFonts w:ascii="Arial" w:cs="Arial" w:eastAsia="Arial" w:hAnsi="Arial"/>
          <w:sz w:val="18"/>
          <w:szCs w:val="18"/>
          <w:color w:val="auto"/>
        </w:rPr>
        <w:t>as the Founder beneficially owns, directly or indirectly, in the aggregate shares of Class A common stock and Class B common stock representing less than fifteen percent (15%) but at least five percent (5%) or more of the total voting power of all issued and outstanding shares of Class A common stock and Class B common stock; and</w:t>
      </w:r>
    </w:p>
    <w:p>
      <w:pPr>
        <w:spacing w:after="0" w:line="161" w:lineRule="exact"/>
        <w:rPr>
          <w:sz w:val="20"/>
          <w:szCs w:val="20"/>
          <w:color w:val="auto"/>
        </w:rPr>
      </w:pPr>
    </w:p>
    <w:p>
      <w:pPr>
        <w:ind w:left="740" w:right="760" w:hanging="359"/>
        <w:spacing w:after="0" w:line="260"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Jennifer Hyman shall be nominated by the Board as a director for so long as she serves as the Chief Executive Officer of the Company (and she shall serve as one of the Founder’s director designees).</w:t>
      </w:r>
    </w:p>
    <w:p>
      <w:pPr>
        <w:spacing w:after="0" w:line="132" w:lineRule="exact"/>
        <w:rPr>
          <w:sz w:val="20"/>
          <w:szCs w:val="20"/>
          <w:color w:val="auto"/>
        </w:rPr>
      </w:pPr>
    </w:p>
    <w:p>
      <w:pPr>
        <w:ind w:left="20" w:right="260"/>
        <w:spacing w:after="0" w:line="239" w:lineRule="auto"/>
        <w:rPr>
          <w:sz w:val="20"/>
          <w:szCs w:val="20"/>
          <w:color w:val="auto"/>
        </w:rPr>
      </w:pPr>
      <w:r>
        <w:rPr>
          <w:rFonts w:ascii="Arial" w:cs="Arial" w:eastAsia="Arial" w:hAnsi="Arial"/>
          <w:sz w:val="18"/>
          <w:szCs w:val="18"/>
          <w:color w:val="auto"/>
        </w:rPr>
        <w:t>Each of the Bain Capital Ventures Entities, Highland Entities, and Founder has agreed, severally and not jointly, with the Company (and only with the Company), and the Company has agreed with each of the Bain Capital Ventures Entities, Highland Entities, and Founder, to vote, or cause to be voted, all of their outstanding shares of Class A common stock and/or Class B common stock, as applicable, at any annual or special meeting of stockholders of the Company at which directors are to be elected or removed in order to cause the election or removal of each of the designated directors.</w:t>
      </w:r>
    </w:p>
    <w:p>
      <w:pPr>
        <w:spacing w:after="0" w:line="154" w:lineRule="exact"/>
        <w:rPr>
          <w:sz w:val="20"/>
          <w:szCs w:val="20"/>
          <w:color w:val="auto"/>
        </w:rPr>
      </w:pPr>
    </w:p>
    <w:p>
      <w:pPr>
        <w:ind w:left="20" w:right="80"/>
        <w:spacing w:after="0" w:line="256" w:lineRule="auto"/>
        <w:rPr>
          <w:sz w:val="20"/>
          <w:szCs w:val="20"/>
          <w:color w:val="auto"/>
        </w:rPr>
      </w:pPr>
      <w:r>
        <w:rPr>
          <w:rFonts w:ascii="Arial" w:cs="Arial" w:eastAsia="Arial" w:hAnsi="Arial"/>
          <w:sz w:val="17"/>
          <w:szCs w:val="17"/>
          <w:color w:val="auto"/>
        </w:rPr>
        <w:t>Tim Bixby, Jennifer Fleiss, and Carley Roney have been designated by the Founder as Class I Directors; Melanie Harris and Mike Ross have been designated by the Founder as Class II Directors; and Jennifer Hyman, Beth Kaplan, and Gwyneth Paltrow have been designated by the Founder as Class III Directors, respectively. Scott Friend has been designated by the Bain Capital Ventures Entities as a Class II director and Dan Nova has been designated by the Highland Entities as a Class II director. As a result of the Stockholders Agreement and the aggregate voting power of the parties to the agreement, we expect that the parties to the agreement will control the election of directors at RTR.</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Communications with the Board</w:t>
      </w:r>
    </w:p>
    <w:p>
      <w:pPr>
        <w:spacing w:after="0" w:line="215"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Stockholders or other interested parties may contact the Board or one or more of our directors with issues or questions about RTR, by emailing corporatesecretary@renttherunway.com or mailing correspondence to our General Counsel and Secretary at our Brooklyn headquarters, Rent the Runway, Inc., 10 Jay Street, Brooklyn, NY 11201. Our legal team will review incoming communications directed to the Board and, if appropriate, will forward such communications to the appropriate member(s) of the Board or, if none is specified, to the chair of the Board. For example, we will generally not forward a communication that is primarily commercial in nature, is improper or irrelevant, or is a request for general information about RTR.</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5" w:right="121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Director Compensation</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discloses compensation received by our non-employee directors during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6035040" cy="3511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5040" cy="351155"/>
                    </a:xfrm>
                    <a:prstGeom prst="rect">
                      <a:avLst/>
                    </a:prstGeom>
                    <a:noFill/>
                  </pic:spPr>
                </pic:pic>
              </a:graphicData>
            </a:graphic>
          </wp:anchor>
        </w:drawing>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80" w:type="dxa"/>
            <w:vAlign w:val="bottom"/>
          </w:tcPr>
          <w:p>
            <w:pPr>
              <w:spacing w:after="0"/>
              <w:rPr>
                <w:sz w:val="20"/>
                <w:szCs w:val="20"/>
                <w:color w:val="auto"/>
              </w:rPr>
            </w:pPr>
            <w:r>
              <w:rPr>
                <w:rFonts w:ascii="Arial" w:cs="Arial" w:eastAsia="Arial" w:hAnsi="Arial"/>
                <w:sz w:val="4"/>
                <w:szCs w:val="4"/>
                <w:color w:val="auto"/>
              </w:rPr>
              <w:t>​</w:t>
            </w:r>
          </w:p>
        </w:tc>
        <w:tc>
          <w:tcPr>
            <w:tcW w:w="23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Director</w:t>
            </w:r>
          </w:p>
        </w:tc>
        <w:tc>
          <w:tcPr>
            <w:tcW w:w="1920" w:type="dxa"/>
            <w:vAlign w:val="bottom"/>
          </w:tcPr>
          <w:p>
            <w:pPr>
              <w:ind w:left="1740"/>
              <w:spacing w:after="0"/>
              <w:rPr>
                <w:sz w:val="20"/>
                <w:szCs w:val="20"/>
                <w:color w:val="auto"/>
              </w:rPr>
            </w:pPr>
            <w:r>
              <w:rPr>
                <w:rFonts w:ascii="Arial" w:cs="Arial" w:eastAsia="Arial" w:hAnsi="Arial"/>
                <w:sz w:val="4"/>
                <w:szCs w:val="4"/>
                <w:color w:val="auto"/>
              </w:rPr>
              <w:t>​</w:t>
            </w:r>
          </w:p>
        </w:tc>
        <w:tc>
          <w:tcPr>
            <w:tcW w:w="340" w:type="dxa"/>
            <w:vAlign w:val="bottom"/>
          </w:tcPr>
          <w:p>
            <w:pPr>
              <w:ind w:left="160"/>
              <w:spacing w:after="0"/>
              <w:rPr>
                <w:sz w:val="20"/>
                <w:szCs w:val="20"/>
                <w:color w:val="auto"/>
              </w:rPr>
            </w:pPr>
            <w:r>
              <w:rPr>
                <w:rFonts w:ascii="Arial" w:cs="Arial" w:eastAsia="Arial" w:hAnsi="Arial"/>
                <w:sz w:val="4"/>
                <w:szCs w:val="4"/>
                <w:color w:val="auto"/>
              </w:rPr>
              <w:t>​</w:t>
            </w:r>
          </w:p>
        </w:tc>
        <w:tc>
          <w:tcPr>
            <w:tcW w:w="1420" w:type="dxa"/>
            <w:vAlign w:val="bottom"/>
          </w:tcPr>
          <w:p>
            <w:pPr>
              <w:ind w:left="160"/>
              <w:spacing w:after="0"/>
              <w:rPr>
                <w:sz w:val="20"/>
                <w:szCs w:val="20"/>
                <w:color w:val="auto"/>
              </w:rPr>
            </w:pPr>
            <w:r>
              <w:rPr>
                <w:rFonts w:ascii="Arial" w:cs="Arial" w:eastAsia="Arial" w:hAnsi="Arial"/>
                <w:sz w:val="14"/>
                <w:szCs w:val="14"/>
                <w:b w:val="1"/>
                <w:bCs w:val="1"/>
                <w:color w:val="auto"/>
              </w:rPr>
              <w:t xml:space="preserve">Fees Earned or </w:t>
            </w:r>
            <w:r>
              <w:rPr>
                <w:rFonts w:ascii="Arial" w:cs="Arial" w:eastAsia="Arial" w:hAnsi="Arial"/>
                <w:sz w:val="7"/>
                <w:szCs w:val="7"/>
                <w:color w:val="auto"/>
                <w:vertAlign w:val="subscript"/>
              </w:rPr>
              <w:t>​</w:t>
            </w:r>
          </w:p>
        </w:tc>
        <w:tc>
          <w:tcPr>
            <w:tcW w:w="340" w:type="dxa"/>
            <w:vAlign w:val="bottom"/>
          </w:tcPr>
          <w:p>
            <w:pPr>
              <w:ind w:left="160"/>
              <w:spacing w:after="0"/>
              <w:rPr>
                <w:sz w:val="20"/>
                <w:szCs w:val="20"/>
                <w:color w:val="auto"/>
              </w:rPr>
            </w:pPr>
            <w:r>
              <w:rPr>
                <w:rFonts w:ascii="Arial" w:cs="Arial" w:eastAsia="Arial" w:hAnsi="Arial"/>
                <w:sz w:val="4"/>
                <w:szCs w:val="4"/>
                <w:color w:val="auto"/>
              </w:rPr>
              <w:t>​</w:t>
            </w: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20"/>
                <w:szCs w:val="20"/>
                <w:color w:val="auto"/>
              </w:rPr>
            </w:pPr>
            <w:r>
              <w:rPr>
                <w:rFonts w:ascii="Arial" w:cs="Arial" w:eastAsia="Arial" w:hAnsi="Arial"/>
                <w:sz w:val="4"/>
                <w:szCs w:val="4"/>
                <w:color w:val="auto"/>
              </w:rPr>
              <w:t>​</w:t>
            </w:r>
          </w:p>
        </w:tc>
        <w:tc>
          <w:tcPr>
            <w:tcW w:w="340" w:type="dxa"/>
            <w:vAlign w:val="bottom"/>
          </w:tcPr>
          <w:p>
            <w:pPr>
              <w:ind w:left="160"/>
              <w:spacing w:after="0"/>
              <w:rPr>
                <w:sz w:val="20"/>
                <w:szCs w:val="20"/>
                <w:color w:val="auto"/>
              </w:rPr>
            </w:pPr>
            <w:r>
              <w:rPr>
                <w:rFonts w:ascii="Arial" w:cs="Arial" w:eastAsia="Arial" w:hAnsi="Arial"/>
                <w:sz w:val="4"/>
                <w:szCs w:val="4"/>
                <w:color w:val="auto"/>
              </w:rPr>
              <w:t>​</w:t>
            </w:r>
          </w:p>
        </w:tc>
        <w:tc>
          <w:tcPr>
            <w:tcW w:w="1380" w:type="dxa"/>
            <w:vAlign w:val="bottom"/>
          </w:tcPr>
          <w:p>
            <w:pPr>
              <w:ind w:left="1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236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Paid in Cash ($)</w:t>
            </w:r>
          </w:p>
        </w:tc>
        <w:tc>
          <w:tcPr>
            <w:tcW w:w="340" w:type="dxa"/>
            <w:vAlign w:val="bottom"/>
          </w:tcPr>
          <w:p>
            <w:pPr>
              <w:spacing w:after="0"/>
              <w:rPr>
                <w:sz w:val="11"/>
                <w:szCs w:val="11"/>
                <w:color w:val="auto"/>
              </w:rPr>
            </w:pPr>
          </w:p>
        </w:tc>
        <w:tc>
          <w:tcPr>
            <w:tcW w:w="104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95"/>
              </w:rPr>
              <w:t>Awards ($)</w:t>
            </w:r>
            <w:r>
              <w:rPr>
                <w:rFonts w:ascii="Arial" w:cs="Arial" w:eastAsia="Arial" w:hAnsi="Arial"/>
                <w:sz w:val="23"/>
                <w:szCs w:val="23"/>
                <w:b w:val="1"/>
                <w:bCs w:val="1"/>
                <w:color w:val="auto"/>
                <w:w w:val="95"/>
                <w:vertAlign w:val="superscript"/>
              </w:rPr>
              <w:t>(1)</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Compensation ($)</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ectPr>
          <w:pgSz w:w="11900" w:h="16838" w:orient="portrait"/>
          <w:cols w:equalWidth="0" w:num="1">
            <w:col w:w="9520"/>
          </w:cols>
          <w:pgMar w:left="1180" w:top="265" w:right="1199" w:bottom="1440" w:gutter="0" w:footer="0" w:header="0"/>
        </w:sectPr>
      </w:pPr>
    </w:p>
    <w:p>
      <w:pPr>
        <w:ind w:left="180"/>
        <w:spacing w:after="0"/>
        <w:rPr>
          <w:sz w:val="20"/>
          <w:szCs w:val="20"/>
          <w:color w:val="auto"/>
        </w:rPr>
      </w:pPr>
      <w:r>
        <w:rPr>
          <w:rFonts w:ascii="Arial" w:cs="Arial" w:eastAsia="Arial" w:hAnsi="Arial"/>
          <w:sz w:val="14"/>
          <w:szCs w:val="14"/>
          <w:color w:val="auto"/>
        </w:rPr>
        <w:t>Tim Bixby</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Jennifer Fleiss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Scott Friend</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Melanie Harris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Beth Kaplan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80" w:type="dxa"/>
            <w:vAlign w:val="bottom"/>
          </w:tcPr>
          <w:p>
            <w:pPr>
              <w:spacing w:after="0"/>
              <w:rPr>
                <w:sz w:val="20"/>
                <w:szCs w:val="20"/>
                <w:color w:val="auto"/>
              </w:rPr>
            </w:pPr>
            <w:r>
              <w:rPr>
                <w:rFonts w:ascii="Arial" w:cs="Arial" w:eastAsia="Arial" w:hAnsi="Arial"/>
                <w:sz w:val="4"/>
                <w:szCs w:val="4"/>
                <w:color w:val="auto"/>
              </w:rPr>
              <w:t>​</w:t>
            </w:r>
          </w:p>
        </w:tc>
        <w:tc>
          <w:tcPr>
            <w:tcW w:w="660" w:type="dxa"/>
            <w:vAlign w:val="bottom"/>
          </w:tcPr>
          <w:p>
            <w:pPr>
              <w:ind w:left="160"/>
              <w:spacing w:after="0"/>
              <w:rPr>
                <w:sz w:val="20"/>
                <w:szCs w:val="20"/>
                <w:color w:val="auto"/>
              </w:rPr>
            </w:pPr>
            <w:r>
              <w:rPr>
                <w:rFonts w:ascii="Arial" w:cs="Arial" w:eastAsia="Arial" w:hAnsi="Arial"/>
                <w:sz w:val="4"/>
                <w:szCs w:val="4"/>
                <w:color w:val="auto"/>
              </w:rPr>
              <w:t>​</w:t>
            </w:r>
          </w:p>
        </w:tc>
        <w:tc>
          <w:tcPr>
            <w:tcW w:w="1100" w:type="dxa"/>
            <w:vAlign w:val="bottom"/>
          </w:tcPr>
          <w:p>
            <w:pPr>
              <w:ind w:left="480"/>
              <w:spacing w:after="0"/>
              <w:rPr>
                <w:sz w:val="20"/>
                <w:szCs w:val="20"/>
                <w:color w:val="auto"/>
              </w:rPr>
            </w:pPr>
            <w:r>
              <w:rPr>
                <w:rFonts w:ascii="Arial" w:cs="Arial" w:eastAsia="Arial" w:hAnsi="Arial"/>
                <w:sz w:val="14"/>
                <w:szCs w:val="14"/>
                <w:color w:val="auto"/>
              </w:rPr>
              <w:t>30,000</w:t>
            </w:r>
            <w:r>
              <w:rPr>
                <w:rFonts w:ascii="Arial" w:cs="Arial" w:eastAsia="Arial" w:hAnsi="Arial"/>
                <w:sz w:val="3"/>
                <w:szCs w:val="3"/>
                <w:color w:val="auto"/>
              </w:rPr>
              <w:t>​</w:t>
            </w:r>
          </w:p>
        </w:tc>
        <w:tc>
          <w:tcPr>
            <w:tcW w:w="560" w:type="dxa"/>
            <w:vAlign w:val="bottom"/>
          </w:tcPr>
          <w:p>
            <w:pPr>
              <w:ind w:left="160"/>
              <w:spacing w:after="0"/>
              <w:rPr>
                <w:sz w:val="20"/>
                <w:szCs w:val="20"/>
                <w:color w:val="auto"/>
              </w:rPr>
            </w:pPr>
            <w:r>
              <w:rPr>
                <w:rFonts w:ascii="Arial" w:cs="Arial" w:eastAsia="Arial" w:hAnsi="Arial"/>
                <w:sz w:val="4"/>
                <w:szCs w:val="4"/>
                <w:color w:val="auto"/>
              </w:rPr>
              <w:t>​</w:t>
            </w:r>
          </w:p>
        </w:tc>
        <w:tc>
          <w:tcPr>
            <w:tcW w:w="1000" w:type="dxa"/>
            <w:vAlign w:val="bottom"/>
          </w:tcPr>
          <w:p>
            <w:pPr>
              <w:ind w:left="380"/>
              <w:spacing w:after="0"/>
              <w:rPr>
                <w:sz w:val="20"/>
                <w:szCs w:val="20"/>
                <w:color w:val="auto"/>
              </w:rPr>
            </w:pPr>
            <w:r>
              <w:rPr>
                <w:rFonts w:ascii="Arial" w:cs="Arial" w:eastAsia="Arial" w:hAnsi="Arial"/>
                <w:sz w:val="14"/>
                <w:szCs w:val="14"/>
                <w:color w:val="auto"/>
              </w:rPr>
              <w:t>52,391</w:t>
            </w:r>
            <w:r>
              <w:rPr>
                <w:rFonts w:ascii="Arial" w:cs="Arial" w:eastAsia="Arial" w:hAnsi="Arial"/>
                <w:sz w:val="3"/>
                <w:szCs w:val="3"/>
                <w:color w:val="auto"/>
              </w:rPr>
              <w:t>​</w:t>
            </w:r>
          </w:p>
        </w:tc>
        <w:tc>
          <w:tcPr>
            <w:tcW w:w="720" w:type="dxa"/>
            <w:vAlign w:val="bottom"/>
          </w:tcPr>
          <w:p>
            <w:pPr>
              <w:ind w:left="160"/>
              <w:spacing w:after="0"/>
              <w:rPr>
                <w:sz w:val="20"/>
                <w:szCs w:val="20"/>
                <w:color w:val="auto"/>
              </w:rPr>
            </w:pPr>
            <w:r>
              <w:rPr>
                <w:rFonts w:ascii="Arial" w:cs="Arial" w:eastAsia="Arial" w:hAnsi="Arial"/>
                <w:sz w:val="4"/>
                <w:szCs w:val="4"/>
                <w:color w:val="auto"/>
              </w:rPr>
              <w:t>​</w:t>
            </w:r>
          </w:p>
        </w:tc>
        <w:tc>
          <w:tcPr>
            <w:tcW w:w="1000" w:type="dxa"/>
            <w:vAlign w:val="bottom"/>
          </w:tcPr>
          <w:p>
            <w:pPr>
              <w:ind w:left="560"/>
              <w:spacing w:after="0"/>
              <w:rPr>
                <w:sz w:val="20"/>
                <w:szCs w:val="20"/>
                <w:color w:val="auto"/>
              </w:rPr>
            </w:pPr>
            <w:r>
              <w:rPr>
                <w:rFonts w:ascii="Arial" w:cs="Arial" w:eastAsia="Arial" w:hAnsi="Arial"/>
                <w:sz w:val="14"/>
                <w:szCs w:val="14"/>
                <w:color w:val="auto"/>
                <w:w w:val="97"/>
              </w:rPr>
              <w:t>82,391</w:t>
            </w:r>
            <w:r>
              <w:rPr>
                <w:rFonts w:ascii="Arial" w:cs="Arial" w:eastAsia="Arial" w:hAnsi="Arial"/>
                <w:sz w:val="3"/>
                <w:szCs w:val="3"/>
                <w:color w:val="auto"/>
                <w:w w:val="97"/>
              </w:rPr>
              <w:t>​</w:t>
            </w:r>
          </w:p>
        </w:tc>
      </w:tr>
      <w:tr>
        <w:trPr>
          <w:trHeight w:val="405"/>
        </w:trPr>
        <w:tc>
          <w:tcPr>
            <w:tcW w:w="180" w:type="dxa"/>
            <w:vAlign w:val="bottom"/>
          </w:tcPr>
          <w:p>
            <w:pPr>
              <w:spacing w:after="0"/>
              <w:rPr>
                <w:sz w:val="20"/>
                <w:szCs w:val="20"/>
                <w:color w:val="auto"/>
              </w:rPr>
            </w:pPr>
            <w:r>
              <w:rPr>
                <w:rFonts w:ascii="Arial" w:cs="Arial" w:eastAsia="Arial" w:hAnsi="Arial"/>
                <w:sz w:val="4"/>
                <w:szCs w:val="4"/>
                <w:color w:val="auto"/>
              </w:rPr>
              <w:t>​</w:t>
            </w:r>
          </w:p>
        </w:tc>
        <w:tc>
          <w:tcPr>
            <w:tcW w:w="660" w:type="dxa"/>
            <w:vAlign w:val="bottom"/>
          </w:tcPr>
          <w:p>
            <w:pPr>
              <w:ind w:left="160"/>
              <w:spacing w:after="0"/>
              <w:rPr>
                <w:sz w:val="20"/>
                <w:szCs w:val="20"/>
                <w:color w:val="auto"/>
              </w:rPr>
            </w:pPr>
            <w:r>
              <w:rPr>
                <w:rFonts w:ascii="Arial" w:cs="Arial" w:eastAsia="Arial" w:hAnsi="Arial"/>
                <w:sz w:val="4"/>
                <w:szCs w:val="4"/>
                <w:color w:val="auto"/>
              </w:rPr>
              <w:t>​</w:t>
            </w:r>
          </w:p>
        </w:tc>
        <w:tc>
          <w:tcPr>
            <w:tcW w:w="1100" w:type="dxa"/>
            <w:vAlign w:val="bottom"/>
          </w:tcPr>
          <w:p>
            <w:pPr>
              <w:ind w:left="480"/>
              <w:spacing w:after="0"/>
              <w:rPr>
                <w:sz w:val="20"/>
                <w:szCs w:val="20"/>
                <w:color w:val="auto"/>
              </w:rPr>
            </w:pPr>
            <w:r>
              <w:rPr>
                <w:rFonts w:ascii="Arial" w:cs="Arial" w:eastAsia="Arial" w:hAnsi="Arial"/>
                <w:sz w:val="14"/>
                <w:szCs w:val="14"/>
                <w:color w:val="auto"/>
              </w:rPr>
              <w:t>22,000</w:t>
            </w:r>
            <w:r>
              <w:rPr>
                <w:rFonts w:ascii="Arial" w:cs="Arial" w:eastAsia="Arial" w:hAnsi="Arial"/>
                <w:sz w:val="3"/>
                <w:szCs w:val="3"/>
                <w:color w:val="auto"/>
              </w:rPr>
              <w:t>​</w:t>
            </w:r>
          </w:p>
        </w:tc>
        <w:tc>
          <w:tcPr>
            <w:tcW w:w="560" w:type="dxa"/>
            <w:vAlign w:val="bottom"/>
          </w:tcPr>
          <w:p>
            <w:pPr>
              <w:ind w:left="160"/>
              <w:spacing w:after="0"/>
              <w:rPr>
                <w:sz w:val="20"/>
                <w:szCs w:val="20"/>
                <w:color w:val="auto"/>
              </w:rPr>
            </w:pPr>
            <w:r>
              <w:rPr>
                <w:rFonts w:ascii="Arial" w:cs="Arial" w:eastAsia="Arial" w:hAnsi="Arial"/>
                <w:sz w:val="4"/>
                <w:szCs w:val="4"/>
                <w:color w:val="auto"/>
              </w:rPr>
              <w:t>​</w:t>
            </w:r>
          </w:p>
        </w:tc>
        <w:tc>
          <w:tcPr>
            <w:tcW w:w="1000" w:type="dxa"/>
            <w:vAlign w:val="bottom"/>
          </w:tcPr>
          <w:p>
            <w:pPr>
              <w:ind w:left="380"/>
              <w:spacing w:after="0"/>
              <w:rPr>
                <w:sz w:val="20"/>
                <w:szCs w:val="20"/>
                <w:color w:val="auto"/>
              </w:rPr>
            </w:pPr>
            <w:r>
              <w:rPr>
                <w:rFonts w:ascii="Arial" w:cs="Arial" w:eastAsia="Arial" w:hAnsi="Arial"/>
                <w:sz w:val="14"/>
                <w:szCs w:val="14"/>
                <w:color w:val="auto"/>
              </w:rPr>
              <w:t>52,391</w:t>
            </w:r>
            <w:r>
              <w:rPr>
                <w:rFonts w:ascii="Arial" w:cs="Arial" w:eastAsia="Arial" w:hAnsi="Arial"/>
                <w:sz w:val="3"/>
                <w:szCs w:val="3"/>
                <w:color w:val="auto"/>
              </w:rPr>
              <w:t>​</w:t>
            </w:r>
          </w:p>
        </w:tc>
        <w:tc>
          <w:tcPr>
            <w:tcW w:w="720" w:type="dxa"/>
            <w:vAlign w:val="bottom"/>
          </w:tcPr>
          <w:p>
            <w:pPr>
              <w:ind w:left="160"/>
              <w:spacing w:after="0"/>
              <w:rPr>
                <w:sz w:val="20"/>
                <w:szCs w:val="20"/>
                <w:color w:val="auto"/>
              </w:rPr>
            </w:pPr>
            <w:r>
              <w:rPr>
                <w:rFonts w:ascii="Arial" w:cs="Arial" w:eastAsia="Arial" w:hAnsi="Arial"/>
                <w:sz w:val="4"/>
                <w:szCs w:val="4"/>
                <w:color w:val="auto"/>
              </w:rPr>
              <w:t>​</w:t>
            </w:r>
          </w:p>
        </w:tc>
        <w:tc>
          <w:tcPr>
            <w:tcW w:w="1000" w:type="dxa"/>
            <w:vAlign w:val="bottom"/>
          </w:tcPr>
          <w:p>
            <w:pPr>
              <w:ind w:left="560"/>
              <w:spacing w:after="0"/>
              <w:rPr>
                <w:sz w:val="20"/>
                <w:szCs w:val="20"/>
                <w:color w:val="auto"/>
              </w:rPr>
            </w:pPr>
            <w:r>
              <w:rPr>
                <w:rFonts w:ascii="Arial" w:cs="Arial" w:eastAsia="Arial" w:hAnsi="Arial"/>
                <w:sz w:val="14"/>
                <w:szCs w:val="14"/>
                <w:color w:val="auto"/>
                <w:w w:val="97"/>
              </w:rPr>
              <w:t>74,391</w:t>
            </w:r>
            <w:r>
              <w:rPr>
                <w:rFonts w:ascii="Arial" w:cs="Arial" w:eastAsia="Arial" w:hAnsi="Arial"/>
                <w:sz w:val="3"/>
                <w:szCs w:val="3"/>
                <w:color w:val="auto"/>
                <w:w w:val="97"/>
              </w:rPr>
              <w:t>​</w:t>
            </w:r>
          </w:p>
        </w:tc>
      </w:tr>
      <w:tr>
        <w:trPr>
          <w:trHeight w:val="392"/>
        </w:trPr>
        <w:tc>
          <w:tcPr>
            <w:tcW w:w="180" w:type="dxa"/>
            <w:vAlign w:val="bottom"/>
          </w:tcPr>
          <w:p>
            <w:pPr>
              <w:spacing w:after="0"/>
              <w:rPr>
                <w:sz w:val="20"/>
                <w:szCs w:val="20"/>
                <w:color w:val="auto"/>
              </w:rPr>
            </w:pPr>
            <w:r>
              <w:rPr>
                <w:rFonts w:ascii="Arial" w:cs="Arial" w:eastAsia="Arial" w:hAnsi="Arial"/>
                <w:sz w:val="4"/>
                <w:szCs w:val="4"/>
                <w:color w:val="auto"/>
              </w:rPr>
              <w:t>​</w:t>
            </w:r>
          </w:p>
        </w:tc>
        <w:tc>
          <w:tcPr>
            <w:tcW w:w="660" w:type="dxa"/>
            <w:vAlign w:val="bottom"/>
          </w:tcPr>
          <w:p>
            <w:pPr>
              <w:ind w:left="160"/>
              <w:spacing w:after="0"/>
              <w:rPr>
                <w:sz w:val="20"/>
                <w:szCs w:val="20"/>
                <w:color w:val="auto"/>
              </w:rPr>
            </w:pPr>
            <w:r>
              <w:rPr>
                <w:rFonts w:ascii="Arial" w:cs="Arial" w:eastAsia="Arial" w:hAnsi="Arial"/>
                <w:sz w:val="4"/>
                <w:szCs w:val="4"/>
                <w:color w:val="auto"/>
              </w:rPr>
              <w:t>​</w:t>
            </w:r>
          </w:p>
        </w:tc>
        <w:tc>
          <w:tcPr>
            <w:tcW w:w="1100" w:type="dxa"/>
            <w:vAlign w:val="bottom"/>
          </w:tcPr>
          <w:p>
            <w:pPr>
              <w:ind w:left="480"/>
              <w:spacing w:after="0"/>
              <w:rPr>
                <w:sz w:val="20"/>
                <w:szCs w:val="20"/>
                <w:color w:val="auto"/>
              </w:rPr>
            </w:pPr>
            <w:r>
              <w:rPr>
                <w:rFonts w:ascii="Arial" w:cs="Arial" w:eastAsia="Arial" w:hAnsi="Arial"/>
                <w:sz w:val="14"/>
                <w:szCs w:val="14"/>
                <w:color w:val="auto"/>
              </w:rPr>
              <w:t>30,750</w:t>
            </w:r>
            <w:r>
              <w:rPr>
                <w:rFonts w:ascii="Arial" w:cs="Arial" w:eastAsia="Arial" w:hAnsi="Arial"/>
                <w:sz w:val="3"/>
                <w:szCs w:val="3"/>
                <w:color w:val="auto"/>
              </w:rPr>
              <w:t>​</w:t>
            </w:r>
          </w:p>
        </w:tc>
        <w:tc>
          <w:tcPr>
            <w:tcW w:w="560" w:type="dxa"/>
            <w:vAlign w:val="bottom"/>
          </w:tcPr>
          <w:p>
            <w:pPr>
              <w:ind w:left="160"/>
              <w:spacing w:after="0"/>
              <w:rPr>
                <w:sz w:val="20"/>
                <w:szCs w:val="20"/>
                <w:color w:val="auto"/>
              </w:rPr>
            </w:pPr>
            <w:r>
              <w:rPr>
                <w:rFonts w:ascii="Arial" w:cs="Arial" w:eastAsia="Arial" w:hAnsi="Arial"/>
                <w:sz w:val="4"/>
                <w:szCs w:val="4"/>
                <w:color w:val="auto"/>
              </w:rPr>
              <w:t>​</w:t>
            </w:r>
          </w:p>
        </w:tc>
        <w:tc>
          <w:tcPr>
            <w:tcW w:w="1000" w:type="dxa"/>
            <w:vAlign w:val="bottom"/>
          </w:tcPr>
          <w:p>
            <w:pPr>
              <w:ind w:left="380"/>
              <w:spacing w:after="0"/>
              <w:rPr>
                <w:sz w:val="20"/>
                <w:szCs w:val="20"/>
                <w:color w:val="auto"/>
              </w:rPr>
            </w:pPr>
            <w:r>
              <w:rPr>
                <w:rFonts w:ascii="Arial" w:cs="Arial" w:eastAsia="Arial" w:hAnsi="Arial"/>
                <w:sz w:val="14"/>
                <w:szCs w:val="14"/>
                <w:color w:val="auto"/>
              </w:rPr>
              <w:t>52,391</w:t>
            </w:r>
            <w:r>
              <w:rPr>
                <w:rFonts w:ascii="Arial" w:cs="Arial" w:eastAsia="Arial" w:hAnsi="Arial"/>
                <w:sz w:val="3"/>
                <w:szCs w:val="3"/>
                <w:color w:val="auto"/>
              </w:rPr>
              <w:t>​</w:t>
            </w:r>
          </w:p>
        </w:tc>
        <w:tc>
          <w:tcPr>
            <w:tcW w:w="720" w:type="dxa"/>
            <w:vAlign w:val="bottom"/>
          </w:tcPr>
          <w:p>
            <w:pPr>
              <w:ind w:left="160"/>
              <w:spacing w:after="0"/>
              <w:rPr>
                <w:sz w:val="20"/>
                <w:szCs w:val="20"/>
                <w:color w:val="auto"/>
              </w:rPr>
            </w:pPr>
            <w:r>
              <w:rPr>
                <w:rFonts w:ascii="Arial" w:cs="Arial" w:eastAsia="Arial" w:hAnsi="Arial"/>
                <w:sz w:val="4"/>
                <w:szCs w:val="4"/>
                <w:color w:val="auto"/>
              </w:rPr>
              <w:t>​</w:t>
            </w:r>
          </w:p>
        </w:tc>
        <w:tc>
          <w:tcPr>
            <w:tcW w:w="1000" w:type="dxa"/>
            <w:vAlign w:val="bottom"/>
          </w:tcPr>
          <w:p>
            <w:pPr>
              <w:ind w:left="560"/>
              <w:spacing w:after="0"/>
              <w:rPr>
                <w:sz w:val="20"/>
                <w:szCs w:val="20"/>
                <w:color w:val="auto"/>
              </w:rPr>
            </w:pPr>
            <w:r>
              <w:rPr>
                <w:rFonts w:ascii="Arial" w:cs="Arial" w:eastAsia="Arial" w:hAnsi="Arial"/>
                <w:sz w:val="14"/>
                <w:szCs w:val="14"/>
                <w:color w:val="auto"/>
                <w:w w:val="97"/>
              </w:rPr>
              <w:t>83,141</w:t>
            </w:r>
            <w:r>
              <w:rPr>
                <w:rFonts w:ascii="Arial" w:cs="Arial" w:eastAsia="Arial" w:hAnsi="Arial"/>
                <w:sz w:val="3"/>
                <w:szCs w:val="3"/>
                <w:color w:val="auto"/>
                <w:w w:val="97"/>
              </w:rPr>
              <w:t>​</w:t>
            </w:r>
          </w:p>
        </w:tc>
      </w:tr>
      <w:tr>
        <w:trPr>
          <w:trHeight w:val="405"/>
        </w:trPr>
        <w:tc>
          <w:tcPr>
            <w:tcW w:w="180" w:type="dxa"/>
            <w:vAlign w:val="bottom"/>
          </w:tcPr>
          <w:p>
            <w:pPr>
              <w:spacing w:after="0"/>
              <w:rPr>
                <w:sz w:val="20"/>
                <w:szCs w:val="20"/>
                <w:color w:val="auto"/>
              </w:rPr>
            </w:pPr>
            <w:r>
              <w:rPr>
                <w:rFonts w:ascii="Arial" w:cs="Arial" w:eastAsia="Arial" w:hAnsi="Arial"/>
                <w:sz w:val="4"/>
                <w:szCs w:val="4"/>
                <w:color w:val="auto"/>
              </w:rPr>
              <w:t>​</w:t>
            </w:r>
          </w:p>
        </w:tc>
        <w:tc>
          <w:tcPr>
            <w:tcW w:w="660" w:type="dxa"/>
            <w:vAlign w:val="bottom"/>
          </w:tcPr>
          <w:p>
            <w:pPr>
              <w:ind w:left="160"/>
              <w:spacing w:after="0"/>
              <w:rPr>
                <w:sz w:val="20"/>
                <w:szCs w:val="20"/>
                <w:color w:val="auto"/>
              </w:rPr>
            </w:pPr>
            <w:r>
              <w:rPr>
                <w:rFonts w:ascii="Arial" w:cs="Arial" w:eastAsia="Arial" w:hAnsi="Arial"/>
                <w:sz w:val="4"/>
                <w:szCs w:val="4"/>
                <w:color w:val="auto"/>
              </w:rPr>
              <w:t>​</w:t>
            </w:r>
          </w:p>
        </w:tc>
        <w:tc>
          <w:tcPr>
            <w:tcW w:w="1100" w:type="dxa"/>
            <w:vAlign w:val="bottom"/>
          </w:tcPr>
          <w:p>
            <w:pPr>
              <w:ind w:left="480"/>
              <w:spacing w:after="0"/>
              <w:rPr>
                <w:sz w:val="20"/>
                <w:szCs w:val="20"/>
                <w:color w:val="auto"/>
              </w:rPr>
            </w:pPr>
            <w:r>
              <w:rPr>
                <w:rFonts w:ascii="Arial" w:cs="Arial" w:eastAsia="Arial" w:hAnsi="Arial"/>
                <w:sz w:val="14"/>
                <w:szCs w:val="14"/>
                <w:color w:val="auto"/>
              </w:rPr>
              <w:t>25,000</w:t>
            </w:r>
            <w:r>
              <w:rPr>
                <w:rFonts w:ascii="Arial" w:cs="Arial" w:eastAsia="Arial" w:hAnsi="Arial"/>
                <w:sz w:val="3"/>
                <w:szCs w:val="3"/>
                <w:color w:val="auto"/>
              </w:rPr>
              <w:t>​</w:t>
            </w:r>
          </w:p>
        </w:tc>
        <w:tc>
          <w:tcPr>
            <w:tcW w:w="560" w:type="dxa"/>
            <w:vAlign w:val="bottom"/>
          </w:tcPr>
          <w:p>
            <w:pPr>
              <w:ind w:left="160"/>
              <w:spacing w:after="0"/>
              <w:rPr>
                <w:sz w:val="20"/>
                <w:szCs w:val="20"/>
                <w:color w:val="auto"/>
              </w:rPr>
            </w:pPr>
            <w:r>
              <w:rPr>
                <w:rFonts w:ascii="Arial" w:cs="Arial" w:eastAsia="Arial" w:hAnsi="Arial"/>
                <w:sz w:val="4"/>
                <w:szCs w:val="4"/>
                <w:color w:val="auto"/>
              </w:rPr>
              <w:t>​</w:t>
            </w:r>
          </w:p>
        </w:tc>
        <w:tc>
          <w:tcPr>
            <w:tcW w:w="1000" w:type="dxa"/>
            <w:vAlign w:val="bottom"/>
          </w:tcPr>
          <w:p>
            <w:pPr>
              <w:ind w:left="380"/>
              <w:spacing w:after="0"/>
              <w:rPr>
                <w:sz w:val="20"/>
                <w:szCs w:val="20"/>
                <w:color w:val="auto"/>
              </w:rPr>
            </w:pPr>
            <w:r>
              <w:rPr>
                <w:rFonts w:ascii="Arial" w:cs="Arial" w:eastAsia="Arial" w:hAnsi="Arial"/>
                <w:sz w:val="14"/>
                <w:szCs w:val="14"/>
                <w:color w:val="auto"/>
              </w:rPr>
              <w:t>52,391</w:t>
            </w:r>
            <w:r>
              <w:rPr>
                <w:rFonts w:ascii="Arial" w:cs="Arial" w:eastAsia="Arial" w:hAnsi="Arial"/>
                <w:sz w:val="3"/>
                <w:szCs w:val="3"/>
                <w:color w:val="auto"/>
              </w:rPr>
              <w:t>​</w:t>
            </w:r>
          </w:p>
        </w:tc>
        <w:tc>
          <w:tcPr>
            <w:tcW w:w="720" w:type="dxa"/>
            <w:vAlign w:val="bottom"/>
          </w:tcPr>
          <w:p>
            <w:pPr>
              <w:ind w:left="160"/>
              <w:spacing w:after="0"/>
              <w:rPr>
                <w:sz w:val="20"/>
                <w:szCs w:val="20"/>
                <w:color w:val="auto"/>
              </w:rPr>
            </w:pPr>
            <w:r>
              <w:rPr>
                <w:rFonts w:ascii="Arial" w:cs="Arial" w:eastAsia="Arial" w:hAnsi="Arial"/>
                <w:sz w:val="4"/>
                <w:szCs w:val="4"/>
                <w:color w:val="auto"/>
              </w:rPr>
              <w:t>​</w:t>
            </w:r>
          </w:p>
        </w:tc>
        <w:tc>
          <w:tcPr>
            <w:tcW w:w="1000" w:type="dxa"/>
            <w:vAlign w:val="bottom"/>
          </w:tcPr>
          <w:p>
            <w:pPr>
              <w:ind w:left="560"/>
              <w:spacing w:after="0"/>
              <w:rPr>
                <w:sz w:val="20"/>
                <w:szCs w:val="20"/>
                <w:color w:val="auto"/>
              </w:rPr>
            </w:pPr>
            <w:r>
              <w:rPr>
                <w:rFonts w:ascii="Arial" w:cs="Arial" w:eastAsia="Arial" w:hAnsi="Arial"/>
                <w:sz w:val="14"/>
                <w:szCs w:val="14"/>
                <w:color w:val="auto"/>
                <w:w w:val="97"/>
              </w:rPr>
              <w:t>77,391</w:t>
            </w:r>
            <w:r>
              <w:rPr>
                <w:rFonts w:ascii="Arial" w:cs="Arial" w:eastAsia="Arial" w:hAnsi="Arial"/>
                <w:sz w:val="3"/>
                <w:szCs w:val="3"/>
                <w:color w:val="auto"/>
                <w:w w:val="97"/>
              </w:rPr>
              <w:t>​</w:t>
            </w:r>
          </w:p>
        </w:tc>
      </w:tr>
      <w:tr>
        <w:trPr>
          <w:trHeight w:val="405"/>
        </w:trPr>
        <w:tc>
          <w:tcPr>
            <w:tcW w:w="180" w:type="dxa"/>
            <w:vAlign w:val="bottom"/>
          </w:tcPr>
          <w:p>
            <w:pPr>
              <w:spacing w:after="0"/>
              <w:rPr>
                <w:sz w:val="20"/>
                <w:szCs w:val="20"/>
                <w:color w:val="auto"/>
              </w:rPr>
            </w:pPr>
            <w:r>
              <w:rPr>
                <w:rFonts w:ascii="Arial" w:cs="Arial" w:eastAsia="Arial" w:hAnsi="Arial"/>
                <w:sz w:val="4"/>
                <w:szCs w:val="4"/>
                <w:color w:val="auto"/>
              </w:rPr>
              <w:t>​</w:t>
            </w:r>
          </w:p>
        </w:tc>
        <w:tc>
          <w:tcPr>
            <w:tcW w:w="660" w:type="dxa"/>
            <w:vAlign w:val="bottom"/>
          </w:tcPr>
          <w:p>
            <w:pPr>
              <w:ind w:left="160"/>
              <w:spacing w:after="0"/>
              <w:rPr>
                <w:sz w:val="20"/>
                <w:szCs w:val="20"/>
                <w:color w:val="auto"/>
              </w:rPr>
            </w:pPr>
            <w:r>
              <w:rPr>
                <w:rFonts w:ascii="Arial" w:cs="Arial" w:eastAsia="Arial" w:hAnsi="Arial"/>
                <w:sz w:val="4"/>
                <w:szCs w:val="4"/>
                <w:color w:val="auto"/>
              </w:rPr>
              <w:t>​</w:t>
            </w:r>
          </w:p>
        </w:tc>
        <w:tc>
          <w:tcPr>
            <w:tcW w:w="1100" w:type="dxa"/>
            <w:vAlign w:val="bottom"/>
          </w:tcPr>
          <w:p>
            <w:pPr>
              <w:ind w:left="480"/>
              <w:spacing w:after="0"/>
              <w:rPr>
                <w:sz w:val="20"/>
                <w:szCs w:val="20"/>
                <w:color w:val="auto"/>
              </w:rPr>
            </w:pPr>
            <w:r>
              <w:rPr>
                <w:rFonts w:ascii="Arial" w:cs="Arial" w:eastAsia="Arial" w:hAnsi="Arial"/>
                <w:sz w:val="14"/>
                <w:szCs w:val="14"/>
                <w:color w:val="auto"/>
              </w:rPr>
              <w:t>31,500</w:t>
            </w:r>
            <w:r>
              <w:rPr>
                <w:rFonts w:ascii="Arial" w:cs="Arial" w:eastAsia="Arial" w:hAnsi="Arial"/>
                <w:sz w:val="3"/>
                <w:szCs w:val="3"/>
                <w:color w:val="auto"/>
              </w:rPr>
              <w:t>​</w:t>
            </w:r>
          </w:p>
        </w:tc>
        <w:tc>
          <w:tcPr>
            <w:tcW w:w="560" w:type="dxa"/>
            <w:vAlign w:val="bottom"/>
          </w:tcPr>
          <w:p>
            <w:pPr>
              <w:ind w:left="160"/>
              <w:spacing w:after="0"/>
              <w:rPr>
                <w:sz w:val="20"/>
                <w:szCs w:val="20"/>
                <w:color w:val="auto"/>
              </w:rPr>
            </w:pPr>
            <w:r>
              <w:rPr>
                <w:rFonts w:ascii="Arial" w:cs="Arial" w:eastAsia="Arial" w:hAnsi="Arial"/>
                <w:sz w:val="4"/>
                <w:szCs w:val="4"/>
                <w:color w:val="auto"/>
              </w:rPr>
              <w:t>​</w:t>
            </w:r>
          </w:p>
        </w:tc>
        <w:tc>
          <w:tcPr>
            <w:tcW w:w="1000" w:type="dxa"/>
            <w:vAlign w:val="bottom"/>
          </w:tcPr>
          <w:p>
            <w:pPr>
              <w:ind w:left="380"/>
              <w:spacing w:after="0"/>
              <w:rPr>
                <w:sz w:val="20"/>
                <w:szCs w:val="20"/>
                <w:color w:val="auto"/>
              </w:rPr>
            </w:pPr>
            <w:r>
              <w:rPr>
                <w:rFonts w:ascii="Arial" w:cs="Arial" w:eastAsia="Arial" w:hAnsi="Arial"/>
                <w:sz w:val="14"/>
                <w:szCs w:val="14"/>
                <w:color w:val="auto"/>
              </w:rPr>
              <w:t>52,391</w:t>
            </w:r>
            <w:r>
              <w:rPr>
                <w:rFonts w:ascii="Arial" w:cs="Arial" w:eastAsia="Arial" w:hAnsi="Arial"/>
                <w:sz w:val="3"/>
                <w:szCs w:val="3"/>
                <w:color w:val="auto"/>
              </w:rPr>
              <w:t>​</w:t>
            </w:r>
          </w:p>
        </w:tc>
        <w:tc>
          <w:tcPr>
            <w:tcW w:w="720" w:type="dxa"/>
            <w:vAlign w:val="bottom"/>
          </w:tcPr>
          <w:p>
            <w:pPr>
              <w:ind w:left="160"/>
              <w:spacing w:after="0"/>
              <w:rPr>
                <w:sz w:val="20"/>
                <w:szCs w:val="20"/>
                <w:color w:val="auto"/>
              </w:rPr>
            </w:pPr>
            <w:r>
              <w:rPr>
                <w:rFonts w:ascii="Arial" w:cs="Arial" w:eastAsia="Arial" w:hAnsi="Arial"/>
                <w:sz w:val="4"/>
                <w:szCs w:val="4"/>
                <w:color w:val="auto"/>
              </w:rPr>
              <w:t>​</w:t>
            </w:r>
          </w:p>
        </w:tc>
        <w:tc>
          <w:tcPr>
            <w:tcW w:w="1000" w:type="dxa"/>
            <w:vAlign w:val="bottom"/>
          </w:tcPr>
          <w:p>
            <w:pPr>
              <w:ind w:left="560"/>
              <w:spacing w:after="0"/>
              <w:rPr>
                <w:sz w:val="20"/>
                <w:szCs w:val="20"/>
                <w:color w:val="auto"/>
              </w:rPr>
            </w:pPr>
            <w:r>
              <w:rPr>
                <w:rFonts w:ascii="Arial" w:cs="Arial" w:eastAsia="Arial" w:hAnsi="Arial"/>
                <w:sz w:val="14"/>
                <w:szCs w:val="14"/>
                <w:color w:val="auto"/>
                <w:w w:val="97"/>
              </w:rPr>
              <w:t>83,891</w:t>
            </w:r>
            <w:r>
              <w:rPr>
                <w:rFonts w:ascii="Arial" w:cs="Arial" w:eastAsia="Arial" w:hAnsi="Arial"/>
                <w:sz w:val="3"/>
                <w:szCs w:val="3"/>
                <w:color w:val="auto"/>
                <w:w w:val="9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-960120</wp:posOffset>
            </wp:positionV>
            <wp:extent cx="60350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-702945</wp:posOffset>
            </wp:positionV>
            <wp:extent cx="60350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-445770</wp:posOffset>
            </wp:positionV>
            <wp:extent cx="60350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-197485</wp:posOffset>
            </wp:positionV>
            <wp:extent cx="60350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59055</wp:posOffset>
            </wp:positionV>
            <wp:extent cx="60350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3480" w:space="720"/>
            <w:col w:w="5320"/>
          </w:cols>
          <w:pgMar w:left="1180" w:top="265" w:right="1199" w:bottom="1440" w:gutter="0" w:footer="0" w:header="0"/>
          <w:type w:val="continuous"/>
        </w:sectPr>
      </w:pPr>
    </w:p>
    <w:p>
      <w:pPr>
        <w:ind w:left="20"/>
        <w:spacing w:after="0"/>
        <w:tabs>
          <w:tab w:leader="none" w:pos="160" w:val="left"/>
          <w:tab w:leader="none" w:pos="4180" w:val="left"/>
          <w:tab w:leader="none" w:pos="4520" w:val="left"/>
          <w:tab w:leader="none" w:pos="5800" w:val="left"/>
          <w:tab w:leader="none" w:pos="6280" w:val="left"/>
          <w:tab w:leader="none" w:pos="7360" w:val="left"/>
          <w:tab w:leader="none" w:pos="7840" w:val="left"/>
          <w:tab w:leader="none" w:pos="926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14"/>
          <w:szCs w:val="14"/>
          <w:color w:val="auto"/>
        </w:rPr>
        <w:t>Emil Michael</w:t>
      </w:r>
      <w:r>
        <w:rPr>
          <w:rFonts w:ascii="Arial" w:cs="Arial" w:eastAsia="Arial" w:hAnsi="Arial"/>
          <w:sz w:val="23"/>
          <w:szCs w:val="23"/>
          <w:color w:val="auto"/>
          <w:vertAlign w:val="superscript"/>
        </w:rPr>
        <w:t>2</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4"/>
          <w:szCs w:val="14"/>
          <w:color w:val="auto"/>
        </w:rPr>
        <w:t>—</w:t>
      </w:r>
      <w:r>
        <w:rPr>
          <w:rFonts w:ascii="Arial" w:cs="Arial" w:eastAsia="Arial" w:hAnsi="Arial"/>
          <w:sz w:val="3"/>
          <w:szCs w:val="3"/>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4"/>
          <w:szCs w:val="14"/>
          <w:color w:val="auto"/>
        </w:rPr>
        <w:t>—</w:t>
      </w:r>
      <w:r>
        <w:rPr>
          <w:rFonts w:ascii="Arial" w:cs="Arial" w:eastAsia="Arial" w:hAnsi="Arial"/>
          <w:sz w:val="3"/>
          <w:szCs w:val="3"/>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3"/>
          <w:szCs w:val="13"/>
          <w:color w:val="auto"/>
        </w:rPr>
        <w:t>—</w:t>
      </w: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26035</wp:posOffset>
            </wp:positionV>
            <wp:extent cx="60350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type w:val="continuous"/>
        </w:sectPr>
      </w:pPr>
    </w:p>
    <w:p>
      <w:pPr>
        <w:spacing w:after="0" w:line="15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Dan Nova</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Gwyneth Paltrow</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Carley Roney</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Dan Rosensweig</w:t>
      </w:r>
      <w:r>
        <w:rPr>
          <w:rFonts w:ascii="Arial" w:cs="Arial" w:eastAsia="Arial" w:hAnsi="Arial"/>
          <w:sz w:val="23"/>
          <w:szCs w:val="23"/>
          <w:color w:val="auto"/>
          <w:vertAlign w:val="superscript"/>
        </w:rPr>
        <w:t>3</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Mike Roth</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80" w:type="dxa"/>
            <w:vAlign w:val="bottom"/>
          </w:tcPr>
          <w:p>
            <w:pPr>
              <w:spacing w:after="0"/>
              <w:rPr>
                <w:sz w:val="20"/>
                <w:szCs w:val="20"/>
                <w:color w:val="auto"/>
              </w:rPr>
            </w:pPr>
            <w:r>
              <w:rPr>
                <w:rFonts w:ascii="Arial" w:cs="Arial" w:eastAsia="Arial" w:hAnsi="Arial"/>
                <w:sz w:val="4"/>
                <w:szCs w:val="4"/>
                <w:color w:val="auto"/>
              </w:rPr>
              <w:t>​</w:t>
            </w:r>
          </w:p>
        </w:tc>
        <w:tc>
          <w:tcPr>
            <w:tcW w:w="660" w:type="dxa"/>
            <w:vAlign w:val="bottom"/>
          </w:tcPr>
          <w:p>
            <w:pPr>
              <w:ind w:left="160"/>
              <w:spacing w:after="0"/>
              <w:rPr>
                <w:sz w:val="20"/>
                <w:szCs w:val="20"/>
                <w:color w:val="auto"/>
              </w:rPr>
            </w:pPr>
            <w:r>
              <w:rPr>
                <w:rFonts w:ascii="Arial" w:cs="Arial" w:eastAsia="Arial" w:hAnsi="Arial"/>
                <w:sz w:val="4"/>
                <w:szCs w:val="4"/>
                <w:color w:val="auto"/>
              </w:rPr>
              <w:t>​</w:t>
            </w:r>
          </w:p>
        </w:tc>
        <w:tc>
          <w:tcPr>
            <w:tcW w:w="1100" w:type="dxa"/>
            <w:vAlign w:val="bottom"/>
          </w:tcPr>
          <w:p>
            <w:pPr>
              <w:ind w:left="480"/>
              <w:spacing w:after="0"/>
              <w:rPr>
                <w:sz w:val="20"/>
                <w:szCs w:val="20"/>
                <w:color w:val="auto"/>
              </w:rPr>
            </w:pPr>
            <w:r>
              <w:rPr>
                <w:rFonts w:ascii="Arial" w:cs="Arial" w:eastAsia="Arial" w:hAnsi="Arial"/>
                <w:sz w:val="14"/>
                <w:szCs w:val="14"/>
                <w:color w:val="auto"/>
              </w:rPr>
              <w:t>28,250</w:t>
            </w:r>
            <w:r>
              <w:rPr>
                <w:rFonts w:ascii="Arial" w:cs="Arial" w:eastAsia="Arial" w:hAnsi="Arial"/>
                <w:sz w:val="3"/>
                <w:szCs w:val="3"/>
                <w:color w:val="auto"/>
              </w:rPr>
              <w:t>​</w:t>
            </w:r>
          </w:p>
        </w:tc>
        <w:tc>
          <w:tcPr>
            <w:tcW w:w="560" w:type="dxa"/>
            <w:vAlign w:val="bottom"/>
          </w:tcPr>
          <w:p>
            <w:pPr>
              <w:ind w:left="160"/>
              <w:spacing w:after="0"/>
              <w:rPr>
                <w:sz w:val="20"/>
                <w:szCs w:val="20"/>
                <w:color w:val="auto"/>
              </w:rPr>
            </w:pPr>
            <w:r>
              <w:rPr>
                <w:rFonts w:ascii="Arial" w:cs="Arial" w:eastAsia="Arial" w:hAnsi="Arial"/>
                <w:sz w:val="4"/>
                <w:szCs w:val="4"/>
                <w:color w:val="auto"/>
              </w:rPr>
              <w:t>​</w:t>
            </w:r>
          </w:p>
        </w:tc>
        <w:tc>
          <w:tcPr>
            <w:tcW w:w="1000" w:type="dxa"/>
            <w:vAlign w:val="bottom"/>
          </w:tcPr>
          <w:p>
            <w:pPr>
              <w:ind w:left="380"/>
              <w:spacing w:after="0"/>
              <w:rPr>
                <w:sz w:val="20"/>
                <w:szCs w:val="20"/>
                <w:color w:val="auto"/>
              </w:rPr>
            </w:pPr>
            <w:r>
              <w:rPr>
                <w:rFonts w:ascii="Arial" w:cs="Arial" w:eastAsia="Arial" w:hAnsi="Arial"/>
                <w:sz w:val="14"/>
                <w:szCs w:val="14"/>
                <w:color w:val="auto"/>
              </w:rPr>
              <w:t>52,391</w:t>
            </w:r>
            <w:r>
              <w:rPr>
                <w:rFonts w:ascii="Arial" w:cs="Arial" w:eastAsia="Arial" w:hAnsi="Arial"/>
                <w:sz w:val="3"/>
                <w:szCs w:val="3"/>
                <w:color w:val="auto"/>
              </w:rPr>
              <w:t>​</w:t>
            </w:r>
          </w:p>
        </w:tc>
        <w:tc>
          <w:tcPr>
            <w:tcW w:w="720" w:type="dxa"/>
            <w:vAlign w:val="bottom"/>
          </w:tcPr>
          <w:p>
            <w:pPr>
              <w:ind w:left="160"/>
              <w:spacing w:after="0"/>
              <w:rPr>
                <w:sz w:val="20"/>
                <w:szCs w:val="20"/>
                <w:color w:val="auto"/>
              </w:rPr>
            </w:pPr>
            <w:r>
              <w:rPr>
                <w:rFonts w:ascii="Arial" w:cs="Arial" w:eastAsia="Arial" w:hAnsi="Arial"/>
                <w:sz w:val="4"/>
                <w:szCs w:val="4"/>
                <w:color w:val="auto"/>
              </w:rPr>
              <w:t>​</w:t>
            </w:r>
          </w:p>
        </w:tc>
        <w:tc>
          <w:tcPr>
            <w:tcW w:w="1000" w:type="dxa"/>
            <w:vAlign w:val="bottom"/>
          </w:tcPr>
          <w:p>
            <w:pPr>
              <w:ind w:left="560"/>
              <w:spacing w:after="0"/>
              <w:rPr>
                <w:sz w:val="20"/>
                <w:szCs w:val="20"/>
                <w:color w:val="auto"/>
              </w:rPr>
            </w:pPr>
            <w:r>
              <w:rPr>
                <w:rFonts w:ascii="Arial" w:cs="Arial" w:eastAsia="Arial" w:hAnsi="Arial"/>
                <w:sz w:val="14"/>
                <w:szCs w:val="14"/>
                <w:color w:val="auto"/>
                <w:w w:val="97"/>
              </w:rPr>
              <w:t>80.641</w:t>
            </w:r>
            <w:r>
              <w:rPr>
                <w:rFonts w:ascii="Arial" w:cs="Arial" w:eastAsia="Arial" w:hAnsi="Arial"/>
                <w:sz w:val="3"/>
                <w:szCs w:val="3"/>
                <w:color w:val="auto"/>
                <w:w w:val="97"/>
              </w:rPr>
              <w:t>​</w:t>
            </w:r>
          </w:p>
        </w:tc>
      </w:tr>
      <w:tr>
        <w:trPr>
          <w:trHeight w:val="405"/>
        </w:trPr>
        <w:tc>
          <w:tcPr>
            <w:tcW w:w="180" w:type="dxa"/>
            <w:vAlign w:val="bottom"/>
          </w:tcPr>
          <w:p>
            <w:pPr>
              <w:spacing w:after="0"/>
              <w:rPr>
                <w:sz w:val="20"/>
                <w:szCs w:val="20"/>
                <w:color w:val="auto"/>
              </w:rPr>
            </w:pPr>
            <w:r>
              <w:rPr>
                <w:rFonts w:ascii="Arial" w:cs="Arial" w:eastAsia="Arial" w:hAnsi="Arial"/>
                <w:sz w:val="4"/>
                <w:szCs w:val="4"/>
                <w:color w:val="auto"/>
              </w:rPr>
              <w:t>​</w:t>
            </w:r>
          </w:p>
        </w:tc>
        <w:tc>
          <w:tcPr>
            <w:tcW w:w="660" w:type="dxa"/>
            <w:vAlign w:val="bottom"/>
          </w:tcPr>
          <w:p>
            <w:pPr>
              <w:ind w:left="160"/>
              <w:spacing w:after="0"/>
              <w:rPr>
                <w:sz w:val="20"/>
                <w:szCs w:val="20"/>
                <w:color w:val="auto"/>
              </w:rPr>
            </w:pPr>
            <w:r>
              <w:rPr>
                <w:rFonts w:ascii="Arial" w:cs="Arial" w:eastAsia="Arial" w:hAnsi="Arial"/>
                <w:sz w:val="4"/>
                <w:szCs w:val="4"/>
                <w:color w:val="auto"/>
              </w:rPr>
              <w:t>​</w:t>
            </w:r>
          </w:p>
        </w:tc>
        <w:tc>
          <w:tcPr>
            <w:tcW w:w="1100" w:type="dxa"/>
            <w:vAlign w:val="bottom"/>
          </w:tcPr>
          <w:p>
            <w:pPr>
              <w:ind w:left="480"/>
              <w:spacing w:after="0"/>
              <w:rPr>
                <w:sz w:val="20"/>
                <w:szCs w:val="20"/>
                <w:color w:val="auto"/>
              </w:rPr>
            </w:pPr>
            <w:r>
              <w:rPr>
                <w:rFonts w:ascii="Arial" w:cs="Arial" w:eastAsia="Arial" w:hAnsi="Arial"/>
                <w:sz w:val="14"/>
                <w:szCs w:val="14"/>
                <w:color w:val="auto"/>
              </w:rPr>
              <w:t>22,000</w:t>
            </w:r>
            <w:r>
              <w:rPr>
                <w:rFonts w:ascii="Arial" w:cs="Arial" w:eastAsia="Arial" w:hAnsi="Arial"/>
                <w:sz w:val="3"/>
                <w:szCs w:val="3"/>
                <w:color w:val="auto"/>
              </w:rPr>
              <w:t>​</w:t>
            </w:r>
          </w:p>
        </w:tc>
        <w:tc>
          <w:tcPr>
            <w:tcW w:w="560" w:type="dxa"/>
            <w:vAlign w:val="bottom"/>
          </w:tcPr>
          <w:p>
            <w:pPr>
              <w:ind w:left="160"/>
              <w:spacing w:after="0"/>
              <w:rPr>
                <w:sz w:val="20"/>
                <w:szCs w:val="20"/>
                <w:color w:val="auto"/>
              </w:rPr>
            </w:pPr>
            <w:r>
              <w:rPr>
                <w:rFonts w:ascii="Arial" w:cs="Arial" w:eastAsia="Arial" w:hAnsi="Arial"/>
                <w:sz w:val="4"/>
                <w:szCs w:val="4"/>
                <w:color w:val="auto"/>
              </w:rPr>
              <w:t>​</w:t>
            </w:r>
          </w:p>
        </w:tc>
        <w:tc>
          <w:tcPr>
            <w:tcW w:w="1000" w:type="dxa"/>
            <w:vAlign w:val="bottom"/>
          </w:tcPr>
          <w:p>
            <w:pPr>
              <w:ind w:left="380"/>
              <w:spacing w:after="0"/>
              <w:rPr>
                <w:sz w:val="20"/>
                <w:szCs w:val="20"/>
                <w:color w:val="auto"/>
              </w:rPr>
            </w:pPr>
            <w:r>
              <w:rPr>
                <w:rFonts w:ascii="Arial" w:cs="Arial" w:eastAsia="Arial" w:hAnsi="Arial"/>
                <w:sz w:val="14"/>
                <w:szCs w:val="14"/>
                <w:color w:val="auto"/>
              </w:rPr>
              <w:t>52,391</w:t>
            </w:r>
            <w:r>
              <w:rPr>
                <w:rFonts w:ascii="Arial" w:cs="Arial" w:eastAsia="Arial" w:hAnsi="Arial"/>
                <w:sz w:val="3"/>
                <w:szCs w:val="3"/>
                <w:color w:val="auto"/>
              </w:rPr>
              <w:t>​</w:t>
            </w:r>
          </w:p>
        </w:tc>
        <w:tc>
          <w:tcPr>
            <w:tcW w:w="720" w:type="dxa"/>
            <w:vAlign w:val="bottom"/>
          </w:tcPr>
          <w:p>
            <w:pPr>
              <w:ind w:left="160"/>
              <w:spacing w:after="0"/>
              <w:rPr>
                <w:sz w:val="20"/>
                <w:szCs w:val="20"/>
                <w:color w:val="auto"/>
              </w:rPr>
            </w:pPr>
            <w:r>
              <w:rPr>
                <w:rFonts w:ascii="Arial" w:cs="Arial" w:eastAsia="Arial" w:hAnsi="Arial"/>
                <w:sz w:val="4"/>
                <w:szCs w:val="4"/>
                <w:color w:val="auto"/>
              </w:rPr>
              <w:t>​</w:t>
            </w:r>
          </w:p>
        </w:tc>
        <w:tc>
          <w:tcPr>
            <w:tcW w:w="1000" w:type="dxa"/>
            <w:vAlign w:val="bottom"/>
          </w:tcPr>
          <w:p>
            <w:pPr>
              <w:ind w:left="560"/>
              <w:spacing w:after="0"/>
              <w:rPr>
                <w:sz w:val="20"/>
                <w:szCs w:val="20"/>
                <w:color w:val="auto"/>
              </w:rPr>
            </w:pPr>
            <w:r>
              <w:rPr>
                <w:rFonts w:ascii="Arial" w:cs="Arial" w:eastAsia="Arial" w:hAnsi="Arial"/>
                <w:sz w:val="14"/>
                <w:szCs w:val="14"/>
                <w:color w:val="auto"/>
                <w:w w:val="97"/>
              </w:rPr>
              <w:t>74,391</w:t>
            </w:r>
            <w:r>
              <w:rPr>
                <w:rFonts w:ascii="Arial" w:cs="Arial" w:eastAsia="Arial" w:hAnsi="Arial"/>
                <w:sz w:val="3"/>
                <w:szCs w:val="3"/>
                <w:color w:val="auto"/>
                <w:w w:val="97"/>
              </w:rPr>
              <w:t>​</w:t>
            </w:r>
          </w:p>
        </w:tc>
      </w:tr>
      <w:tr>
        <w:trPr>
          <w:trHeight w:val="391"/>
        </w:trPr>
        <w:tc>
          <w:tcPr>
            <w:tcW w:w="180" w:type="dxa"/>
            <w:vAlign w:val="bottom"/>
          </w:tcPr>
          <w:p>
            <w:pPr>
              <w:spacing w:after="0"/>
              <w:rPr>
                <w:sz w:val="20"/>
                <w:szCs w:val="20"/>
                <w:color w:val="auto"/>
              </w:rPr>
            </w:pPr>
            <w:r>
              <w:rPr>
                <w:rFonts w:ascii="Arial" w:cs="Arial" w:eastAsia="Arial" w:hAnsi="Arial"/>
                <w:sz w:val="4"/>
                <w:szCs w:val="4"/>
                <w:color w:val="auto"/>
              </w:rPr>
              <w:t>​</w:t>
            </w:r>
          </w:p>
        </w:tc>
        <w:tc>
          <w:tcPr>
            <w:tcW w:w="660" w:type="dxa"/>
            <w:vAlign w:val="bottom"/>
          </w:tcPr>
          <w:p>
            <w:pPr>
              <w:ind w:left="160"/>
              <w:spacing w:after="0"/>
              <w:rPr>
                <w:sz w:val="20"/>
                <w:szCs w:val="20"/>
                <w:color w:val="auto"/>
              </w:rPr>
            </w:pPr>
            <w:r>
              <w:rPr>
                <w:rFonts w:ascii="Arial" w:cs="Arial" w:eastAsia="Arial" w:hAnsi="Arial"/>
                <w:sz w:val="4"/>
                <w:szCs w:val="4"/>
                <w:color w:val="auto"/>
              </w:rPr>
              <w:t>​</w:t>
            </w:r>
          </w:p>
        </w:tc>
        <w:tc>
          <w:tcPr>
            <w:tcW w:w="1100" w:type="dxa"/>
            <w:vAlign w:val="bottom"/>
          </w:tcPr>
          <w:p>
            <w:pPr>
              <w:ind w:left="480"/>
              <w:spacing w:after="0"/>
              <w:rPr>
                <w:sz w:val="20"/>
                <w:szCs w:val="20"/>
                <w:color w:val="auto"/>
              </w:rPr>
            </w:pPr>
            <w:r>
              <w:rPr>
                <w:rFonts w:ascii="Arial" w:cs="Arial" w:eastAsia="Arial" w:hAnsi="Arial"/>
                <w:sz w:val="14"/>
                <w:szCs w:val="14"/>
                <w:color w:val="auto"/>
              </w:rPr>
              <w:t>22,000</w:t>
            </w:r>
            <w:r>
              <w:rPr>
                <w:rFonts w:ascii="Arial" w:cs="Arial" w:eastAsia="Arial" w:hAnsi="Arial"/>
                <w:sz w:val="3"/>
                <w:szCs w:val="3"/>
                <w:color w:val="auto"/>
              </w:rPr>
              <w:t>​</w:t>
            </w:r>
          </w:p>
        </w:tc>
        <w:tc>
          <w:tcPr>
            <w:tcW w:w="560" w:type="dxa"/>
            <w:vAlign w:val="bottom"/>
          </w:tcPr>
          <w:p>
            <w:pPr>
              <w:ind w:left="160"/>
              <w:spacing w:after="0"/>
              <w:rPr>
                <w:sz w:val="20"/>
                <w:szCs w:val="20"/>
                <w:color w:val="auto"/>
              </w:rPr>
            </w:pPr>
            <w:r>
              <w:rPr>
                <w:rFonts w:ascii="Arial" w:cs="Arial" w:eastAsia="Arial" w:hAnsi="Arial"/>
                <w:sz w:val="4"/>
                <w:szCs w:val="4"/>
                <w:color w:val="auto"/>
              </w:rPr>
              <w:t>​</w:t>
            </w:r>
          </w:p>
        </w:tc>
        <w:tc>
          <w:tcPr>
            <w:tcW w:w="1000" w:type="dxa"/>
            <w:vAlign w:val="bottom"/>
          </w:tcPr>
          <w:p>
            <w:pPr>
              <w:ind w:left="380"/>
              <w:spacing w:after="0"/>
              <w:rPr>
                <w:sz w:val="20"/>
                <w:szCs w:val="20"/>
                <w:color w:val="auto"/>
              </w:rPr>
            </w:pPr>
            <w:r>
              <w:rPr>
                <w:rFonts w:ascii="Arial" w:cs="Arial" w:eastAsia="Arial" w:hAnsi="Arial"/>
                <w:sz w:val="14"/>
                <w:szCs w:val="14"/>
                <w:color w:val="auto"/>
              </w:rPr>
              <w:t>52,391</w:t>
            </w:r>
            <w:r>
              <w:rPr>
                <w:rFonts w:ascii="Arial" w:cs="Arial" w:eastAsia="Arial" w:hAnsi="Arial"/>
                <w:sz w:val="3"/>
                <w:szCs w:val="3"/>
                <w:color w:val="auto"/>
              </w:rPr>
              <w:t>​</w:t>
            </w:r>
          </w:p>
        </w:tc>
        <w:tc>
          <w:tcPr>
            <w:tcW w:w="720" w:type="dxa"/>
            <w:vAlign w:val="bottom"/>
          </w:tcPr>
          <w:p>
            <w:pPr>
              <w:ind w:left="160"/>
              <w:spacing w:after="0"/>
              <w:rPr>
                <w:sz w:val="20"/>
                <w:szCs w:val="20"/>
                <w:color w:val="auto"/>
              </w:rPr>
            </w:pPr>
            <w:r>
              <w:rPr>
                <w:rFonts w:ascii="Arial" w:cs="Arial" w:eastAsia="Arial" w:hAnsi="Arial"/>
                <w:sz w:val="4"/>
                <w:szCs w:val="4"/>
                <w:color w:val="auto"/>
              </w:rPr>
              <w:t>​</w:t>
            </w:r>
          </w:p>
        </w:tc>
        <w:tc>
          <w:tcPr>
            <w:tcW w:w="1000" w:type="dxa"/>
            <w:vAlign w:val="bottom"/>
          </w:tcPr>
          <w:p>
            <w:pPr>
              <w:ind w:left="560"/>
              <w:spacing w:after="0"/>
              <w:rPr>
                <w:sz w:val="20"/>
                <w:szCs w:val="20"/>
                <w:color w:val="auto"/>
              </w:rPr>
            </w:pPr>
            <w:r>
              <w:rPr>
                <w:rFonts w:ascii="Arial" w:cs="Arial" w:eastAsia="Arial" w:hAnsi="Arial"/>
                <w:sz w:val="14"/>
                <w:szCs w:val="14"/>
                <w:color w:val="auto"/>
                <w:w w:val="97"/>
              </w:rPr>
              <w:t>74,391</w:t>
            </w:r>
            <w:r>
              <w:rPr>
                <w:rFonts w:ascii="Arial" w:cs="Arial" w:eastAsia="Arial" w:hAnsi="Arial"/>
                <w:sz w:val="3"/>
                <w:szCs w:val="3"/>
                <w:color w:val="auto"/>
                <w:w w:val="97"/>
              </w:rPr>
              <w:t>​</w:t>
            </w:r>
          </w:p>
        </w:tc>
      </w:tr>
      <w:tr>
        <w:trPr>
          <w:trHeight w:val="405"/>
        </w:trPr>
        <w:tc>
          <w:tcPr>
            <w:tcW w:w="180" w:type="dxa"/>
            <w:vAlign w:val="bottom"/>
          </w:tcPr>
          <w:p>
            <w:pPr>
              <w:spacing w:after="0"/>
              <w:rPr>
                <w:sz w:val="20"/>
                <w:szCs w:val="20"/>
                <w:color w:val="auto"/>
              </w:rPr>
            </w:pPr>
            <w:r>
              <w:rPr>
                <w:rFonts w:ascii="Arial" w:cs="Arial" w:eastAsia="Arial" w:hAnsi="Arial"/>
                <w:sz w:val="4"/>
                <w:szCs w:val="4"/>
                <w:color w:val="auto"/>
              </w:rPr>
              <w:t>​</w:t>
            </w:r>
          </w:p>
        </w:tc>
        <w:tc>
          <w:tcPr>
            <w:tcW w:w="660" w:type="dxa"/>
            <w:vAlign w:val="bottom"/>
          </w:tcPr>
          <w:p>
            <w:pPr>
              <w:ind w:left="160"/>
              <w:spacing w:after="0"/>
              <w:rPr>
                <w:sz w:val="20"/>
                <w:szCs w:val="20"/>
                <w:color w:val="auto"/>
              </w:rPr>
            </w:pPr>
            <w:r>
              <w:rPr>
                <w:rFonts w:ascii="Arial" w:cs="Arial" w:eastAsia="Arial" w:hAnsi="Arial"/>
                <w:sz w:val="4"/>
                <w:szCs w:val="4"/>
                <w:color w:val="auto"/>
              </w:rPr>
              <w:t>​</w:t>
            </w:r>
          </w:p>
        </w:tc>
        <w:tc>
          <w:tcPr>
            <w:tcW w:w="1100" w:type="dxa"/>
            <w:vAlign w:val="bottom"/>
          </w:tcPr>
          <w:p>
            <w:pPr>
              <w:ind w:left="480"/>
              <w:spacing w:after="0"/>
              <w:rPr>
                <w:sz w:val="20"/>
                <w:szCs w:val="20"/>
                <w:color w:val="auto"/>
              </w:rPr>
            </w:pPr>
            <w:r>
              <w:rPr>
                <w:rFonts w:ascii="Arial" w:cs="Arial" w:eastAsia="Arial" w:hAnsi="Arial"/>
                <w:sz w:val="14"/>
                <w:szCs w:val="14"/>
                <w:color w:val="auto"/>
              </w:rPr>
              <w:t>27,250</w:t>
            </w:r>
            <w:r>
              <w:rPr>
                <w:rFonts w:ascii="Arial" w:cs="Arial" w:eastAsia="Arial" w:hAnsi="Arial"/>
                <w:sz w:val="3"/>
                <w:szCs w:val="3"/>
                <w:color w:val="auto"/>
              </w:rPr>
              <w:t>​</w:t>
            </w:r>
          </w:p>
        </w:tc>
        <w:tc>
          <w:tcPr>
            <w:tcW w:w="560" w:type="dxa"/>
            <w:vAlign w:val="bottom"/>
          </w:tcPr>
          <w:p>
            <w:pPr>
              <w:ind w:left="160"/>
              <w:spacing w:after="0"/>
              <w:rPr>
                <w:sz w:val="20"/>
                <w:szCs w:val="20"/>
                <w:color w:val="auto"/>
              </w:rPr>
            </w:pPr>
            <w:r>
              <w:rPr>
                <w:rFonts w:ascii="Arial" w:cs="Arial" w:eastAsia="Arial" w:hAnsi="Arial"/>
                <w:sz w:val="4"/>
                <w:szCs w:val="4"/>
                <w:color w:val="auto"/>
              </w:rPr>
              <w:t>​</w:t>
            </w:r>
          </w:p>
        </w:tc>
        <w:tc>
          <w:tcPr>
            <w:tcW w:w="1000" w:type="dxa"/>
            <w:vAlign w:val="bottom"/>
          </w:tcPr>
          <w:p>
            <w:pPr>
              <w:ind w:left="380"/>
              <w:spacing w:after="0"/>
              <w:rPr>
                <w:sz w:val="20"/>
                <w:szCs w:val="20"/>
                <w:color w:val="auto"/>
              </w:rPr>
            </w:pPr>
            <w:r>
              <w:rPr>
                <w:rFonts w:ascii="Arial" w:cs="Arial" w:eastAsia="Arial" w:hAnsi="Arial"/>
                <w:sz w:val="14"/>
                <w:szCs w:val="14"/>
                <w:color w:val="auto"/>
              </w:rPr>
              <w:t>52,391</w:t>
            </w:r>
            <w:r>
              <w:rPr>
                <w:rFonts w:ascii="Arial" w:cs="Arial" w:eastAsia="Arial" w:hAnsi="Arial"/>
                <w:sz w:val="3"/>
                <w:szCs w:val="3"/>
                <w:color w:val="auto"/>
              </w:rPr>
              <w:t>​</w:t>
            </w:r>
          </w:p>
        </w:tc>
        <w:tc>
          <w:tcPr>
            <w:tcW w:w="720" w:type="dxa"/>
            <w:vAlign w:val="bottom"/>
          </w:tcPr>
          <w:p>
            <w:pPr>
              <w:ind w:left="160"/>
              <w:spacing w:after="0"/>
              <w:rPr>
                <w:sz w:val="20"/>
                <w:szCs w:val="20"/>
                <w:color w:val="auto"/>
              </w:rPr>
            </w:pPr>
            <w:r>
              <w:rPr>
                <w:rFonts w:ascii="Arial" w:cs="Arial" w:eastAsia="Arial" w:hAnsi="Arial"/>
                <w:sz w:val="4"/>
                <w:szCs w:val="4"/>
                <w:color w:val="auto"/>
              </w:rPr>
              <w:t>​</w:t>
            </w:r>
          </w:p>
        </w:tc>
        <w:tc>
          <w:tcPr>
            <w:tcW w:w="1000" w:type="dxa"/>
            <w:vAlign w:val="bottom"/>
          </w:tcPr>
          <w:p>
            <w:pPr>
              <w:ind w:left="560"/>
              <w:spacing w:after="0"/>
              <w:rPr>
                <w:sz w:val="20"/>
                <w:szCs w:val="20"/>
                <w:color w:val="auto"/>
              </w:rPr>
            </w:pPr>
            <w:r>
              <w:rPr>
                <w:rFonts w:ascii="Arial" w:cs="Arial" w:eastAsia="Arial" w:hAnsi="Arial"/>
                <w:sz w:val="14"/>
                <w:szCs w:val="14"/>
                <w:color w:val="auto"/>
                <w:w w:val="97"/>
              </w:rPr>
              <w:t>79.641</w:t>
            </w:r>
            <w:r>
              <w:rPr>
                <w:rFonts w:ascii="Arial" w:cs="Arial" w:eastAsia="Arial" w:hAnsi="Arial"/>
                <w:sz w:val="3"/>
                <w:szCs w:val="3"/>
                <w:color w:val="auto"/>
                <w:w w:val="97"/>
              </w:rPr>
              <w:t>​</w:t>
            </w:r>
          </w:p>
        </w:tc>
      </w:tr>
      <w:tr>
        <w:trPr>
          <w:trHeight w:val="405"/>
        </w:trPr>
        <w:tc>
          <w:tcPr>
            <w:tcW w:w="180" w:type="dxa"/>
            <w:vAlign w:val="bottom"/>
          </w:tcPr>
          <w:p>
            <w:pPr>
              <w:spacing w:after="0"/>
              <w:rPr>
                <w:sz w:val="20"/>
                <w:szCs w:val="20"/>
                <w:color w:val="auto"/>
              </w:rPr>
            </w:pPr>
            <w:r>
              <w:rPr>
                <w:rFonts w:ascii="Arial" w:cs="Arial" w:eastAsia="Arial" w:hAnsi="Arial"/>
                <w:sz w:val="4"/>
                <w:szCs w:val="4"/>
                <w:color w:val="auto"/>
              </w:rPr>
              <w:t>​</w:t>
            </w:r>
          </w:p>
        </w:tc>
        <w:tc>
          <w:tcPr>
            <w:tcW w:w="660" w:type="dxa"/>
            <w:vAlign w:val="bottom"/>
          </w:tcPr>
          <w:p>
            <w:pPr>
              <w:ind w:left="160"/>
              <w:spacing w:after="0"/>
              <w:rPr>
                <w:sz w:val="20"/>
                <w:szCs w:val="20"/>
                <w:color w:val="auto"/>
              </w:rPr>
            </w:pPr>
            <w:r>
              <w:rPr>
                <w:rFonts w:ascii="Arial" w:cs="Arial" w:eastAsia="Arial" w:hAnsi="Arial"/>
                <w:sz w:val="4"/>
                <w:szCs w:val="4"/>
                <w:color w:val="auto"/>
              </w:rPr>
              <w:t>​</w:t>
            </w:r>
          </w:p>
        </w:tc>
        <w:tc>
          <w:tcPr>
            <w:tcW w:w="1100" w:type="dxa"/>
            <w:vAlign w:val="bottom"/>
          </w:tcPr>
          <w:p>
            <w:pPr>
              <w:ind w:left="480"/>
              <w:spacing w:after="0"/>
              <w:rPr>
                <w:sz w:val="20"/>
                <w:szCs w:val="20"/>
                <w:color w:val="auto"/>
              </w:rPr>
            </w:pPr>
            <w:r>
              <w:rPr>
                <w:rFonts w:ascii="Arial" w:cs="Arial" w:eastAsia="Arial" w:hAnsi="Arial"/>
                <w:sz w:val="14"/>
                <w:szCs w:val="14"/>
                <w:color w:val="auto"/>
              </w:rPr>
              <w:t>23,250</w:t>
            </w:r>
            <w:r>
              <w:rPr>
                <w:rFonts w:ascii="Arial" w:cs="Arial" w:eastAsia="Arial" w:hAnsi="Arial"/>
                <w:sz w:val="3"/>
                <w:szCs w:val="3"/>
                <w:color w:val="auto"/>
              </w:rPr>
              <w:t>​</w:t>
            </w:r>
          </w:p>
        </w:tc>
        <w:tc>
          <w:tcPr>
            <w:tcW w:w="560" w:type="dxa"/>
            <w:vAlign w:val="bottom"/>
          </w:tcPr>
          <w:p>
            <w:pPr>
              <w:ind w:left="160"/>
              <w:spacing w:after="0"/>
              <w:rPr>
                <w:sz w:val="20"/>
                <w:szCs w:val="20"/>
                <w:color w:val="auto"/>
              </w:rPr>
            </w:pPr>
            <w:r>
              <w:rPr>
                <w:rFonts w:ascii="Arial" w:cs="Arial" w:eastAsia="Arial" w:hAnsi="Arial"/>
                <w:sz w:val="4"/>
                <w:szCs w:val="4"/>
                <w:color w:val="auto"/>
              </w:rPr>
              <w:t>​</w:t>
            </w:r>
          </w:p>
        </w:tc>
        <w:tc>
          <w:tcPr>
            <w:tcW w:w="1000" w:type="dxa"/>
            <w:vAlign w:val="bottom"/>
          </w:tcPr>
          <w:p>
            <w:pPr>
              <w:ind w:left="380"/>
              <w:spacing w:after="0"/>
              <w:rPr>
                <w:sz w:val="20"/>
                <w:szCs w:val="20"/>
                <w:color w:val="auto"/>
              </w:rPr>
            </w:pPr>
            <w:r>
              <w:rPr>
                <w:rFonts w:ascii="Arial" w:cs="Arial" w:eastAsia="Arial" w:hAnsi="Arial"/>
                <w:sz w:val="14"/>
                <w:szCs w:val="14"/>
                <w:color w:val="auto"/>
              </w:rPr>
              <w:t>52,391</w:t>
            </w:r>
            <w:r>
              <w:rPr>
                <w:rFonts w:ascii="Arial" w:cs="Arial" w:eastAsia="Arial" w:hAnsi="Arial"/>
                <w:sz w:val="3"/>
                <w:szCs w:val="3"/>
                <w:color w:val="auto"/>
              </w:rPr>
              <w:t>​</w:t>
            </w:r>
          </w:p>
        </w:tc>
        <w:tc>
          <w:tcPr>
            <w:tcW w:w="720" w:type="dxa"/>
            <w:vAlign w:val="bottom"/>
          </w:tcPr>
          <w:p>
            <w:pPr>
              <w:ind w:left="160"/>
              <w:spacing w:after="0"/>
              <w:rPr>
                <w:sz w:val="20"/>
                <w:szCs w:val="20"/>
                <w:color w:val="auto"/>
              </w:rPr>
            </w:pPr>
            <w:r>
              <w:rPr>
                <w:rFonts w:ascii="Arial" w:cs="Arial" w:eastAsia="Arial" w:hAnsi="Arial"/>
                <w:sz w:val="4"/>
                <w:szCs w:val="4"/>
                <w:color w:val="auto"/>
              </w:rPr>
              <w:t>​</w:t>
            </w:r>
          </w:p>
        </w:tc>
        <w:tc>
          <w:tcPr>
            <w:tcW w:w="1000" w:type="dxa"/>
            <w:vAlign w:val="bottom"/>
          </w:tcPr>
          <w:p>
            <w:pPr>
              <w:ind w:left="560"/>
              <w:spacing w:after="0"/>
              <w:rPr>
                <w:sz w:val="20"/>
                <w:szCs w:val="20"/>
                <w:color w:val="auto"/>
              </w:rPr>
            </w:pPr>
            <w:r>
              <w:rPr>
                <w:rFonts w:ascii="Arial" w:cs="Arial" w:eastAsia="Arial" w:hAnsi="Arial"/>
                <w:sz w:val="14"/>
                <w:szCs w:val="14"/>
                <w:color w:val="auto"/>
                <w:w w:val="97"/>
              </w:rPr>
              <w:t>75,641</w:t>
            </w:r>
            <w:r>
              <w:rPr>
                <w:rFonts w:ascii="Arial" w:cs="Arial" w:eastAsia="Arial" w:hAnsi="Arial"/>
                <w:sz w:val="3"/>
                <w:szCs w:val="3"/>
                <w:color w:val="auto"/>
                <w:w w:val="9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-960120</wp:posOffset>
            </wp:positionV>
            <wp:extent cx="60350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-702945</wp:posOffset>
            </wp:positionV>
            <wp:extent cx="60350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-445770</wp:posOffset>
            </wp:positionV>
            <wp:extent cx="60350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-197485</wp:posOffset>
            </wp:positionV>
            <wp:extent cx="60350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24765</wp:posOffset>
            </wp:positionV>
            <wp:extent cx="60350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720"/>
            <w:col w:w="5320"/>
          </w:cols>
          <w:pgMar w:left="1180" w:top="265" w:right="1199" w:bottom="1440" w:gutter="0" w:footer="0" w:header="0"/>
          <w:type w:val="continuous"/>
        </w:sectPr>
      </w:pPr>
    </w:p>
    <w:p>
      <w:pPr>
        <w:spacing w:after="0" w:line="23" w:lineRule="exact"/>
        <w:rPr>
          <w:sz w:val="20"/>
          <w:szCs w:val="20"/>
          <w:color w:val="auto"/>
        </w:rPr>
      </w:pPr>
    </w:p>
    <w:p>
      <w:pPr>
        <w:ind w:left="380" w:right="80" w:hanging="359"/>
        <w:spacing w:after="0" w:line="249"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value disclosed is the aggregate grant date fair value of 12,489 restricted stock units (“RSUs”) granted to each non-employee directors, computed in accordance with FASB ASC Topic 718, rather than the amounts paid to or realized by the named individual. Such restricted stock units were subject to a service-based vesting condition. Assumptions used in the calculation of the grant date fair value are set forth in Note 13 —Share-based Compensation Plans in our Annual Report on Form 10-K for the fiscal year ended January 31, 2022 that accompanies this proxy statement.</w:t>
      </w:r>
    </w:p>
    <w:p>
      <w:pPr>
        <w:spacing w:after="0" w:line="28" w:lineRule="exact"/>
        <w:rPr>
          <w:rFonts w:ascii="Arial" w:cs="Arial" w:eastAsia="Arial" w:hAnsi="Arial"/>
          <w:sz w:val="14"/>
          <w:szCs w:val="14"/>
          <w:color w:val="auto"/>
        </w:rPr>
      </w:pPr>
    </w:p>
    <w:p>
      <w:pPr>
        <w:ind w:left="380" w:hanging="359"/>
        <w:spacing w:after="0"/>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Michael joined the Board effective May 1, 2023 and did not receive any compensation in fiscal year 2022.</w:t>
      </w:r>
    </w:p>
    <w:p>
      <w:pPr>
        <w:spacing w:after="0" w:line="55" w:lineRule="exact"/>
        <w:rPr>
          <w:rFonts w:ascii="Arial" w:cs="Arial" w:eastAsia="Arial" w:hAnsi="Arial"/>
          <w:sz w:val="14"/>
          <w:szCs w:val="14"/>
          <w:color w:val="auto"/>
        </w:rPr>
      </w:pPr>
    </w:p>
    <w:p>
      <w:pPr>
        <w:ind w:left="380" w:right="20" w:hanging="359"/>
        <w:spacing w:after="0" w:line="257"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Rosensweig resigned from the Board effective April 1, 2023 and currently serves as an advisor to the Board. Mr. Rosensweig does not receive any additional compensation from us for his role as an advisor, though his outstanding equity awards will continue to vest in accordance with their terms.</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2"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The table below shows for each non-employee director who was serving, and held outstanding equity awards, as of January 31, 2023, the aggregate number of restricted stock unit awards and option awards (vested and unvested) held by each such non-employee director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39370</wp:posOffset>
            </wp:positionV>
            <wp:extent cx="6035040" cy="2489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5040" cy="248920"/>
                    </a:xfrm>
                    <a:prstGeom prst="rect">
                      <a:avLst/>
                    </a:prstGeom>
                    <a:noFill/>
                  </pic:spPr>
                </pic:pic>
              </a:graphicData>
            </a:graphic>
          </wp:anchor>
        </w:drawing>
      </w:r>
    </w:p>
    <w:p>
      <w:pPr>
        <w:spacing w:after="0" w:line="135" w:lineRule="exact"/>
        <w:rPr>
          <w:sz w:val="20"/>
          <w:szCs w:val="20"/>
          <w:color w:val="auto"/>
        </w:rPr>
      </w:pPr>
    </w:p>
    <w:p>
      <w:pPr>
        <w:ind w:left="20"/>
        <w:spacing w:after="0"/>
        <w:tabs>
          <w:tab w:leader="none" w:pos="160" w:val="left"/>
          <w:tab w:leader="none" w:pos="4200" w:val="left"/>
          <w:tab w:leader="none" w:pos="5060" w:val="left"/>
          <w:tab w:leader="none" w:pos="5900" w:val="left"/>
          <w:tab w:leader="none" w:pos="7360" w:val="left"/>
          <w:tab w:leader="none" w:pos="820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14"/>
          <w:szCs w:val="14"/>
          <w:b w:val="1"/>
          <w:bCs w:val="1"/>
          <w:color w:val="auto"/>
        </w:rPr>
        <w:t>Director</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4"/>
          <w:szCs w:val="14"/>
          <w:b w:val="1"/>
          <w:bCs w:val="1"/>
          <w:color w:val="auto"/>
        </w:rPr>
        <w:t>RSUs (#)</w:t>
      </w:r>
      <w:r>
        <w:rPr>
          <w:rFonts w:ascii="Arial" w:cs="Arial" w:eastAsia="Arial" w:hAnsi="Arial"/>
          <w:sz w:val="3"/>
          <w:szCs w:val="3"/>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4"/>
          <w:szCs w:val="14"/>
          <w:b w:val="1"/>
          <w:bCs w:val="1"/>
          <w:color w:val="auto"/>
        </w:rPr>
        <w:t>Stock Options (#)</w:t>
      </w:r>
      <w:r>
        <w:rPr>
          <w:rFonts w:ascii="Arial" w:cs="Arial" w:eastAsia="Arial" w:hAnsi="Arial"/>
          <w:sz w:val="3"/>
          <w:szCs w:val="3"/>
          <w:color w:val="auto"/>
        </w:rPr>
        <w:t>​</w:t>
      </w:r>
    </w:p>
    <w:p>
      <w:pPr>
        <w:sectPr>
          <w:pgSz w:w="11900" w:h="16838" w:orient="portrait"/>
          <w:cols w:equalWidth="0" w:num="1">
            <w:col w:w="9460"/>
          </w:cols>
          <w:pgMar w:left="1180" w:top="265" w:right="1259" w:bottom="1440" w:gutter="0" w:footer="0" w:header="0"/>
        </w:sectPr>
      </w:pPr>
    </w:p>
    <w:p>
      <w:pPr>
        <w:spacing w:after="0" w:line="252" w:lineRule="exact"/>
        <w:rPr>
          <w:sz w:val="20"/>
          <w:szCs w:val="20"/>
          <w:color w:val="auto"/>
        </w:rPr>
      </w:pPr>
    </w:p>
    <w:tbl>
      <w:tblPr>
        <w:tblLayout w:type="fixed"/>
        <w:tblInd w:w="180" w:type="dxa"/>
        <w:tblCellMar>
          <w:top w:w="0" w:type="dxa"/>
          <w:left w:w="0" w:type="dxa"/>
          <w:bottom w:w="0" w:type="dxa"/>
          <w:right w:w="0" w:type="dxa"/>
        </w:tblCellMar>
      </w:tblPr>
      <w:tr>
        <w:trPr>
          <w:trHeight w:val="182"/>
        </w:trPr>
        <w:tc>
          <w:tcPr>
            <w:tcW w:w="3100" w:type="dxa"/>
            <w:vAlign w:val="bottom"/>
          </w:tcPr>
          <w:p>
            <w:pPr>
              <w:spacing w:after="0"/>
              <w:rPr>
                <w:sz w:val="20"/>
                <w:szCs w:val="20"/>
                <w:color w:val="auto"/>
              </w:rPr>
            </w:pPr>
            <w:r>
              <w:rPr>
                <w:rFonts w:ascii="Arial" w:cs="Arial" w:eastAsia="Arial" w:hAnsi="Arial"/>
                <w:sz w:val="14"/>
                <w:szCs w:val="14"/>
                <w:color w:val="auto"/>
              </w:rPr>
              <w:t>Tim Bixby</w:t>
            </w:r>
          </w:p>
        </w:tc>
        <w:tc>
          <w:tcPr>
            <w:tcW w:w="1380" w:type="dxa"/>
            <w:vAlign w:val="bottom"/>
          </w:tcPr>
          <w:p>
            <w:pPr>
              <w:ind w:left="940"/>
              <w:spacing w:after="0"/>
              <w:rPr>
                <w:sz w:val="20"/>
                <w:szCs w:val="20"/>
                <w:color w:val="auto"/>
              </w:rPr>
            </w:pPr>
            <w:r>
              <w:rPr>
                <w:rFonts w:ascii="Arial" w:cs="Arial" w:eastAsia="Arial" w:hAnsi="Arial"/>
                <w:sz w:val="4"/>
                <w:szCs w:val="4"/>
                <w:color w:val="auto"/>
              </w:rPr>
              <w:t>​</w:t>
            </w:r>
          </w:p>
        </w:tc>
        <w:tc>
          <w:tcPr>
            <w:tcW w:w="920" w:type="dxa"/>
            <w:vAlign w:val="bottom"/>
          </w:tcPr>
          <w:p>
            <w:pPr>
              <w:ind w:left="420"/>
              <w:spacing w:after="0"/>
              <w:rPr>
                <w:sz w:val="20"/>
                <w:szCs w:val="20"/>
                <w:color w:val="auto"/>
              </w:rPr>
            </w:pPr>
            <w:r>
              <w:rPr>
                <w:rFonts w:ascii="Arial" w:cs="Arial" w:eastAsia="Arial" w:hAnsi="Arial"/>
                <w:sz w:val="4"/>
                <w:szCs w:val="4"/>
                <w:color w:val="auto"/>
              </w:rPr>
              <w:t>​</w:t>
            </w:r>
          </w:p>
        </w:tc>
        <w:tc>
          <w:tcPr>
            <w:tcW w:w="1380" w:type="dxa"/>
            <w:vAlign w:val="bottom"/>
          </w:tcPr>
          <w:p>
            <w:pPr>
              <w:ind w:left="500"/>
              <w:spacing w:after="0"/>
              <w:rPr>
                <w:sz w:val="20"/>
                <w:szCs w:val="20"/>
                <w:color w:val="auto"/>
              </w:rPr>
            </w:pPr>
            <w:r>
              <w:rPr>
                <w:rFonts w:ascii="Arial" w:cs="Arial" w:eastAsia="Arial" w:hAnsi="Arial"/>
                <w:sz w:val="14"/>
                <w:szCs w:val="14"/>
                <w:color w:val="auto"/>
              </w:rPr>
              <w:t>82,596</w:t>
            </w:r>
            <w:r>
              <w:rPr>
                <w:rFonts w:ascii="Arial" w:cs="Arial" w:eastAsia="Arial" w:hAnsi="Arial"/>
                <w:sz w:val="3"/>
                <w:szCs w:val="3"/>
                <w:color w:val="auto"/>
              </w:rPr>
              <w:t>​</w:t>
            </w:r>
          </w:p>
        </w:tc>
        <w:tc>
          <w:tcPr>
            <w:tcW w:w="1220" w:type="dxa"/>
            <w:vAlign w:val="bottom"/>
          </w:tcPr>
          <w:p>
            <w:pPr>
              <w:ind w:left="420"/>
              <w:spacing w:after="0"/>
              <w:rPr>
                <w:sz w:val="20"/>
                <w:szCs w:val="20"/>
                <w:color w:val="auto"/>
              </w:rPr>
            </w:pPr>
            <w:r>
              <w:rPr>
                <w:rFonts w:ascii="Arial" w:cs="Arial" w:eastAsia="Arial" w:hAnsi="Arial"/>
                <w:sz w:val="4"/>
                <w:szCs w:val="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r>
      <w:tr>
        <w:trPr>
          <w:trHeight w:val="405"/>
        </w:trPr>
        <w:tc>
          <w:tcPr>
            <w:tcW w:w="3100" w:type="dxa"/>
            <w:vAlign w:val="bottom"/>
          </w:tcPr>
          <w:p>
            <w:pPr>
              <w:spacing w:after="0"/>
              <w:rPr>
                <w:sz w:val="20"/>
                <w:szCs w:val="20"/>
                <w:color w:val="auto"/>
              </w:rPr>
            </w:pPr>
            <w:r>
              <w:rPr>
                <w:rFonts w:ascii="Arial" w:cs="Arial" w:eastAsia="Arial" w:hAnsi="Arial"/>
                <w:sz w:val="14"/>
                <w:szCs w:val="14"/>
                <w:color w:val="auto"/>
              </w:rPr>
              <w:t>Jennifer Fleiss</w:t>
            </w:r>
          </w:p>
        </w:tc>
        <w:tc>
          <w:tcPr>
            <w:tcW w:w="1380" w:type="dxa"/>
            <w:vAlign w:val="bottom"/>
          </w:tcPr>
          <w:p>
            <w:pPr>
              <w:ind w:left="940"/>
              <w:spacing w:after="0"/>
              <w:rPr>
                <w:sz w:val="20"/>
                <w:szCs w:val="20"/>
                <w:color w:val="auto"/>
              </w:rPr>
            </w:pPr>
            <w:r>
              <w:rPr>
                <w:rFonts w:ascii="Arial" w:cs="Arial" w:eastAsia="Arial" w:hAnsi="Arial"/>
                <w:sz w:val="4"/>
                <w:szCs w:val="4"/>
                <w:color w:val="auto"/>
              </w:rPr>
              <w:t>​</w:t>
            </w:r>
          </w:p>
        </w:tc>
        <w:tc>
          <w:tcPr>
            <w:tcW w:w="920" w:type="dxa"/>
            <w:vAlign w:val="bottom"/>
          </w:tcPr>
          <w:p>
            <w:pPr>
              <w:ind w:left="420"/>
              <w:spacing w:after="0"/>
              <w:rPr>
                <w:sz w:val="20"/>
                <w:szCs w:val="20"/>
                <w:color w:val="auto"/>
              </w:rPr>
            </w:pPr>
            <w:r>
              <w:rPr>
                <w:rFonts w:ascii="Arial" w:cs="Arial" w:eastAsia="Arial" w:hAnsi="Arial"/>
                <w:sz w:val="4"/>
                <w:szCs w:val="4"/>
                <w:color w:val="auto"/>
              </w:rPr>
              <w:t>​</w:t>
            </w:r>
          </w:p>
        </w:tc>
        <w:tc>
          <w:tcPr>
            <w:tcW w:w="1380" w:type="dxa"/>
            <w:vAlign w:val="bottom"/>
          </w:tcPr>
          <w:p>
            <w:pPr>
              <w:ind w:left="500"/>
              <w:spacing w:after="0"/>
              <w:rPr>
                <w:sz w:val="20"/>
                <w:szCs w:val="20"/>
                <w:color w:val="auto"/>
              </w:rPr>
            </w:pPr>
            <w:r>
              <w:rPr>
                <w:rFonts w:ascii="Arial" w:cs="Arial" w:eastAsia="Arial" w:hAnsi="Arial"/>
                <w:sz w:val="14"/>
                <w:szCs w:val="14"/>
                <w:color w:val="auto"/>
              </w:rPr>
              <w:t>69,799</w:t>
            </w:r>
            <w:r>
              <w:rPr>
                <w:rFonts w:ascii="Arial" w:cs="Arial" w:eastAsia="Arial" w:hAnsi="Arial"/>
                <w:sz w:val="3"/>
                <w:szCs w:val="3"/>
                <w:color w:val="auto"/>
              </w:rPr>
              <w:t>​</w:t>
            </w:r>
          </w:p>
        </w:tc>
        <w:tc>
          <w:tcPr>
            <w:tcW w:w="1220" w:type="dxa"/>
            <w:vAlign w:val="bottom"/>
          </w:tcPr>
          <w:p>
            <w:pPr>
              <w:ind w:left="420"/>
              <w:spacing w:after="0"/>
              <w:rPr>
                <w:sz w:val="20"/>
                <w:szCs w:val="20"/>
                <w:color w:val="auto"/>
              </w:rPr>
            </w:pPr>
            <w:r>
              <w:rPr>
                <w:rFonts w:ascii="Arial" w:cs="Arial" w:eastAsia="Arial" w:hAnsi="Arial"/>
                <w:sz w:val="4"/>
                <w:szCs w:val="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r>
      <w:tr>
        <w:trPr>
          <w:trHeight w:val="391"/>
        </w:trPr>
        <w:tc>
          <w:tcPr>
            <w:tcW w:w="3100" w:type="dxa"/>
            <w:vAlign w:val="bottom"/>
          </w:tcPr>
          <w:p>
            <w:pPr>
              <w:spacing w:after="0"/>
              <w:rPr>
                <w:sz w:val="20"/>
                <w:szCs w:val="20"/>
                <w:color w:val="auto"/>
              </w:rPr>
            </w:pPr>
            <w:r>
              <w:rPr>
                <w:rFonts w:ascii="Arial" w:cs="Arial" w:eastAsia="Arial" w:hAnsi="Arial"/>
                <w:sz w:val="14"/>
                <w:szCs w:val="14"/>
                <w:color w:val="auto"/>
              </w:rPr>
              <w:t>Scott Friend</w:t>
            </w:r>
          </w:p>
        </w:tc>
        <w:tc>
          <w:tcPr>
            <w:tcW w:w="1380" w:type="dxa"/>
            <w:vAlign w:val="bottom"/>
          </w:tcPr>
          <w:p>
            <w:pPr>
              <w:ind w:left="940"/>
              <w:spacing w:after="0"/>
              <w:rPr>
                <w:sz w:val="20"/>
                <w:szCs w:val="20"/>
                <w:color w:val="auto"/>
              </w:rPr>
            </w:pPr>
            <w:r>
              <w:rPr>
                <w:rFonts w:ascii="Arial" w:cs="Arial" w:eastAsia="Arial" w:hAnsi="Arial"/>
                <w:sz w:val="4"/>
                <w:szCs w:val="4"/>
                <w:color w:val="auto"/>
              </w:rPr>
              <w:t>​</w:t>
            </w:r>
          </w:p>
        </w:tc>
        <w:tc>
          <w:tcPr>
            <w:tcW w:w="920" w:type="dxa"/>
            <w:vAlign w:val="bottom"/>
          </w:tcPr>
          <w:p>
            <w:pPr>
              <w:ind w:left="420"/>
              <w:spacing w:after="0"/>
              <w:rPr>
                <w:sz w:val="20"/>
                <w:szCs w:val="20"/>
                <w:color w:val="auto"/>
              </w:rPr>
            </w:pPr>
            <w:r>
              <w:rPr>
                <w:rFonts w:ascii="Arial" w:cs="Arial" w:eastAsia="Arial" w:hAnsi="Arial"/>
                <w:sz w:val="4"/>
                <w:szCs w:val="4"/>
                <w:color w:val="auto"/>
              </w:rPr>
              <w:t>​</w:t>
            </w:r>
          </w:p>
        </w:tc>
        <w:tc>
          <w:tcPr>
            <w:tcW w:w="1380" w:type="dxa"/>
            <w:vAlign w:val="bottom"/>
          </w:tcPr>
          <w:p>
            <w:pPr>
              <w:ind w:left="500"/>
              <w:spacing w:after="0"/>
              <w:rPr>
                <w:sz w:val="20"/>
                <w:szCs w:val="20"/>
                <w:color w:val="auto"/>
              </w:rPr>
            </w:pPr>
            <w:r>
              <w:rPr>
                <w:rFonts w:ascii="Arial" w:cs="Arial" w:eastAsia="Arial" w:hAnsi="Arial"/>
                <w:sz w:val="14"/>
                <w:szCs w:val="14"/>
                <w:color w:val="auto"/>
              </w:rPr>
              <w:t>14,758</w:t>
            </w:r>
            <w:r>
              <w:rPr>
                <w:rFonts w:ascii="Arial" w:cs="Arial" w:eastAsia="Arial" w:hAnsi="Arial"/>
                <w:sz w:val="3"/>
                <w:szCs w:val="3"/>
                <w:color w:val="auto"/>
              </w:rPr>
              <w:t>​</w:t>
            </w:r>
          </w:p>
        </w:tc>
        <w:tc>
          <w:tcPr>
            <w:tcW w:w="1220" w:type="dxa"/>
            <w:vAlign w:val="bottom"/>
          </w:tcPr>
          <w:p>
            <w:pPr>
              <w:ind w:left="420"/>
              <w:spacing w:after="0"/>
              <w:rPr>
                <w:sz w:val="20"/>
                <w:szCs w:val="20"/>
                <w:color w:val="auto"/>
              </w:rPr>
            </w:pPr>
            <w:r>
              <w:rPr>
                <w:rFonts w:ascii="Arial" w:cs="Arial" w:eastAsia="Arial" w:hAnsi="Arial"/>
                <w:sz w:val="4"/>
                <w:szCs w:val="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r>
      <w:tr>
        <w:trPr>
          <w:trHeight w:val="405"/>
        </w:trPr>
        <w:tc>
          <w:tcPr>
            <w:tcW w:w="3100" w:type="dxa"/>
            <w:vAlign w:val="bottom"/>
          </w:tcPr>
          <w:p>
            <w:pPr>
              <w:spacing w:after="0"/>
              <w:rPr>
                <w:sz w:val="20"/>
                <w:szCs w:val="20"/>
                <w:color w:val="auto"/>
              </w:rPr>
            </w:pPr>
            <w:r>
              <w:rPr>
                <w:rFonts w:ascii="Arial" w:cs="Arial" w:eastAsia="Arial" w:hAnsi="Arial"/>
                <w:sz w:val="14"/>
                <w:szCs w:val="14"/>
                <w:color w:val="auto"/>
              </w:rPr>
              <w:t>Melanie Harris</w:t>
            </w:r>
          </w:p>
        </w:tc>
        <w:tc>
          <w:tcPr>
            <w:tcW w:w="1380" w:type="dxa"/>
            <w:vAlign w:val="bottom"/>
          </w:tcPr>
          <w:p>
            <w:pPr>
              <w:ind w:left="940"/>
              <w:spacing w:after="0"/>
              <w:rPr>
                <w:sz w:val="20"/>
                <w:szCs w:val="20"/>
                <w:color w:val="auto"/>
              </w:rPr>
            </w:pPr>
            <w:r>
              <w:rPr>
                <w:rFonts w:ascii="Arial" w:cs="Arial" w:eastAsia="Arial" w:hAnsi="Arial"/>
                <w:sz w:val="4"/>
                <w:szCs w:val="4"/>
                <w:color w:val="auto"/>
              </w:rPr>
              <w:t>​</w:t>
            </w:r>
          </w:p>
        </w:tc>
        <w:tc>
          <w:tcPr>
            <w:tcW w:w="920" w:type="dxa"/>
            <w:vAlign w:val="bottom"/>
          </w:tcPr>
          <w:p>
            <w:pPr>
              <w:ind w:left="420"/>
              <w:spacing w:after="0"/>
              <w:rPr>
                <w:sz w:val="20"/>
                <w:szCs w:val="20"/>
                <w:color w:val="auto"/>
              </w:rPr>
            </w:pPr>
            <w:r>
              <w:rPr>
                <w:rFonts w:ascii="Arial" w:cs="Arial" w:eastAsia="Arial" w:hAnsi="Arial"/>
                <w:sz w:val="4"/>
                <w:szCs w:val="4"/>
                <w:color w:val="auto"/>
              </w:rPr>
              <w:t>​</w:t>
            </w:r>
          </w:p>
        </w:tc>
        <w:tc>
          <w:tcPr>
            <w:tcW w:w="1380" w:type="dxa"/>
            <w:vAlign w:val="bottom"/>
          </w:tcPr>
          <w:p>
            <w:pPr>
              <w:ind w:left="500"/>
              <w:spacing w:after="0"/>
              <w:rPr>
                <w:sz w:val="20"/>
                <w:szCs w:val="20"/>
                <w:color w:val="auto"/>
              </w:rPr>
            </w:pPr>
            <w:r>
              <w:rPr>
                <w:rFonts w:ascii="Arial" w:cs="Arial" w:eastAsia="Arial" w:hAnsi="Arial"/>
                <w:sz w:val="14"/>
                <w:szCs w:val="14"/>
                <w:color w:val="auto"/>
              </w:rPr>
              <w:t>69,799</w:t>
            </w:r>
            <w:r>
              <w:rPr>
                <w:rFonts w:ascii="Arial" w:cs="Arial" w:eastAsia="Arial" w:hAnsi="Arial"/>
                <w:sz w:val="3"/>
                <w:szCs w:val="3"/>
                <w:color w:val="auto"/>
              </w:rPr>
              <w:t>​</w:t>
            </w:r>
          </w:p>
        </w:tc>
        <w:tc>
          <w:tcPr>
            <w:tcW w:w="1220" w:type="dxa"/>
            <w:vAlign w:val="bottom"/>
          </w:tcPr>
          <w:p>
            <w:pPr>
              <w:ind w:left="420"/>
              <w:spacing w:after="0"/>
              <w:rPr>
                <w:sz w:val="20"/>
                <w:szCs w:val="20"/>
                <w:color w:val="auto"/>
              </w:rPr>
            </w:pPr>
            <w:r>
              <w:rPr>
                <w:rFonts w:ascii="Arial" w:cs="Arial" w:eastAsia="Arial" w:hAnsi="Arial"/>
                <w:sz w:val="4"/>
                <w:szCs w:val="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r>
      <w:tr>
        <w:trPr>
          <w:trHeight w:val="405"/>
        </w:trPr>
        <w:tc>
          <w:tcPr>
            <w:tcW w:w="3100" w:type="dxa"/>
            <w:vAlign w:val="bottom"/>
          </w:tcPr>
          <w:p>
            <w:pPr>
              <w:spacing w:after="0"/>
              <w:rPr>
                <w:sz w:val="20"/>
                <w:szCs w:val="20"/>
                <w:color w:val="auto"/>
              </w:rPr>
            </w:pPr>
            <w:r>
              <w:rPr>
                <w:rFonts w:ascii="Arial" w:cs="Arial" w:eastAsia="Arial" w:hAnsi="Arial"/>
                <w:sz w:val="14"/>
                <w:szCs w:val="14"/>
                <w:color w:val="auto"/>
              </w:rPr>
              <w:t>Beth Kaplan</w:t>
            </w:r>
          </w:p>
        </w:tc>
        <w:tc>
          <w:tcPr>
            <w:tcW w:w="1380" w:type="dxa"/>
            <w:vAlign w:val="bottom"/>
          </w:tcPr>
          <w:p>
            <w:pPr>
              <w:ind w:left="940"/>
              <w:spacing w:after="0"/>
              <w:rPr>
                <w:sz w:val="20"/>
                <w:szCs w:val="20"/>
                <w:color w:val="auto"/>
              </w:rPr>
            </w:pPr>
            <w:r>
              <w:rPr>
                <w:rFonts w:ascii="Arial" w:cs="Arial" w:eastAsia="Arial" w:hAnsi="Arial"/>
                <w:sz w:val="4"/>
                <w:szCs w:val="4"/>
                <w:color w:val="auto"/>
              </w:rPr>
              <w:t>​</w:t>
            </w:r>
          </w:p>
        </w:tc>
        <w:tc>
          <w:tcPr>
            <w:tcW w:w="920" w:type="dxa"/>
            <w:vAlign w:val="bottom"/>
          </w:tcPr>
          <w:p>
            <w:pPr>
              <w:ind w:left="420"/>
              <w:spacing w:after="0"/>
              <w:rPr>
                <w:sz w:val="20"/>
                <w:szCs w:val="20"/>
                <w:color w:val="auto"/>
              </w:rPr>
            </w:pPr>
            <w:r>
              <w:rPr>
                <w:rFonts w:ascii="Arial" w:cs="Arial" w:eastAsia="Arial" w:hAnsi="Arial"/>
                <w:sz w:val="4"/>
                <w:szCs w:val="4"/>
                <w:color w:val="auto"/>
              </w:rPr>
              <w:t>​</w:t>
            </w:r>
          </w:p>
        </w:tc>
        <w:tc>
          <w:tcPr>
            <w:tcW w:w="1380" w:type="dxa"/>
            <w:vAlign w:val="bottom"/>
          </w:tcPr>
          <w:p>
            <w:pPr>
              <w:ind w:left="500"/>
              <w:spacing w:after="0"/>
              <w:rPr>
                <w:sz w:val="20"/>
                <w:szCs w:val="20"/>
                <w:color w:val="auto"/>
              </w:rPr>
            </w:pPr>
            <w:r>
              <w:rPr>
                <w:rFonts w:ascii="Arial" w:cs="Arial" w:eastAsia="Arial" w:hAnsi="Arial"/>
                <w:sz w:val="14"/>
                <w:szCs w:val="14"/>
                <w:color w:val="auto"/>
              </w:rPr>
              <w:t>69,799</w:t>
            </w:r>
            <w:r>
              <w:rPr>
                <w:rFonts w:ascii="Arial" w:cs="Arial" w:eastAsia="Arial" w:hAnsi="Arial"/>
                <w:sz w:val="3"/>
                <w:szCs w:val="3"/>
                <w:color w:val="auto"/>
              </w:rPr>
              <w:t>​</w:t>
            </w:r>
          </w:p>
        </w:tc>
        <w:tc>
          <w:tcPr>
            <w:tcW w:w="1220" w:type="dxa"/>
            <w:vAlign w:val="bottom"/>
          </w:tcPr>
          <w:p>
            <w:pPr>
              <w:ind w:left="420"/>
              <w:spacing w:after="0"/>
              <w:rPr>
                <w:sz w:val="20"/>
                <w:szCs w:val="20"/>
                <w:color w:val="auto"/>
              </w:rPr>
            </w:pPr>
            <w:r>
              <w:rPr>
                <w:rFonts w:ascii="Arial" w:cs="Arial" w:eastAsia="Arial" w:hAnsi="Arial"/>
                <w:sz w:val="4"/>
                <w:szCs w:val="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55,167</w:t>
            </w:r>
            <w:r>
              <w:rPr>
                <w:rFonts w:ascii="Arial" w:cs="Arial" w:eastAsia="Arial" w:hAnsi="Arial"/>
                <w:sz w:val="3"/>
                <w:szCs w:val="3"/>
                <w:color w:val="auto"/>
              </w:rPr>
              <w:t>​</w:t>
            </w:r>
          </w:p>
        </w:tc>
      </w:tr>
      <w:tr>
        <w:trPr>
          <w:trHeight w:val="392"/>
        </w:trPr>
        <w:tc>
          <w:tcPr>
            <w:tcW w:w="3100" w:type="dxa"/>
            <w:vAlign w:val="bottom"/>
          </w:tcPr>
          <w:p>
            <w:pPr>
              <w:spacing w:after="0"/>
              <w:rPr>
                <w:sz w:val="20"/>
                <w:szCs w:val="20"/>
                <w:color w:val="auto"/>
              </w:rPr>
            </w:pPr>
            <w:r>
              <w:rPr>
                <w:rFonts w:ascii="Arial" w:cs="Arial" w:eastAsia="Arial" w:hAnsi="Arial"/>
                <w:sz w:val="14"/>
                <w:szCs w:val="14"/>
                <w:color w:val="auto"/>
              </w:rPr>
              <w:t>Dan Nova</w:t>
            </w:r>
          </w:p>
        </w:tc>
        <w:tc>
          <w:tcPr>
            <w:tcW w:w="1380" w:type="dxa"/>
            <w:vAlign w:val="bottom"/>
          </w:tcPr>
          <w:p>
            <w:pPr>
              <w:ind w:left="940"/>
              <w:spacing w:after="0"/>
              <w:rPr>
                <w:sz w:val="20"/>
                <w:szCs w:val="20"/>
                <w:color w:val="auto"/>
              </w:rPr>
            </w:pPr>
            <w:r>
              <w:rPr>
                <w:rFonts w:ascii="Arial" w:cs="Arial" w:eastAsia="Arial" w:hAnsi="Arial"/>
                <w:sz w:val="4"/>
                <w:szCs w:val="4"/>
                <w:color w:val="auto"/>
              </w:rPr>
              <w:t>​</w:t>
            </w:r>
          </w:p>
        </w:tc>
        <w:tc>
          <w:tcPr>
            <w:tcW w:w="920" w:type="dxa"/>
            <w:vAlign w:val="bottom"/>
          </w:tcPr>
          <w:p>
            <w:pPr>
              <w:ind w:left="420"/>
              <w:spacing w:after="0"/>
              <w:rPr>
                <w:sz w:val="20"/>
                <w:szCs w:val="20"/>
                <w:color w:val="auto"/>
              </w:rPr>
            </w:pPr>
            <w:r>
              <w:rPr>
                <w:rFonts w:ascii="Arial" w:cs="Arial" w:eastAsia="Arial" w:hAnsi="Arial"/>
                <w:sz w:val="4"/>
                <w:szCs w:val="4"/>
                <w:color w:val="auto"/>
              </w:rPr>
              <w:t>​</w:t>
            </w:r>
          </w:p>
        </w:tc>
        <w:tc>
          <w:tcPr>
            <w:tcW w:w="1380" w:type="dxa"/>
            <w:vAlign w:val="bottom"/>
          </w:tcPr>
          <w:p>
            <w:pPr>
              <w:ind w:left="500"/>
              <w:spacing w:after="0"/>
              <w:rPr>
                <w:sz w:val="20"/>
                <w:szCs w:val="20"/>
                <w:color w:val="auto"/>
              </w:rPr>
            </w:pPr>
            <w:r>
              <w:rPr>
                <w:rFonts w:ascii="Arial" w:cs="Arial" w:eastAsia="Arial" w:hAnsi="Arial"/>
                <w:sz w:val="14"/>
                <w:szCs w:val="14"/>
                <w:color w:val="auto"/>
              </w:rPr>
              <w:t>14,758</w:t>
            </w:r>
            <w:r>
              <w:rPr>
                <w:rFonts w:ascii="Arial" w:cs="Arial" w:eastAsia="Arial" w:hAnsi="Arial"/>
                <w:sz w:val="3"/>
                <w:szCs w:val="3"/>
                <w:color w:val="auto"/>
              </w:rPr>
              <w:t>​</w:t>
            </w:r>
          </w:p>
        </w:tc>
        <w:tc>
          <w:tcPr>
            <w:tcW w:w="1220" w:type="dxa"/>
            <w:vAlign w:val="bottom"/>
          </w:tcPr>
          <w:p>
            <w:pPr>
              <w:ind w:left="420"/>
              <w:spacing w:after="0"/>
              <w:rPr>
                <w:sz w:val="20"/>
                <w:szCs w:val="20"/>
                <w:color w:val="auto"/>
              </w:rPr>
            </w:pPr>
            <w:r>
              <w:rPr>
                <w:rFonts w:ascii="Arial" w:cs="Arial" w:eastAsia="Arial" w:hAnsi="Arial"/>
                <w:sz w:val="4"/>
                <w:szCs w:val="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r>
      <w:tr>
        <w:trPr>
          <w:trHeight w:val="405"/>
        </w:trPr>
        <w:tc>
          <w:tcPr>
            <w:tcW w:w="3100" w:type="dxa"/>
            <w:vAlign w:val="bottom"/>
          </w:tcPr>
          <w:p>
            <w:pPr>
              <w:spacing w:after="0"/>
              <w:rPr>
                <w:sz w:val="20"/>
                <w:szCs w:val="20"/>
                <w:color w:val="auto"/>
              </w:rPr>
            </w:pPr>
            <w:r>
              <w:rPr>
                <w:rFonts w:ascii="Arial" w:cs="Arial" w:eastAsia="Arial" w:hAnsi="Arial"/>
                <w:sz w:val="14"/>
                <w:szCs w:val="14"/>
                <w:color w:val="auto"/>
              </w:rPr>
              <w:t>Gwyneth Paltrow</w:t>
            </w:r>
          </w:p>
        </w:tc>
        <w:tc>
          <w:tcPr>
            <w:tcW w:w="1380" w:type="dxa"/>
            <w:vAlign w:val="bottom"/>
          </w:tcPr>
          <w:p>
            <w:pPr>
              <w:ind w:left="940"/>
              <w:spacing w:after="0"/>
              <w:rPr>
                <w:sz w:val="20"/>
                <w:szCs w:val="20"/>
                <w:color w:val="auto"/>
              </w:rPr>
            </w:pPr>
            <w:r>
              <w:rPr>
                <w:rFonts w:ascii="Arial" w:cs="Arial" w:eastAsia="Arial" w:hAnsi="Arial"/>
                <w:sz w:val="4"/>
                <w:szCs w:val="4"/>
                <w:color w:val="auto"/>
              </w:rPr>
              <w:t>​</w:t>
            </w:r>
          </w:p>
        </w:tc>
        <w:tc>
          <w:tcPr>
            <w:tcW w:w="920" w:type="dxa"/>
            <w:vAlign w:val="bottom"/>
          </w:tcPr>
          <w:p>
            <w:pPr>
              <w:ind w:left="420"/>
              <w:spacing w:after="0"/>
              <w:rPr>
                <w:sz w:val="20"/>
                <w:szCs w:val="20"/>
                <w:color w:val="auto"/>
              </w:rPr>
            </w:pPr>
            <w:r>
              <w:rPr>
                <w:rFonts w:ascii="Arial" w:cs="Arial" w:eastAsia="Arial" w:hAnsi="Arial"/>
                <w:sz w:val="4"/>
                <w:szCs w:val="4"/>
                <w:color w:val="auto"/>
              </w:rPr>
              <w:t>​</w:t>
            </w:r>
          </w:p>
        </w:tc>
        <w:tc>
          <w:tcPr>
            <w:tcW w:w="1380" w:type="dxa"/>
            <w:vAlign w:val="bottom"/>
          </w:tcPr>
          <w:p>
            <w:pPr>
              <w:ind w:left="500"/>
              <w:spacing w:after="0"/>
              <w:rPr>
                <w:sz w:val="20"/>
                <w:szCs w:val="20"/>
                <w:color w:val="auto"/>
              </w:rPr>
            </w:pPr>
            <w:r>
              <w:rPr>
                <w:rFonts w:ascii="Arial" w:cs="Arial" w:eastAsia="Arial" w:hAnsi="Arial"/>
                <w:sz w:val="14"/>
                <w:szCs w:val="14"/>
                <w:color w:val="auto"/>
              </w:rPr>
              <w:t>69,799</w:t>
            </w:r>
            <w:r>
              <w:rPr>
                <w:rFonts w:ascii="Arial" w:cs="Arial" w:eastAsia="Arial" w:hAnsi="Arial"/>
                <w:sz w:val="3"/>
                <w:szCs w:val="3"/>
                <w:color w:val="auto"/>
              </w:rPr>
              <w:t>​</w:t>
            </w:r>
          </w:p>
        </w:tc>
        <w:tc>
          <w:tcPr>
            <w:tcW w:w="1220" w:type="dxa"/>
            <w:vAlign w:val="bottom"/>
          </w:tcPr>
          <w:p>
            <w:pPr>
              <w:ind w:left="420"/>
              <w:spacing w:after="0"/>
              <w:rPr>
                <w:sz w:val="20"/>
                <w:szCs w:val="20"/>
                <w:color w:val="auto"/>
              </w:rPr>
            </w:pPr>
            <w:r>
              <w:rPr>
                <w:rFonts w:ascii="Arial" w:cs="Arial" w:eastAsia="Arial" w:hAnsi="Arial"/>
                <w:sz w:val="4"/>
                <w:szCs w:val="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r>
      <w:tr>
        <w:trPr>
          <w:trHeight w:val="405"/>
        </w:trPr>
        <w:tc>
          <w:tcPr>
            <w:tcW w:w="3100" w:type="dxa"/>
            <w:vAlign w:val="bottom"/>
          </w:tcPr>
          <w:p>
            <w:pPr>
              <w:spacing w:after="0"/>
              <w:rPr>
                <w:sz w:val="20"/>
                <w:szCs w:val="20"/>
                <w:color w:val="auto"/>
              </w:rPr>
            </w:pPr>
            <w:r>
              <w:rPr>
                <w:rFonts w:ascii="Arial" w:cs="Arial" w:eastAsia="Arial" w:hAnsi="Arial"/>
                <w:sz w:val="14"/>
                <w:szCs w:val="14"/>
                <w:color w:val="auto"/>
              </w:rPr>
              <w:t>Carley Roney</w:t>
            </w:r>
          </w:p>
        </w:tc>
        <w:tc>
          <w:tcPr>
            <w:tcW w:w="1380" w:type="dxa"/>
            <w:vAlign w:val="bottom"/>
          </w:tcPr>
          <w:p>
            <w:pPr>
              <w:ind w:left="940"/>
              <w:spacing w:after="0"/>
              <w:rPr>
                <w:sz w:val="20"/>
                <w:szCs w:val="20"/>
                <w:color w:val="auto"/>
              </w:rPr>
            </w:pPr>
            <w:r>
              <w:rPr>
                <w:rFonts w:ascii="Arial" w:cs="Arial" w:eastAsia="Arial" w:hAnsi="Arial"/>
                <w:sz w:val="4"/>
                <w:szCs w:val="4"/>
                <w:color w:val="auto"/>
              </w:rPr>
              <w:t>​</w:t>
            </w:r>
          </w:p>
        </w:tc>
        <w:tc>
          <w:tcPr>
            <w:tcW w:w="920" w:type="dxa"/>
            <w:vAlign w:val="bottom"/>
          </w:tcPr>
          <w:p>
            <w:pPr>
              <w:ind w:left="420"/>
              <w:spacing w:after="0"/>
              <w:rPr>
                <w:sz w:val="20"/>
                <w:szCs w:val="20"/>
                <w:color w:val="auto"/>
              </w:rPr>
            </w:pPr>
            <w:r>
              <w:rPr>
                <w:rFonts w:ascii="Arial" w:cs="Arial" w:eastAsia="Arial" w:hAnsi="Arial"/>
                <w:sz w:val="4"/>
                <w:szCs w:val="4"/>
                <w:color w:val="auto"/>
              </w:rPr>
              <w:t>​</w:t>
            </w:r>
          </w:p>
        </w:tc>
        <w:tc>
          <w:tcPr>
            <w:tcW w:w="1380" w:type="dxa"/>
            <w:vAlign w:val="bottom"/>
          </w:tcPr>
          <w:p>
            <w:pPr>
              <w:ind w:left="500"/>
              <w:spacing w:after="0"/>
              <w:rPr>
                <w:sz w:val="20"/>
                <w:szCs w:val="20"/>
                <w:color w:val="auto"/>
              </w:rPr>
            </w:pPr>
            <w:r>
              <w:rPr>
                <w:rFonts w:ascii="Arial" w:cs="Arial" w:eastAsia="Arial" w:hAnsi="Arial"/>
                <w:sz w:val="14"/>
                <w:szCs w:val="14"/>
                <w:color w:val="auto"/>
              </w:rPr>
              <w:t>35,216</w:t>
            </w:r>
            <w:r>
              <w:rPr>
                <w:rFonts w:ascii="Arial" w:cs="Arial" w:eastAsia="Arial" w:hAnsi="Arial"/>
                <w:sz w:val="3"/>
                <w:szCs w:val="3"/>
                <w:color w:val="auto"/>
              </w:rPr>
              <w:t>​</w:t>
            </w:r>
          </w:p>
        </w:tc>
        <w:tc>
          <w:tcPr>
            <w:tcW w:w="1220" w:type="dxa"/>
            <w:vAlign w:val="bottom"/>
          </w:tcPr>
          <w:p>
            <w:pPr>
              <w:ind w:left="420"/>
              <w:spacing w:after="0"/>
              <w:rPr>
                <w:sz w:val="20"/>
                <w:szCs w:val="20"/>
                <w:color w:val="auto"/>
              </w:rPr>
            </w:pPr>
            <w:r>
              <w:rPr>
                <w:rFonts w:ascii="Arial" w:cs="Arial" w:eastAsia="Arial" w:hAnsi="Arial"/>
                <w:sz w:val="4"/>
                <w:szCs w:val="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r>
      <w:tr>
        <w:trPr>
          <w:trHeight w:val="392"/>
        </w:trPr>
        <w:tc>
          <w:tcPr>
            <w:tcW w:w="3100" w:type="dxa"/>
            <w:vAlign w:val="bottom"/>
          </w:tcPr>
          <w:p>
            <w:pPr>
              <w:spacing w:after="0"/>
              <w:rPr>
                <w:sz w:val="20"/>
                <w:szCs w:val="20"/>
                <w:color w:val="auto"/>
              </w:rPr>
            </w:pPr>
            <w:r>
              <w:rPr>
                <w:rFonts w:ascii="Arial" w:cs="Arial" w:eastAsia="Arial" w:hAnsi="Arial"/>
                <w:sz w:val="14"/>
                <w:szCs w:val="14"/>
                <w:color w:val="auto"/>
              </w:rPr>
              <w:t>Dan Rosensweig (former director)</w:t>
            </w:r>
          </w:p>
        </w:tc>
        <w:tc>
          <w:tcPr>
            <w:tcW w:w="1380" w:type="dxa"/>
            <w:vAlign w:val="bottom"/>
          </w:tcPr>
          <w:p>
            <w:pPr>
              <w:ind w:left="940"/>
              <w:spacing w:after="0"/>
              <w:rPr>
                <w:sz w:val="20"/>
                <w:szCs w:val="20"/>
                <w:color w:val="auto"/>
              </w:rPr>
            </w:pPr>
            <w:r>
              <w:rPr>
                <w:rFonts w:ascii="Arial" w:cs="Arial" w:eastAsia="Arial" w:hAnsi="Arial"/>
                <w:sz w:val="4"/>
                <w:szCs w:val="4"/>
                <w:color w:val="auto"/>
              </w:rPr>
              <w:t>​</w:t>
            </w:r>
          </w:p>
        </w:tc>
        <w:tc>
          <w:tcPr>
            <w:tcW w:w="920" w:type="dxa"/>
            <w:vAlign w:val="bottom"/>
          </w:tcPr>
          <w:p>
            <w:pPr>
              <w:ind w:left="420"/>
              <w:spacing w:after="0"/>
              <w:rPr>
                <w:sz w:val="20"/>
                <w:szCs w:val="20"/>
                <w:color w:val="auto"/>
              </w:rPr>
            </w:pPr>
            <w:r>
              <w:rPr>
                <w:rFonts w:ascii="Arial" w:cs="Arial" w:eastAsia="Arial" w:hAnsi="Arial"/>
                <w:sz w:val="4"/>
                <w:szCs w:val="4"/>
                <w:color w:val="auto"/>
              </w:rPr>
              <w:t>​</w:t>
            </w:r>
          </w:p>
        </w:tc>
        <w:tc>
          <w:tcPr>
            <w:tcW w:w="1380" w:type="dxa"/>
            <w:vAlign w:val="bottom"/>
          </w:tcPr>
          <w:p>
            <w:pPr>
              <w:ind w:left="500"/>
              <w:spacing w:after="0"/>
              <w:rPr>
                <w:sz w:val="20"/>
                <w:szCs w:val="20"/>
                <w:color w:val="auto"/>
              </w:rPr>
            </w:pPr>
            <w:r>
              <w:rPr>
                <w:rFonts w:ascii="Arial" w:cs="Arial" w:eastAsia="Arial" w:hAnsi="Arial"/>
                <w:sz w:val="14"/>
                <w:szCs w:val="14"/>
                <w:color w:val="auto"/>
              </w:rPr>
              <w:t>14,758</w:t>
            </w:r>
            <w:r>
              <w:rPr>
                <w:rFonts w:ascii="Arial" w:cs="Arial" w:eastAsia="Arial" w:hAnsi="Arial"/>
                <w:sz w:val="3"/>
                <w:szCs w:val="3"/>
                <w:color w:val="auto"/>
              </w:rPr>
              <w:t>​</w:t>
            </w:r>
          </w:p>
        </w:tc>
        <w:tc>
          <w:tcPr>
            <w:tcW w:w="1220" w:type="dxa"/>
            <w:vAlign w:val="bottom"/>
          </w:tcPr>
          <w:p>
            <w:pPr>
              <w:ind w:left="420"/>
              <w:spacing w:after="0"/>
              <w:rPr>
                <w:sz w:val="20"/>
                <w:szCs w:val="20"/>
                <w:color w:val="auto"/>
              </w:rPr>
            </w:pPr>
            <w:r>
              <w:rPr>
                <w:rFonts w:ascii="Arial" w:cs="Arial" w:eastAsia="Arial" w:hAnsi="Arial"/>
                <w:sz w:val="4"/>
                <w:szCs w:val="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9,334</w:t>
            </w:r>
            <w:r>
              <w:rPr>
                <w:rFonts w:ascii="Arial" w:cs="Arial" w:eastAsia="Arial" w:hAnsi="Arial"/>
                <w:sz w:val="3"/>
                <w:szCs w:val="3"/>
                <w:color w:val="auto"/>
              </w:rPr>
              <w:t>​</w:t>
            </w:r>
          </w:p>
        </w:tc>
      </w:tr>
      <w:tr>
        <w:trPr>
          <w:trHeight w:val="405"/>
        </w:trPr>
        <w:tc>
          <w:tcPr>
            <w:tcW w:w="3100" w:type="dxa"/>
            <w:vAlign w:val="bottom"/>
          </w:tcPr>
          <w:p>
            <w:pPr>
              <w:spacing w:after="0"/>
              <w:rPr>
                <w:sz w:val="20"/>
                <w:szCs w:val="20"/>
                <w:color w:val="auto"/>
              </w:rPr>
            </w:pPr>
            <w:r>
              <w:rPr>
                <w:rFonts w:ascii="Arial" w:cs="Arial" w:eastAsia="Arial" w:hAnsi="Arial"/>
                <w:sz w:val="14"/>
                <w:szCs w:val="14"/>
                <w:color w:val="auto"/>
              </w:rPr>
              <w:t>Mike Roth</w:t>
            </w:r>
          </w:p>
        </w:tc>
        <w:tc>
          <w:tcPr>
            <w:tcW w:w="1380" w:type="dxa"/>
            <w:vAlign w:val="bottom"/>
          </w:tcPr>
          <w:p>
            <w:pPr>
              <w:ind w:left="940"/>
              <w:spacing w:after="0"/>
              <w:rPr>
                <w:sz w:val="20"/>
                <w:szCs w:val="20"/>
                <w:color w:val="auto"/>
              </w:rPr>
            </w:pPr>
            <w:r>
              <w:rPr>
                <w:rFonts w:ascii="Arial" w:cs="Arial" w:eastAsia="Arial" w:hAnsi="Arial"/>
                <w:sz w:val="4"/>
                <w:szCs w:val="4"/>
                <w:color w:val="auto"/>
              </w:rPr>
              <w:t>​</w:t>
            </w:r>
          </w:p>
        </w:tc>
        <w:tc>
          <w:tcPr>
            <w:tcW w:w="920" w:type="dxa"/>
            <w:vAlign w:val="bottom"/>
          </w:tcPr>
          <w:p>
            <w:pPr>
              <w:ind w:left="420"/>
              <w:spacing w:after="0"/>
              <w:rPr>
                <w:sz w:val="20"/>
                <w:szCs w:val="20"/>
                <w:color w:val="auto"/>
              </w:rPr>
            </w:pPr>
            <w:r>
              <w:rPr>
                <w:rFonts w:ascii="Arial" w:cs="Arial" w:eastAsia="Arial" w:hAnsi="Arial"/>
                <w:sz w:val="4"/>
                <w:szCs w:val="4"/>
                <w:color w:val="auto"/>
              </w:rPr>
              <w:t>​</w:t>
            </w:r>
          </w:p>
        </w:tc>
        <w:tc>
          <w:tcPr>
            <w:tcW w:w="1380" w:type="dxa"/>
            <w:vAlign w:val="bottom"/>
          </w:tcPr>
          <w:p>
            <w:pPr>
              <w:ind w:left="500"/>
              <w:spacing w:after="0"/>
              <w:rPr>
                <w:sz w:val="20"/>
                <w:szCs w:val="20"/>
                <w:color w:val="auto"/>
              </w:rPr>
            </w:pPr>
            <w:r>
              <w:rPr>
                <w:rFonts w:ascii="Arial" w:cs="Arial" w:eastAsia="Arial" w:hAnsi="Arial"/>
                <w:sz w:val="14"/>
                <w:szCs w:val="14"/>
                <w:color w:val="auto"/>
              </w:rPr>
              <w:t>69,799</w:t>
            </w:r>
            <w:r>
              <w:rPr>
                <w:rFonts w:ascii="Arial" w:cs="Arial" w:eastAsia="Arial" w:hAnsi="Arial"/>
                <w:sz w:val="3"/>
                <w:szCs w:val="3"/>
                <w:color w:val="auto"/>
              </w:rPr>
              <w:t>​</w:t>
            </w:r>
          </w:p>
        </w:tc>
        <w:tc>
          <w:tcPr>
            <w:tcW w:w="1220" w:type="dxa"/>
            <w:vAlign w:val="bottom"/>
          </w:tcPr>
          <w:p>
            <w:pPr>
              <w:ind w:left="420"/>
              <w:spacing w:after="0"/>
              <w:rPr>
                <w:sz w:val="20"/>
                <w:szCs w:val="20"/>
                <w:color w:val="auto"/>
              </w:rPr>
            </w:pPr>
            <w:r>
              <w:rPr>
                <w:rFonts w:ascii="Arial" w:cs="Arial" w:eastAsia="Arial" w:hAnsi="Arial"/>
                <w:sz w:val="4"/>
                <w:szCs w:val="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-2228850</wp:posOffset>
            </wp:positionV>
            <wp:extent cx="60350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-1971675</wp:posOffset>
            </wp:positionV>
            <wp:extent cx="60350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-1714500</wp:posOffset>
            </wp:positionV>
            <wp:extent cx="60350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-1466215</wp:posOffset>
            </wp:positionV>
            <wp:extent cx="60350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-1209040</wp:posOffset>
            </wp:positionV>
            <wp:extent cx="60350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-951865</wp:posOffset>
            </wp:positionV>
            <wp:extent cx="60350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-702945</wp:posOffset>
            </wp:positionV>
            <wp:extent cx="60350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-445770</wp:posOffset>
            </wp:positionV>
            <wp:extent cx="60350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-188595</wp:posOffset>
            </wp:positionV>
            <wp:extent cx="60350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24765</wp:posOffset>
            </wp:positionV>
            <wp:extent cx="60350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460"/>
          </w:cols>
          <w:pgMar w:left="1180" w:top="265" w:right="1259" w:bottom="1440" w:gutter="0" w:footer="0" w:header="0"/>
          <w:type w:val="continuous"/>
        </w:sect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Non-Employee Director Compensation</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October 2021, we adopted a formal non-employee director compensation program upon the completion of our IPO.</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Pursuant to this program, each non-employee director receives a mixture of equity and cash compensation.</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Equity Compensation</w:t>
      </w:r>
    </w:p>
    <w:p>
      <w:pPr>
        <w:spacing w:after="0" w:line="181"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Under our director compensation program, each year, on the date of our Annual Meeting, each incumbent non-employee director will receive an RSU award with a value at the time of grant equal to approximately $165,000 (calculated based on the average per share closing price of our Class A common stock over the most recent 30 trading days as of and including the date of grant). In 2022, this award was reduced by 50%, resulting in an annual award of 12,489 RSUs. In 2023, the Board has determined that each eligible director shall receive 29,516 RSUs following the 2023 Annual Meeting of Stockholders. These awards vest in full on the earlier of (i) the next occurring Annual Meeting of Stockholders or (ii) the first anniversary of the grant date, subject to the non-employee director’s continued service through the applicable vesting date.</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Upon a change in control, all outstanding equity awards granted under the program will vest in full.</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159385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265" w:right="12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Compensation</w:t>
      </w:r>
    </w:p>
    <w:p>
      <w:pPr>
        <w:spacing w:after="0" w:line="195" w:lineRule="exact"/>
        <w:rPr>
          <w:sz w:val="20"/>
          <w:szCs w:val="20"/>
          <w:color w:val="auto"/>
        </w:rPr>
      </w:pPr>
    </w:p>
    <w:p>
      <w:pPr>
        <w:ind w:left="20" w:right="520"/>
        <w:spacing w:after="0" w:line="260" w:lineRule="auto"/>
        <w:rPr>
          <w:sz w:val="20"/>
          <w:szCs w:val="20"/>
          <w:color w:val="auto"/>
        </w:rPr>
      </w:pPr>
      <w:r>
        <w:rPr>
          <w:rFonts w:ascii="Arial" w:cs="Arial" w:eastAsia="Arial" w:hAnsi="Arial"/>
          <w:sz w:val="18"/>
          <w:szCs w:val="18"/>
          <w:color w:val="auto"/>
        </w:rPr>
        <w:t>Each non-employee director is eligible to receive an annual cash retainer of $40,000 that will be paid quarterly in arrears. Non-employee directors may elect to receive all or a portion of their annual cash retainer in equity.</w:t>
      </w:r>
    </w:p>
    <w:p>
      <w:pPr>
        <w:spacing w:after="0" w:line="132" w:lineRule="exact"/>
        <w:rPr>
          <w:sz w:val="20"/>
          <w:szCs w:val="20"/>
          <w:color w:val="auto"/>
        </w:rPr>
      </w:pPr>
    </w:p>
    <w:p>
      <w:pPr>
        <w:ind w:left="20" w:right="200"/>
        <w:spacing w:after="0" w:line="260" w:lineRule="auto"/>
        <w:rPr>
          <w:sz w:val="20"/>
          <w:szCs w:val="20"/>
          <w:color w:val="auto"/>
        </w:rPr>
      </w:pPr>
      <w:r>
        <w:rPr>
          <w:rFonts w:ascii="Arial" w:cs="Arial" w:eastAsia="Arial" w:hAnsi="Arial"/>
          <w:sz w:val="18"/>
          <w:szCs w:val="18"/>
          <w:color w:val="auto"/>
        </w:rPr>
        <w:t>Non-employee directors also were entitled to receive the following cash compensation for their Board leadership and committee service:</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Board Leadership</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Lead Independent Director: $15,000</w:t>
      </w:r>
    </w:p>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Committee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1250315</wp:posOffset>
            </wp:positionH>
            <wp:positionV relativeFrom="paragraph">
              <wp:posOffset>54610</wp:posOffset>
            </wp:positionV>
            <wp:extent cx="3566160" cy="265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66160" cy="265430"/>
                    </a:xfrm>
                    <a:prstGeom prst="rect">
                      <a:avLst/>
                    </a:prstGeom>
                    <a:noFill/>
                  </pic:spPr>
                </pic:pic>
              </a:graphicData>
            </a:graphic>
          </wp:anchor>
        </w:drawing>
      </w:r>
    </w:p>
    <w:p>
      <w:pPr>
        <w:spacing w:after="0" w:line="66" w:lineRule="exact"/>
        <w:rPr>
          <w:sz w:val="20"/>
          <w:szCs w:val="20"/>
          <w:color w:val="auto"/>
        </w:rPr>
      </w:pPr>
    </w:p>
    <w:tbl>
      <w:tblPr>
        <w:tblLayout w:type="fixed"/>
        <w:tblInd w:w="1960" w:type="dxa"/>
        <w:tblCellMar>
          <w:top w:w="0" w:type="dxa"/>
          <w:left w:w="0" w:type="dxa"/>
          <w:bottom w:w="0" w:type="dxa"/>
          <w:right w:w="0" w:type="dxa"/>
        </w:tblCellMar>
      </w:tblPr>
      <w:tr>
        <w:trPr>
          <w:trHeight w:val="213"/>
        </w:trPr>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3000" w:type="dxa"/>
            <w:vAlign w:val="bottom"/>
          </w:tcPr>
          <w:p>
            <w:pPr>
              <w:spacing w:after="0"/>
              <w:rPr>
                <w:sz w:val="18"/>
                <w:szCs w:val="18"/>
                <w:color w:val="auto"/>
              </w:rPr>
            </w:pPr>
          </w:p>
        </w:tc>
        <w:tc>
          <w:tcPr>
            <w:tcW w:w="400" w:type="dxa"/>
            <w:vAlign w:val="bottom"/>
          </w:tcPr>
          <w:p>
            <w:pPr>
              <w:ind w:left="340"/>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Chair</w:t>
            </w:r>
          </w:p>
        </w:tc>
        <w:tc>
          <w:tcPr>
            <w:tcW w:w="540" w:type="dxa"/>
            <w:vAlign w:val="bottom"/>
          </w:tcPr>
          <w:p>
            <w:pPr>
              <w:jc w:val="right"/>
              <w:ind w:right="15"/>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Non-Chair</w:t>
            </w:r>
          </w:p>
        </w:tc>
        <w:tc>
          <w:tcPr>
            <w:tcW w:w="200" w:type="dxa"/>
            <w:vAlign w:val="bottom"/>
          </w:tcPr>
          <w:p>
            <w:pPr>
              <w:jc w:val="right"/>
              <w:ind w:right="8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3000" w:type="dxa"/>
            <w:vAlign w:val="bottom"/>
          </w:tcPr>
          <w:p>
            <w:pPr>
              <w:ind w:left="140"/>
              <w:spacing w:after="0"/>
              <w:rPr>
                <w:sz w:val="20"/>
                <w:szCs w:val="20"/>
                <w:color w:val="auto"/>
              </w:rPr>
            </w:pPr>
            <w:r>
              <w:rPr>
                <w:rFonts w:ascii="Arial" w:cs="Arial" w:eastAsia="Arial" w:hAnsi="Arial"/>
                <w:sz w:val="14"/>
                <w:szCs w:val="14"/>
                <w:color w:val="auto"/>
              </w:rPr>
              <w:t>Audit Committee Member</w:t>
            </w:r>
          </w:p>
        </w:tc>
        <w:tc>
          <w:tcPr>
            <w:tcW w:w="400" w:type="dxa"/>
            <w:vAlign w:val="bottom"/>
          </w:tcPr>
          <w:p>
            <w:pPr>
              <w:ind w:left="340"/>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gridSpan w:val="2"/>
          </w:tcPr>
          <w:p>
            <w:pPr>
              <w:jc w:val="right"/>
              <w:ind w:right="15"/>
              <w:spacing w:after="0"/>
              <w:rPr>
                <w:sz w:val="20"/>
                <w:szCs w:val="20"/>
                <w:color w:val="auto"/>
              </w:rPr>
            </w:pPr>
            <w:r>
              <w:rPr>
                <w:rFonts w:ascii="Arial" w:cs="Arial" w:eastAsia="Arial" w:hAnsi="Arial"/>
                <w:sz w:val="14"/>
                <w:szCs w:val="14"/>
                <w:color w:val="auto"/>
              </w:rPr>
              <w:t>$20,000</w:t>
            </w:r>
            <w:r>
              <w:rPr>
                <w:rFonts w:ascii="Arial" w:cs="Arial" w:eastAsia="Arial" w:hAnsi="Arial"/>
                <w:sz w:val="3"/>
                <w:szCs w:val="3"/>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020" w:type="dxa"/>
            <w:vAlign w:val="bottom"/>
            <w:gridSpan w:val="2"/>
          </w:tcPr>
          <w:p>
            <w:pPr>
              <w:jc w:val="right"/>
              <w:ind w:right="82"/>
              <w:spacing w:after="0"/>
              <w:rPr>
                <w:sz w:val="20"/>
                <w:szCs w:val="20"/>
                <w:color w:val="auto"/>
              </w:rPr>
            </w:pPr>
            <w:r>
              <w:rPr>
                <w:rFonts w:ascii="Arial" w:cs="Arial" w:eastAsia="Arial" w:hAnsi="Arial"/>
                <w:sz w:val="14"/>
                <w:szCs w:val="14"/>
                <w:color w:val="auto"/>
              </w:rPr>
              <w:t>$10,000</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3000" w:type="dxa"/>
            <w:vAlign w:val="bottom"/>
          </w:tcPr>
          <w:p>
            <w:pPr>
              <w:ind w:left="140"/>
              <w:spacing w:after="0"/>
              <w:rPr>
                <w:sz w:val="20"/>
                <w:szCs w:val="20"/>
                <w:color w:val="auto"/>
              </w:rPr>
            </w:pPr>
            <w:r>
              <w:rPr>
                <w:rFonts w:ascii="Arial" w:cs="Arial" w:eastAsia="Arial" w:hAnsi="Arial"/>
                <w:sz w:val="14"/>
                <w:szCs w:val="14"/>
                <w:color w:val="auto"/>
              </w:rPr>
              <w:t>Compensation Committee Member</w:t>
            </w:r>
          </w:p>
        </w:tc>
        <w:tc>
          <w:tcPr>
            <w:tcW w:w="400" w:type="dxa"/>
            <w:vAlign w:val="bottom"/>
          </w:tcPr>
          <w:p>
            <w:pPr>
              <w:ind w:left="340"/>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gridSpan w:val="2"/>
          </w:tcPr>
          <w:p>
            <w:pPr>
              <w:jc w:val="right"/>
              <w:ind w:right="15"/>
              <w:spacing w:after="0"/>
              <w:rPr>
                <w:sz w:val="20"/>
                <w:szCs w:val="20"/>
                <w:color w:val="auto"/>
              </w:rPr>
            </w:pPr>
            <w:r>
              <w:rPr>
                <w:rFonts w:ascii="Arial" w:cs="Arial" w:eastAsia="Arial" w:hAnsi="Arial"/>
                <w:sz w:val="14"/>
                <w:szCs w:val="14"/>
                <w:color w:val="auto"/>
              </w:rPr>
              <w:t>$13,000</w:t>
            </w:r>
            <w:r>
              <w:rPr>
                <w:rFonts w:ascii="Arial" w:cs="Arial" w:eastAsia="Arial" w:hAnsi="Arial"/>
                <w:sz w:val="3"/>
                <w:szCs w:val="3"/>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020" w:type="dxa"/>
            <w:vAlign w:val="bottom"/>
            <w:gridSpan w:val="2"/>
          </w:tcPr>
          <w:p>
            <w:pPr>
              <w:jc w:val="right"/>
              <w:ind w:right="82"/>
              <w:spacing w:after="0"/>
              <w:rPr>
                <w:sz w:val="20"/>
                <w:szCs w:val="20"/>
                <w:color w:val="auto"/>
              </w:rPr>
            </w:pPr>
            <w:r>
              <w:rPr>
                <w:rFonts w:ascii="Arial" w:cs="Arial" w:eastAsia="Arial" w:hAnsi="Arial"/>
                <w:sz w:val="14"/>
                <w:szCs w:val="14"/>
                <w:color w:val="auto"/>
              </w:rPr>
              <w:t>$6,500</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3000" w:type="dxa"/>
            <w:vAlign w:val="bottom"/>
          </w:tcPr>
          <w:p>
            <w:pPr>
              <w:ind w:left="140"/>
              <w:spacing w:after="0"/>
              <w:rPr>
                <w:sz w:val="20"/>
                <w:szCs w:val="20"/>
                <w:color w:val="auto"/>
              </w:rPr>
            </w:pPr>
            <w:r>
              <w:rPr>
                <w:rFonts w:ascii="Arial" w:cs="Arial" w:eastAsia="Arial" w:hAnsi="Arial"/>
                <w:sz w:val="14"/>
                <w:szCs w:val="14"/>
                <w:color w:val="auto"/>
              </w:rPr>
              <w:t>Nominating &amp; ESG Committee Member</w:t>
            </w:r>
          </w:p>
        </w:tc>
        <w:tc>
          <w:tcPr>
            <w:tcW w:w="400" w:type="dxa"/>
            <w:vAlign w:val="bottom"/>
          </w:tcPr>
          <w:p>
            <w:pPr>
              <w:ind w:left="340"/>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440" w:type="dxa"/>
            <w:vAlign w:val="bottom"/>
          </w:tcPr>
          <w:p>
            <w:pPr>
              <w:spacing w:after="0"/>
              <w:rPr>
                <w:sz w:val="24"/>
                <w:szCs w:val="24"/>
                <w:color w:val="auto"/>
              </w:rPr>
            </w:pPr>
          </w:p>
        </w:tc>
        <w:tc>
          <w:tcPr>
            <w:tcW w:w="540" w:type="dxa"/>
            <w:vAlign w:val="bottom"/>
          </w:tcPr>
          <w:p>
            <w:pPr>
              <w:jc w:val="right"/>
              <w:ind w:right="15"/>
              <w:spacing w:after="0"/>
              <w:rPr>
                <w:sz w:val="20"/>
                <w:szCs w:val="20"/>
                <w:color w:val="auto"/>
              </w:rPr>
            </w:pPr>
            <w:r>
              <w:rPr>
                <w:rFonts w:ascii="Arial" w:cs="Arial" w:eastAsia="Arial" w:hAnsi="Arial"/>
                <w:sz w:val="14"/>
                <w:szCs w:val="14"/>
                <w:color w:val="auto"/>
              </w:rPr>
              <w:t>$8,000</w:t>
            </w:r>
            <w:r>
              <w:rPr>
                <w:rFonts w:ascii="Arial" w:cs="Arial" w:eastAsia="Arial" w:hAnsi="Arial"/>
                <w:sz w:val="3"/>
                <w:szCs w:val="3"/>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020" w:type="dxa"/>
            <w:vAlign w:val="bottom"/>
            <w:gridSpan w:val="2"/>
          </w:tcPr>
          <w:p>
            <w:pPr>
              <w:jc w:val="right"/>
              <w:ind w:right="82"/>
              <w:spacing w:after="0"/>
              <w:rPr>
                <w:sz w:val="20"/>
                <w:szCs w:val="20"/>
                <w:color w:val="auto"/>
              </w:rPr>
            </w:pPr>
            <w:r>
              <w:rPr>
                <w:rFonts w:ascii="Arial" w:cs="Arial" w:eastAsia="Arial" w:hAnsi="Arial"/>
                <w:sz w:val="14"/>
                <w:szCs w:val="14"/>
                <w:color w:val="auto"/>
              </w:rPr>
              <w:t>$4,000</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In July 2022, the Board determined that in light of the directors’ existing equity holdings and in order to preserve the company’s equity reserves, it was appropriate to temporarily amend the director compensation program for the remainder of fiscal 2022 by: reducing the amount of cash fees and RSUs granted under the program by 50%, providing that the annual RSU award to be granted on the date of the 2022 annual meeting of stockholders would be determined using a price of $5.59 rather than the 30 day trailing average trading price and revoking any elections made by non-employee directors to receive RSUs in lieu of cash. For fiscal year 2023, the Board has reinstated the program’s original cash fees for Board and Committee Chair services; eliminated cash fees for Committee service; and determined that each eligible director shall receive 29,516 RSUs as an annual award on the date of the 2023 Annual Meeting of Stockholders.</w:t>
      </w:r>
    </w:p>
    <w:p>
      <w:pPr>
        <w:spacing w:after="0" w:line="164" w:lineRule="exact"/>
        <w:rPr>
          <w:sz w:val="20"/>
          <w:szCs w:val="20"/>
          <w:color w:val="auto"/>
        </w:rPr>
      </w:pPr>
    </w:p>
    <w:p>
      <w:pPr>
        <w:ind w:left="20" w:right="240"/>
        <w:spacing w:after="0" w:line="260" w:lineRule="auto"/>
        <w:rPr>
          <w:sz w:val="20"/>
          <w:szCs w:val="20"/>
          <w:color w:val="auto"/>
        </w:rPr>
      </w:pPr>
      <w:r>
        <w:rPr>
          <w:rFonts w:ascii="Arial" w:cs="Arial" w:eastAsia="Arial" w:hAnsi="Arial"/>
          <w:sz w:val="18"/>
          <w:szCs w:val="18"/>
          <w:color w:val="auto"/>
        </w:rPr>
        <w:t>Beginning in fiscal year 2023, Mr. Friend and Mr. Nova have agreed to waive their director compensation fees under this program.</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265" w:right="12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Audit Committee Report</w:t>
      </w:r>
    </w:p>
    <w:p>
      <w:pPr>
        <w:spacing w:after="0" w:line="232"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Rent the Runway’s Audit Committee is composed entirely of independent directors who meet the independence requirements of the Listing Rules of the Nasdaq Stock Market and the SEC. The Audit Committee operates pursuant to a charter that is available on our investor website (investors.renttherunway.com).</w:t>
      </w:r>
    </w:p>
    <w:p>
      <w:pPr>
        <w:spacing w:after="0" w:line="144" w:lineRule="exact"/>
        <w:rPr>
          <w:sz w:val="20"/>
          <w:szCs w:val="20"/>
          <w:color w:val="auto"/>
        </w:rPr>
      </w:pPr>
    </w:p>
    <w:p>
      <w:pPr>
        <w:ind w:left="20"/>
        <w:spacing w:after="0" w:line="241" w:lineRule="auto"/>
        <w:rPr>
          <w:sz w:val="20"/>
          <w:szCs w:val="20"/>
          <w:color w:val="auto"/>
        </w:rPr>
      </w:pPr>
      <w:r>
        <w:rPr>
          <w:rFonts w:ascii="Arial" w:cs="Arial" w:eastAsia="Arial" w:hAnsi="Arial"/>
          <w:sz w:val="18"/>
          <w:szCs w:val="18"/>
          <w:color w:val="auto"/>
        </w:rPr>
        <w:t>As described above in more detail, the principal purpose of the Audit Committee is to assist the Board of Directors in its oversight of our accounting practices, system of internal controls, audit processes, and financial reporting processes. The Audit Committee is responsible for appointing and retaining our independent auditor and approving the audit and non-audit services to be provided by the independent auditor. The Audit Committee’s function is more fully described in its charter.</w:t>
      </w:r>
    </w:p>
    <w:p>
      <w:pPr>
        <w:spacing w:after="0" w:line="162" w:lineRule="exact"/>
        <w:rPr>
          <w:sz w:val="20"/>
          <w:szCs w:val="20"/>
          <w:color w:val="auto"/>
        </w:rPr>
      </w:pPr>
    </w:p>
    <w:p>
      <w:pPr>
        <w:ind w:left="20" w:right="120"/>
        <w:spacing w:after="0" w:line="241" w:lineRule="auto"/>
        <w:rPr>
          <w:sz w:val="20"/>
          <w:szCs w:val="20"/>
          <w:color w:val="auto"/>
        </w:rPr>
      </w:pPr>
      <w:r>
        <w:rPr>
          <w:rFonts w:ascii="Arial" w:cs="Arial" w:eastAsia="Arial" w:hAnsi="Arial"/>
          <w:sz w:val="18"/>
          <w:szCs w:val="18"/>
          <w:color w:val="auto"/>
        </w:rPr>
        <w:t>Management is responsible for preparing our financial statements and ensuring they are complete and accurate and prepared in accordance with generally accepted accounting principles. PricewaterhouseCoopers LLP (“PwC”), our independent registered public accounting firm, is responsible for performing an independent audit of our Consolidated Financial Statements and expressing an opinion on the conformity of those financial statements with generally accepted accounting principles.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performing its responsibilities, the Audit Committee has:</w:t>
      </w:r>
    </w:p>
    <w:p>
      <w:pPr>
        <w:spacing w:after="0" w:line="8" w:lineRule="exact"/>
        <w:rPr>
          <w:sz w:val="20"/>
          <w:szCs w:val="20"/>
          <w:color w:val="auto"/>
        </w:rPr>
      </w:pPr>
    </w:p>
    <w:p>
      <w:pPr>
        <w:ind w:left="740" w:right="780" w:hanging="359"/>
        <w:spacing w:after="0" w:line="234"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reviewed and discussed with management our audited financial statements for the fiscal year ended January 31, 2023;</w:t>
      </w:r>
    </w:p>
    <w:p>
      <w:pPr>
        <w:spacing w:after="0" w:line="1" w:lineRule="exact"/>
        <w:rPr>
          <w:rFonts w:ascii="Arial" w:cs="Arial" w:eastAsia="Arial" w:hAnsi="Arial"/>
          <w:sz w:val="18"/>
          <w:szCs w:val="18"/>
          <w:color w:val="auto"/>
        </w:rPr>
      </w:pPr>
    </w:p>
    <w:p>
      <w:pPr>
        <w:ind w:left="740" w:right="80" w:hanging="359"/>
        <w:spacing w:after="0" w:line="234"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discussed with our independent registered public accounting firm, PwC, the matters required to be discussed by the applicable requirements of the Public Company Accounting Oversight Board (the “PCAOB”); and</w:t>
      </w:r>
    </w:p>
    <w:p>
      <w:pPr>
        <w:spacing w:after="0" w:line="1" w:lineRule="exact"/>
        <w:rPr>
          <w:rFonts w:ascii="Arial" w:cs="Arial" w:eastAsia="Arial" w:hAnsi="Arial"/>
          <w:sz w:val="18"/>
          <w:szCs w:val="18"/>
          <w:color w:val="auto"/>
        </w:rPr>
      </w:pPr>
    </w:p>
    <w:p>
      <w:pPr>
        <w:ind w:left="740" w:right="140" w:hanging="359"/>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PwC required by the applicable PCAOB requirements for the independent accountant communications with audit committees concerning auditor independence, and has discussed with PwC its independence.</w:t>
      </w:r>
    </w:p>
    <w:p>
      <w:pPr>
        <w:spacing w:after="0" w:line="150"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that the audited financial statements be included in our Annual Report on Form 10-K for the fiscal year ended January 31, 2023.</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Respectfully submitted by:</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 Bixby (Chair)</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Melanie Harris</w:t>
      </w:r>
    </w:p>
    <w:p>
      <w:pPr>
        <w:ind w:left="20"/>
        <w:spacing w:after="0" w:line="234" w:lineRule="auto"/>
        <w:rPr>
          <w:sz w:val="20"/>
          <w:szCs w:val="20"/>
          <w:color w:val="auto"/>
        </w:rPr>
      </w:pPr>
      <w:r>
        <w:rPr>
          <w:rFonts w:ascii="Arial" w:cs="Arial" w:eastAsia="Arial" w:hAnsi="Arial"/>
          <w:sz w:val="18"/>
          <w:szCs w:val="18"/>
          <w:color w:val="auto"/>
        </w:rPr>
        <w:t>Beth Kaplan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Dan Nova</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265" w:right="12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2</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Ratification of the</w:t>
      </w:r>
    </w:p>
    <w:p>
      <w:pPr>
        <w:ind w:left="20"/>
        <w:spacing w:after="0" w:line="238" w:lineRule="auto"/>
        <w:rPr>
          <w:sz w:val="20"/>
          <w:szCs w:val="20"/>
          <w:color w:val="auto"/>
        </w:rPr>
      </w:pPr>
      <w:r>
        <w:rPr>
          <w:rFonts w:ascii="Arial" w:cs="Arial" w:eastAsia="Arial" w:hAnsi="Arial"/>
          <w:sz w:val="65"/>
          <w:szCs w:val="65"/>
          <w:b w:val="1"/>
          <w:bCs w:val="1"/>
          <w:color w:val="auto"/>
        </w:rPr>
        <w:t>Appointment</w:t>
      </w:r>
    </w:p>
    <w:p>
      <w:pPr>
        <w:ind w:left="20"/>
        <w:spacing w:after="0" w:line="238" w:lineRule="auto"/>
        <w:rPr>
          <w:sz w:val="20"/>
          <w:szCs w:val="20"/>
          <w:color w:val="auto"/>
        </w:rPr>
      </w:pPr>
      <w:r>
        <w:rPr>
          <w:rFonts w:ascii="Arial" w:cs="Arial" w:eastAsia="Arial" w:hAnsi="Arial"/>
          <w:sz w:val="65"/>
          <w:szCs w:val="65"/>
          <w:b w:val="1"/>
          <w:bCs w:val="1"/>
          <w:color w:val="auto"/>
        </w:rPr>
        <w:t>of Independent Registered</w:t>
      </w:r>
    </w:p>
    <w:p>
      <w:pPr>
        <w:spacing w:after="0" w:line="3"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Public Accounting Firm</w:t>
      </w:r>
    </w:p>
    <w:p>
      <w:pPr>
        <w:spacing w:after="0" w:line="150"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The Audit Committee has appointed PwC as our independent registered public accounting firm for fiscal year 2023 and recommends that stockholders vote to ratify the appointment. Although we are not required by law to obtain such ratification from our stockholders, we believe it is good practice to do so. If our stockholders do not ratify the appointment of PwC, the Audit Committee may reconsider its appointment. The Audit Committee, in its discretion, may appoint a new independent registered public accounting firm at any time during the year if the Audit Committee believes that such a change would be in the best interests of RTR and our stockholders.</w:t>
      </w:r>
    </w:p>
    <w:p>
      <w:pPr>
        <w:spacing w:after="0" w:line="154" w:lineRule="exact"/>
        <w:rPr>
          <w:sz w:val="20"/>
          <w:szCs w:val="20"/>
          <w:color w:val="auto"/>
        </w:rPr>
      </w:pPr>
    </w:p>
    <w:p>
      <w:pPr>
        <w:ind w:left="20" w:right="480"/>
        <w:spacing w:after="0" w:line="260" w:lineRule="auto"/>
        <w:rPr>
          <w:sz w:val="20"/>
          <w:szCs w:val="20"/>
          <w:color w:val="auto"/>
        </w:rPr>
      </w:pPr>
      <w:r>
        <w:rPr>
          <w:rFonts w:ascii="Arial" w:cs="Arial" w:eastAsia="Arial" w:hAnsi="Arial"/>
          <w:sz w:val="18"/>
          <w:szCs w:val="18"/>
          <w:color w:val="auto"/>
        </w:rPr>
        <w:t>PwC has audited our consolidated financial statements since 2020. A representative of PwC will be present at our Annual Meeting to respond to appropriate questions and to make a statement if they so desire.</w:t>
      </w:r>
    </w:p>
    <w:p>
      <w:pPr>
        <w:spacing w:after="0" w:line="146" w:lineRule="exact"/>
        <w:rPr>
          <w:sz w:val="20"/>
          <w:szCs w:val="20"/>
          <w:color w:val="auto"/>
        </w:rPr>
      </w:pPr>
    </w:p>
    <w:p>
      <w:pPr>
        <w:ind w:left="20" w:right="440"/>
        <w:spacing w:after="0" w:line="260" w:lineRule="auto"/>
        <w:rPr>
          <w:sz w:val="20"/>
          <w:szCs w:val="20"/>
          <w:color w:val="auto"/>
        </w:rPr>
      </w:pPr>
      <w:r>
        <w:rPr>
          <w:rFonts w:ascii="Arial" w:cs="Arial" w:eastAsia="Arial" w:hAnsi="Arial"/>
          <w:sz w:val="18"/>
          <w:szCs w:val="18"/>
          <w:color w:val="auto"/>
        </w:rPr>
        <w:t>This proposal is decided by a majority of the votes cast. This proposal will be approved if the number of votes cast “FOR” the proposal exceeds the number of votes cast “AGAINST” the proposal.</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Fees and Services</w:t>
      </w:r>
    </w:p>
    <w:p>
      <w:pPr>
        <w:spacing w:after="0" w:line="215" w:lineRule="exact"/>
        <w:rPr>
          <w:sz w:val="20"/>
          <w:szCs w:val="20"/>
          <w:color w:val="auto"/>
        </w:rPr>
      </w:pPr>
    </w:p>
    <w:p>
      <w:pPr>
        <w:ind w:left="20" w:right="20"/>
        <w:spacing w:after="0" w:line="260" w:lineRule="auto"/>
        <w:rPr>
          <w:sz w:val="20"/>
          <w:szCs w:val="20"/>
          <w:color w:val="auto"/>
        </w:rPr>
      </w:pPr>
      <w:r>
        <w:rPr>
          <w:rFonts w:ascii="Arial" w:cs="Arial" w:eastAsia="Arial" w:hAnsi="Arial"/>
          <w:sz w:val="18"/>
          <w:szCs w:val="18"/>
          <w:color w:val="auto"/>
        </w:rPr>
        <w:t>The following table presents fees for professional audit services and other services rendered to us by PwC for the fiscal years ended January 31, 2023 and January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6035040" cy="265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5040" cy="265430"/>
                    </a:xfrm>
                    <a:prstGeom prst="rect">
                      <a:avLst/>
                    </a:prstGeom>
                    <a:noFill/>
                  </pic:spPr>
                </pic:pic>
              </a:graphicData>
            </a:graphic>
          </wp:anchor>
        </w:drawing>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4280" w:type="dxa"/>
            <w:vAlign w:val="bottom"/>
          </w:tcPr>
          <w:p>
            <w:pPr>
              <w:ind w:left="160"/>
              <w:spacing w:after="0"/>
              <w:rPr>
                <w:sz w:val="20"/>
                <w:szCs w:val="20"/>
                <w:color w:val="auto"/>
              </w:rPr>
            </w:pPr>
            <w:r>
              <w:rPr>
                <w:rFonts w:ascii="Arial" w:cs="Arial" w:eastAsia="Arial" w:hAnsi="Arial"/>
                <w:sz w:val="14"/>
                <w:szCs w:val="14"/>
                <w:b w:val="1"/>
                <w:bCs w:val="1"/>
                <w:color w:val="auto"/>
              </w:rPr>
              <w:t>Fee Categories</w:t>
            </w:r>
          </w:p>
        </w:tc>
        <w:tc>
          <w:tcPr>
            <w:tcW w:w="2860" w:type="dxa"/>
            <w:vAlign w:val="bottom"/>
          </w:tcPr>
          <w:p>
            <w:pPr>
              <w:ind w:left="2740"/>
              <w:spacing w:after="0"/>
              <w:rPr>
                <w:sz w:val="20"/>
                <w:szCs w:val="20"/>
                <w:color w:val="auto"/>
              </w:rPr>
            </w:pPr>
            <w:r>
              <w:rPr>
                <w:rFonts w:ascii="Arial" w:cs="Arial" w:eastAsia="Arial" w:hAnsi="Arial"/>
                <w:sz w:val="4"/>
                <w:szCs w:val="4"/>
                <w:color w:val="auto"/>
              </w:rPr>
              <w:t>​</w:t>
            </w:r>
          </w:p>
        </w:tc>
        <w:tc>
          <w:tcPr>
            <w:tcW w:w="200" w:type="dxa"/>
            <w:vAlign w:val="bottom"/>
          </w:tcPr>
          <w:p>
            <w:pPr>
              <w:ind w:left="100"/>
              <w:spacing w:after="0"/>
              <w:rPr>
                <w:sz w:val="20"/>
                <w:szCs w:val="20"/>
                <w:color w:val="auto"/>
              </w:rPr>
            </w:pPr>
            <w:r>
              <w:rPr>
                <w:rFonts w:ascii="Arial" w:cs="Arial" w:eastAsia="Arial" w:hAnsi="Arial"/>
                <w:sz w:val="4"/>
                <w:szCs w:val="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 xml:space="preserve">FY22 Fees  </w:t>
            </w:r>
            <w:r>
              <w:rPr>
                <w:rFonts w:ascii="Arial" w:cs="Arial" w:eastAsia="Arial" w:hAnsi="Arial"/>
                <w:sz w:val="3"/>
                <w:szCs w:val="3"/>
                <w:color w:val="auto"/>
              </w:rPr>
              <w:t>​</w:t>
            </w:r>
          </w:p>
        </w:tc>
        <w:tc>
          <w:tcPr>
            <w:tcW w:w="200" w:type="dxa"/>
            <w:vAlign w:val="bottom"/>
          </w:tcPr>
          <w:p>
            <w:pPr>
              <w:ind w:left="100"/>
              <w:spacing w:after="0"/>
              <w:rPr>
                <w:sz w:val="20"/>
                <w:szCs w:val="20"/>
                <w:color w:val="auto"/>
              </w:rPr>
            </w:pPr>
            <w:r>
              <w:rPr>
                <w:rFonts w:ascii="Arial" w:cs="Arial" w:eastAsia="Arial" w:hAnsi="Arial"/>
                <w:sz w:val="4"/>
                <w:szCs w:val="4"/>
                <w:color w:val="auto"/>
              </w:rPr>
              <w:t>​</w:t>
            </w:r>
          </w:p>
        </w:tc>
        <w:tc>
          <w:tcPr>
            <w:tcW w:w="960" w:type="dxa"/>
            <w:vAlign w:val="bottom"/>
          </w:tcPr>
          <w:p>
            <w:pPr>
              <w:jc w:val="right"/>
              <w:ind w:right="37"/>
              <w:spacing w:after="0"/>
              <w:rPr>
                <w:sz w:val="20"/>
                <w:szCs w:val="20"/>
                <w:color w:val="auto"/>
              </w:rPr>
            </w:pPr>
            <w:r>
              <w:rPr>
                <w:rFonts w:ascii="Arial" w:cs="Arial" w:eastAsia="Arial" w:hAnsi="Arial"/>
                <w:sz w:val="14"/>
                <w:szCs w:val="14"/>
                <w:b w:val="1"/>
                <w:bCs w:val="1"/>
                <w:color w:val="auto"/>
              </w:rPr>
              <w:t xml:space="preserve">FY21 Fees </w:t>
            </w:r>
            <w:r>
              <w:rPr>
                <w:rFonts w:ascii="Arial" w:cs="Arial" w:eastAsia="Arial" w:hAnsi="Arial"/>
                <w:sz w:val="3"/>
                <w:szCs w:val="3"/>
                <w:color w:val="auto"/>
              </w:rPr>
              <w:t>​</w:t>
            </w:r>
          </w:p>
        </w:tc>
      </w:tr>
      <w:tr>
        <w:trPr>
          <w:trHeight w:val="110"/>
        </w:trPr>
        <w:tc>
          <w:tcPr>
            <w:tcW w:w="428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r>
      <w:tr>
        <w:trPr>
          <w:trHeight w:val="305"/>
        </w:trPr>
        <w:tc>
          <w:tcPr>
            <w:tcW w:w="4280" w:type="dxa"/>
            <w:vAlign w:val="bottom"/>
          </w:tcPr>
          <w:p>
            <w:pPr>
              <w:ind w:left="160"/>
              <w:spacing w:after="0"/>
              <w:rPr>
                <w:sz w:val="20"/>
                <w:szCs w:val="20"/>
                <w:color w:val="auto"/>
              </w:rPr>
            </w:pPr>
            <w:r>
              <w:rPr>
                <w:rFonts w:ascii="Arial" w:cs="Arial" w:eastAsia="Arial" w:hAnsi="Arial"/>
                <w:sz w:val="14"/>
                <w:szCs w:val="14"/>
                <w:color w:val="auto"/>
              </w:rPr>
              <w:t>Audit fees</w:t>
            </w:r>
          </w:p>
        </w:tc>
        <w:tc>
          <w:tcPr>
            <w:tcW w:w="2860" w:type="dxa"/>
            <w:vAlign w:val="bottom"/>
          </w:tcPr>
          <w:p>
            <w:pPr>
              <w:ind w:left="2740"/>
              <w:spacing w:after="0"/>
              <w:rPr>
                <w:sz w:val="20"/>
                <w:szCs w:val="20"/>
                <w:color w:val="auto"/>
              </w:rPr>
            </w:pPr>
            <w:r>
              <w:rPr>
                <w:rFonts w:ascii="Arial" w:cs="Arial" w:eastAsia="Arial" w:hAnsi="Arial"/>
                <w:sz w:val="4"/>
                <w:szCs w:val="4"/>
                <w:color w:val="auto"/>
              </w:rPr>
              <w:t>​</w:t>
            </w:r>
          </w:p>
        </w:tc>
        <w:tc>
          <w:tcPr>
            <w:tcW w:w="200" w:type="dxa"/>
            <w:vAlign w:val="bottom"/>
          </w:tcPr>
          <w:p>
            <w:pPr>
              <w:ind w:left="100"/>
              <w:spacing w:after="0"/>
              <w:rPr>
                <w:sz w:val="20"/>
                <w:szCs w:val="20"/>
                <w:color w:val="auto"/>
              </w:rPr>
            </w:pPr>
            <w:r>
              <w:rPr>
                <w:rFonts w:ascii="Arial" w:cs="Arial" w:eastAsia="Arial" w:hAnsi="Arial"/>
                <w:sz w:val="4"/>
                <w:szCs w:val="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$1,602,200</w:t>
            </w:r>
            <w:r>
              <w:rPr>
                <w:rFonts w:ascii="Arial" w:cs="Arial" w:eastAsia="Arial" w:hAnsi="Arial"/>
                <w:sz w:val="3"/>
                <w:szCs w:val="3"/>
                <w:color w:val="auto"/>
              </w:rPr>
              <w:t>​</w:t>
            </w:r>
          </w:p>
        </w:tc>
        <w:tc>
          <w:tcPr>
            <w:tcW w:w="200" w:type="dxa"/>
            <w:vAlign w:val="bottom"/>
          </w:tcPr>
          <w:p>
            <w:pPr>
              <w:ind w:left="100"/>
              <w:spacing w:after="0"/>
              <w:rPr>
                <w:sz w:val="20"/>
                <w:szCs w:val="20"/>
                <w:color w:val="auto"/>
              </w:rPr>
            </w:pPr>
            <w:r>
              <w:rPr>
                <w:rFonts w:ascii="Arial" w:cs="Arial" w:eastAsia="Arial" w:hAnsi="Arial"/>
                <w:sz w:val="4"/>
                <w:szCs w:val="4"/>
                <w:color w:val="auto"/>
              </w:rPr>
              <w:t>​</w:t>
            </w:r>
          </w:p>
        </w:tc>
        <w:tc>
          <w:tcPr>
            <w:tcW w:w="960" w:type="dxa"/>
            <w:vAlign w:val="bottom"/>
          </w:tcPr>
          <w:p>
            <w:pPr>
              <w:jc w:val="right"/>
              <w:ind w:right="37"/>
              <w:spacing w:after="0"/>
              <w:rPr>
                <w:sz w:val="20"/>
                <w:szCs w:val="20"/>
                <w:color w:val="auto"/>
              </w:rPr>
            </w:pPr>
            <w:r>
              <w:rPr>
                <w:rFonts w:ascii="Arial" w:cs="Arial" w:eastAsia="Arial" w:hAnsi="Arial"/>
                <w:sz w:val="14"/>
                <w:szCs w:val="14"/>
                <w:color w:val="auto"/>
              </w:rPr>
              <w:t>$3,371,500</w:t>
            </w:r>
            <w:r>
              <w:rPr>
                <w:rFonts w:ascii="Arial" w:cs="Arial" w:eastAsia="Arial" w:hAnsi="Arial"/>
                <w:sz w:val="3"/>
                <w:szCs w:val="3"/>
                <w:color w:val="auto"/>
              </w:rPr>
              <w:t>​</w:t>
            </w:r>
          </w:p>
        </w:tc>
      </w:tr>
      <w:tr>
        <w:trPr>
          <w:trHeight w:val="120"/>
        </w:trPr>
        <w:tc>
          <w:tcPr>
            <w:tcW w:w="428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371"/>
        </w:trPr>
        <w:tc>
          <w:tcPr>
            <w:tcW w:w="4280" w:type="dxa"/>
            <w:vAlign w:val="bottom"/>
          </w:tcPr>
          <w:p>
            <w:pPr>
              <w:ind w:left="160"/>
              <w:spacing w:after="0"/>
              <w:rPr>
                <w:sz w:val="20"/>
                <w:szCs w:val="20"/>
                <w:color w:val="auto"/>
              </w:rPr>
            </w:pPr>
            <w:r>
              <w:rPr>
                <w:rFonts w:ascii="Arial" w:cs="Arial" w:eastAsia="Arial" w:hAnsi="Arial"/>
                <w:sz w:val="14"/>
                <w:szCs w:val="14"/>
                <w:color w:val="auto"/>
              </w:rPr>
              <w:t>Audit related services</w:t>
            </w:r>
          </w:p>
        </w:tc>
        <w:tc>
          <w:tcPr>
            <w:tcW w:w="2860" w:type="dxa"/>
            <w:vAlign w:val="bottom"/>
          </w:tcPr>
          <w:p>
            <w:pPr>
              <w:ind w:left="2740"/>
              <w:spacing w:after="0"/>
              <w:rPr>
                <w:sz w:val="20"/>
                <w:szCs w:val="20"/>
                <w:color w:val="auto"/>
              </w:rPr>
            </w:pPr>
            <w:r>
              <w:rPr>
                <w:rFonts w:ascii="Arial" w:cs="Arial" w:eastAsia="Arial" w:hAnsi="Arial"/>
                <w:sz w:val="4"/>
                <w:szCs w:val="4"/>
                <w:color w:val="auto"/>
              </w:rPr>
              <w:t>​</w:t>
            </w:r>
          </w:p>
        </w:tc>
        <w:tc>
          <w:tcPr>
            <w:tcW w:w="200" w:type="dxa"/>
            <w:vAlign w:val="bottom"/>
          </w:tcPr>
          <w:p>
            <w:pPr>
              <w:ind w:left="100"/>
              <w:spacing w:after="0"/>
              <w:rPr>
                <w:sz w:val="20"/>
                <w:szCs w:val="20"/>
                <w:color w:val="auto"/>
              </w:rPr>
            </w:pPr>
            <w:r>
              <w:rPr>
                <w:rFonts w:ascii="Arial" w:cs="Arial" w:eastAsia="Arial" w:hAnsi="Arial"/>
                <w:sz w:val="4"/>
                <w:szCs w:val="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$79,901</w:t>
            </w:r>
            <w:r>
              <w:rPr>
                <w:rFonts w:ascii="Arial" w:cs="Arial" w:eastAsia="Arial" w:hAnsi="Arial"/>
                <w:sz w:val="3"/>
                <w:szCs w:val="3"/>
                <w:color w:val="auto"/>
              </w:rPr>
              <w:t>​</w:t>
            </w:r>
          </w:p>
        </w:tc>
        <w:tc>
          <w:tcPr>
            <w:tcW w:w="200" w:type="dxa"/>
            <w:vAlign w:val="bottom"/>
          </w:tcPr>
          <w:p>
            <w:pPr>
              <w:ind w:left="100"/>
              <w:spacing w:after="0"/>
              <w:rPr>
                <w:sz w:val="20"/>
                <w:szCs w:val="20"/>
                <w:color w:val="auto"/>
              </w:rPr>
            </w:pPr>
            <w:r>
              <w:rPr>
                <w:rFonts w:ascii="Arial" w:cs="Arial" w:eastAsia="Arial" w:hAnsi="Arial"/>
                <w:sz w:val="4"/>
                <w:szCs w:val="4"/>
                <w:color w:val="auto"/>
              </w:rPr>
              <w:t>​</w:t>
            </w:r>
          </w:p>
        </w:tc>
        <w:tc>
          <w:tcPr>
            <w:tcW w:w="960" w:type="dxa"/>
            <w:vAlign w:val="bottom"/>
          </w:tcPr>
          <w:p>
            <w:pPr>
              <w:jc w:val="right"/>
              <w:ind w:right="37"/>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r>
      <w:tr>
        <w:trPr>
          <w:trHeight w:val="41"/>
        </w:trPr>
        <w:tc>
          <w:tcPr>
            <w:tcW w:w="428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305"/>
        </w:trPr>
        <w:tc>
          <w:tcPr>
            <w:tcW w:w="4280" w:type="dxa"/>
            <w:vAlign w:val="bottom"/>
          </w:tcPr>
          <w:p>
            <w:pPr>
              <w:ind w:left="160"/>
              <w:spacing w:after="0"/>
              <w:rPr>
                <w:sz w:val="20"/>
                <w:szCs w:val="20"/>
                <w:color w:val="auto"/>
              </w:rPr>
            </w:pPr>
            <w:r>
              <w:rPr>
                <w:rFonts w:ascii="Arial" w:cs="Arial" w:eastAsia="Arial" w:hAnsi="Arial"/>
                <w:sz w:val="14"/>
                <w:szCs w:val="14"/>
                <w:color w:val="auto"/>
              </w:rPr>
              <w:t>Tax fees</w:t>
            </w:r>
          </w:p>
        </w:tc>
        <w:tc>
          <w:tcPr>
            <w:tcW w:w="2860" w:type="dxa"/>
            <w:vAlign w:val="bottom"/>
          </w:tcPr>
          <w:p>
            <w:pPr>
              <w:ind w:left="2740"/>
              <w:spacing w:after="0"/>
              <w:rPr>
                <w:sz w:val="20"/>
                <w:szCs w:val="20"/>
                <w:color w:val="auto"/>
              </w:rPr>
            </w:pPr>
            <w:r>
              <w:rPr>
                <w:rFonts w:ascii="Arial" w:cs="Arial" w:eastAsia="Arial" w:hAnsi="Arial"/>
                <w:sz w:val="4"/>
                <w:szCs w:val="4"/>
                <w:color w:val="auto"/>
              </w:rPr>
              <w:t>​</w:t>
            </w:r>
          </w:p>
        </w:tc>
        <w:tc>
          <w:tcPr>
            <w:tcW w:w="200" w:type="dxa"/>
            <w:vAlign w:val="bottom"/>
          </w:tcPr>
          <w:p>
            <w:pPr>
              <w:ind w:left="100"/>
              <w:spacing w:after="0"/>
              <w:rPr>
                <w:sz w:val="20"/>
                <w:szCs w:val="20"/>
                <w:color w:val="auto"/>
              </w:rPr>
            </w:pPr>
            <w:r>
              <w:rPr>
                <w:rFonts w:ascii="Arial" w:cs="Arial" w:eastAsia="Arial" w:hAnsi="Arial"/>
                <w:sz w:val="4"/>
                <w:szCs w:val="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$77,645</w:t>
            </w:r>
            <w:r>
              <w:rPr>
                <w:rFonts w:ascii="Arial" w:cs="Arial" w:eastAsia="Arial" w:hAnsi="Arial"/>
                <w:sz w:val="3"/>
                <w:szCs w:val="3"/>
                <w:color w:val="auto"/>
              </w:rPr>
              <w:t>​</w:t>
            </w:r>
          </w:p>
        </w:tc>
        <w:tc>
          <w:tcPr>
            <w:tcW w:w="200" w:type="dxa"/>
            <w:vAlign w:val="bottom"/>
          </w:tcPr>
          <w:p>
            <w:pPr>
              <w:ind w:left="100"/>
              <w:spacing w:after="0"/>
              <w:rPr>
                <w:sz w:val="20"/>
                <w:szCs w:val="20"/>
                <w:color w:val="auto"/>
              </w:rPr>
            </w:pPr>
            <w:r>
              <w:rPr>
                <w:rFonts w:ascii="Arial" w:cs="Arial" w:eastAsia="Arial" w:hAnsi="Arial"/>
                <w:sz w:val="4"/>
                <w:szCs w:val="4"/>
                <w:color w:val="auto"/>
              </w:rPr>
              <w:t>​</w:t>
            </w:r>
          </w:p>
        </w:tc>
        <w:tc>
          <w:tcPr>
            <w:tcW w:w="960" w:type="dxa"/>
            <w:vAlign w:val="bottom"/>
          </w:tcPr>
          <w:p>
            <w:pPr>
              <w:jc w:val="right"/>
              <w:ind w:right="37"/>
              <w:spacing w:after="0"/>
              <w:rPr>
                <w:sz w:val="20"/>
                <w:szCs w:val="20"/>
                <w:color w:val="auto"/>
              </w:rPr>
            </w:pPr>
            <w:r>
              <w:rPr>
                <w:rFonts w:ascii="Arial" w:cs="Arial" w:eastAsia="Arial" w:hAnsi="Arial"/>
                <w:sz w:val="14"/>
                <w:szCs w:val="14"/>
                <w:color w:val="auto"/>
              </w:rPr>
              <w:t>$70,314</w:t>
            </w:r>
            <w:r>
              <w:rPr>
                <w:rFonts w:ascii="Arial" w:cs="Arial" w:eastAsia="Arial" w:hAnsi="Arial"/>
                <w:sz w:val="3"/>
                <w:szCs w:val="3"/>
                <w:color w:val="auto"/>
              </w:rPr>
              <w:t>​</w:t>
            </w:r>
          </w:p>
        </w:tc>
      </w:tr>
      <w:tr>
        <w:trPr>
          <w:trHeight w:val="120"/>
        </w:trPr>
        <w:tc>
          <w:tcPr>
            <w:tcW w:w="428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92"/>
        </w:trPr>
        <w:tc>
          <w:tcPr>
            <w:tcW w:w="4280" w:type="dxa"/>
            <w:vAlign w:val="bottom"/>
          </w:tcPr>
          <w:p>
            <w:pPr>
              <w:ind w:left="160"/>
              <w:spacing w:after="0"/>
              <w:rPr>
                <w:sz w:val="20"/>
                <w:szCs w:val="20"/>
                <w:color w:val="auto"/>
              </w:rPr>
            </w:pPr>
            <w:r>
              <w:rPr>
                <w:rFonts w:ascii="Arial" w:cs="Arial" w:eastAsia="Arial" w:hAnsi="Arial"/>
                <w:sz w:val="14"/>
                <w:szCs w:val="14"/>
                <w:color w:val="auto"/>
              </w:rPr>
              <w:t>Other non-audit fees</w:t>
            </w:r>
          </w:p>
        </w:tc>
        <w:tc>
          <w:tcPr>
            <w:tcW w:w="2860" w:type="dxa"/>
            <w:vAlign w:val="bottom"/>
          </w:tcPr>
          <w:p>
            <w:pPr>
              <w:ind w:left="2740"/>
              <w:spacing w:after="0"/>
              <w:rPr>
                <w:sz w:val="20"/>
                <w:szCs w:val="20"/>
                <w:color w:val="auto"/>
              </w:rPr>
            </w:pPr>
            <w:r>
              <w:rPr>
                <w:rFonts w:ascii="Arial" w:cs="Arial" w:eastAsia="Arial" w:hAnsi="Arial"/>
                <w:sz w:val="4"/>
                <w:szCs w:val="4"/>
                <w:color w:val="auto"/>
              </w:rPr>
              <w:t>​</w:t>
            </w:r>
          </w:p>
        </w:tc>
        <w:tc>
          <w:tcPr>
            <w:tcW w:w="200" w:type="dxa"/>
            <w:vAlign w:val="bottom"/>
          </w:tcPr>
          <w:p>
            <w:pPr>
              <w:ind w:left="100"/>
              <w:spacing w:after="0"/>
              <w:rPr>
                <w:sz w:val="20"/>
                <w:szCs w:val="20"/>
                <w:color w:val="auto"/>
              </w:rPr>
            </w:pPr>
            <w:r>
              <w:rPr>
                <w:rFonts w:ascii="Arial" w:cs="Arial" w:eastAsia="Arial" w:hAnsi="Arial"/>
                <w:sz w:val="4"/>
                <w:szCs w:val="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$2,900</w:t>
            </w:r>
            <w:r>
              <w:rPr>
                <w:rFonts w:ascii="Arial" w:cs="Arial" w:eastAsia="Arial" w:hAnsi="Arial"/>
                <w:sz w:val="3"/>
                <w:szCs w:val="3"/>
                <w:color w:val="auto"/>
              </w:rPr>
              <w:t>​</w:t>
            </w:r>
          </w:p>
        </w:tc>
        <w:tc>
          <w:tcPr>
            <w:tcW w:w="200" w:type="dxa"/>
            <w:vAlign w:val="bottom"/>
          </w:tcPr>
          <w:p>
            <w:pPr>
              <w:ind w:left="100"/>
              <w:spacing w:after="0"/>
              <w:rPr>
                <w:sz w:val="20"/>
                <w:szCs w:val="20"/>
                <w:color w:val="auto"/>
              </w:rPr>
            </w:pPr>
            <w:r>
              <w:rPr>
                <w:rFonts w:ascii="Arial" w:cs="Arial" w:eastAsia="Arial" w:hAnsi="Arial"/>
                <w:sz w:val="4"/>
                <w:szCs w:val="4"/>
                <w:color w:val="auto"/>
              </w:rPr>
              <w:t>​</w:t>
            </w:r>
          </w:p>
        </w:tc>
        <w:tc>
          <w:tcPr>
            <w:tcW w:w="960" w:type="dxa"/>
            <w:vAlign w:val="bottom"/>
          </w:tcPr>
          <w:p>
            <w:pPr>
              <w:jc w:val="right"/>
              <w:ind w:right="37"/>
              <w:spacing w:after="0"/>
              <w:rPr>
                <w:sz w:val="20"/>
                <w:szCs w:val="20"/>
                <w:color w:val="auto"/>
              </w:rPr>
            </w:pPr>
            <w:r>
              <w:rPr>
                <w:rFonts w:ascii="Arial" w:cs="Arial" w:eastAsia="Arial" w:hAnsi="Arial"/>
                <w:sz w:val="14"/>
                <w:szCs w:val="14"/>
                <w:color w:val="auto"/>
              </w:rPr>
              <w:t>$2,900</w:t>
            </w:r>
            <w:r>
              <w:rPr>
                <w:rFonts w:ascii="Arial" w:cs="Arial" w:eastAsia="Arial" w:hAnsi="Arial"/>
                <w:sz w:val="3"/>
                <w:szCs w:val="3"/>
                <w:color w:val="auto"/>
              </w:rPr>
              <w:t>​</w:t>
            </w:r>
          </w:p>
        </w:tc>
      </w:tr>
      <w:tr>
        <w:trPr>
          <w:trHeight w:val="120"/>
        </w:trPr>
        <w:tc>
          <w:tcPr>
            <w:tcW w:w="428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305"/>
        </w:trPr>
        <w:tc>
          <w:tcPr>
            <w:tcW w:w="4280" w:type="dxa"/>
            <w:vAlign w:val="bottom"/>
          </w:tcPr>
          <w:p>
            <w:pPr>
              <w:ind w:left="160"/>
              <w:spacing w:after="0"/>
              <w:rPr>
                <w:sz w:val="20"/>
                <w:szCs w:val="20"/>
                <w:color w:val="auto"/>
              </w:rPr>
            </w:pPr>
            <w:r>
              <w:rPr>
                <w:rFonts w:ascii="Arial" w:cs="Arial" w:eastAsia="Arial" w:hAnsi="Arial"/>
                <w:sz w:val="14"/>
                <w:szCs w:val="14"/>
                <w:color w:val="auto"/>
              </w:rPr>
              <w:t>Total fees</w:t>
            </w:r>
          </w:p>
        </w:tc>
        <w:tc>
          <w:tcPr>
            <w:tcW w:w="2860" w:type="dxa"/>
            <w:vAlign w:val="bottom"/>
          </w:tcPr>
          <w:p>
            <w:pPr>
              <w:ind w:left="2740"/>
              <w:spacing w:after="0"/>
              <w:rPr>
                <w:sz w:val="20"/>
                <w:szCs w:val="20"/>
                <w:color w:val="auto"/>
              </w:rPr>
            </w:pPr>
            <w:r>
              <w:rPr>
                <w:rFonts w:ascii="Arial" w:cs="Arial" w:eastAsia="Arial" w:hAnsi="Arial"/>
                <w:sz w:val="4"/>
                <w:szCs w:val="4"/>
                <w:color w:val="auto"/>
              </w:rPr>
              <w:t>​</w:t>
            </w:r>
          </w:p>
        </w:tc>
        <w:tc>
          <w:tcPr>
            <w:tcW w:w="200" w:type="dxa"/>
            <w:vAlign w:val="bottom"/>
          </w:tcPr>
          <w:p>
            <w:pPr>
              <w:ind w:left="100"/>
              <w:spacing w:after="0"/>
              <w:rPr>
                <w:sz w:val="20"/>
                <w:szCs w:val="20"/>
                <w:color w:val="auto"/>
              </w:rPr>
            </w:pPr>
            <w:r>
              <w:rPr>
                <w:rFonts w:ascii="Arial" w:cs="Arial" w:eastAsia="Arial" w:hAnsi="Arial"/>
                <w:sz w:val="4"/>
                <w:szCs w:val="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$1,762,646</w:t>
            </w:r>
            <w:r>
              <w:rPr>
                <w:rFonts w:ascii="Arial" w:cs="Arial" w:eastAsia="Arial" w:hAnsi="Arial"/>
                <w:sz w:val="3"/>
                <w:szCs w:val="3"/>
                <w:color w:val="auto"/>
              </w:rPr>
              <w:t>​</w:t>
            </w:r>
          </w:p>
        </w:tc>
        <w:tc>
          <w:tcPr>
            <w:tcW w:w="200" w:type="dxa"/>
            <w:vAlign w:val="bottom"/>
          </w:tcPr>
          <w:p>
            <w:pPr>
              <w:ind w:left="100"/>
              <w:spacing w:after="0"/>
              <w:rPr>
                <w:sz w:val="20"/>
                <w:szCs w:val="20"/>
                <w:color w:val="auto"/>
              </w:rPr>
            </w:pPr>
            <w:r>
              <w:rPr>
                <w:rFonts w:ascii="Arial" w:cs="Arial" w:eastAsia="Arial" w:hAnsi="Arial"/>
                <w:sz w:val="4"/>
                <w:szCs w:val="4"/>
                <w:color w:val="auto"/>
              </w:rPr>
              <w:t>​</w:t>
            </w:r>
          </w:p>
        </w:tc>
        <w:tc>
          <w:tcPr>
            <w:tcW w:w="960" w:type="dxa"/>
            <w:vAlign w:val="bottom"/>
          </w:tcPr>
          <w:p>
            <w:pPr>
              <w:jc w:val="right"/>
              <w:ind w:right="37"/>
              <w:spacing w:after="0"/>
              <w:rPr>
                <w:sz w:val="20"/>
                <w:szCs w:val="20"/>
                <w:color w:val="auto"/>
              </w:rPr>
            </w:pPr>
            <w:r>
              <w:rPr>
                <w:rFonts w:ascii="Arial" w:cs="Arial" w:eastAsia="Arial" w:hAnsi="Arial"/>
                <w:sz w:val="14"/>
                <w:szCs w:val="14"/>
                <w:color w:val="auto"/>
              </w:rPr>
              <w:t>$3,444,714</w:t>
            </w:r>
            <w:r>
              <w:rPr>
                <w:rFonts w:ascii="Arial" w:cs="Arial" w:eastAsia="Arial" w:hAnsi="Arial"/>
                <w:sz w:val="3"/>
                <w:szCs w:val="3"/>
                <w:color w:val="auto"/>
              </w:rPr>
              <w:t>​</w:t>
            </w:r>
          </w:p>
        </w:tc>
      </w:tr>
      <w:tr>
        <w:trPr>
          <w:trHeight w:val="39"/>
        </w:trPr>
        <w:tc>
          <w:tcPr>
            <w:tcW w:w="428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bl>
    <w:p>
      <w:pPr>
        <w:spacing w:after="0" w:line="261" w:lineRule="exact"/>
        <w:rPr>
          <w:sz w:val="20"/>
          <w:szCs w:val="20"/>
          <w:color w:val="auto"/>
        </w:rPr>
      </w:pPr>
    </w:p>
    <w:p>
      <w:pPr>
        <w:ind w:left="20" w:right="140"/>
        <w:spacing w:after="0" w:line="242" w:lineRule="auto"/>
        <w:rPr>
          <w:sz w:val="20"/>
          <w:szCs w:val="20"/>
          <w:color w:val="auto"/>
        </w:rPr>
      </w:pPr>
      <w:r>
        <w:rPr>
          <w:rFonts w:ascii="Arial" w:cs="Arial" w:eastAsia="Arial" w:hAnsi="Arial"/>
          <w:sz w:val="18"/>
          <w:szCs w:val="18"/>
          <w:b w:val="1"/>
          <w:bCs w:val="1"/>
          <w:color w:val="auto"/>
        </w:rPr>
        <w:t>Audit fees</w:t>
      </w:r>
      <w:r>
        <w:rPr>
          <w:rFonts w:ascii="Arial" w:cs="Arial" w:eastAsia="Arial" w:hAnsi="Arial"/>
          <w:sz w:val="18"/>
          <w:szCs w:val="18"/>
          <w:color w:val="auto"/>
        </w:rPr>
        <w:t>. These amounts consist of fees and expenses for professional services necessary to perform an audit or</w:t>
      </w:r>
      <w:r>
        <w:rPr>
          <w:rFonts w:ascii="Arial" w:cs="Arial" w:eastAsia="Arial" w:hAnsi="Arial"/>
          <w:sz w:val="18"/>
          <w:szCs w:val="18"/>
          <w:b w:val="1"/>
          <w:bCs w:val="1"/>
          <w:color w:val="auto"/>
        </w:rPr>
        <w:t xml:space="preserve"> </w:t>
      </w:r>
      <w:r>
        <w:rPr>
          <w:rFonts w:ascii="Arial" w:cs="Arial" w:eastAsia="Arial" w:hAnsi="Arial"/>
          <w:sz w:val="18"/>
          <w:szCs w:val="18"/>
          <w:color w:val="auto"/>
        </w:rPr>
        <w:t>review in accordance with the standards of the PCAOB, including services rendered for the audit of RTR’s annual financial statements and review of quarterly financial statements starting in fiscal year 2021. These amounts also include fees for services that are normally incurred in connection with regulatory filings, such as comfort letters, consents, and review of documents filed with the SEC, and service fees related to specific transactions and events. In fiscal year 2021, fees included fees in connection with our IPO.</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Audit related services</w:t>
      </w:r>
      <w:r>
        <w:rPr>
          <w:rFonts w:ascii="Arial" w:cs="Arial" w:eastAsia="Arial" w:hAnsi="Arial"/>
          <w:sz w:val="18"/>
          <w:szCs w:val="18"/>
          <w:color w:val="auto"/>
        </w:rPr>
        <w:t>. These amounts consist of fees to review management's material weakness remediation plans.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Tax fees</w:t>
      </w:r>
      <w:r>
        <w:rPr>
          <w:rFonts w:ascii="Arial" w:cs="Arial" w:eastAsia="Arial" w:hAnsi="Arial"/>
          <w:sz w:val="18"/>
          <w:szCs w:val="18"/>
          <w:color w:val="auto"/>
        </w:rPr>
        <w:t>. These amounts consist of fees for tax compliance, tax planning, and tax advice.</w:t>
      </w:r>
    </w:p>
    <w:p>
      <w:pPr>
        <w:sectPr>
          <w:pgSz w:w="11900" w:h="16838" w:orient="portrait"/>
          <w:cols w:equalWidth="0" w:num="1">
            <w:col w:w="9520"/>
          </w:cols>
          <w:pgMar w:left="1180" w:top="265" w:right="1199" w:bottom="144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158115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ind w:left="20" w:right="220"/>
        <w:spacing w:after="0" w:line="271" w:lineRule="auto"/>
        <w:rPr>
          <w:sz w:val="20"/>
          <w:szCs w:val="20"/>
          <w:color w:val="auto"/>
        </w:rPr>
      </w:pPr>
      <w:r>
        <w:rPr>
          <w:rFonts w:ascii="Arial" w:cs="Arial" w:eastAsia="Arial" w:hAnsi="Arial"/>
          <w:sz w:val="18"/>
          <w:szCs w:val="18"/>
          <w:b w:val="1"/>
          <w:bCs w:val="1"/>
          <w:color w:val="auto"/>
        </w:rPr>
        <w:t>Other non-audit fees</w:t>
      </w:r>
      <w:r>
        <w:rPr>
          <w:rFonts w:ascii="Arial" w:cs="Arial" w:eastAsia="Arial" w:hAnsi="Arial"/>
          <w:sz w:val="18"/>
          <w:szCs w:val="18"/>
          <w:color w:val="auto"/>
        </w:rPr>
        <w:t>. These amounts consist of the aggregate fees for access to disclosure requirements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software provided by PwC.</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Pre-Approval Policies and Procedures</w:t>
      </w:r>
    </w:p>
    <w:p>
      <w:pPr>
        <w:spacing w:after="0" w:line="215" w:lineRule="exact"/>
        <w:rPr>
          <w:sz w:val="20"/>
          <w:szCs w:val="20"/>
          <w:color w:val="auto"/>
        </w:rPr>
      </w:pPr>
    </w:p>
    <w:p>
      <w:pPr>
        <w:ind w:left="20" w:right="120"/>
        <w:spacing w:after="0" w:line="247" w:lineRule="auto"/>
        <w:rPr>
          <w:sz w:val="20"/>
          <w:szCs w:val="20"/>
          <w:color w:val="auto"/>
        </w:rPr>
      </w:pPr>
      <w:r>
        <w:rPr>
          <w:rFonts w:ascii="Arial" w:cs="Arial" w:eastAsia="Arial" w:hAnsi="Arial"/>
          <w:sz w:val="18"/>
          <w:szCs w:val="18"/>
          <w:color w:val="auto"/>
        </w:rPr>
        <w:t>The Audit Committee is required to pre-approve all audit and non-audit services performed by PwC to ensure that the provision of such services does not impair the public accounting firm’s independence. The Audit Committee pre-approved all of the services described above.</w:t>
      </w:r>
    </w:p>
    <w:p>
      <w:pPr>
        <w:spacing w:after="0" w:line="124" w:lineRule="exact"/>
        <w:rPr>
          <w:sz w:val="20"/>
          <w:szCs w:val="20"/>
          <w:color w:val="auto"/>
        </w:rPr>
      </w:pPr>
    </w:p>
    <w:p>
      <w:pPr>
        <w:jc w:val="both"/>
        <w:ind w:left="20"/>
        <w:spacing w:after="0" w:line="253" w:lineRule="auto"/>
        <w:rPr>
          <w:sz w:val="20"/>
          <w:szCs w:val="20"/>
          <w:color w:val="auto"/>
        </w:rPr>
      </w:pPr>
      <w:r>
        <w:rPr>
          <w:rFonts w:ascii="Arial" w:cs="Arial" w:eastAsia="Arial" w:hAnsi="Arial"/>
          <w:sz w:val="22"/>
          <w:szCs w:val="22"/>
          <w:b w:val="1"/>
          <w:bCs w:val="1"/>
          <w:color w:val="auto"/>
        </w:rPr>
        <w:t>The Board of Directors recommends that you vote “FOR” the ratification of the appointment of PricewaterhouseCoopers LLP as independent registered public accounting firm for fiscal year 2023.</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159385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265" w:right="125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Executive Officers</w:t>
      </w:r>
    </w:p>
    <w:p>
      <w:pPr>
        <w:spacing w:after="0" w:line="232" w:lineRule="exact"/>
        <w:rPr>
          <w:sz w:val="20"/>
          <w:szCs w:val="20"/>
          <w:color w:val="auto"/>
        </w:rPr>
      </w:pPr>
    </w:p>
    <w:p>
      <w:pPr>
        <w:ind w:left="20" w:right="240"/>
        <w:spacing w:after="0" w:line="260" w:lineRule="auto"/>
        <w:rPr>
          <w:sz w:val="20"/>
          <w:szCs w:val="20"/>
          <w:color w:val="auto"/>
        </w:rPr>
      </w:pPr>
      <w:r>
        <w:rPr>
          <w:rFonts w:ascii="Arial" w:cs="Arial" w:eastAsia="Arial" w:hAnsi="Arial"/>
          <w:sz w:val="18"/>
          <w:szCs w:val="18"/>
          <w:color w:val="auto"/>
        </w:rPr>
        <w:t>Below is information regarding each of our current executive officers. Our executive officers serve at the discretion of our Board of Directors. There are no family relationships among any of our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6035040" cy="265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5040" cy="265430"/>
                    </a:xfrm>
                    <a:prstGeom prst="rect">
                      <a:avLst/>
                    </a:prstGeom>
                    <a:noFill/>
                  </pic:spPr>
                </pic:pic>
              </a:graphicData>
            </a:graphic>
          </wp:anchor>
        </w:drawing>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1800" w:type="dxa"/>
            <w:vAlign w:val="bottom"/>
          </w:tcPr>
          <w:p>
            <w:pPr>
              <w:ind w:left="160"/>
              <w:spacing w:after="0"/>
              <w:rPr>
                <w:sz w:val="20"/>
                <w:szCs w:val="20"/>
                <w:color w:val="auto"/>
              </w:rPr>
            </w:pPr>
            <w:r>
              <w:rPr>
                <w:rFonts w:ascii="Arial" w:cs="Arial" w:eastAsia="Arial" w:hAnsi="Arial"/>
                <w:sz w:val="14"/>
                <w:szCs w:val="14"/>
                <w:b w:val="1"/>
                <w:bCs w:val="1"/>
                <w:color w:val="auto"/>
              </w:rPr>
              <w:t>Name</w:t>
            </w:r>
          </w:p>
        </w:tc>
        <w:tc>
          <w:tcPr>
            <w:tcW w:w="980" w:type="dxa"/>
            <w:vAlign w:val="bottom"/>
          </w:tcPr>
          <w:p>
            <w:pPr>
              <w:ind w:left="460"/>
              <w:spacing w:after="0"/>
              <w:rPr>
                <w:sz w:val="20"/>
                <w:szCs w:val="20"/>
                <w:color w:val="auto"/>
              </w:rPr>
            </w:pPr>
            <w:r>
              <w:rPr>
                <w:rFonts w:ascii="Arial" w:cs="Arial" w:eastAsia="Arial" w:hAnsi="Arial"/>
                <w:sz w:val="4"/>
                <w:szCs w:val="4"/>
                <w:color w:val="auto"/>
              </w:rPr>
              <w:t>​</w:t>
            </w:r>
          </w:p>
        </w:tc>
        <w:tc>
          <w:tcPr>
            <w:tcW w:w="1000" w:type="dxa"/>
            <w:vAlign w:val="bottom"/>
          </w:tcPr>
          <w:p>
            <w:pPr>
              <w:ind w:left="500"/>
              <w:spacing w:after="0"/>
              <w:rPr>
                <w:sz w:val="20"/>
                <w:szCs w:val="20"/>
                <w:color w:val="auto"/>
              </w:rPr>
            </w:pPr>
            <w:r>
              <w:rPr>
                <w:rFonts w:ascii="Arial" w:cs="Arial" w:eastAsia="Arial" w:hAnsi="Arial"/>
                <w:sz w:val="4"/>
                <w:szCs w:val="4"/>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3"/>
                <w:szCs w:val="3"/>
                <w:color w:val="auto"/>
              </w:rPr>
              <w:t>​</w:t>
            </w:r>
          </w:p>
        </w:tc>
        <w:tc>
          <w:tcPr>
            <w:tcW w:w="1020" w:type="dxa"/>
            <w:vAlign w:val="bottom"/>
          </w:tcPr>
          <w:p>
            <w:pPr>
              <w:ind w:left="500"/>
              <w:spacing w:after="0"/>
              <w:rPr>
                <w:sz w:val="20"/>
                <w:szCs w:val="20"/>
                <w:color w:val="auto"/>
              </w:rPr>
            </w:pPr>
            <w:r>
              <w:rPr>
                <w:rFonts w:ascii="Arial" w:cs="Arial" w:eastAsia="Arial" w:hAnsi="Arial"/>
                <w:sz w:val="4"/>
                <w:szCs w:val="4"/>
                <w:color w:val="auto"/>
              </w:rPr>
              <w:t>​</w:t>
            </w:r>
          </w:p>
        </w:tc>
        <w:tc>
          <w:tcPr>
            <w:tcW w:w="3280" w:type="dxa"/>
            <w:vAlign w:val="bottom"/>
          </w:tcPr>
          <w:p>
            <w:pPr>
              <w:ind w:left="500"/>
              <w:spacing w:after="0"/>
              <w:rPr>
                <w:sz w:val="20"/>
                <w:szCs w:val="20"/>
                <w:color w:val="auto"/>
              </w:rPr>
            </w:pPr>
            <w:r>
              <w:rPr>
                <w:rFonts w:ascii="Arial" w:cs="Arial" w:eastAsia="Arial" w:hAnsi="Arial"/>
                <w:sz w:val="14"/>
                <w:szCs w:val="14"/>
                <w:b w:val="1"/>
                <w:bCs w:val="1"/>
                <w:color w:val="auto"/>
              </w:rPr>
              <w:t>Position</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r>
      <w:tr>
        <w:trPr>
          <w:trHeight w:val="110"/>
        </w:trPr>
        <w:tc>
          <w:tcPr>
            <w:tcW w:w="18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r>
      <w:tr>
        <w:trPr>
          <w:trHeight w:val="305"/>
        </w:trPr>
        <w:tc>
          <w:tcPr>
            <w:tcW w:w="1800" w:type="dxa"/>
            <w:vAlign w:val="bottom"/>
          </w:tcPr>
          <w:p>
            <w:pPr>
              <w:ind w:left="160"/>
              <w:spacing w:after="0"/>
              <w:rPr>
                <w:sz w:val="20"/>
                <w:szCs w:val="20"/>
                <w:color w:val="auto"/>
              </w:rPr>
            </w:pPr>
            <w:r>
              <w:rPr>
                <w:rFonts w:ascii="Arial" w:cs="Arial" w:eastAsia="Arial" w:hAnsi="Arial"/>
                <w:sz w:val="14"/>
                <w:szCs w:val="14"/>
                <w:color w:val="auto"/>
              </w:rPr>
              <w:t>Jennifer Y. Hyman</w:t>
            </w:r>
          </w:p>
        </w:tc>
        <w:tc>
          <w:tcPr>
            <w:tcW w:w="980" w:type="dxa"/>
            <w:vAlign w:val="bottom"/>
          </w:tcPr>
          <w:p>
            <w:pPr>
              <w:ind w:left="460"/>
              <w:spacing w:after="0"/>
              <w:rPr>
                <w:sz w:val="20"/>
                <w:szCs w:val="20"/>
                <w:color w:val="auto"/>
              </w:rPr>
            </w:pPr>
            <w:r>
              <w:rPr>
                <w:rFonts w:ascii="Arial" w:cs="Arial" w:eastAsia="Arial" w:hAnsi="Arial"/>
                <w:sz w:val="4"/>
                <w:szCs w:val="4"/>
                <w:color w:val="auto"/>
              </w:rPr>
              <w:t>​</w:t>
            </w:r>
          </w:p>
        </w:tc>
        <w:tc>
          <w:tcPr>
            <w:tcW w:w="1000" w:type="dxa"/>
            <w:vAlign w:val="bottom"/>
          </w:tcPr>
          <w:p>
            <w:pPr>
              <w:ind w:left="500"/>
              <w:spacing w:after="0"/>
              <w:rPr>
                <w:sz w:val="20"/>
                <w:szCs w:val="20"/>
                <w:color w:val="auto"/>
              </w:rPr>
            </w:pPr>
            <w:r>
              <w:rPr>
                <w:rFonts w:ascii="Arial" w:cs="Arial" w:eastAsia="Arial" w:hAnsi="Arial"/>
                <w:sz w:val="4"/>
                <w:szCs w:val="4"/>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42</w:t>
            </w:r>
            <w:r>
              <w:rPr>
                <w:rFonts w:ascii="Arial" w:cs="Arial" w:eastAsia="Arial" w:hAnsi="Arial"/>
                <w:sz w:val="3"/>
                <w:szCs w:val="3"/>
                <w:color w:val="auto"/>
              </w:rPr>
              <w:t>​</w:t>
            </w:r>
          </w:p>
        </w:tc>
        <w:tc>
          <w:tcPr>
            <w:tcW w:w="1020" w:type="dxa"/>
            <w:vAlign w:val="bottom"/>
          </w:tcPr>
          <w:p>
            <w:pPr>
              <w:ind w:left="500"/>
              <w:spacing w:after="0"/>
              <w:rPr>
                <w:sz w:val="20"/>
                <w:szCs w:val="20"/>
                <w:color w:val="auto"/>
              </w:rPr>
            </w:pPr>
            <w:r>
              <w:rPr>
                <w:rFonts w:ascii="Arial" w:cs="Arial" w:eastAsia="Arial" w:hAnsi="Arial"/>
                <w:sz w:val="4"/>
                <w:szCs w:val="4"/>
                <w:color w:val="auto"/>
              </w:rPr>
              <w:t>​</w:t>
            </w:r>
          </w:p>
        </w:tc>
        <w:tc>
          <w:tcPr>
            <w:tcW w:w="3280" w:type="dxa"/>
            <w:vAlign w:val="bottom"/>
          </w:tcPr>
          <w:p>
            <w:pPr>
              <w:ind w:left="500"/>
              <w:spacing w:after="0"/>
              <w:rPr>
                <w:sz w:val="20"/>
                <w:szCs w:val="20"/>
                <w:color w:val="auto"/>
              </w:rPr>
            </w:pPr>
            <w:r>
              <w:rPr>
                <w:rFonts w:ascii="Arial" w:cs="Arial" w:eastAsia="Arial" w:hAnsi="Arial"/>
                <w:sz w:val="14"/>
                <w:szCs w:val="14"/>
                <w:color w:val="auto"/>
              </w:rPr>
              <w:t>Co-Founder; Chief Executive Officer; Chair</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r>
      <w:tr>
        <w:trPr>
          <w:trHeight w:val="120"/>
        </w:trPr>
        <w:tc>
          <w:tcPr>
            <w:tcW w:w="18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r>
      <w:tr>
        <w:trPr>
          <w:trHeight w:val="306"/>
        </w:trPr>
        <w:tc>
          <w:tcPr>
            <w:tcW w:w="1800" w:type="dxa"/>
            <w:vAlign w:val="bottom"/>
          </w:tcPr>
          <w:p>
            <w:pPr>
              <w:ind w:left="160"/>
              <w:spacing w:after="0"/>
              <w:rPr>
                <w:sz w:val="20"/>
                <w:szCs w:val="20"/>
                <w:color w:val="auto"/>
              </w:rPr>
            </w:pPr>
            <w:r>
              <w:rPr>
                <w:rFonts w:ascii="Arial" w:cs="Arial" w:eastAsia="Arial" w:hAnsi="Arial"/>
                <w:sz w:val="14"/>
                <w:szCs w:val="14"/>
                <w:color w:val="auto"/>
              </w:rPr>
              <w:t>Sid Thacker</w:t>
            </w:r>
          </w:p>
        </w:tc>
        <w:tc>
          <w:tcPr>
            <w:tcW w:w="980" w:type="dxa"/>
            <w:vAlign w:val="bottom"/>
          </w:tcPr>
          <w:p>
            <w:pPr>
              <w:ind w:left="460"/>
              <w:spacing w:after="0"/>
              <w:rPr>
                <w:sz w:val="20"/>
                <w:szCs w:val="20"/>
                <w:color w:val="auto"/>
              </w:rPr>
            </w:pPr>
            <w:r>
              <w:rPr>
                <w:rFonts w:ascii="Arial" w:cs="Arial" w:eastAsia="Arial" w:hAnsi="Arial"/>
                <w:sz w:val="4"/>
                <w:szCs w:val="4"/>
                <w:color w:val="auto"/>
              </w:rPr>
              <w:t>​</w:t>
            </w:r>
          </w:p>
        </w:tc>
        <w:tc>
          <w:tcPr>
            <w:tcW w:w="1000" w:type="dxa"/>
            <w:vAlign w:val="bottom"/>
          </w:tcPr>
          <w:p>
            <w:pPr>
              <w:ind w:left="500"/>
              <w:spacing w:after="0"/>
              <w:rPr>
                <w:sz w:val="20"/>
                <w:szCs w:val="20"/>
                <w:color w:val="auto"/>
              </w:rPr>
            </w:pPr>
            <w:r>
              <w:rPr>
                <w:rFonts w:ascii="Arial" w:cs="Arial" w:eastAsia="Arial" w:hAnsi="Arial"/>
                <w:sz w:val="4"/>
                <w:szCs w:val="4"/>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46</w:t>
            </w:r>
            <w:r>
              <w:rPr>
                <w:rFonts w:ascii="Arial" w:cs="Arial" w:eastAsia="Arial" w:hAnsi="Arial"/>
                <w:sz w:val="3"/>
                <w:szCs w:val="3"/>
                <w:color w:val="auto"/>
              </w:rPr>
              <w:t>​</w:t>
            </w:r>
          </w:p>
        </w:tc>
        <w:tc>
          <w:tcPr>
            <w:tcW w:w="1020" w:type="dxa"/>
            <w:vAlign w:val="bottom"/>
          </w:tcPr>
          <w:p>
            <w:pPr>
              <w:ind w:left="500"/>
              <w:spacing w:after="0"/>
              <w:rPr>
                <w:sz w:val="20"/>
                <w:szCs w:val="20"/>
                <w:color w:val="auto"/>
              </w:rPr>
            </w:pPr>
            <w:r>
              <w:rPr>
                <w:rFonts w:ascii="Arial" w:cs="Arial" w:eastAsia="Arial" w:hAnsi="Arial"/>
                <w:sz w:val="4"/>
                <w:szCs w:val="4"/>
                <w:color w:val="auto"/>
              </w:rPr>
              <w:t>​</w:t>
            </w:r>
          </w:p>
        </w:tc>
        <w:tc>
          <w:tcPr>
            <w:tcW w:w="3280" w:type="dxa"/>
            <w:vAlign w:val="bottom"/>
          </w:tcPr>
          <w:p>
            <w:pPr>
              <w:ind w:left="500"/>
              <w:spacing w:after="0"/>
              <w:rPr>
                <w:sz w:val="20"/>
                <w:szCs w:val="20"/>
                <w:color w:val="auto"/>
              </w:rPr>
            </w:pPr>
            <w:r>
              <w:rPr>
                <w:rFonts w:ascii="Arial" w:cs="Arial" w:eastAsia="Arial" w:hAnsi="Arial"/>
                <w:sz w:val="14"/>
                <w:szCs w:val="14"/>
                <w:color w:val="auto"/>
              </w:rPr>
              <w:t>Chief Financial Officer</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r>
      <w:tr>
        <w:trPr>
          <w:trHeight w:val="107"/>
        </w:trPr>
        <w:tc>
          <w:tcPr>
            <w:tcW w:w="18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r>
      <w:tr>
        <w:trPr>
          <w:trHeight w:val="305"/>
        </w:trPr>
        <w:tc>
          <w:tcPr>
            <w:tcW w:w="1800" w:type="dxa"/>
            <w:vAlign w:val="bottom"/>
          </w:tcPr>
          <w:p>
            <w:pPr>
              <w:ind w:left="160"/>
              <w:spacing w:after="0"/>
              <w:rPr>
                <w:sz w:val="20"/>
                <w:szCs w:val="20"/>
                <w:color w:val="auto"/>
              </w:rPr>
            </w:pPr>
            <w:r>
              <w:rPr>
                <w:rFonts w:ascii="Arial" w:cs="Arial" w:eastAsia="Arial" w:hAnsi="Arial"/>
                <w:sz w:val="14"/>
                <w:szCs w:val="14"/>
                <w:color w:val="auto"/>
              </w:rPr>
              <w:t>Anushka Salinas</w:t>
            </w:r>
          </w:p>
        </w:tc>
        <w:tc>
          <w:tcPr>
            <w:tcW w:w="980" w:type="dxa"/>
            <w:vAlign w:val="bottom"/>
          </w:tcPr>
          <w:p>
            <w:pPr>
              <w:ind w:left="460"/>
              <w:spacing w:after="0"/>
              <w:rPr>
                <w:sz w:val="20"/>
                <w:szCs w:val="20"/>
                <w:color w:val="auto"/>
              </w:rPr>
            </w:pPr>
            <w:r>
              <w:rPr>
                <w:rFonts w:ascii="Arial" w:cs="Arial" w:eastAsia="Arial" w:hAnsi="Arial"/>
                <w:sz w:val="4"/>
                <w:szCs w:val="4"/>
                <w:color w:val="auto"/>
              </w:rPr>
              <w:t>​</w:t>
            </w:r>
          </w:p>
        </w:tc>
        <w:tc>
          <w:tcPr>
            <w:tcW w:w="1000" w:type="dxa"/>
            <w:vAlign w:val="bottom"/>
          </w:tcPr>
          <w:p>
            <w:pPr>
              <w:ind w:left="500"/>
              <w:spacing w:after="0"/>
              <w:rPr>
                <w:sz w:val="20"/>
                <w:szCs w:val="20"/>
                <w:color w:val="auto"/>
              </w:rPr>
            </w:pPr>
            <w:r>
              <w:rPr>
                <w:rFonts w:ascii="Arial" w:cs="Arial" w:eastAsia="Arial" w:hAnsi="Arial"/>
                <w:sz w:val="4"/>
                <w:szCs w:val="4"/>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40</w:t>
            </w:r>
            <w:r>
              <w:rPr>
                <w:rFonts w:ascii="Arial" w:cs="Arial" w:eastAsia="Arial" w:hAnsi="Arial"/>
                <w:sz w:val="3"/>
                <w:szCs w:val="3"/>
                <w:color w:val="auto"/>
              </w:rPr>
              <w:t>​</w:t>
            </w:r>
          </w:p>
        </w:tc>
        <w:tc>
          <w:tcPr>
            <w:tcW w:w="1020" w:type="dxa"/>
            <w:vAlign w:val="bottom"/>
          </w:tcPr>
          <w:p>
            <w:pPr>
              <w:ind w:left="500"/>
              <w:spacing w:after="0"/>
              <w:rPr>
                <w:sz w:val="20"/>
                <w:szCs w:val="20"/>
                <w:color w:val="auto"/>
              </w:rPr>
            </w:pPr>
            <w:r>
              <w:rPr>
                <w:rFonts w:ascii="Arial" w:cs="Arial" w:eastAsia="Arial" w:hAnsi="Arial"/>
                <w:sz w:val="4"/>
                <w:szCs w:val="4"/>
                <w:color w:val="auto"/>
              </w:rPr>
              <w:t>​</w:t>
            </w:r>
          </w:p>
        </w:tc>
        <w:tc>
          <w:tcPr>
            <w:tcW w:w="3280" w:type="dxa"/>
            <w:vAlign w:val="bottom"/>
          </w:tcPr>
          <w:p>
            <w:pPr>
              <w:ind w:left="500"/>
              <w:spacing w:after="0"/>
              <w:rPr>
                <w:sz w:val="20"/>
                <w:szCs w:val="20"/>
                <w:color w:val="auto"/>
              </w:rPr>
            </w:pPr>
            <w:r>
              <w:rPr>
                <w:rFonts w:ascii="Arial" w:cs="Arial" w:eastAsia="Arial" w:hAnsi="Arial"/>
                <w:sz w:val="14"/>
                <w:szCs w:val="14"/>
                <w:color w:val="auto"/>
              </w:rPr>
              <w:t>President; Chief Operating Officer</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r>
      <w:tr>
        <w:trPr>
          <w:trHeight w:val="120"/>
        </w:trPr>
        <w:tc>
          <w:tcPr>
            <w:tcW w:w="18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r>
      <w:tr>
        <w:trPr>
          <w:trHeight w:val="292"/>
        </w:trPr>
        <w:tc>
          <w:tcPr>
            <w:tcW w:w="1800" w:type="dxa"/>
            <w:vAlign w:val="bottom"/>
          </w:tcPr>
          <w:p>
            <w:pPr>
              <w:ind w:left="160"/>
              <w:spacing w:after="0"/>
              <w:rPr>
                <w:sz w:val="20"/>
                <w:szCs w:val="20"/>
                <w:color w:val="auto"/>
              </w:rPr>
            </w:pPr>
            <w:r>
              <w:rPr>
                <w:rFonts w:ascii="Arial" w:cs="Arial" w:eastAsia="Arial" w:hAnsi="Arial"/>
                <w:sz w:val="14"/>
                <w:szCs w:val="14"/>
                <w:color w:val="auto"/>
              </w:rPr>
              <w:t>Andrea Alexander</w:t>
            </w:r>
          </w:p>
        </w:tc>
        <w:tc>
          <w:tcPr>
            <w:tcW w:w="980" w:type="dxa"/>
            <w:vAlign w:val="bottom"/>
          </w:tcPr>
          <w:p>
            <w:pPr>
              <w:ind w:left="460"/>
              <w:spacing w:after="0"/>
              <w:rPr>
                <w:sz w:val="20"/>
                <w:szCs w:val="20"/>
                <w:color w:val="auto"/>
              </w:rPr>
            </w:pPr>
            <w:r>
              <w:rPr>
                <w:rFonts w:ascii="Arial" w:cs="Arial" w:eastAsia="Arial" w:hAnsi="Arial"/>
                <w:sz w:val="4"/>
                <w:szCs w:val="4"/>
                <w:color w:val="auto"/>
              </w:rPr>
              <w:t>​</w:t>
            </w:r>
          </w:p>
        </w:tc>
        <w:tc>
          <w:tcPr>
            <w:tcW w:w="1000" w:type="dxa"/>
            <w:vAlign w:val="bottom"/>
          </w:tcPr>
          <w:p>
            <w:pPr>
              <w:ind w:left="500"/>
              <w:spacing w:after="0"/>
              <w:rPr>
                <w:sz w:val="20"/>
                <w:szCs w:val="20"/>
                <w:color w:val="auto"/>
              </w:rPr>
            </w:pPr>
            <w:r>
              <w:rPr>
                <w:rFonts w:ascii="Arial" w:cs="Arial" w:eastAsia="Arial" w:hAnsi="Arial"/>
                <w:sz w:val="4"/>
                <w:szCs w:val="4"/>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41</w:t>
            </w:r>
            <w:r>
              <w:rPr>
                <w:rFonts w:ascii="Arial" w:cs="Arial" w:eastAsia="Arial" w:hAnsi="Arial"/>
                <w:sz w:val="3"/>
                <w:szCs w:val="3"/>
                <w:color w:val="auto"/>
              </w:rPr>
              <w:t>​</w:t>
            </w:r>
          </w:p>
        </w:tc>
        <w:tc>
          <w:tcPr>
            <w:tcW w:w="1020" w:type="dxa"/>
            <w:vAlign w:val="bottom"/>
          </w:tcPr>
          <w:p>
            <w:pPr>
              <w:ind w:left="500"/>
              <w:spacing w:after="0"/>
              <w:rPr>
                <w:sz w:val="20"/>
                <w:szCs w:val="20"/>
                <w:color w:val="auto"/>
              </w:rPr>
            </w:pPr>
            <w:r>
              <w:rPr>
                <w:rFonts w:ascii="Arial" w:cs="Arial" w:eastAsia="Arial" w:hAnsi="Arial"/>
                <w:sz w:val="4"/>
                <w:szCs w:val="4"/>
                <w:color w:val="auto"/>
              </w:rPr>
              <w:t>​</w:t>
            </w:r>
          </w:p>
        </w:tc>
        <w:tc>
          <w:tcPr>
            <w:tcW w:w="3280" w:type="dxa"/>
            <w:vAlign w:val="bottom"/>
          </w:tcPr>
          <w:p>
            <w:pPr>
              <w:ind w:left="500"/>
              <w:spacing w:after="0"/>
              <w:rPr>
                <w:sz w:val="20"/>
                <w:szCs w:val="20"/>
                <w:color w:val="auto"/>
              </w:rPr>
            </w:pPr>
            <w:r>
              <w:rPr>
                <w:rFonts w:ascii="Arial" w:cs="Arial" w:eastAsia="Arial" w:hAnsi="Arial"/>
                <w:sz w:val="14"/>
                <w:szCs w:val="14"/>
                <w:color w:val="auto"/>
              </w:rPr>
              <w:t>Chief People Officer</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r>
      <w:tr>
        <w:trPr>
          <w:trHeight w:val="120"/>
        </w:trPr>
        <w:tc>
          <w:tcPr>
            <w:tcW w:w="18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r>
      <w:tr>
        <w:trPr>
          <w:trHeight w:val="305"/>
        </w:trPr>
        <w:tc>
          <w:tcPr>
            <w:tcW w:w="1800" w:type="dxa"/>
            <w:vAlign w:val="bottom"/>
          </w:tcPr>
          <w:p>
            <w:pPr>
              <w:ind w:left="160"/>
              <w:spacing w:after="0"/>
              <w:rPr>
                <w:sz w:val="20"/>
                <w:szCs w:val="20"/>
                <w:color w:val="auto"/>
              </w:rPr>
            </w:pPr>
            <w:r>
              <w:rPr>
                <w:rFonts w:ascii="Arial" w:cs="Arial" w:eastAsia="Arial" w:hAnsi="Arial"/>
                <w:sz w:val="14"/>
                <w:szCs w:val="14"/>
                <w:color w:val="auto"/>
              </w:rPr>
              <w:t>Brian Donato</w:t>
            </w:r>
          </w:p>
        </w:tc>
        <w:tc>
          <w:tcPr>
            <w:tcW w:w="980" w:type="dxa"/>
            <w:vAlign w:val="bottom"/>
          </w:tcPr>
          <w:p>
            <w:pPr>
              <w:ind w:left="460"/>
              <w:spacing w:after="0"/>
              <w:rPr>
                <w:sz w:val="20"/>
                <w:szCs w:val="20"/>
                <w:color w:val="auto"/>
              </w:rPr>
            </w:pPr>
            <w:r>
              <w:rPr>
                <w:rFonts w:ascii="Arial" w:cs="Arial" w:eastAsia="Arial" w:hAnsi="Arial"/>
                <w:sz w:val="4"/>
                <w:szCs w:val="4"/>
                <w:color w:val="auto"/>
              </w:rPr>
              <w:t>​</w:t>
            </w:r>
          </w:p>
        </w:tc>
        <w:tc>
          <w:tcPr>
            <w:tcW w:w="1000" w:type="dxa"/>
            <w:vAlign w:val="bottom"/>
          </w:tcPr>
          <w:p>
            <w:pPr>
              <w:ind w:left="500"/>
              <w:spacing w:after="0"/>
              <w:rPr>
                <w:sz w:val="20"/>
                <w:szCs w:val="20"/>
                <w:color w:val="auto"/>
              </w:rPr>
            </w:pPr>
            <w:r>
              <w:rPr>
                <w:rFonts w:ascii="Arial" w:cs="Arial" w:eastAsia="Arial" w:hAnsi="Arial"/>
                <w:sz w:val="4"/>
                <w:szCs w:val="4"/>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52</w:t>
            </w:r>
            <w:r>
              <w:rPr>
                <w:rFonts w:ascii="Arial" w:cs="Arial" w:eastAsia="Arial" w:hAnsi="Arial"/>
                <w:sz w:val="3"/>
                <w:szCs w:val="3"/>
                <w:color w:val="auto"/>
              </w:rPr>
              <w:t>​</w:t>
            </w:r>
          </w:p>
        </w:tc>
        <w:tc>
          <w:tcPr>
            <w:tcW w:w="1020" w:type="dxa"/>
            <w:vAlign w:val="bottom"/>
          </w:tcPr>
          <w:p>
            <w:pPr>
              <w:ind w:left="500"/>
              <w:spacing w:after="0"/>
              <w:rPr>
                <w:sz w:val="20"/>
                <w:szCs w:val="20"/>
                <w:color w:val="auto"/>
              </w:rPr>
            </w:pPr>
            <w:r>
              <w:rPr>
                <w:rFonts w:ascii="Arial" w:cs="Arial" w:eastAsia="Arial" w:hAnsi="Arial"/>
                <w:sz w:val="4"/>
                <w:szCs w:val="4"/>
                <w:color w:val="auto"/>
              </w:rPr>
              <w:t>​</w:t>
            </w:r>
          </w:p>
        </w:tc>
        <w:tc>
          <w:tcPr>
            <w:tcW w:w="3280" w:type="dxa"/>
            <w:vAlign w:val="bottom"/>
          </w:tcPr>
          <w:p>
            <w:pPr>
              <w:ind w:left="500"/>
              <w:spacing w:after="0"/>
              <w:rPr>
                <w:sz w:val="20"/>
                <w:szCs w:val="20"/>
                <w:color w:val="auto"/>
              </w:rPr>
            </w:pPr>
            <w:r>
              <w:rPr>
                <w:rFonts w:ascii="Arial" w:cs="Arial" w:eastAsia="Arial" w:hAnsi="Arial"/>
                <w:sz w:val="14"/>
                <w:szCs w:val="14"/>
                <w:color w:val="auto"/>
              </w:rPr>
              <w:t>Chief Revenue Officer</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r>
      <w:tr>
        <w:trPr>
          <w:trHeight w:val="107"/>
        </w:trPr>
        <w:tc>
          <w:tcPr>
            <w:tcW w:w="18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r>
      <w:tr>
        <w:trPr>
          <w:trHeight w:val="305"/>
        </w:trPr>
        <w:tc>
          <w:tcPr>
            <w:tcW w:w="1800" w:type="dxa"/>
            <w:vAlign w:val="bottom"/>
          </w:tcPr>
          <w:p>
            <w:pPr>
              <w:ind w:left="160"/>
              <w:spacing w:after="0"/>
              <w:rPr>
                <w:sz w:val="20"/>
                <w:szCs w:val="20"/>
                <w:color w:val="auto"/>
              </w:rPr>
            </w:pPr>
            <w:r>
              <w:rPr>
                <w:rFonts w:ascii="Arial" w:cs="Arial" w:eastAsia="Arial" w:hAnsi="Arial"/>
                <w:sz w:val="14"/>
                <w:szCs w:val="14"/>
                <w:color w:val="auto"/>
              </w:rPr>
              <w:t>Drew Rau</w:t>
            </w:r>
          </w:p>
        </w:tc>
        <w:tc>
          <w:tcPr>
            <w:tcW w:w="980" w:type="dxa"/>
            <w:vAlign w:val="bottom"/>
          </w:tcPr>
          <w:p>
            <w:pPr>
              <w:ind w:left="460"/>
              <w:spacing w:after="0"/>
              <w:rPr>
                <w:sz w:val="20"/>
                <w:szCs w:val="20"/>
                <w:color w:val="auto"/>
              </w:rPr>
            </w:pPr>
            <w:r>
              <w:rPr>
                <w:rFonts w:ascii="Arial" w:cs="Arial" w:eastAsia="Arial" w:hAnsi="Arial"/>
                <w:sz w:val="4"/>
                <w:szCs w:val="4"/>
                <w:color w:val="auto"/>
              </w:rPr>
              <w:t>​</w:t>
            </w:r>
          </w:p>
        </w:tc>
        <w:tc>
          <w:tcPr>
            <w:tcW w:w="1000" w:type="dxa"/>
            <w:vAlign w:val="bottom"/>
          </w:tcPr>
          <w:p>
            <w:pPr>
              <w:ind w:left="500"/>
              <w:spacing w:after="0"/>
              <w:rPr>
                <w:sz w:val="20"/>
                <w:szCs w:val="20"/>
                <w:color w:val="auto"/>
              </w:rPr>
            </w:pPr>
            <w:r>
              <w:rPr>
                <w:rFonts w:ascii="Arial" w:cs="Arial" w:eastAsia="Arial" w:hAnsi="Arial"/>
                <w:sz w:val="4"/>
                <w:szCs w:val="4"/>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44</w:t>
            </w:r>
            <w:r>
              <w:rPr>
                <w:rFonts w:ascii="Arial" w:cs="Arial" w:eastAsia="Arial" w:hAnsi="Arial"/>
                <w:sz w:val="3"/>
                <w:szCs w:val="3"/>
                <w:color w:val="auto"/>
              </w:rPr>
              <w:t>​</w:t>
            </w:r>
          </w:p>
        </w:tc>
        <w:tc>
          <w:tcPr>
            <w:tcW w:w="1020" w:type="dxa"/>
            <w:vAlign w:val="bottom"/>
          </w:tcPr>
          <w:p>
            <w:pPr>
              <w:ind w:left="500"/>
              <w:spacing w:after="0"/>
              <w:rPr>
                <w:sz w:val="20"/>
                <w:szCs w:val="20"/>
                <w:color w:val="auto"/>
              </w:rPr>
            </w:pPr>
            <w:r>
              <w:rPr>
                <w:rFonts w:ascii="Arial" w:cs="Arial" w:eastAsia="Arial" w:hAnsi="Arial"/>
                <w:sz w:val="4"/>
                <w:szCs w:val="4"/>
                <w:color w:val="auto"/>
              </w:rPr>
              <w:t>​</w:t>
            </w:r>
          </w:p>
        </w:tc>
        <w:tc>
          <w:tcPr>
            <w:tcW w:w="3280" w:type="dxa"/>
            <w:vAlign w:val="bottom"/>
          </w:tcPr>
          <w:p>
            <w:pPr>
              <w:ind w:left="500"/>
              <w:spacing w:after="0"/>
              <w:rPr>
                <w:sz w:val="20"/>
                <w:szCs w:val="20"/>
                <w:color w:val="auto"/>
              </w:rPr>
            </w:pPr>
            <w:r>
              <w:rPr>
                <w:rFonts w:ascii="Arial" w:cs="Arial" w:eastAsia="Arial" w:hAnsi="Arial"/>
                <w:sz w:val="14"/>
                <w:szCs w:val="14"/>
                <w:color w:val="auto"/>
              </w:rPr>
              <w:t>SVP, Supply Chain &amp; Inventory</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r>
      <w:tr>
        <w:trPr>
          <w:trHeight w:val="120"/>
        </w:trPr>
        <w:tc>
          <w:tcPr>
            <w:tcW w:w="18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r>
      <w:tr>
        <w:trPr>
          <w:trHeight w:val="292"/>
        </w:trPr>
        <w:tc>
          <w:tcPr>
            <w:tcW w:w="1800" w:type="dxa"/>
            <w:vAlign w:val="bottom"/>
          </w:tcPr>
          <w:p>
            <w:pPr>
              <w:ind w:left="160"/>
              <w:spacing w:after="0"/>
              <w:rPr>
                <w:sz w:val="20"/>
                <w:szCs w:val="20"/>
                <w:color w:val="auto"/>
              </w:rPr>
            </w:pPr>
            <w:r>
              <w:rPr>
                <w:rFonts w:ascii="Arial" w:cs="Arial" w:eastAsia="Arial" w:hAnsi="Arial"/>
                <w:sz w:val="14"/>
                <w:szCs w:val="14"/>
                <w:color w:val="auto"/>
              </w:rPr>
              <w:t>Cara Schembri</w:t>
            </w:r>
          </w:p>
        </w:tc>
        <w:tc>
          <w:tcPr>
            <w:tcW w:w="980" w:type="dxa"/>
            <w:vAlign w:val="bottom"/>
          </w:tcPr>
          <w:p>
            <w:pPr>
              <w:ind w:left="460"/>
              <w:spacing w:after="0"/>
              <w:rPr>
                <w:sz w:val="20"/>
                <w:szCs w:val="20"/>
                <w:color w:val="auto"/>
              </w:rPr>
            </w:pPr>
            <w:r>
              <w:rPr>
                <w:rFonts w:ascii="Arial" w:cs="Arial" w:eastAsia="Arial" w:hAnsi="Arial"/>
                <w:sz w:val="4"/>
                <w:szCs w:val="4"/>
                <w:color w:val="auto"/>
              </w:rPr>
              <w:t>​</w:t>
            </w:r>
          </w:p>
        </w:tc>
        <w:tc>
          <w:tcPr>
            <w:tcW w:w="1000" w:type="dxa"/>
            <w:vAlign w:val="bottom"/>
          </w:tcPr>
          <w:p>
            <w:pPr>
              <w:ind w:left="500"/>
              <w:spacing w:after="0"/>
              <w:rPr>
                <w:sz w:val="20"/>
                <w:szCs w:val="20"/>
                <w:color w:val="auto"/>
              </w:rPr>
            </w:pPr>
            <w:r>
              <w:rPr>
                <w:rFonts w:ascii="Arial" w:cs="Arial" w:eastAsia="Arial" w:hAnsi="Arial"/>
                <w:sz w:val="4"/>
                <w:szCs w:val="4"/>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46</w:t>
            </w:r>
            <w:r>
              <w:rPr>
                <w:rFonts w:ascii="Arial" w:cs="Arial" w:eastAsia="Arial" w:hAnsi="Arial"/>
                <w:sz w:val="3"/>
                <w:szCs w:val="3"/>
                <w:color w:val="auto"/>
              </w:rPr>
              <w:t>​</w:t>
            </w:r>
          </w:p>
        </w:tc>
        <w:tc>
          <w:tcPr>
            <w:tcW w:w="1020" w:type="dxa"/>
            <w:vAlign w:val="bottom"/>
          </w:tcPr>
          <w:p>
            <w:pPr>
              <w:ind w:left="500"/>
              <w:spacing w:after="0"/>
              <w:rPr>
                <w:sz w:val="20"/>
                <w:szCs w:val="20"/>
                <w:color w:val="auto"/>
              </w:rPr>
            </w:pPr>
            <w:r>
              <w:rPr>
                <w:rFonts w:ascii="Arial" w:cs="Arial" w:eastAsia="Arial" w:hAnsi="Arial"/>
                <w:sz w:val="4"/>
                <w:szCs w:val="4"/>
                <w:color w:val="auto"/>
              </w:rPr>
              <w:t>​</w:t>
            </w:r>
          </w:p>
        </w:tc>
        <w:tc>
          <w:tcPr>
            <w:tcW w:w="3280" w:type="dxa"/>
            <w:vAlign w:val="bottom"/>
          </w:tcPr>
          <w:p>
            <w:pPr>
              <w:ind w:left="500"/>
              <w:spacing w:after="0"/>
              <w:rPr>
                <w:sz w:val="20"/>
                <w:szCs w:val="20"/>
                <w:color w:val="auto"/>
              </w:rPr>
            </w:pPr>
            <w:r>
              <w:rPr>
                <w:rFonts w:ascii="Arial" w:cs="Arial" w:eastAsia="Arial" w:hAnsi="Arial"/>
                <w:sz w:val="14"/>
                <w:szCs w:val="14"/>
                <w:color w:val="auto"/>
              </w:rPr>
              <w:t>General Counsel; Secretary</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r>
      <w:tr>
        <w:trPr>
          <w:trHeight w:val="120"/>
        </w:trPr>
        <w:tc>
          <w:tcPr>
            <w:tcW w:w="18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r>
      <w:tr>
        <w:trPr>
          <w:trHeight w:val="305"/>
        </w:trPr>
        <w:tc>
          <w:tcPr>
            <w:tcW w:w="1800" w:type="dxa"/>
            <w:vAlign w:val="bottom"/>
          </w:tcPr>
          <w:p>
            <w:pPr>
              <w:ind w:left="160"/>
              <w:spacing w:after="0"/>
              <w:rPr>
                <w:sz w:val="20"/>
                <w:szCs w:val="20"/>
                <w:color w:val="auto"/>
              </w:rPr>
            </w:pPr>
            <w:r>
              <w:rPr>
                <w:rFonts w:ascii="Arial" w:cs="Arial" w:eastAsia="Arial" w:hAnsi="Arial"/>
                <w:sz w:val="14"/>
                <w:szCs w:val="14"/>
                <w:color w:val="auto"/>
              </w:rPr>
              <w:t>Larry Steinberg</w:t>
            </w:r>
          </w:p>
        </w:tc>
        <w:tc>
          <w:tcPr>
            <w:tcW w:w="980" w:type="dxa"/>
            <w:vAlign w:val="bottom"/>
          </w:tcPr>
          <w:p>
            <w:pPr>
              <w:ind w:left="460"/>
              <w:spacing w:after="0"/>
              <w:rPr>
                <w:sz w:val="20"/>
                <w:szCs w:val="20"/>
                <w:color w:val="auto"/>
              </w:rPr>
            </w:pPr>
            <w:r>
              <w:rPr>
                <w:rFonts w:ascii="Arial" w:cs="Arial" w:eastAsia="Arial" w:hAnsi="Arial"/>
                <w:sz w:val="4"/>
                <w:szCs w:val="4"/>
                <w:color w:val="auto"/>
              </w:rPr>
              <w:t>​</w:t>
            </w:r>
          </w:p>
        </w:tc>
        <w:tc>
          <w:tcPr>
            <w:tcW w:w="1000" w:type="dxa"/>
            <w:vAlign w:val="bottom"/>
          </w:tcPr>
          <w:p>
            <w:pPr>
              <w:ind w:left="500"/>
              <w:spacing w:after="0"/>
              <w:rPr>
                <w:sz w:val="20"/>
                <w:szCs w:val="20"/>
                <w:color w:val="auto"/>
              </w:rPr>
            </w:pPr>
            <w:r>
              <w:rPr>
                <w:rFonts w:ascii="Arial" w:cs="Arial" w:eastAsia="Arial" w:hAnsi="Arial"/>
                <w:sz w:val="4"/>
                <w:szCs w:val="4"/>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55</w:t>
            </w:r>
            <w:r>
              <w:rPr>
                <w:rFonts w:ascii="Arial" w:cs="Arial" w:eastAsia="Arial" w:hAnsi="Arial"/>
                <w:sz w:val="3"/>
                <w:szCs w:val="3"/>
                <w:color w:val="auto"/>
              </w:rPr>
              <w:t>​</w:t>
            </w:r>
          </w:p>
        </w:tc>
        <w:tc>
          <w:tcPr>
            <w:tcW w:w="1020" w:type="dxa"/>
            <w:vAlign w:val="bottom"/>
          </w:tcPr>
          <w:p>
            <w:pPr>
              <w:ind w:left="500"/>
              <w:spacing w:after="0"/>
              <w:rPr>
                <w:sz w:val="20"/>
                <w:szCs w:val="20"/>
                <w:color w:val="auto"/>
              </w:rPr>
            </w:pPr>
            <w:r>
              <w:rPr>
                <w:rFonts w:ascii="Arial" w:cs="Arial" w:eastAsia="Arial" w:hAnsi="Arial"/>
                <w:sz w:val="4"/>
                <w:szCs w:val="4"/>
                <w:color w:val="auto"/>
              </w:rPr>
              <w:t>​</w:t>
            </w:r>
          </w:p>
        </w:tc>
        <w:tc>
          <w:tcPr>
            <w:tcW w:w="3280" w:type="dxa"/>
            <w:vAlign w:val="bottom"/>
          </w:tcPr>
          <w:p>
            <w:pPr>
              <w:ind w:left="500"/>
              <w:spacing w:after="0"/>
              <w:rPr>
                <w:sz w:val="20"/>
                <w:szCs w:val="20"/>
                <w:color w:val="auto"/>
              </w:rPr>
            </w:pPr>
            <w:r>
              <w:rPr>
                <w:rFonts w:ascii="Arial" w:cs="Arial" w:eastAsia="Arial" w:hAnsi="Arial"/>
                <w:sz w:val="14"/>
                <w:szCs w:val="14"/>
                <w:color w:val="auto"/>
              </w:rPr>
              <w:t>Chief Technology Officer</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r>
      <w:tr>
        <w:trPr>
          <w:trHeight w:val="107"/>
        </w:trPr>
        <w:tc>
          <w:tcPr>
            <w:tcW w:w="18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r>
      <w:tr>
        <w:trPr>
          <w:trHeight w:val="305"/>
        </w:trPr>
        <w:tc>
          <w:tcPr>
            <w:tcW w:w="1800" w:type="dxa"/>
            <w:vAlign w:val="bottom"/>
          </w:tcPr>
          <w:p>
            <w:pPr>
              <w:ind w:left="160"/>
              <w:spacing w:after="0"/>
              <w:rPr>
                <w:sz w:val="20"/>
                <w:szCs w:val="20"/>
                <w:color w:val="auto"/>
              </w:rPr>
            </w:pPr>
            <w:r>
              <w:rPr>
                <w:rFonts w:ascii="Arial" w:cs="Arial" w:eastAsia="Arial" w:hAnsi="Arial"/>
                <w:sz w:val="14"/>
                <w:szCs w:val="14"/>
                <w:color w:val="auto"/>
              </w:rPr>
              <w:t>Sarah Tam</w:t>
            </w:r>
          </w:p>
        </w:tc>
        <w:tc>
          <w:tcPr>
            <w:tcW w:w="980" w:type="dxa"/>
            <w:vAlign w:val="bottom"/>
          </w:tcPr>
          <w:p>
            <w:pPr>
              <w:ind w:left="460"/>
              <w:spacing w:after="0"/>
              <w:rPr>
                <w:sz w:val="20"/>
                <w:szCs w:val="20"/>
                <w:color w:val="auto"/>
              </w:rPr>
            </w:pPr>
            <w:r>
              <w:rPr>
                <w:rFonts w:ascii="Arial" w:cs="Arial" w:eastAsia="Arial" w:hAnsi="Arial"/>
                <w:sz w:val="4"/>
                <w:szCs w:val="4"/>
                <w:color w:val="auto"/>
              </w:rPr>
              <w:t>​</w:t>
            </w:r>
          </w:p>
        </w:tc>
        <w:tc>
          <w:tcPr>
            <w:tcW w:w="1000" w:type="dxa"/>
            <w:vAlign w:val="bottom"/>
          </w:tcPr>
          <w:p>
            <w:pPr>
              <w:ind w:left="500"/>
              <w:spacing w:after="0"/>
              <w:rPr>
                <w:sz w:val="20"/>
                <w:szCs w:val="20"/>
                <w:color w:val="auto"/>
              </w:rPr>
            </w:pPr>
            <w:r>
              <w:rPr>
                <w:rFonts w:ascii="Arial" w:cs="Arial" w:eastAsia="Arial" w:hAnsi="Arial"/>
                <w:sz w:val="4"/>
                <w:szCs w:val="4"/>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49</w:t>
            </w:r>
            <w:r>
              <w:rPr>
                <w:rFonts w:ascii="Arial" w:cs="Arial" w:eastAsia="Arial" w:hAnsi="Arial"/>
                <w:sz w:val="3"/>
                <w:szCs w:val="3"/>
                <w:color w:val="auto"/>
              </w:rPr>
              <w:t>​</w:t>
            </w:r>
          </w:p>
        </w:tc>
        <w:tc>
          <w:tcPr>
            <w:tcW w:w="1020" w:type="dxa"/>
            <w:vAlign w:val="bottom"/>
          </w:tcPr>
          <w:p>
            <w:pPr>
              <w:ind w:left="500"/>
              <w:spacing w:after="0"/>
              <w:rPr>
                <w:sz w:val="20"/>
                <w:szCs w:val="20"/>
                <w:color w:val="auto"/>
              </w:rPr>
            </w:pPr>
            <w:r>
              <w:rPr>
                <w:rFonts w:ascii="Arial" w:cs="Arial" w:eastAsia="Arial" w:hAnsi="Arial"/>
                <w:sz w:val="4"/>
                <w:szCs w:val="4"/>
                <w:color w:val="auto"/>
              </w:rPr>
              <w:t>​</w:t>
            </w:r>
          </w:p>
        </w:tc>
        <w:tc>
          <w:tcPr>
            <w:tcW w:w="3280" w:type="dxa"/>
            <w:vAlign w:val="bottom"/>
          </w:tcPr>
          <w:p>
            <w:pPr>
              <w:ind w:left="500"/>
              <w:spacing w:after="0"/>
              <w:rPr>
                <w:sz w:val="20"/>
                <w:szCs w:val="20"/>
                <w:color w:val="auto"/>
              </w:rPr>
            </w:pPr>
            <w:r>
              <w:rPr>
                <w:rFonts w:ascii="Arial" w:cs="Arial" w:eastAsia="Arial" w:hAnsi="Arial"/>
                <w:sz w:val="14"/>
                <w:szCs w:val="14"/>
                <w:color w:val="auto"/>
              </w:rPr>
              <w:t>Chief Merchant Officer</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r>
      <w:tr>
        <w:trPr>
          <w:trHeight w:val="39"/>
        </w:trPr>
        <w:tc>
          <w:tcPr>
            <w:tcW w:w="18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bl>
    <w:p>
      <w:pPr>
        <w:spacing w:after="0" w:line="261" w:lineRule="exact"/>
        <w:rPr>
          <w:sz w:val="20"/>
          <w:szCs w:val="20"/>
          <w:color w:val="auto"/>
        </w:rPr>
      </w:pPr>
    </w:p>
    <w:p>
      <w:pPr>
        <w:ind w:left="20" w:right="120"/>
        <w:spacing w:after="0" w:line="253" w:lineRule="auto"/>
        <w:rPr>
          <w:sz w:val="20"/>
          <w:szCs w:val="20"/>
          <w:color w:val="auto"/>
        </w:rPr>
      </w:pPr>
      <w:r>
        <w:rPr>
          <w:rFonts w:ascii="Arial" w:cs="Arial" w:eastAsia="Arial" w:hAnsi="Arial"/>
          <w:sz w:val="18"/>
          <w:szCs w:val="18"/>
          <w:b w:val="1"/>
          <w:bCs w:val="1"/>
          <w:color w:val="auto"/>
        </w:rPr>
        <w:t xml:space="preserve">Jennifer Y. Hyman </w:t>
      </w:r>
      <w:r>
        <w:rPr>
          <w:rFonts w:ascii="Arial" w:cs="Arial" w:eastAsia="Arial" w:hAnsi="Arial"/>
          <w:sz w:val="18"/>
          <w:szCs w:val="18"/>
          <w:color w:val="auto"/>
        </w:rPr>
        <w:t>has served as our Co-Founder since November 2008 and our Chief Executive Officer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Chair of our Board of Directors since March 2009. Please see the “Information About Board Nominees and Continuing Directors” section for additional biographical information.</w:t>
      </w:r>
    </w:p>
    <w:p>
      <w:pPr>
        <w:spacing w:after="0" w:line="128" w:lineRule="exact"/>
        <w:rPr>
          <w:sz w:val="20"/>
          <w:szCs w:val="20"/>
          <w:color w:val="auto"/>
        </w:rPr>
      </w:pPr>
    </w:p>
    <w:p>
      <w:pPr>
        <w:ind w:left="20" w:right="60"/>
        <w:spacing w:after="0" w:line="259" w:lineRule="auto"/>
        <w:rPr>
          <w:sz w:val="20"/>
          <w:szCs w:val="20"/>
          <w:color w:val="auto"/>
        </w:rPr>
      </w:pPr>
      <w:r>
        <w:rPr>
          <w:rFonts w:ascii="Arial" w:cs="Arial" w:eastAsia="Arial" w:hAnsi="Arial"/>
          <w:sz w:val="17"/>
          <w:szCs w:val="17"/>
          <w:b w:val="1"/>
          <w:bCs w:val="1"/>
          <w:color w:val="auto"/>
        </w:rPr>
        <w:t xml:space="preserve">Sid Thacker </w:t>
      </w:r>
      <w:r>
        <w:rPr>
          <w:rFonts w:ascii="Arial" w:cs="Arial" w:eastAsia="Arial" w:hAnsi="Arial"/>
          <w:sz w:val="17"/>
          <w:szCs w:val="17"/>
          <w:color w:val="auto"/>
        </w:rPr>
        <w:t>has served as our Chief Financial Officer since May 25, 2023. Prior to that, he served as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Senior Vice President, FP&amp;A from July 2022 to May 2023. Prior to joining RTR, from January 2020 to March 2022, Mr. Thacker served as an Investment Partner at Coalition Investment Partners, an alternative asset manager. From June 2018 to January 2020, Mr. Thacker served as CEO of SAR Capital Advisors, LP, an investment advisory firm, and from August 2011 to December 2017, he served as Founder, CEO and CIO of Signpost Capital Advisors, LP, an investment advisory firm. Mr. Thacker holds a B.A. from Oberlin College and an M.B.A. from Harvard Business School.</w:t>
      </w:r>
    </w:p>
    <w:p>
      <w:pPr>
        <w:spacing w:after="0" w:line="138" w:lineRule="exact"/>
        <w:rPr>
          <w:sz w:val="20"/>
          <w:szCs w:val="20"/>
          <w:color w:val="auto"/>
        </w:rPr>
      </w:pPr>
    </w:p>
    <w:p>
      <w:pPr>
        <w:ind w:left="20"/>
        <w:spacing w:after="0" w:line="239" w:lineRule="auto"/>
        <w:rPr>
          <w:sz w:val="20"/>
          <w:szCs w:val="20"/>
          <w:color w:val="auto"/>
        </w:rPr>
      </w:pPr>
      <w:r>
        <w:rPr>
          <w:rFonts w:ascii="Arial" w:cs="Arial" w:eastAsia="Arial" w:hAnsi="Arial"/>
          <w:sz w:val="18"/>
          <w:szCs w:val="18"/>
          <w:b w:val="1"/>
          <w:bCs w:val="1"/>
          <w:color w:val="auto"/>
        </w:rPr>
        <w:t xml:space="preserve">Anushka Salinas </w:t>
      </w:r>
      <w:r>
        <w:rPr>
          <w:rFonts w:ascii="Arial" w:cs="Arial" w:eastAsia="Arial" w:hAnsi="Arial"/>
          <w:sz w:val="18"/>
          <w:szCs w:val="18"/>
          <w:color w:val="auto"/>
        </w:rPr>
        <w:t>has served as our President and Chief Operating Officer since October 2019. Prior to that, she</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our Chief Revenue Officer from May 2018 to October 2019 and General Manager of Subscription from February 2017 to May 2018. Ms. Salinas was also a member of Rent the Runway's founding team, serving as our Vice President of Merchandising from 2012 to 2013 and Director, Merchandising from 2010 to 2012. Before re-joining us, Ms. Salinas served as the Head of Commerce at Resonance Companies, a sustainability-focused company that aims to disrupt clothing manufacturing and supporting designers to grow their businesses, from August 2015 to February 2017 and as VP of e-commerce at Hudson's Bay Company where she oversaw lordandtaylor.com and thebay.com from 2013 to 2015. Ms. Salinas holds a B.A. in Economics from the University of Pennsylvania and an M.B.A. from Columbia Business School.</w:t>
      </w:r>
    </w:p>
    <w:p>
      <w:pPr>
        <w:spacing w:after="0" w:line="143" w:lineRule="exact"/>
        <w:rPr>
          <w:sz w:val="20"/>
          <w:szCs w:val="20"/>
          <w:color w:val="auto"/>
        </w:rPr>
      </w:pPr>
    </w:p>
    <w:p>
      <w:pPr>
        <w:ind w:left="20" w:right="140"/>
        <w:spacing w:after="0" w:line="242" w:lineRule="auto"/>
        <w:rPr>
          <w:sz w:val="20"/>
          <w:szCs w:val="20"/>
          <w:color w:val="auto"/>
        </w:rPr>
      </w:pPr>
      <w:r>
        <w:rPr>
          <w:rFonts w:ascii="Arial" w:cs="Arial" w:eastAsia="Arial" w:hAnsi="Arial"/>
          <w:sz w:val="18"/>
          <w:szCs w:val="18"/>
          <w:b w:val="1"/>
          <w:bCs w:val="1"/>
          <w:color w:val="auto"/>
        </w:rPr>
        <w:t xml:space="preserve">Andrea Alexander </w:t>
      </w:r>
      <w:r>
        <w:rPr>
          <w:rFonts w:ascii="Arial" w:cs="Arial" w:eastAsia="Arial" w:hAnsi="Arial"/>
          <w:sz w:val="18"/>
          <w:szCs w:val="18"/>
          <w:color w:val="auto"/>
        </w:rPr>
        <w:t>has served as our Chief People Officer since June 2021. Prior to joining us, Ms. Alexander served</w:t>
      </w:r>
      <w:r>
        <w:rPr>
          <w:rFonts w:ascii="Arial" w:cs="Arial" w:eastAsia="Arial" w:hAnsi="Arial"/>
          <w:sz w:val="18"/>
          <w:szCs w:val="18"/>
          <w:b w:val="1"/>
          <w:bCs w:val="1"/>
          <w:color w:val="auto"/>
        </w:rPr>
        <w:t xml:space="preserve"> </w:t>
      </w:r>
      <w:r>
        <w:rPr>
          <w:rFonts w:ascii="Arial" w:cs="Arial" w:eastAsia="Arial" w:hAnsi="Arial"/>
          <w:sz w:val="18"/>
          <w:szCs w:val="18"/>
          <w:color w:val="auto"/>
        </w:rPr>
        <w:t>in various roles of increasing responsibility, including Associate Partner, and Professional Development Manager, at McKinsey &amp; Company, a management consulting company, from September 2009 to June 2021. Ms. Alexander also serves on the board of directors of two non-profit organizations, Teach for America Houston and Buffalo Bayou Partnership. Ms. Alexander holds a B.Sc. in Business from the Wharton School at the University of Pennsylvania and an M.B.A. from Harvard Business School.</w:t>
      </w:r>
    </w:p>
    <w:p>
      <w:pPr>
        <w:spacing w:after="0" w:line="138" w:lineRule="exact"/>
        <w:rPr>
          <w:sz w:val="20"/>
          <w:szCs w:val="20"/>
          <w:color w:val="auto"/>
        </w:rPr>
      </w:pPr>
    </w:p>
    <w:p>
      <w:pPr>
        <w:ind w:left="20" w:right="440"/>
        <w:spacing w:after="0" w:line="275" w:lineRule="auto"/>
        <w:rPr>
          <w:sz w:val="20"/>
          <w:szCs w:val="20"/>
          <w:color w:val="auto"/>
        </w:rPr>
      </w:pPr>
      <w:r>
        <w:rPr>
          <w:rFonts w:ascii="Arial" w:cs="Arial" w:eastAsia="Arial" w:hAnsi="Arial"/>
          <w:sz w:val="17"/>
          <w:szCs w:val="17"/>
          <w:b w:val="1"/>
          <w:bCs w:val="1"/>
          <w:color w:val="auto"/>
        </w:rPr>
        <w:t xml:space="preserve">Brian Donato </w:t>
      </w:r>
      <w:r>
        <w:rPr>
          <w:rFonts w:ascii="Arial" w:cs="Arial" w:eastAsia="Arial" w:hAnsi="Arial"/>
          <w:sz w:val="17"/>
          <w:szCs w:val="17"/>
          <w:color w:val="auto"/>
        </w:rPr>
        <w:t>has served as our Chief Revenue Officer since January 2023, and prior to that served as our Chief</w:t>
      </w:r>
      <w:r>
        <w:rPr>
          <w:rFonts w:ascii="Arial" w:cs="Arial" w:eastAsia="Arial" w:hAnsi="Arial"/>
          <w:sz w:val="17"/>
          <w:szCs w:val="17"/>
          <w:b w:val="1"/>
          <w:bCs w:val="1"/>
          <w:color w:val="auto"/>
        </w:rPr>
        <w:t xml:space="preserve"> </w:t>
      </w:r>
      <w:r>
        <w:rPr>
          <w:rFonts w:ascii="Arial" w:cs="Arial" w:eastAsia="Arial" w:hAnsi="Arial"/>
          <w:sz w:val="17"/>
          <w:szCs w:val="17"/>
          <w:color w:val="auto"/>
        </w:rPr>
        <w:t>Supply Chain Officer from March 2020 to January 2023. Before joining us, he was the Senior Vice President of Operations for Bowery Farming, a vertical farming company, from March 2018 to March 2020. From January 2012</w:t>
      </w:r>
    </w:p>
    <w:p>
      <w:pPr>
        <w:sectPr>
          <w:pgSz w:w="11900" w:h="16838" w:orient="portrait"/>
          <w:cols w:equalWidth="0" w:num="1">
            <w:col w:w="9520"/>
          </w:cols>
          <w:pgMar w:left="1180" w:top="265" w:right="119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167005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2" w:lineRule="exact"/>
        <w:rPr>
          <w:sz w:val="20"/>
          <w:szCs w:val="20"/>
          <w:color w:val="auto"/>
        </w:rPr>
      </w:pPr>
    </w:p>
    <w:p>
      <w:pPr>
        <w:ind w:left="20" w:right="120"/>
        <w:spacing w:after="0" w:line="239" w:lineRule="auto"/>
        <w:rPr>
          <w:sz w:val="20"/>
          <w:szCs w:val="20"/>
          <w:color w:val="auto"/>
        </w:rPr>
      </w:pPr>
      <w:r>
        <w:rPr>
          <w:rFonts w:ascii="Arial" w:cs="Arial" w:eastAsia="Arial" w:hAnsi="Arial"/>
          <w:sz w:val="18"/>
          <w:szCs w:val="18"/>
          <w:color w:val="auto"/>
        </w:rPr>
        <w:t>to May 2018, Mr. Donato served in various capacities at Amazon.com, an e-commerce marketplace, including leading operations for North American Customer Returns, Worldwide Fresh, Worldwide Pantry, and half of the North American Fulfillment Network. Additionally, Mr. Donato served as the Director of Operations for Moen, Inc., a manufacturer of faucets and other plumbing products from May 2007 to December 2011. Mr. Donato holds a B.S. in Mechanical Engineering from Pennsylvania State University as well as an M.S. in Mechanical Engineering and an M.B.A. from the Massachusetts Institute of Technology.</w:t>
      </w:r>
    </w:p>
    <w:p>
      <w:pPr>
        <w:spacing w:after="0" w:line="157" w:lineRule="exact"/>
        <w:rPr>
          <w:sz w:val="20"/>
          <w:szCs w:val="20"/>
          <w:color w:val="auto"/>
        </w:rPr>
      </w:pPr>
    </w:p>
    <w:p>
      <w:pPr>
        <w:ind w:left="20" w:right="60"/>
        <w:spacing w:after="0" w:line="239" w:lineRule="auto"/>
        <w:rPr>
          <w:sz w:val="20"/>
          <w:szCs w:val="20"/>
          <w:color w:val="auto"/>
        </w:rPr>
      </w:pPr>
      <w:r>
        <w:rPr>
          <w:rFonts w:ascii="Arial" w:cs="Arial" w:eastAsia="Arial" w:hAnsi="Arial"/>
          <w:sz w:val="18"/>
          <w:szCs w:val="18"/>
          <w:b w:val="1"/>
          <w:bCs w:val="1"/>
          <w:color w:val="auto"/>
        </w:rPr>
        <w:t xml:space="preserve">Drew Rau </w:t>
      </w:r>
      <w:r>
        <w:rPr>
          <w:rFonts w:ascii="Arial" w:cs="Arial" w:eastAsia="Arial" w:hAnsi="Arial"/>
          <w:sz w:val="18"/>
          <w:szCs w:val="18"/>
          <w:color w:val="auto"/>
        </w:rPr>
        <w:t>has served as our SVP, Supply Chain and Inventory since January 2023, after joining Rent the Runway in</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2021 as VP, Capacity Management and Planning, Transportation, and Loss Prevention and then VP, Inventory Performance. Prior to that, he served as VP Global Supply Chain at Overstock.com, an e-commerce marketplace, from November 2020 to November 2021 and as VP of Operations, Agricultural Operations and People Safety at Bowery Farming, an indoor agriculture startup, from February 2019 to November 2020. Mr. Rau also held several roles of increasing seniority at Amazon from November 2014 to February 2019, including Director of Fulfillment where he oversaw the Prime Pantry and Sub Same Day fulfillment network. Mr. Rau holds an M.B.A. from the University of Denver as well as a B.S. in Business Management and Computer Information Systems from the Metropolitan State University of Denver.</w:t>
      </w:r>
    </w:p>
    <w:p>
      <w:pPr>
        <w:spacing w:after="0" w:line="143" w:lineRule="exact"/>
        <w:rPr>
          <w:sz w:val="20"/>
          <w:szCs w:val="20"/>
          <w:color w:val="auto"/>
        </w:rPr>
      </w:pPr>
    </w:p>
    <w:p>
      <w:pPr>
        <w:ind w:left="20" w:right="100"/>
        <w:spacing w:after="0"/>
        <w:rPr>
          <w:sz w:val="20"/>
          <w:szCs w:val="20"/>
          <w:color w:val="auto"/>
        </w:rPr>
      </w:pPr>
      <w:r>
        <w:rPr>
          <w:rFonts w:ascii="Arial" w:cs="Arial" w:eastAsia="Arial" w:hAnsi="Arial"/>
          <w:sz w:val="18"/>
          <w:szCs w:val="18"/>
          <w:b w:val="1"/>
          <w:bCs w:val="1"/>
          <w:color w:val="auto"/>
        </w:rPr>
        <w:t xml:space="preserve">Cara Schembri </w:t>
      </w:r>
      <w:r>
        <w:rPr>
          <w:rFonts w:ascii="Arial" w:cs="Arial" w:eastAsia="Arial" w:hAnsi="Arial"/>
          <w:sz w:val="18"/>
          <w:szCs w:val="18"/>
          <w:color w:val="auto"/>
        </w:rPr>
        <w:t>has served as our General Counsel and Corporate Secretary since December 2019 and Interim Chief</w:t>
      </w:r>
      <w:r>
        <w:rPr>
          <w:rFonts w:ascii="Arial" w:cs="Arial" w:eastAsia="Arial" w:hAnsi="Arial"/>
          <w:sz w:val="18"/>
          <w:szCs w:val="18"/>
          <w:b w:val="1"/>
          <w:bCs w:val="1"/>
          <w:color w:val="auto"/>
        </w:rPr>
        <w:t xml:space="preserve"> </w:t>
      </w:r>
      <w:r>
        <w:rPr>
          <w:rFonts w:ascii="Arial" w:cs="Arial" w:eastAsia="Arial" w:hAnsi="Arial"/>
          <w:sz w:val="18"/>
          <w:szCs w:val="18"/>
          <w:color w:val="auto"/>
        </w:rPr>
        <w:t>People Officer from March to September 2020. From September 2014 to November 2019, Ms. Schembri served in various roles at Etsy, Inc., a global online marketplace, most recently as the Vice President, Deputy General Counsel and Assistant Secretary. Prior to that, Ms. Schembri served as Senior Counsel and Assistant Corporate Secretary for Avon Products, Inc., a multinational cosmetics and personal care company, from September 2008 to September 2014. From September 2005 to August 2008, she was a senior associate at Norton Rose Fulbright LLP and from September 2003 to September 2005, she was an associate at Sidley Austin LLP. Ms. Schembri holds a B.A. in Philosophy from Binghamton University and a J.D. from The George Washington University Law School.</w:t>
      </w:r>
    </w:p>
    <w:p>
      <w:pPr>
        <w:spacing w:after="0" w:line="140" w:lineRule="exact"/>
        <w:rPr>
          <w:sz w:val="20"/>
          <w:szCs w:val="20"/>
          <w:color w:val="auto"/>
        </w:rPr>
      </w:pPr>
    </w:p>
    <w:p>
      <w:pPr>
        <w:ind w:left="20" w:right="120"/>
        <w:spacing w:after="0"/>
        <w:rPr>
          <w:sz w:val="20"/>
          <w:szCs w:val="20"/>
          <w:color w:val="auto"/>
        </w:rPr>
      </w:pPr>
      <w:r>
        <w:rPr>
          <w:rFonts w:ascii="Arial" w:cs="Arial" w:eastAsia="Arial" w:hAnsi="Arial"/>
          <w:sz w:val="18"/>
          <w:szCs w:val="18"/>
          <w:b w:val="1"/>
          <w:bCs w:val="1"/>
          <w:color w:val="auto"/>
        </w:rPr>
        <w:t xml:space="preserve">Larry Steinberg </w:t>
      </w:r>
      <w:r>
        <w:rPr>
          <w:rFonts w:ascii="Arial" w:cs="Arial" w:eastAsia="Arial" w:hAnsi="Arial"/>
          <w:sz w:val="18"/>
          <w:szCs w:val="18"/>
          <w:color w:val="auto"/>
        </w:rPr>
        <w:t>has served as our Chief Technology Officer since July 2020. Before joining us, Mr. Steinberg was a</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at AKF Partners, an advisory services firm specializing in technology growth, and the Chief Technology Officer and Senior Vice President of Technology at Agilysys, a hospitality software provider, from May 2012 to April 2018. In March 1995, Mr. Steinberg founded Engryo (formerly known as Dirigo) and served as its Chief Technology Officer until May 2007 when it was acquired by Microsoft. At Microsoft, he served as a Principal Architect in System Center from June 2007 to September 2009 and Development Manager for Microsoft System Center from September 2009 to May 2012. Mr. Steinberg holds a B.S. in Applied Mathematics from Kent State University.</w:t>
      </w:r>
    </w:p>
    <w:p>
      <w:pPr>
        <w:spacing w:after="0" w:line="158" w:lineRule="exact"/>
        <w:rPr>
          <w:sz w:val="20"/>
          <w:szCs w:val="20"/>
          <w:color w:val="auto"/>
        </w:rPr>
      </w:pPr>
    </w:p>
    <w:p>
      <w:pPr>
        <w:ind w:left="20" w:right="220"/>
        <w:spacing w:after="0" w:line="262" w:lineRule="auto"/>
        <w:rPr>
          <w:sz w:val="20"/>
          <w:szCs w:val="20"/>
          <w:color w:val="auto"/>
        </w:rPr>
      </w:pPr>
      <w:r>
        <w:rPr>
          <w:rFonts w:ascii="Arial" w:cs="Arial" w:eastAsia="Arial" w:hAnsi="Arial"/>
          <w:sz w:val="17"/>
          <w:szCs w:val="17"/>
          <w:b w:val="1"/>
          <w:bCs w:val="1"/>
          <w:color w:val="auto"/>
        </w:rPr>
        <w:t xml:space="preserve">Sarah Tam </w:t>
      </w:r>
      <w:r>
        <w:rPr>
          <w:rFonts w:ascii="Arial" w:cs="Arial" w:eastAsia="Arial" w:hAnsi="Arial"/>
          <w:sz w:val="17"/>
          <w:szCs w:val="17"/>
          <w:color w:val="auto"/>
        </w:rPr>
        <w:t>has served as our Chief Merchant Officer since August 2017. Prior to that, she served as our Senior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of Merchandising and Planning from February 2015 to August 2017. Before joining us, Ms. Tam spent</w:t>
      </w:r>
    </w:p>
    <w:p>
      <w:pPr>
        <w:ind w:left="20"/>
        <w:spacing w:after="0" w:line="237" w:lineRule="auto"/>
        <w:rPr>
          <w:sz w:val="20"/>
          <w:szCs w:val="20"/>
          <w:color w:val="auto"/>
        </w:rPr>
      </w:pPr>
      <w:r>
        <w:rPr>
          <w:rFonts w:ascii="Arial" w:cs="Arial" w:eastAsia="Arial" w:hAnsi="Arial"/>
          <w:sz w:val="18"/>
          <w:szCs w:val="18"/>
          <w:color w:val="auto"/>
        </w:rPr>
        <w:t>19 years at Saks Fifth Avenue, where she most recently served as VP DMM, heading up Women's Designer RTW, Bridal &amp; Evening. Ms. Tam oversaw the creation, execution, and merchandising strategy of the Women's European and American Designer business across e-commerce and stores nationwide. During her career at Saks Fifth Avenue, she held leadership positions across the Buying and Planning organization encompassing multiple categories including Designer RTW, Luxury Handbags, Women's Designer Shoes, and Men's Sportswear. Ms. Tam holds a B.S. in Business Administration and Management from Geneseo University.</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Executive Compensation</w:t>
      </w:r>
    </w:p>
    <w:p>
      <w:pPr>
        <w:spacing w:after="0" w:line="232" w:lineRule="exact"/>
        <w:rPr>
          <w:sz w:val="20"/>
          <w:szCs w:val="20"/>
          <w:color w:val="auto"/>
        </w:rPr>
      </w:pPr>
    </w:p>
    <w:p>
      <w:pPr>
        <w:ind w:left="20" w:right="100"/>
        <w:spacing w:after="0" w:line="247"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“Summary Compensation Table” below. In fiscal year 2022, which ended on January 31, 2023, our “named executive officers” and their positions were as follows:</w:t>
      </w:r>
    </w:p>
    <w:p>
      <w:pPr>
        <w:spacing w:after="0" w:line="144" w:lineRule="exact"/>
        <w:rPr>
          <w:sz w:val="20"/>
          <w:szCs w:val="20"/>
          <w:color w:val="auto"/>
        </w:rPr>
      </w:pPr>
    </w:p>
    <w:p>
      <w:pPr>
        <w:ind w:left="740" w:hanging="359"/>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Jennifer Y. Hyman, Co-Founder, Chief Executive Officer, and Chair;</w:t>
      </w:r>
    </w:p>
    <w:p>
      <w:pPr>
        <w:spacing w:after="0" w:line="7"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Anushka Salinas, President and Chief Operating Officer; and</w:t>
      </w:r>
    </w:p>
    <w:p>
      <w:pPr>
        <w:ind w:left="740" w:hanging="359"/>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Larry Steinberg, Chief Technology Officer.</w:t>
      </w:r>
    </w:p>
    <w:p>
      <w:pPr>
        <w:spacing w:after="0" w:line="173" w:lineRule="exact"/>
        <w:rPr>
          <w:sz w:val="20"/>
          <w:szCs w:val="20"/>
          <w:color w:val="auto"/>
        </w:rPr>
      </w:pPr>
    </w:p>
    <w:p>
      <w:pPr>
        <w:ind w:left="20" w:right="440"/>
        <w:spacing w:after="0" w:line="247" w:lineRule="auto"/>
        <w:rPr>
          <w:sz w:val="20"/>
          <w:szCs w:val="20"/>
          <w:color w:val="auto"/>
        </w:rPr>
      </w:pPr>
      <w:r>
        <w:rPr>
          <w:rFonts w:ascii="Arial" w:cs="Arial" w:eastAsia="Arial" w:hAnsi="Arial"/>
          <w:sz w:val="18"/>
          <w:szCs w:val="18"/>
          <w:color w:val="auto"/>
        </w:rPr>
        <w:t>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Summary Compensation Table</w:t>
      </w:r>
    </w:p>
    <w:p>
      <w:pPr>
        <w:spacing w:after="0" w:line="195" w:lineRule="exact"/>
        <w:rPr>
          <w:sz w:val="20"/>
          <w:szCs w:val="20"/>
          <w:color w:val="auto"/>
        </w:rPr>
      </w:pPr>
    </w:p>
    <w:p>
      <w:pPr>
        <w:ind w:left="20" w:right="120"/>
        <w:spacing w:after="0" w:line="260" w:lineRule="auto"/>
        <w:rPr>
          <w:sz w:val="20"/>
          <w:szCs w:val="20"/>
          <w:color w:val="auto"/>
        </w:rPr>
      </w:pPr>
      <w:r>
        <w:rPr>
          <w:rFonts w:ascii="Arial" w:cs="Arial" w:eastAsia="Arial" w:hAnsi="Arial"/>
          <w:sz w:val="18"/>
          <w:szCs w:val="18"/>
          <w:color w:val="auto"/>
        </w:rPr>
        <w:t>The following table presents all of the compensation awarded to, earned by or paid to our named executive officers for the fiscal years ended January 31, 2023 and January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6035040" cy="5657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5040" cy="565785"/>
                    </a:xfrm>
                    <a:prstGeom prst="rect">
                      <a:avLst/>
                    </a:prstGeom>
                    <a:noFill/>
                  </pic:spPr>
                </pic:pic>
              </a:graphicData>
            </a:graphic>
          </wp:anchor>
        </w:drawing>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22"/>
                <w:szCs w:val="22"/>
                <w:color w:val="auto"/>
              </w:rPr>
            </w:pPr>
          </w:p>
        </w:tc>
        <w:tc>
          <w:tcPr>
            <w:tcW w:w="1100" w:type="dxa"/>
            <w:vAlign w:val="bottom"/>
          </w:tcPr>
          <w:p>
            <w:pPr>
              <w:ind w:left="40"/>
              <w:spacing w:after="0"/>
              <w:rPr>
                <w:sz w:val="20"/>
                <w:szCs w:val="20"/>
                <w:color w:val="auto"/>
              </w:rPr>
            </w:pPr>
            <w:r>
              <w:rPr>
                <w:rFonts w:ascii="Arial" w:cs="Arial" w:eastAsia="Arial" w:hAnsi="Arial"/>
                <w:sz w:val="14"/>
                <w:szCs w:val="14"/>
                <w:b w:val="1"/>
                <w:bCs w:val="1"/>
                <w:color w:val="auto"/>
              </w:rPr>
              <w:t>Non-Equity</w:t>
            </w:r>
          </w:p>
        </w:tc>
        <w:tc>
          <w:tcPr>
            <w:tcW w:w="120" w:type="dxa"/>
            <w:vAlign w:val="bottom"/>
          </w:tcPr>
          <w:p>
            <w:pPr>
              <w:spacing w:after="0"/>
              <w:rPr>
                <w:sz w:val="22"/>
                <w:szCs w:val="22"/>
                <w:color w:val="auto"/>
              </w:rPr>
            </w:pPr>
          </w:p>
        </w:tc>
        <w:tc>
          <w:tcPr>
            <w:tcW w:w="1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Fiscal</w:t>
            </w:r>
            <w:r>
              <w:rPr>
                <w:rFonts w:ascii="Arial" w:cs="Arial" w:eastAsia="Arial" w:hAnsi="Arial"/>
                <w:sz w:val="7"/>
                <w:szCs w:val="7"/>
                <w:color w:val="auto"/>
                <w:vertAlign w:val="subscript"/>
              </w:rPr>
              <w:t>​</w:t>
            </w:r>
          </w:p>
        </w:tc>
        <w:tc>
          <w:tcPr>
            <w:tcW w:w="10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7"/>
                <w:szCs w:val="7"/>
                <w:color w:val="auto"/>
                <w:vertAlign w:val="subscript"/>
              </w:rPr>
              <w:t>​</w:t>
            </w:r>
          </w:p>
        </w:tc>
        <w:tc>
          <w:tcPr>
            <w:tcW w:w="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xml:space="preserve">Incentive Plan </w:t>
            </w:r>
            <w:r>
              <w:rPr>
                <w:rFonts w:ascii="Arial" w:cs="Arial" w:eastAsia="Arial" w:hAnsi="Arial"/>
                <w:sz w:val="7"/>
                <w:szCs w:val="7"/>
                <w:color w:val="auto"/>
                <w:vertAlign w:val="subscript"/>
              </w:rPr>
              <w:t>​</w:t>
            </w:r>
          </w:p>
        </w:tc>
        <w:tc>
          <w:tcPr>
            <w:tcW w:w="1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20"/>
                <w:szCs w:val="20"/>
                <w:color w:val="auto"/>
              </w:rPr>
            </w:pPr>
            <w:r>
              <w:rPr>
                <w:rFonts w:ascii="Arial" w:cs="Arial" w:eastAsia="Arial" w:hAnsi="Arial"/>
                <w:sz w:val="4"/>
                <w:szCs w:val="4"/>
                <w:color w:val="auto"/>
              </w:rPr>
              <w:t>​</w:t>
            </w:r>
          </w:p>
        </w:tc>
        <w:tc>
          <w:tcPr>
            <w:tcW w:w="210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Name and Principal Position</w:t>
            </w:r>
          </w:p>
        </w:tc>
        <w:tc>
          <w:tcPr>
            <w:tcW w:w="200" w:type="dxa"/>
            <w:vAlign w:val="bottom"/>
            <w:gridSpan w:val="2"/>
          </w:tcPr>
          <w:p>
            <w:pPr>
              <w:jc w:val="right"/>
              <w:ind w:right="31"/>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520" w:type="dxa"/>
            <w:vAlign w:val="bottom"/>
            <w:vMerge w:val="continue"/>
          </w:tcPr>
          <w:p>
            <w:pPr>
              <w:spacing w:after="0"/>
              <w:rPr>
                <w:sz w:val="12"/>
                <w:szCs w:val="12"/>
                <w:color w:val="auto"/>
              </w:rPr>
            </w:pP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560" w:type="dxa"/>
            <w:vAlign w:val="bottom"/>
            <w:vMerge w:val="continue"/>
          </w:tcPr>
          <w:p>
            <w:pPr>
              <w:spacing w:after="0"/>
              <w:rPr>
                <w:sz w:val="12"/>
                <w:szCs w:val="12"/>
                <w:color w:val="auto"/>
              </w:rPr>
            </w:pPr>
          </w:p>
        </w:tc>
        <w:tc>
          <w:tcPr>
            <w:tcW w:w="120" w:type="dxa"/>
            <w:vAlign w:val="bottom"/>
          </w:tcPr>
          <w:p>
            <w:pPr>
              <w:jc w:val="right"/>
              <w:ind w:right="22"/>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540" w:type="dxa"/>
            <w:vAlign w:val="bottom"/>
            <w:vMerge w:val="continue"/>
          </w:tcPr>
          <w:p>
            <w:pPr>
              <w:spacing w:after="0"/>
              <w:rPr>
                <w:sz w:val="12"/>
                <w:szCs w:val="12"/>
                <w:color w:val="auto"/>
              </w:rPr>
            </w:pP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800" w:type="dxa"/>
            <w:vAlign w:val="bottom"/>
          </w:tcPr>
          <w:p>
            <w:pPr>
              <w:jc w:val="right"/>
              <w:ind w:right="2"/>
              <w:spacing w:after="0"/>
              <w:rPr>
                <w:sz w:val="20"/>
                <w:szCs w:val="20"/>
                <w:color w:val="auto"/>
              </w:rPr>
            </w:pPr>
            <w:r>
              <w:rPr>
                <w:rFonts w:ascii="Arial" w:cs="Arial" w:eastAsia="Arial" w:hAnsi="Arial"/>
                <w:sz w:val="14"/>
                <w:szCs w:val="14"/>
                <w:b w:val="1"/>
                <w:bCs w:val="1"/>
                <w:color w:val="auto"/>
                <w:w w:val="4294942296"/>
              </w:rPr>
              <w:t>Awards</w:t>
            </w:r>
            <w:r>
              <w:rPr>
                <w:rFonts w:ascii="Arial" w:cs="Arial" w:eastAsia="Arial" w:hAnsi="Arial"/>
                <w:sz w:val="2"/>
                <w:szCs w:val="2"/>
                <w:color w:val="auto"/>
                <w:w w:val="4294942296"/>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w w:val="4294942296"/>
              </w:rPr>
              <w:t>Awards</w:t>
            </w:r>
            <w:r>
              <w:rPr>
                <w:rFonts w:ascii="Arial" w:cs="Arial" w:eastAsia="Arial" w:hAnsi="Arial"/>
                <w:sz w:val="2"/>
                <w:szCs w:val="2"/>
                <w:color w:val="auto"/>
                <w:w w:val="4294942296"/>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100" w:type="dxa"/>
            <w:vAlign w:val="bottom"/>
            <w:vMerge w:val="continue"/>
          </w:tcPr>
          <w:p>
            <w:pPr>
              <w:spacing w:after="0"/>
              <w:rPr>
                <w:sz w:val="12"/>
                <w:szCs w:val="12"/>
                <w:color w:val="auto"/>
              </w:rPr>
            </w:pP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1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3"/>
                <w:szCs w:val="3"/>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560" w:type="dxa"/>
            <w:vAlign w:val="bottom"/>
            <w:vMerge w:val="continue"/>
          </w:tcPr>
          <w:p>
            <w:pPr>
              <w:spacing w:after="0"/>
              <w:rPr>
                <w:sz w:val="12"/>
                <w:szCs w:val="12"/>
                <w:color w:val="auto"/>
              </w:rPr>
            </w:pPr>
          </w:p>
        </w:tc>
        <w:tc>
          <w:tcPr>
            <w:tcW w:w="280" w:type="dxa"/>
            <w:vAlign w:val="bottom"/>
          </w:tcPr>
          <w:p>
            <w:pPr>
              <w:jc w:val="right"/>
              <w:ind w:right="8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jc w:val="right"/>
              <w:ind w:right="92"/>
              <w:spacing w:after="0" w:line="81" w:lineRule="exact"/>
              <w:rPr>
                <w:sz w:val="20"/>
                <w:szCs w:val="20"/>
                <w:color w:val="auto"/>
              </w:rPr>
            </w:pPr>
            <w:r>
              <w:rPr>
                <w:rFonts w:ascii="Arial" w:cs="Arial" w:eastAsia="Arial" w:hAnsi="Arial"/>
                <w:sz w:val="9"/>
                <w:szCs w:val="9"/>
                <w:b w:val="1"/>
                <w:bCs w:val="1"/>
                <w:color w:val="auto"/>
              </w:rPr>
              <w:t>Year</w:t>
            </w:r>
          </w:p>
        </w:tc>
        <w:tc>
          <w:tcPr>
            <w:tcW w:w="100" w:type="dxa"/>
            <w:vAlign w:val="bottom"/>
          </w:tcPr>
          <w:p>
            <w:pPr>
              <w:spacing w:after="0"/>
              <w:rPr>
                <w:sz w:val="7"/>
                <w:szCs w:val="7"/>
                <w:color w:val="auto"/>
              </w:rPr>
            </w:pPr>
          </w:p>
        </w:tc>
        <w:tc>
          <w:tcPr>
            <w:tcW w:w="560" w:type="dxa"/>
            <w:vAlign w:val="bottom"/>
          </w:tcPr>
          <w:p>
            <w:pPr>
              <w:ind w:left="60"/>
              <w:spacing w:after="0" w:line="81" w:lineRule="exact"/>
              <w:rPr>
                <w:sz w:val="20"/>
                <w:szCs w:val="20"/>
                <w:color w:val="auto"/>
              </w:rPr>
            </w:pPr>
            <w:r>
              <w:rPr>
                <w:rFonts w:ascii="Arial" w:cs="Arial" w:eastAsia="Arial" w:hAnsi="Arial"/>
                <w:sz w:val="7"/>
                <w:szCs w:val="7"/>
                <w:b w:val="1"/>
                <w:bCs w:val="1"/>
                <w:color w:val="auto"/>
              </w:rPr>
              <w:t>($)</w:t>
            </w:r>
            <w:r>
              <w:rPr>
                <w:rFonts w:ascii="Arial" w:cs="Arial" w:eastAsia="Arial" w:hAnsi="Arial"/>
                <w:sz w:val="9"/>
                <w:szCs w:val="9"/>
                <w:b w:val="1"/>
                <w:bCs w:val="1"/>
                <w:color w:val="auto"/>
                <w:vertAlign w:val="superscript"/>
              </w:rPr>
              <w:t>(1)</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jc w:val="right"/>
              <w:ind w:right="259"/>
              <w:spacing w:after="0" w:line="81" w:lineRule="exact"/>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7"/>
                <w:szCs w:val="7"/>
                <w:color w:val="auto"/>
              </w:rPr>
            </w:pPr>
          </w:p>
        </w:tc>
        <w:tc>
          <w:tcPr>
            <w:tcW w:w="800" w:type="dxa"/>
            <w:vAlign w:val="bottom"/>
            <w:vMerge w:val="restart"/>
          </w:tcPr>
          <w:p>
            <w:pPr>
              <w:ind w:left="60"/>
              <w:spacing w:after="0" w:line="24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100" w:type="dxa"/>
            <w:vAlign w:val="bottom"/>
          </w:tcPr>
          <w:p>
            <w:pPr>
              <w:spacing w:after="0"/>
              <w:rPr>
                <w:sz w:val="7"/>
                <w:szCs w:val="7"/>
                <w:color w:val="auto"/>
              </w:rPr>
            </w:pPr>
          </w:p>
        </w:tc>
        <w:tc>
          <w:tcPr>
            <w:tcW w:w="800" w:type="dxa"/>
            <w:vAlign w:val="bottom"/>
            <w:vMerge w:val="restart"/>
          </w:tcPr>
          <w:p>
            <w:pPr>
              <w:ind w:left="60"/>
              <w:spacing w:after="0" w:line="24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100" w:type="dxa"/>
            <w:vAlign w:val="bottom"/>
          </w:tcPr>
          <w:p>
            <w:pPr>
              <w:spacing w:after="0"/>
              <w:rPr>
                <w:sz w:val="7"/>
                <w:szCs w:val="7"/>
                <w:color w:val="auto"/>
              </w:rPr>
            </w:pPr>
          </w:p>
        </w:tc>
        <w:tc>
          <w:tcPr>
            <w:tcW w:w="110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Compensation</w:t>
            </w:r>
          </w:p>
        </w:tc>
        <w:tc>
          <w:tcPr>
            <w:tcW w:w="120" w:type="dxa"/>
            <w:vAlign w:val="bottom"/>
          </w:tcPr>
          <w:p>
            <w:pPr>
              <w:spacing w:after="0"/>
              <w:rPr>
                <w:sz w:val="7"/>
                <w:szCs w:val="7"/>
                <w:color w:val="auto"/>
              </w:rPr>
            </w:pPr>
          </w:p>
        </w:tc>
        <w:tc>
          <w:tcPr>
            <w:tcW w:w="1100" w:type="dxa"/>
            <w:vAlign w:val="bottom"/>
            <w:vMerge w:val="restart"/>
          </w:tcPr>
          <w:p>
            <w:pPr>
              <w:ind w:left="40"/>
              <w:spacing w:after="0" w:line="24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(4)</w:t>
            </w:r>
          </w:p>
        </w:tc>
        <w:tc>
          <w:tcPr>
            <w:tcW w:w="100" w:type="dxa"/>
            <w:vAlign w:val="bottom"/>
          </w:tcPr>
          <w:p>
            <w:pPr>
              <w:spacing w:after="0"/>
              <w:rPr>
                <w:sz w:val="7"/>
                <w:szCs w:val="7"/>
                <w:color w:val="auto"/>
              </w:rPr>
            </w:pPr>
          </w:p>
        </w:tc>
        <w:tc>
          <w:tcPr>
            <w:tcW w:w="560" w:type="dxa"/>
            <w:vAlign w:val="bottom"/>
          </w:tcPr>
          <w:p>
            <w:pPr>
              <w:ind w:left="40"/>
              <w:spacing w:after="0" w:line="81" w:lineRule="exact"/>
              <w:rPr>
                <w:sz w:val="20"/>
                <w:szCs w:val="20"/>
                <w:color w:val="auto"/>
              </w:rPr>
            </w:pPr>
            <w:r>
              <w:rPr>
                <w:rFonts w:ascii="Arial" w:cs="Arial" w:eastAsia="Arial" w:hAnsi="Arial"/>
                <w:sz w:val="9"/>
                <w:szCs w:val="9"/>
                <w:b w:val="1"/>
                <w:bCs w:val="1"/>
                <w:color w:val="auto"/>
              </w:rPr>
              <w:t>($)</w:t>
            </w: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(3)</w:t>
            </w: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0" w:type="dxa"/>
            <w:vAlign w:val="bottom"/>
          </w:tcPr>
          <w:p>
            <w:pPr>
              <w:spacing w:after="0"/>
              <w:rPr>
                <w:sz w:val="24"/>
                <w:szCs w:val="24"/>
                <w:color w:val="auto"/>
              </w:rPr>
            </w:pPr>
          </w:p>
        </w:tc>
        <w:tc>
          <w:tcPr>
            <w:tcW w:w="21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Jennifer Hyman</w:t>
            </w:r>
          </w:p>
        </w:tc>
        <w:tc>
          <w:tcPr>
            <w:tcW w:w="140" w:type="dxa"/>
            <w:vAlign w:val="bottom"/>
          </w:tcPr>
          <w:p>
            <w:pPr>
              <w:spacing w:after="0"/>
              <w:rPr>
                <w:sz w:val="24"/>
                <w:szCs w:val="24"/>
                <w:color w:val="auto"/>
              </w:rPr>
            </w:pPr>
          </w:p>
        </w:tc>
        <w:tc>
          <w:tcPr>
            <w:tcW w:w="60" w:type="dxa"/>
            <w:vAlign w:val="bottom"/>
          </w:tcPr>
          <w:p>
            <w:pPr>
              <w:jc w:val="right"/>
              <w:ind w:right="31"/>
              <w:spacing w:after="0"/>
              <w:rPr>
                <w:sz w:val="20"/>
                <w:szCs w:val="20"/>
                <w:color w:val="auto"/>
              </w:rPr>
            </w:pPr>
            <w:r>
              <w:rPr>
                <w:rFonts w:ascii="Arial" w:cs="Arial" w:eastAsia="Arial" w:hAnsi="Arial"/>
                <w:sz w:val="2"/>
                <w:szCs w:val="2"/>
                <w:color w:val="auto"/>
                <w:w w:val="429494229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2022</w:t>
            </w:r>
            <w:r>
              <w:rPr>
                <w:rFonts w:ascii="Arial" w:cs="Arial" w:eastAsia="Arial" w:hAnsi="Arial"/>
                <w:sz w:val="3"/>
                <w:szCs w:val="3"/>
                <w:color w:val="auto"/>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680" w:type="dxa"/>
            <w:vAlign w:val="bottom"/>
            <w:gridSpan w:val="2"/>
          </w:tcPr>
          <w:p>
            <w:pPr>
              <w:jc w:val="right"/>
              <w:ind w:right="22"/>
              <w:spacing w:after="0"/>
              <w:rPr>
                <w:sz w:val="20"/>
                <w:szCs w:val="20"/>
                <w:color w:val="auto"/>
              </w:rPr>
            </w:pPr>
            <w:r>
              <w:rPr>
                <w:rFonts w:ascii="Arial" w:cs="Arial" w:eastAsia="Arial" w:hAnsi="Arial"/>
                <w:sz w:val="14"/>
                <w:szCs w:val="14"/>
                <w:color w:val="auto"/>
              </w:rPr>
              <w:t>650,000</w:t>
            </w:r>
            <w:r>
              <w:rPr>
                <w:rFonts w:ascii="Arial" w:cs="Arial" w:eastAsia="Arial" w:hAnsi="Arial"/>
                <w:sz w:val="3"/>
                <w:szCs w:val="3"/>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800" w:type="dxa"/>
            <w:vAlign w:val="bottom"/>
          </w:tcPr>
          <w:p>
            <w:pPr>
              <w:jc w:val="right"/>
              <w:ind w:right="2"/>
              <w:spacing w:after="0"/>
              <w:rPr>
                <w:sz w:val="20"/>
                <w:szCs w:val="20"/>
                <w:color w:val="auto"/>
              </w:rPr>
            </w:pPr>
            <w:r>
              <w:rPr>
                <w:rFonts w:ascii="Arial" w:cs="Arial" w:eastAsia="Arial" w:hAnsi="Arial"/>
                <w:sz w:val="14"/>
                <w:szCs w:val="14"/>
                <w:color w:val="auto"/>
              </w:rPr>
              <w:t>3,766,083</w:t>
            </w:r>
            <w:r>
              <w:rPr>
                <w:rFonts w:ascii="Arial" w:cs="Arial" w:eastAsia="Arial" w:hAnsi="Arial"/>
                <w:sz w:val="3"/>
                <w:szCs w:val="3"/>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800" w:type="dxa"/>
            <w:vAlign w:val="bottom"/>
          </w:tcPr>
          <w:p>
            <w:pPr>
              <w:jc w:val="right"/>
              <w:ind w:right="2"/>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821,438</w:t>
            </w:r>
            <w:r>
              <w:rPr>
                <w:rFonts w:ascii="Arial" w:cs="Arial" w:eastAsia="Arial" w:hAnsi="Arial"/>
                <w:sz w:val="3"/>
                <w:szCs w:val="3"/>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16,493</w:t>
            </w:r>
            <w:r>
              <w:rPr>
                <w:rFonts w:ascii="Arial" w:cs="Arial" w:eastAsia="Arial" w:hAnsi="Arial"/>
                <w:sz w:val="3"/>
                <w:szCs w:val="3"/>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840" w:type="dxa"/>
            <w:vAlign w:val="bottom"/>
            <w:gridSpan w:val="2"/>
          </w:tcPr>
          <w:p>
            <w:pPr>
              <w:jc w:val="right"/>
              <w:ind w:right="82"/>
              <w:spacing w:after="0"/>
              <w:rPr>
                <w:sz w:val="20"/>
                <w:szCs w:val="20"/>
                <w:color w:val="auto"/>
              </w:rPr>
            </w:pPr>
            <w:r>
              <w:rPr>
                <w:rFonts w:ascii="Arial" w:cs="Arial" w:eastAsia="Arial" w:hAnsi="Arial"/>
                <w:sz w:val="14"/>
                <w:szCs w:val="14"/>
                <w:color w:val="auto"/>
              </w:rPr>
              <w:t>5,254,014</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21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6"/>
        </w:trPr>
        <w:tc>
          <w:tcPr>
            <w:tcW w:w="80" w:type="dxa"/>
            <w:vAlign w:val="bottom"/>
            <w:vMerge w:val="restart"/>
          </w:tcPr>
          <w:p>
            <w:pPr>
              <w:spacing w:after="0"/>
              <w:rPr>
                <w:sz w:val="20"/>
                <w:szCs w:val="20"/>
                <w:color w:val="auto"/>
              </w:rPr>
            </w:pPr>
            <w:r>
              <w:rPr>
                <w:rFonts w:ascii="Arial" w:cs="Arial" w:eastAsia="Arial" w:hAnsi="Arial"/>
                <w:sz w:val="4"/>
                <w:szCs w:val="4"/>
                <w:color w:val="auto"/>
              </w:rPr>
              <w:t>​</w:t>
            </w:r>
          </w:p>
        </w:tc>
        <w:tc>
          <w:tcPr>
            <w:tcW w:w="2100" w:type="dxa"/>
            <w:vAlign w:val="bottom"/>
            <w:vMerge w:val="restart"/>
          </w:tcPr>
          <w:p>
            <w:pPr>
              <w:ind w:left="260"/>
              <w:spacing w:after="0"/>
              <w:rPr>
                <w:sz w:val="20"/>
                <w:szCs w:val="20"/>
                <w:color w:val="auto"/>
              </w:rPr>
            </w:pPr>
            <w:r>
              <w:rPr>
                <w:rFonts w:ascii="Arial" w:cs="Arial" w:eastAsia="Arial" w:hAnsi="Arial"/>
                <w:sz w:val="14"/>
                <w:szCs w:val="14"/>
                <w:color w:val="auto"/>
              </w:rPr>
              <w:t>Co-founder, Chief Executive</w:t>
            </w:r>
          </w:p>
        </w:tc>
        <w:tc>
          <w:tcPr>
            <w:tcW w:w="140" w:type="dxa"/>
            <w:vAlign w:val="bottom"/>
            <w:vMerge w:val="restart"/>
          </w:tcPr>
          <w:p>
            <w:pPr>
              <w:ind w:left="40"/>
              <w:spacing w:after="0"/>
              <w:rPr>
                <w:sz w:val="20"/>
                <w:szCs w:val="20"/>
                <w:color w:val="auto"/>
              </w:rPr>
            </w:pPr>
            <w:r>
              <w:rPr>
                <w:rFonts w:ascii="Arial" w:cs="Arial" w:eastAsia="Arial" w:hAnsi="Arial"/>
                <w:sz w:val="4"/>
                <w:szCs w:val="4"/>
                <w:color w:val="auto"/>
              </w:rPr>
              <w:t>​</w:t>
            </w:r>
          </w:p>
        </w:tc>
        <w:tc>
          <w:tcPr>
            <w:tcW w:w="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80" w:type="dxa"/>
            <w:vAlign w:val="bottom"/>
            <w:vMerge w:val="continue"/>
          </w:tcPr>
          <w:p>
            <w:pPr>
              <w:spacing w:after="0"/>
              <w:rPr>
                <w:sz w:val="4"/>
                <w:szCs w:val="4"/>
                <w:color w:val="auto"/>
              </w:rPr>
            </w:pPr>
          </w:p>
        </w:tc>
        <w:tc>
          <w:tcPr>
            <w:tcW w:w="21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Officer, and Chair</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jc w:val="right"/>
              <w:ind w:right="31"/>
              <w:spacing w:after="0"/>
              <w:rPr>
                <w:sz w:val="20"/>
                <w:szCs w:val="20"/>
                <w:color w:val="auto"/>
              </w:rPr>
            </w:pPr>
            <w:r>
              <w:rPr>
                <w:rFonts w:ascii="Arial" w:cs="Arial" w:eastAsia="Arial" w:hAnsi="Arial"/>
                <w:sz w:val="2"/>
                <w:szCs w:val="2"/>
                <w:color w:val="auto"/>
                <w:w w:val="429494229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r>
              <w:rPr>
                <w:rFonts w:ascii="Arial" w:cs="Arial" w:eastAsia="Arial" w:hAnsi="Arial"/>
                <w:sz w:val="3"/>
                <w:szCs w:val="3"/>
                <w:color w:val="auto"/>
              </w:rPr>
              <w:t>​</w:t>
            </w:r>
          </w:p>
        </w:tc>
        <w:tc>
          <w:tcPr>
            <w:tcW w:w="10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6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color w:val="auto"/>
              </w:rPr>
              <w:t>616,477</w:t>
            </w:r>
            <w:r>
              <w:rPr>
                <w:rFonts w:ascii="Arial" w:cs="Arial" w:eastAsia="Arial" w:hAnsi="Arial"/>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10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1,170,275</w:t>
            </w:r>
            <w:r>
              <w:rPr>
                <w:rFonts w:ascii="Arial" w:cs="Arial" w:eastAsia="Arial" w:hAnsi="Arial"/>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4"/>
                <w:szCs w:val="4"/>
                <w:color w:val="auto"/>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4,209,546</w:t>
            </w:r>
            <w:r>
              <w:rPr>
                <w:rFonts w:ascii="Arial" w:cs="Arial" w:eastAsia="Arial" w:hAnsi="Arial"/>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4"/>
                <w:szCs w:val="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818,014</w:t>
            </w:r>
            <w:r>
              <w:rPr>
                <w:rFonts w:ascii="Arial" w:cs="Arial" w:eastAsia="Arial" w:hAnsi="Arial"/>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71,583</w:t>
            </w:r>
            <w:r>
              <w:rPr>
                <w:rFonts w:ascii="Arial" w:cs="Arial" w:eastAsia="Arial" w:hAnsi="Arial"/>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4"/>
                <w:szCs w:val="4"/>
                <w:color w:val="auto"/>
              </w:rPr>
              <w:t>​</w:t>
            </w:r>
          </w:p>
        </w:tc>
        <w:tc>
          <w:tcPr>
            <w:tcW w:w="84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color w:val="auto"/>
              </w:rPr>
              <w:t>6,885,895</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05"/>
        </w:trPr>
        <w:tc>
          <w:tcPr>
            <w:tcW w:w="80" w:type="dxa"/>
            <w:vAlign w:val="bottom"/>
          </w:tcPr>
          <w:p>
            <w:pPr>
              <w:spacing w:after="0"/>
              <w:rPr>
                <w:sz w:val="24"/>
                <w:szCs w:val="24"/>
                <w:color w:val="auto"/>
              </w:rPr>
            </w:pPr>
          </w:p>
        </w:tc>
        <w:tc>
          <w:tcPr>
            <w:tcW w:w="21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Anushka Salinas</w:t>
            </w:r>
          </w:p>
        </w:tc>
        <w:tc>
          <w:tcPr>
            <w:tcW w:w="140" w:type="dxa"/>
            <w:vAlign w:val="bottom"/>
          </w:tcPr>
          <w:p>
            <w:pPr>
              <w:spacing w:after="0"/>
              <w:rPr>
                <w:sz w:val="24"/>
                <w:szCs w:val="24"/>
                <w:color w:val="auto"/>
              </w:rPr>
            </w:pPr>
          </w:p>
        </w:tc>
        <w:tc>
          <w:tcPr>
            <w:tcW w:w="60" w:type="dxa"/>
            <w:vAlign w:val="bottom"/>
          </w:tcPr>
          <w:p>
            <w:pPr>
              <w:jc w:val="right"/>
              <w:ind w:right="31"/>
              <w:spacing w:after="0"/>
              <w:rPr>
                <w:sz w:val="20"/>
                <w:szCs w:val="20"/>
                <w:color w:val="auto"/>
              </w:rPr>
            </w:pPr>
            <w:r>
              <w:rPr>
                <w:rFonts w:ascii="Arial" w:cs="Arial" w:eastAsia="Arial" w:hAnsi="Arial"/>
                <w:sz w:val="2"/>
                <w:szCs w:val="2"/>
                <w:color w:val="auto"/>
                <w:w w:val="429494229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2022</w:t>
            </w:r>
            <w:r>
              <w:rPr>
                <w:rFonts w:ascii="Arial" w:cs="Arial" w:eastAsia="Arial" w:hAnsi="Arial"/>
                <w:sz w:val="3"/>
                <w:szCs w:val="3"/>
                <w:color w:val="auto"/>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680" w:type="dxa"/>
            <w:vAlign w:val="bottom"/>
            <w:gridSpan w:val="2"/>
          </w:tcPr>
          <w:p>
            <w:pPr>
              <w:jc w:val="right"/>
              <w:ind w:right="22"/>
              <w:spacing w:after="0"/>
              <w:rPr>
                <w:sz w:val="20"/>
                <w:szCs w:val="20"/>
                <w:color w:val="auto"/>
              </w:rPr>
            </w:pPr>
            <w:r>
              <w:rPr>
                <w:rFonts w:ascii="Arial" w:cs="Arial" w:eastAsia="Arial" w:hAnsi="Arial"/>
                <w:sz w:val="14"/>
                <w:szCs w:val="14"/>
                <w:color w:val="auto"/>
              </w:rPr>
              <w:t>600,000</w:t>
            </w:r>
            <w:r>
              <w:rPr>
                <w:rFonts w:ascii="Arial" w:cs="Arial" w:eastAsia="Arial" w:hAnsi="Arial"/>
                <w:sz w:val="3"/>
                <w:szCs w:val="3"/>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800" w:type="dxa"/>
            <w:vAlign w:val="bottom"/>
          </w:tcPr>
          <w:p>
            <w:pPr>
              <w:jc w:val="right"/>
              <w:ind w:right="2"/>
              <w:spacing w:after="0"/>
              <w:rPr>
                <w:sz w:val="20"/>
                <w:szCs w:val="20"/>
                <w:color w:val="auto"/>
              </w:rPr>
            </w:pPr>
            <w:r>
              <w:rPr>
                <w:rFonts w:ascii="Arial" w:cs="Arial" w:eastAsia="Arial" w:hAnsi="Arial"/>
                <w:sz w:val="14"/>
                <w:szCs w:val="14"/>
                <w:color w:val="auto"/>
              </w:rPr>
              <w:t>2,101,071</w:t>
            </w:r>
            <w:r>
              <w:rPr>
                <w:rFonts w:ascii="Arial" w:cs="Arial" w:eastAsia="Arial" w:hAnsi="Arial"/>
                <w:sz w:val="3"/>
                <w:szCs w:val="3"/>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800" w:type="dxa"/>
            <w:vAlign w:val="bottom"/>
          </w:tcPr>
          <w:p>
            <w:pPr>
              <w:jc w:val="right"/>
              <w:ind w:right="2"/>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303,300</w:t>
            </w:r>
            <w:r>
              <w:rPr>
                <w:rFonts w:ascii="Arial" w:cs="Arial" w:eastAsia="Arial" w:hAnsi="Arial"/>
                <w:sz w:val="3"/>
                <w:szCs w:val="3"/>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17,963</w:t>
            </w:r>
            <w:r>
              <w:rPr>
                <w:rFonts w:ascii="Arial" w:cs="Arial" w:eastAsia="Arial" w:hAnsi="Arial"/>
                <w:sz w:val="3"/>
                <w:szCs w:val="3"/>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840" w:type="dxa"/>
            <w:vAlign w:val="bottom"/>
            <w:gridSpan w:val="2"/>
          </w:tcPr>
          <w:p>
            <w:pPr>
              <w:jc w:val="right"/>
              <w:ind w:right="82"/>
              <w:spacing w:after="0"/>
              <w:rPr>
                <w:sz w:val="20"/>
                <w:szCs w:val="20"/>
                <w:color w:val="auto"/>
              </w:rPr>
            </w:pPr>
            <w:r>
              <w:rPr>
                <w:rFonts w:ascii="Arial" w:cs="Arial" w:eastAsia="Arial" w:hAnsi="Arial"/>
                <w:sz w:val="14"/>
                <w:szCs w:val="14"/>
                <w:color w:val="auto"/>
              </w:rPr>
              <w:t>3,022,334</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21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3"/>
        </w:trPr>
        <w:tc>
          <w:tcPr>
            <w:tcW w:w="80" w:type="dxa"/>
            <w:vAlign w:val="bottom"/>
          </w:tcPr>
          <w:p>
            <w:pPr>
              <w:spacing w:after="0"/>
              <w:rPr>
                <w:sz w:val="20"/>
                <w:szCs w:val="20"/>
                <w:color w:val="auto"/>
              </w:rPr>
            </w:pPr>
            <w:r>
              <w:rPr>
                <w:rFonts w:ascii="Arial" w:cs="Arial" w:eastAsia="Arial" w:hAnsi="Arial"/>
                <w:sz w:val="4"/>
                <w:szCs w:val="4"/>
                <w:color w:val="auto"/>
              </w:rPr>
              <w:t>​</w:t>
            </w:r>
          </w:p>
        </w:tc>
        <w:tc>
          <w:tcPr>
            <w:tcW w:w="2100" w:type="dxa"/>
            <w:vAlign w:val="bottom"/>
          </w:tcPr>
          <w:p>
            <w:pPr>
              <w:ind w:left="260"/>
              <w:spacing w:after="0" w:line="73" w:lineRule="exact"/>
              <w:rPr>
                <w:sz w:val="20"/>
                <w:szCs w:val="20"/>
                <w:color w:val="auto"/>
              </w:rPr>
            </w:pPr>
            <w:r>
              <w:rPr>
                <w:rFonts w:ascii="Arial" w:cs="Arial" w:eastAsia="Arial" w:hAnsi="Arial"/>
                <w:sz w:val="8"/>
                <w:szCs w:val="8"/>
                <w:color w:val="auto"/>
              </w:rPr>
              <w:t>President and Chief</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6"/>
        </w:trPr>
        <w:tc>
          <w:tcPr>
            <w:tcW w:w="80" w:type="dxa"/>
            <w:vAlign w:val="bottom"/>
          </w:tcPr>
          <w:p>
            <w:pPr>
              <w:spacing w:after="0"/>
              <w:rPr>
                <w:sz w:val="24"/>
                <w:szCs w:val="24"/>
                <w:color w:val="auto"/>
              </w:rPr>
            </w:pPr>
          </w:p>
        </w:tc>
        <w:tc>
          <w:tcPr>
            <w:tcW w:w="2100" w:type="dxa"/>
            <w:vAlign w:val="bottom"/>
          </w:tcPr>
          <w:p>
            <w:pPr>
              <w:ind w:left="260"/>
              <w:spacing w:after="0"/>
              <w:rPr>
                <w:sz w:val="20"/>
                <w:szCs w:val="20"/>
                <w:color w:val="auto"/>
              </w:rPr>
            </w:pPr>
            <w:r>
              <w:rPr>
                <w:rFonts w:ascii="Arial" w:cs="Arial" w:eastAsia="Arial" w:hAnsi="Arial"/>
                <w:sz w:val="14"/>
                <w:szCs w:val="14"/>
                <w:color w:val="auto"/>
              </w:rPr>
              <w:t>Operating Officer</w:t>
            </w:r>
          </w:p>
        </w:tc>
        <w:tc>
          <w:tcPr>
            <w:tcW w:w="140" w:type="dxa"/>
            <w:vAlign w:val="bottom"/>
          </w:tcPr>
          <w:p>
            <w:pPr>
              <w:spacing w:after="0"/>
              <w:rPr>
                <w:sz w:val="24"/>
                <w:szCs w:val="24"/>
                <w:color w:val="auto"/>
              </w:rPr>
            </w:pPr>
          </w:p>
        </w:tc>
        <w:tc>
          <w:tcPr>
            <w:tcW w:w="60" w:type="dxa"/>
            <w:vAlign w:val="bottom"/>
          </w:tcPr>
          <w:p>
            <w:pPr>
              <w:jc w:val="right"/>
              <w:ind w:right="31"/>
              <w:spacing w:after="0"/>
              <w:rPr>
                <w:sz w:val="20"/>
                <w:szCs w:val="20"/>
                <w:color w:val="auto"/>
              </w:rPr>
            </w:pPr>
            <w:r>
              <w:rPr>
                <w:rFonts w:ascii="Arial" w:cs="Arial" w:eastAsia="Arial" w:hAnsi="Arial"/>
                <w:sz w:val="2"/>
                <w:szCs w:val="2"/>
                <w:color w:val="auto"/>
                <w:w w:val="429494229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2021</w:t>
            </w:r>
            <w:r>
              <w:rPr>
                <w:rFonts w:ascii="Arial" w:cs="Arial" w:eastAsia="Arial" w:hAnsi="Arial"/>
                <w:sz w:val="3"/>
                <w:szCs w:val="3"/>
                <w:color w:val="auto"/>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680" w:type="dxa"/>
            <w:vAlign w:val="bottom"/>
            <w:gridSpan w:val="2"/>
          </w:tcPr>
          <w:p>
            <w:pPr>
              <w:jc w:val="right"/>
              <w:ind w:right="22"/>
              <w:spacing w:after="0"/>
              <w:rPr>
                <w:sz w:val="20"/>
                <w:szCs w:val="20"/>
                <w:color w:val="auto"/>
              </w:rPr>
            </w:pPr>
            <w:r>
              <w:rPr>
                <w:rFonts w:ascii="Arial" w:cs="Arial" w:eastAsia="Arial" w:hAnsi="Arial"/>
                <w:sz w:val="14"/>
                <w:szCs w:val="14"/>
                <w:color w:val="auto"/>
              </w:rPr>
              <w:t>600,000</w:t>
            </w:r>
            <w:r>
              <w:rPr>
                <w:rFonts w:ascii="Arial" w:cs="Arial" w:eastAsia="Arial" w:hAnsi="Arial"/>
                <w:sz w:val="3"/>
                <w:szCs w:val="3"/>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800" w:type="dxa"/>
            <w:vAlign w:val="bottom"/>
          </w:tcPr>
          <w:p>
            <w:pPr>
              <w:jc w:val="right"/>
              <w:ind w:right="2"/>
              <w:spacing w:after="0"/>
              <w:rPr>
                <w:sz w:val="20"/>
                <w:szCs w:val="20"/>
                <w:color w:val="auto"/>
              </w:rPr>
            </w:pPr>
            <w:r>
              <w:rPr>
                <w:rFonts w:ascii="Arial" w:cs="Arial" w:eastAsia="Arial" w:hAnsi="Arial"/>
                <w:sz w:val="14"/>
                <w:szCs w:val="14"/>
                <w:color w:val="auto"/>
              </w:rPr>
              <w:t>1,170,275</w:t>
            </w:r>
            <w:r>
              <w:rPr>
                <w:rFonts w:ascii="Arial" w:cs="Arial" w:eastAsia="Arial" w:hAnsi="Arial"/>
                <w:sz w:val="3"/>
                <w:szCs w:val="3"/>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800" w:type="dxa"/>
            <w:vAlign w:val="bottom"/>
          </w:tcPr>
          <w:p>
            <w:pPr>
              <w:jc w:val="right"/>
              <w:ind w:right="2"/>
              <w:spacing w:after="0"/>
              <w:rPr>
                <w:sz w:val="20"/>
                <w:szCs w:val="20"/>
                <w:color w:val="auto"/>
              </w:rPr>
            </w:pPr>
            <w:r>
              <w:rPr>
                <w:rFonts w:ascii="Arial" w:cs="Arial" w:eastAsia="Arial" w:hAnsi="Arial"/>
                <w:sz w:val="14"/>
                <w:szCs w:val="14"/>
                <w:color w:val="auto"/>
              </w:rPr>
              <w:t>1,630,366</w:t>
            </w:r>
            <w:r>
              <w:rPr>
                <w:rFonts w:ascii="Arial" w:cs="Arial" w:eastAsia="Arial" w:hAnsi="Arial"/>
                <w:sz w:val="3"/>
                <w:szCs w:val="3"/>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157,312</w:t>
            </w:r>
            <w:r>
              <w:rPr>
                <w:rFonts w:ascii="Arial" w:cs="Arial" w:eastAsia="Arial" w:hAnsi="Arial"/>
                <w:sz w:val="3"/>
                <w:szCs w:val="3"/>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14,518</w:t>
            </w:r>
            <w:r>
              <w:rPr>
                <w:rFonts w:ascii="Arial" w:cs="Arial" w:eastAsia="Arial" w:hAnsi="Arial"/>
                <w:sz w:val="3"/>
                <w:szCs w:val="3"/>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840" w:type="dxa"/>
            <w:vAlign w:val="bottom"/>
            <w:gridSpan w:val="2"/>
          </w:tcPr>
          <w:p>
            <w:pPr>
              <w:jc w:val="right"/>
              <w:ind w:right="82"/>
              <w:spacing w:after="0"/>
              <w:rPr>
                <w:sz w:val="20"/>
                <w:szCs w:val="20"/>
                <w:color w:val="auto"/>
              </w:rPr>
            </w:pPr>
            <w:r>
              <w:rPr>
                <w:rFonts w:ascii="Arial" w:cs="Arial" w:eastAsia="Arial" w:hAnsi="Arial"/>
                <w:sz w:val="14"/>
                <w:szCs w:val="14"/>
                <w:color w:val="auto"/>
              </w:rPr>
              <w:t>3,572,471</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120"/>
        </w:trPr>
        <w:tc>
          <w:tcPr>
            <w:tcW w:w="8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gridSpan w:val="2"/>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80" w:type="dxa"/>
            <w:vAlign w:val="bottom"/>
          </w:tcPr>
          <w:p>
            <w:pPr>
              <w:spacing w:after="0"/>
              <w:rPr>
                <w:sz w:val="20"/>
                <w:szCs w:val="20"/>
                <w:color w:val="auto"/>
              </w:rPr>
            </w:pPr>
            <w:r>
              <w:rPr>
                <w:rFonts w:ascii="Arial" w:cs="Arial" w:eastAsia="Arial" w:hAnsi="Arial"/>
                <w:sz w:val="4"/>
                <w:szCs w:val="4"/>
                <w:color w:val="auto"/>
              </w:rPr>
              <w:t>​</w:t>
            </w:r>
          </w:p>
        </w:tc>
        <w:tc>
          <w:tcPr>
            <w:tcW w:w="2100" w:type="dxa"/>
            <w:vAlign w:val="bottom"/>
          </w:tcPr>
          <w:p>
            <w:pPr>
              <w:ind w:left="80"/>
              <w:spacing w:after="0"/>
              <w:rPr>
                <w:sz w:val="20"/>
                <w:szCs w:val="20"/>
                <w:color w:val="auto"/>
              </w:rPr>
            </w:pPr>
            <w:r>
              <w:rPr>
                <w:rFonts w:ascii="Arial" w:cs="Arial" w:eastAsia="Arial" w:hAnsi="Arial"/>
                <w:sz w:val="14"/>
                <w:szCs w:val="14"/>
                <w:b w:val="1"/>
                <w:bCs w:val="1"/>
                <w:color w:val="auto"/>
              </w:rPr>
              <w:t>Larry Steinberg</w:t>
            </w:r>
          </w:p>
        </w:tc>
        <w:tc>
          <w:tcPr>
            <w:tcW w:w="200" w:type="dxa"/>
            <w:vAlign w:val="bottom"/>
            <w:gridSpan w:val="2"/>
          </w:tcPr>
          <w:p>
            <w:pPr>
              <w:jc w:val="right"/>
              <w:ind w:right="31"/>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2022</w:t>
            </w:r>
            <w:r>
              <w:rPr>
                <w:rFonts w:ascii="Arial" w:cs="Arial" w:eastAsia="Arial" w:hAnsi="Arial"/>
                <w:sz w:val="3"/>
                <w:szCs w:val="3"/>
                <w:color w:val="auto"/>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680" w:type="dxa"/>
            <w:vAlign w:val="bottom"/>
            <w:gridSpan w:val="2"/>
          </w:tcPr>
          <w:p>
            <w:pPr>
              <w:jc w:val="right"/>
              <w:ind w:right="22"/>
              <w:spacing w:after="0"/>
              <w:rPr>
                <w:sz w:val="20"/>
                <w:szCs w:val="20"/>
                <w:color w:val="auto"/>
              </w:rPr>
            </w:pPr>
            <w:r>
              <w:rPr>
                <w:rFonts w:ascii="Arial" w:cs="Arial" w:eastAsia="Arial" w:hAnsi="Arial"/>
                <w:sz w:val="14"/>
                <w:szCs w:val="14"/>
                <w:color w:val="auto"/>
              </w:rPr>
              <w:t>485,417</w:t>
            </w:r>
            <w:r>
              <w:rPr>
                <w:rFonts w:ascii="Arial" w:cs="Arial" w:eastAsia="Arial" w:hAnsi="Arial"/>
                <w:sz w:val="3"/>
                <w:szCs w:val="3"/>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800" w:type="dxa"/>
            <w:vAlign w:val="bottom"/>
          </w:tcPr>
          <w:p>
            <w:pPr>
              <w:jc w:val="right"/>
              <w:ind w:right="2"/>
              <w:spacing w:after="0"/>
              <w:rPr>
                <w:sz w:val="20"/>
                <w:szCs w:val="20"/>
                <w:color w:val="auto"/>
              </w:rPr>
            </w:pPr>
            <w:r>
              <w:rPr>
                <w:rFonts w:ascii="Arial" w:cs="Arial" w:eastAsia="Arial" w:hAnsi="Arial"/>
                <w:sz w:val="14"/>
                <w:szCs w:val="14"/>
                <w:color w:val="auto"/>
              </w:rPr>
              <w:t>2,879,714</w:t>
            </w:r>
            <w:r>
              <w:rPr>
                <w:rFonts w:ascii="Arial" w:cs="Arial" w:eastAsia="Arial" w:hAnsi="Arial"/>
                <w:sz w:val="3"/>
                <w:szCs w:val="3"/>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800" w:type="dxa"/>
            <w:vAlign w:val="bottom"/>
          </w:tcPr>
          <w:p>
            <w:pPr>
              <w:jc w:val="right"/>
              <w:ind w:right="2"/>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169,781</w:t>
            </w:r>
            <w:r>
              <w:rPr>
                <w:rFonts w:ascii="Arial" w:cs="Arial" w:eastAsia="Arial" w:hAnsi="Arial"/>
                <w:sz w:val="3"/>
                <w:szCs w:val="3"/>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16,097</w:t>
            </w:r>
            <w:r>
              <w:rPr>
                <w:rFonts w:ascii="Arial" w:cs="Arial" w:eastAsia="Arial" w:hAnsi="Arial"/>
                <w:sz w:val="3"/>
                <w:szCs w:val="3"/>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840" w:type="dxa"/>
            <w:vAlign w:val="bottom"/>
            <w:gridSpan w:val="2"/>
          </w:tcPr>
          <w:p>
            <w:pPr>
              <w:jc w:val="right"/>
              <w:ind w:right="82"/>
              <w:spacing w:after="0"/>
              <w:rPr>
                <w:sz w:val="20"/>
                <w:szCs w:val="20"/>
                <w:color w:val="auto"/>
              </w:rPr>
            </w:pPr>
            <w:r>
              <w:rPr>
                <w:rFonts w:ascii="Arial" w:cs="Arial" w:eastAsia="Arial" w:hAnsi="Arial"/>
                <w:sz w:val="14"/>
                <w:szCs w:val="14"/>
                <w:color w:val="auto"/>
              </w:rPr>
              <w:t>3,551,009</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162"/>
        </w:trPr>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Chief Technology Officer</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80" w:hanging="359"/>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reflect the actual base salaries paid to each named executive officer. For additional information, see “Base Salaries” below.</w:t>
      </w:r>
    </w:p>
    <w:p>
      <w:pPr>
        <w:spacing w:after="0" w:line="55" w:lineRule="exact"/>
        <w:rPr>
          <w:rFonts w:ascii="Arial" w:cs="Arial" w:eastAsia="Arial" w:hAnsi="Arial"/>
          <w:sz w:val="14"/>
          <w:szCs w:val="14"/>
          <w:color w:val="auto"/>
        </w:rPr>
      </w:pPr>
    </w:p>
    <w:p>
      <w:pPr>
        <w:jc w:val="both"/>
        <w:ind w:left="380" w:right="140" w:hanging="359"/>
        <w:spacing w:after="0" w:line="252"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reflect the full grant-date fair value of restricted stock units, or RSUs, and stock options granted during fiscal years 2022 and 2021 to each of our named executive officers, computed in accordance with ASC Topic 718, rather than the amounts paid to or realized by the named individual. The valuation assumptions used in the calculation of such amounts are set forth in Note 14—Share-based Compensation Plans in our Annual Report on Form 10-K for the fiscal year ended January 31, 2023 that accompanies this proxy statement.</w:t>
      </w:r>
    </w:p>
    <w:p>
      <w:pPr>
        <w:spacing w:after="0" w:line="25" w:lineRule="exact"/>
        <w:rPr>
          <w:rFonts w:ascii="Arial" w:cs="Arial" w:eastAsia="Arial" w:hAnsi="Arial"/>
          <w:sz w:val="14"/>
          <w:szCs w:val="14"/>
          <w:color w:val="auto"/>
        </w:rPr>
      </w:pPr>
    </w:p>
    <w:p>
      <w:pPr>
        <w:ind w:left="380" w:hanging="359"/>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reflect the annual incentive bonuses earned by each named executive officer with respect to each applicable fiscal year.</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fiscal year 2022, the amount for Ms. Hyman reflects: (i) $4,293 for a free Rent the Runway monthly subscription and Reserve rentals;</w:t>
      </w:r>
    </w:p>
    <w:p>
      <w:pPr>
        <w:spacing w:after="0" w:line="11" w:lineRule="exact"/>
        <w:rPr>
          <w:rFonts w:ascii="Arial" w:cs="Arial" w:eastAsia="Arial" w:hAnsi="Arial"/>
          <w:sz w:val="14"/>
          <w:szCs w:val="14"/>
          <w:color w:val="auto"/>
        </w:rPr>
      </w:pPr>
    </w:p>
    <w:p>
      <w:pPr>
        <w:ind w:left="380" w:right="60"/>
        <w:spacing w:after="0" w:line="244" w:lineRule="auto"/>
        <w:rPr>
          <w:rFonts w:ascii="Arial" w:cs="Arial" w:eastAsia="Arial" w:hAnsi="Arial"/>
          <w:sz w:val="14"/>
          <w:szCs w:val="14"/>
          <w:color w:val="auto"/>
        </w:rPr>
      </w:pPr>
      <w:r>
        <w:rPr>
          <w:rFonts w:ascii="Arial" w:cs="Arial" w:eastAsia="Arial" w:hAnsi="Arial"/>
          <w:sz w:val="14"/>
          <w:szCs w:val="14"/>
          <w:color w:val="auto"/>
        </w:rPr>
        <w:t>$11,600 in matching contributions made by us on behalf of Ms. Hyman to her 401(k) plan account; and $600 in long-term disability insurance premiums paid by us on behalf of Ms. Hyman. For fiscal year 2022, the amount for Ms. Salinas reflects: $5,763 for a free Rent the Runway monthly subscription; $11,600 in matching contributions made by us on behalf of Ms. Salinas to her 401(k) plan account; and $600 in long-term disability insurance premiums paid by us on behalf of Ms. Salinas. For fiscal year 2022, the amount for Mr. Steinberg reflects: $3,897 for a free Rent the Runway monthly subscription for his spouse; $11,600 in matching contributions made by us on behalf of Mr. Steinberg to his 401(k) plan account; and $600 in long-term disability insurance premiums paid by us on behalf of Mr. Steinberg.</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Elements of Our Executive Compensation Program</w:t>
      </w:r>
    </w:p>
    <w:p>
      <w:pPr>
        <w:spacing w:after="0" w:line="195" w:lineRule="exact"/>
        <w:rPr>
          <w:sz w:val="20"/>
          <w:szCs w:val="20"/>
          <w:color w:val="auto"/>
        </w:rPr>
      </w:pPr>
    </w:p>
    <w:p>
      <w:pPr>
        <w:jc w:val="both"/>
        <w:ind w:left="20"/>
        <w:spacing w:after="0" w:line="262" w:lineRule="auto"/>
        <w:rPr>
          <w:sz w:val="20"/>
          <w:szCs w:val="20"/>
          <w:color w:val="auto"/>
        </w:rPr>
      </w:pPr>
      <w:r>
        <w:rPr>
          <w:rFonts w:ascii="Arial" w:cs="Arial" w:eastAsia="Arial" w:hAnsi="Arial"/>
          <w:sz w:val="17"/>
          <w:szCs w:val="17"/>
          <w:color w:val="auto"/>
        </w:rPr>
        <w:t>For the fiscal year ended January 31, 2023, the compensation for our named executive officers generally consisted of a base salary, annual cash incentive bonuses, and long-term equity incentive compensation in the form of restricted stock units. These elements (and the amounts of compensation and benefits under each element) were selected because we believe they are necessary to help us attract and retain executive talent which is fundamental to our success.</w:t>
      </w:r>
    </w:p>
    <w:p>
      <w:pPr>
        <w:spacing w:after="0" w:line="132" w:lineRule="exact"/>
        <w:rPr>
          <w:sz w:val="20"/>
          <w:szCs w:val="20"/>
          <w:color w:val="auto"/>
        </w:rPr>
      </w:pPr>
    </w:p>
    <w:p>
      <w:pPr>
        <w:ind w:left="20" w:right="640"/>
        <w:spacing w:after="0" w:line="260" w:lineRule="auto"/>
        <w:rPr>
          <w:sz w:val="20"/>
          <w:szCs w:val="20"/>
          <w:color w:val="auto"/>
        </w:rPr>
      </w:pPr>
      <w:r>
        <w:rPr>
          <w:rFonts w:ascii="Arial" w:cs="Arial" w:eastAsia="Arial" w:hAnsi="Arial"/>
          <w:sz w:val="18"/>
          <w:szCs w:val="18"/>
          <w:color w:val="auto"/>
        </w:rPr>
        <w:t>Below is a more detailed summary of our executive compensation program as it relates to our named executive officers.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Base Salaries</w:t>
      </w:r>
    </w:p>
    <w:p>
      <w:pPr>
        <w:spacing w:after="0" w:line="181" w:lineRule="exact"/>
        <w:rPr>
          <w:sz w:val="20"/>
          <w:szCs w:val="20"/>
          <w:color w:val="auto"/>
        </w:rPr>
      </w:pPr>
    </w:p>
    <w:p>
      <w:pPr>
        <w:ind w:left="20" w:right="100"/>
        <w:spacing w:after="0" w:line="247" w:lineRule="auto"/>
        <w:rPr>
          <w:sz w:val="20"/>
          <w:szCs w:val="20"/>
          <w:color w:val="auto"/>
        </w:rPr>
      </w:pPr>
      <w:r>
        <w:rPr>
          <w:rFonts w:ascii="Arial" w:cs="Arial" w:eastAsia="Arial" w:hAnsi="Arial"/>
          <w:sz w:val="18"/>
          <w:szCs w:val="18"/>
          <w:color w:val="auto"/>
        </w:rPr>
        <w:t>Our named executive officers receive a base salary to compensate them for the services they provide to our company. The base salary payable to each named executive officer is intended to provide a fixed component of compensation reflecting the executive’s skill set, experience, role, and responsibilities.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Ms. Hyman’s base salary is $650,000, Ms. Salinas’ base salary is $600,000, and Mr. Steinberg’s base salary is</w:t>
      </w:r>
    </w:p>
    <w:p>
      <w:pPr>
        <w:spacing w:after="0" w:line="8" w:lineRule="exact"/>
        <w:rPr>
          <w:sz w:val="20"/>
          <w:szCs w:val="20"/>
          <w:color w:val="auto"/>
        </w:rPr>
      </w:pPr>
    </w:p>
    <w:p>
      <w:pPr>
        <w:ind w:left="20" w:right="100"/>
        <w:spacing w:after="0" w:line="246" w:lineRule="auto"/>
        <w:rPr>
          <w:sz w:val="20"/>
          <w:szCs w:val="20"/>
          <w:color w:val="auto"/>
        </w:rPr>
      </w:pPr>
      <w:r>
        <w:rPr>
          <w:rFonts w:ascii="Arial" w:cs="Arial" w:eastAsia="Arial" w:hAnsi="Arial"/>
          <w:sz w:val="18"/>
          <w:szCs w:val="18"/>
          <w:color w:val="auto"/>
        </w:rPr>
        <w:t>$500,000 (which was increased from $475,000 in September 2022). The actual salaries paid to each named executive officer are set forth in the “Summary Compensation Table” above, in the column titled “Salary.”</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Annual Cash Incentive Bonus Compensation</w:t>
      </w:r>
    </w:p>
    <w:p>
      <w:pPr>
        <w:spacing w:after="0" w:line="181" w:lineRule="exact"/>
        <w:rPr>
          <w:sz w:val="20"/>
          <w:szCs w:val="20"/>
          <w:color w:val="auto"/>
        </w:rPr>
      </w:pPr>
    </w:p>
    <w:p>
      <w:pPr>
        <w:ind w:left="20" w:right="200"/>
        <w:spacing w:after="0" w:line="241" w:lineRule="auto"/>
        <w:rPr>
          <w:sz w:val="20"/>
          <w:szCs w:val="20"/>
          <w:color w:val="auto"/>
        </w:rPr>
      </w:pPr>
      <w:r>
        <w:rPr>
          <w:rFonts w:ascii="Arial" w:cs="Arial" w:eastAsia="Arial" w:hAnsi="Arial"/>
          <w:sz w:val="18"/>
          <w:szCs w:val="18"/>
          <w:color w:val="auto"/>
        </w:rPr>
        <w:t>Under our fiscal year 2022 bonus program, our Compensation Committee determined that each of our named executive officers would be eligible to receive a cash performance bonus with the following payout opportunities: Ms. Hyman had a target opportunity of 100% of her base salary and a maximum opportunity of 175% of her base salary; Ms. Salinas had a target opportunity of 40% of her base salary and a maximum opportunity of 175% of target; and Mr. Steinberg had a target opportunity of 30% of his base salary and a maximum opportunity of 175% of target.</w:t>
      </w:r>
    </w:p>
    <w:p>
      <w:pPr>
        <w:spacing w:after="0" w:line="149" w:lineRule="exact"/>
        <w:rPr>
          <w:sz w:val="20"/>
          <w:szCs w:val="20"/>
          <w:color w:val="auto"/>
        </w:rPr>
      </w:pPr>
    </w:p>
    <w:p>
      <w:pPr>
        <w:ind w:left="20" w:right="20"/>
        <w:spacing w:after="0" w:line="238" w:lineRule="auto"/>
        <w:rPr>
          <w:sz w:val="20"/>
          <w:szCs w:val="20"/>
          <w:color w:val="auto"/>
        </w:rPr>
      </w:pPr>
      <w:r>
        <w:rPr>
          <w:rFonts w:ascii="Arial" w:cs="Arial" w:eastAsia="Arial" w:hAnsi="Arial"/>
          <w:sz w:val="18"/>
          <w:szCs w:val="18"/>
          <w:color w:val="auto"/>
        </w:rPr>
        <w:t>For 2022, bonus payouts for Ms. Hyman and Ms. Salinas were based upon the satisfaction of company-wide net revenue, free cash flow, and Adjusted EBITDA goals. Mr. Steinberg’s bonus was based 50% upon the satisfaction of company-wide net revenue, free cash flow, and Adjusted EBITDA goals and 50% upon the satisfaction of certain individual goals. The actual bonus payouts were 126.4% of target for Ms. Hyman and Ms. Salinas based on the level of achievement of the company-wide performance metrics as determined by our Compensation Committee and the actual bonus payout was 113.2% of target for Mr. Steinberg based on the level of achievement of the company-wide performance metrics and individual performance goals as determined by our Compensation Committee. The actual bonus amounts paid to each named executive officer for fiscal year 2022 are set forth in the “Summary Compensation Table” above, in the column titled “Non-Equity Incentive Plan Compensation.”</w:t>
      </w:r>
    </w:p>
    <w:p>
      <w:pPr>
        <w:spacing w:after="0" w:line="164" w:lineRule="exact"/>
        <w:rPr>
          <w:sz w:val="20"/>
          <w:szCs w:val="20"/>
          <w:color w:val="auto"/>
        </w:rPr>
      </w:pPr>
    </w:p>
    <w:p>
      <w:pPr>
        <w:ind w:left="20" w:right="80"/>
        <w:spacing w:after="0" w:line="255" w:lineRule="auto"/>
        <w:rPr>
          <w:sz w:val="20"/>
          <w:szCs w:val="20"/>
          <w:color w:val="auto"/>
        </w:rPr>
      </w:pPr>
      <w:r>
        <w:rPr>
          <w:rFonts w:ascii="Arial" w:cs="Arial" w:eastAsia="Arial" w:hAnsi="Arial"/>
          <w:sz w:val="17"/>
          <w:szCs w:val="17"/>
          <w:color w:val="auto"/>
        </w:rPr>
        <w:t>Pursuant to our fiscal year 2023 bonus program, our Compensation Committee determined that each of our named executive officers will be eligible to receive a cash performance bonus based on the achievement of certain company-wide performance metrics as follows (which were unchanged from their fiscal year 2022 bonus program opportunities): Ms. Hyman has a target opportunity of 100% of her base salary; Ms. Salinas has a target opportunity of 40% of her base salary, and Mr. Steinberg has a target opportunity of 30% of his base salary. Mr. Steinberg’s fiscal year 2023 bonus is based 50% on the achievement of certain company-wide metrics and 50% based on the achievement of certain individual goals. Actual payouts may range from 0% to 175% of target for each named executive officer.</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Long-term Equity Incentive Compensation</w:t>
      </w:r>
    </w:p>
    <w:p>
      <w:pPr>
        <w:spacing w:after="0" w:line="181" w:lineRule="exact"/>
        <w:rPr>
          <w:sz w:val="20"/>
          <w:szCs w:val="20"/>
          <w:color w:val="auto"/>
        </w:rPr>
      </w:pPr>
    </w:p>
    <w:p>
      <w:pPr>
        <w:ind w:left="20" w:right="160"/>
        <w:spacing w:after="0" w:line="239" w:lineRule="auto"/>
        <w:rPr>
          <w:sz w:val="20"/>
          <w:szCs w:val="20"/>
          <w:color w:val="auto"/>
        </w:rPr>
      </w:pPr>
      <w:r>
        <w:rPr>
          <w:rFonts w:ascii="Arial" w:cs="Arial" w:eastAsia="Arial" w:hAnsi="Arial"/>
          <w:sz w:val="18"/>
          <w:szCs w:val="18"/>
          <w:color w:val="auto"/>
        </w:rPr>
        <w:t>Equity compensation is a key component of our executive compensation program and, in fiscal year 2022, equity compensation was provided in the form of RSUs. In March 2022, we granted 536,673 RSUs to Ms. Hyman, 402,504 RSUs to Ms. Salinas, and 268,336 for Mr. Steinberg. These RSUs vested as to 50% in March 2023 and will vest as to 50% in March 2024, subject to the named executive officer’s continued service with us through the applicable vesting dates. In September 2022, we granted Mr. Steinberg a retention award of 300,000 RSUs, which vest as to 50% in September 2023 and 50% in September 2024, subject to his continued service with us through the</w:t>
      </w: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2" w:lineRule="exact"/>
        <w:rPr>
          <w:sz w:val="20"/>
          <w:szCs w:val="20"/>
          <w:color w:val="auto"/>
        </w:rPr>
      </w:pPr>
    </w:p>
    <w:p>
      <w:pPr>
        <w:ind w:left="20" w:right="160"/>
        <w:spacing w:after="0" w:line="243" w:lineRule="auto"/>
        <w:rPr>
          <w:sz w:val="20"/>
          <w:szCs w:val="20"/>
          <w:color w:val="auto"/>
        </w:rPr>
      </w:pPr>
      <w:r>
        <w:rPr>
          <w:rFonts w:ascii="Arial" w:cs="Arial" w:eastAsia="Arial" w:hAnsi="Arial"/>
          <w:sz w:val="18"/>
          <w:szCs w:val="18"/>
          <w:color w:val="auto"/>
        </w:rPr>
        <w:t>applicable vesting dates. In January 2023, we granted Ms. Hyman 327,000 RSUs in light of the Compensation Committee’s review of Ms. Hyman’s incentive equity opportunities and external pay considerations, which vest as to 50% in December 2023 and 50% in December 2024, subject to her continued service with us through the applicable vesting dates.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75" w:lineRule="exact"/>
        <w:rPr>
          <w:sz w:val="20"/>
          <w:szCs w:val="20"/>
          <w:color w:val="auto"/>
        </w:rPr>
      </w:pPr>
    </w:p>
    <w:p>
      <w:pPr>
        <w:ind w:left="20"/>
        <w:spacing w:after="0" w:line="241" w:lineRule="auto"/>
        <w:rPr>
          <w:sz w:val="20"/>
          <w:szCs w:val="20"/>
          <w:color w:val="auto"/>
        </w:rPr>
      </w:pPr>
      <w:r>
        <w:rPr>
          <w:rFonts w:ascii="Arial" w:cs="Arial" w:eastAsia="Arial" w:hAnsi="Arial"/>
          <w:sz w:val="18"/>
          <w:szCs w:val="18"/>
          <w:i w:val="1"/>
          <w:iCs w:val="1"/>
          <w:color w:val="auto"/>
        </w:rPr>
        <w:t xml:space="preserve">Retirement Plans. </w:t>
      </w:r>
      <w:r>
        <w:rPr>
          <w:rFonts w:ascii="Arial" w:cs="Arial" w:eastAsia="Arial" w:hAnsi="Arial"/>
          <w:sz w:val="18"/>
          <w:szCs w:val="18"/>
          <w:color w:val="auto"/>
        </w:rPr>
        <w:t>We currently maintain a 401(k) retirement savings plan for our employees, including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who satisfy certain eligibility requirements. The Internal Revenue Code allows eligible employees to defer a portion of their compensation, within prescribed limits, on a pre-tax basis through contributions to the 401(k) plan. Currently, we provide matching contributions in the 401(k) plan up to a specified percentage of the employee’s contributions. We do not maintain any defined benefit pension plans or deferred compensation plans for our named executive officers.</w:t>
      </w:r>
    </w:p>
    <w:p>
      <w:pPr>
        <w:spacing w:after="0" w:line="143" w:lineRule="exact"/>
        <w:rPr>
          <w:sz w:val="20"/>
          <w:szCs w:val="20"/>
          <w:color w:val="auto"/>
        </w:rPr>
      </w:pPr>
    </w:p>
    <w:p>
      <w:pPr>
        <w:ind w:left="20" w:right="60"/>
        <w:spacing w:after="0" w:line="267" w:lineRule="auto"/>
        <w:rPr>
          <w:sz w:val="20"/>
          <w:szCs w:val="20"/>
          <w:color w:val="auto"/>
        </w:rPr>
      </w:pPr>
      <w:r>
        <w:rPr>
          <w:rFonts w:ascii="Arial" w:cs="Arial" w:eastAsia="Arial" w:hAnsi="Arial"/>
          <w:sz w:val="18"/>
          <w:szCs w:val="18"/>
          <w:i w:val="1"/>
          <w:iCs w:val="1"/>
          <w:color w:val="auto"/>
        </w:rPr>
        <w:t xml:space="preserve">Employee Benefits and Perquisites. </w:t>
      </w:r>
      <w:r>
        <w:rPr>
          <w:rFonts w:ascii="Arial" w:cs="Arial" w:eastAsia="Arial" w:hAnsi="Arial"/>
          <w:sz w:val="18"/>
          <w:szCs w:val="18"/>
          <w:color w:val="auto"/>
        </w:rPr>
        <w:t>All of our full-time employees, including our named executive officers, are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to participate in our health and welfare plans, including:</w:t>
      </w:r>
    </w:p>
    <w:p>
      <w:pPr>
        <w:spacing w:after="0" w:line="139" w:lineRule="exact"/>
        <w:rPr>
          <w:sz w:val="20"/>
          <w:szCs w:val="20"/>
          <w:color w:val="auto"/>
        </w:rPr>
      </w:pPr>
    </w:p>
    <w:p>
      <w:pPr>
        <w:ind w:left="740" w:hanging="359"/>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7"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ind w:left="740" w:hanging="359"/>
        <w:spacing w:after="0" w:line="234"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ind w:left="740" w:hanging="359"/>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life and accidental death &amp; dismemberment insurance.</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No tax gross-ups. </w:t>
      </w:r>
      <w:r>
        <w:rPr>
          <w:rFonts w:ascii="Arial" w:cs="Arial" w:eastAsia="Arial" w:hAnsi="Arial"/>
          <w:sz w:val="18"/>
          <w:szCs w:val="18"/>
          <w:color w:val="auto"/>
        </w:rPr>
        <w:t>We generally do not provide tax gross-ups to our named executive officers.</w:t>
      </w: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180" w:top="265" w:right="1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195" w:lineRule="exact"/>
        <w:rPr>
          <w:sz w:val="20"/>
          <w:szCs w:val="20"/>
          <w:color w:val="auto"/>
        </w:rPr>
      </w:pPr>
    </w:p>
    <w:p>
      <w:pPr>
        <w:ind w:left="20" w:right="60"/>
        <w:spacing w:after="0" w:line="243" w:lineRule="auto"/>
        <w:rPr>
          <w:sz w:val="20"/>
          <w:szCs w:val="20"/>
          <w:color w:val="auto"/>
        </w:rPr>
      </w:pPr>
      <w:r>
        <w:rPr>
          <w:rFonts w:ascii="Arial" w:cs="Arial" w:eastAsia="Arial" w:hAnsi="Arial"/>
          <w:sz w:val="18"/>
          <w:szCs w:val="18"/>
          <w:color w:val="auto"/>
        </w:rPr>
        <w:t>The following table presents information regarding outstanding equity awards held by our named executive officers as of January 31, 2023. Ms. Hyman holds equity awards with respect to shares of our Class A and Class B common stock and our other named executive officers hold equity awards with respect to shares of our Class A common stock. All equity awards in the table below vest into shares of our Class A common stock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33020</wp:posOffset>
            </wp:positionV>
            <wp:extent cx="6035040" cy="11226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5040" cy="1122680"/>
                    </a:xfrm>
                    <a:prstGeom prst="rect">
                      <a:avLst/>
                    </a:prstGeom>
                    <a:noFill/>
                  </pic:spPr>
                </pic:pic>
              </a:graphicData>
            </a:graphic>
          </wp:anchor>
        </w:drawing>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100" w:type="dxa"/>
            <w:vAlign w:val="bottom"/>
          </w:tcPr>
          <w:p>
            <w:pPr>
              <w:spacing w:after="0"/>
              <w:rPr>
                <w:sz w:val="20"/>
                <w:szCs w:val="20"/>
                <w:color w:val="auto"/>
              </w:rPr>
            </w:pPr>
            <w:r>
              <w:rPr>
                <w:rFonts w:ascii="Arial" w:cs="Arial" w:eastAsia="Arial" w:hAnsi="Arial"/>
                <w:sz w:val="4"/>
                <w:szCs w:val="4"/>
                <w:color w:val="auto"/>
              </w:rPr>
              <w:t>​</w:t>
            </w:r>
          </w:p>
        </w:tc>
        <w:tc>
          <w:tcPr>
            <w:tcW w:w="1380" w:type="dxa"/>
            <w:vAlign w:val="bottom"/>
          </w:tcPr>
          <w:p>
            <w:pPr>
              <w:spacing w:after="0"/>
              <w:rPr>
                <w:sz w:val="18"/>
                <w:szCs w:val="18"/>
                <w:color w:val="auto"/>
              </w:rPr>
            </w:pPr>
          </w:p>
        </w:tc>
        <w:tc>
          <w:tcPr>
            <w:tcW w:w="400" w:type="dxa"/>
            <w:vAlign w:val="bottom"/>
          </w:tcPr>
          <w:p>
            <w:pPr>
              <w:ind w:left="320"/>
              <w:spacing w:after="0"/>
              <w:rPr>
                <w:sz w:val="20"/>
                <w:szCs w:val="20"/>
                <w:color w:val="auto"/>
              </w:rPr>
            </w:pPr>
            <w:r>
              <w:rPr>
                <w:rFonts w:ascii="Arial" w:cs="Arial" w:eastAsia="Arial" w:hAnsi="Arial"/>
                <w:sz w:val="4"/>
                <w:szCs w:val="4"/>
                <w:color w:val="auto"/>
              </w:rPr>
              <w:t>​</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c>
          <w:tcPr>
            <w:tcW w:w="920" w:type="dxa"/>
            <w:vAlign w:val="bottom"/>
          </w:tcPr>
          <w:p>
            <w:pPr>
              <w:jc w:val="right"/>
              <w:ind w:right="35"/>
              <w:spacing w:after="0"/>
              <w:rPr>
                <w:sz w:val="20"/>
                <w:szCs w:val="20"/>
                <w:color w:val="auto"/>
              </w:rPr>
            </w:pPr>
            <w:r>
              <w:rPr>
                <w:rFonts w:ascii="Arial" w:cs="Arial" w:eastAsia="Arial" w:hAnsi="Arial"/>
                <w:sz w:val="4"/>
                <w:szCs w:val="4"/>
                <w:color w:val="auto"/>
              </w:rPr>
              <w:t>​</w:t>
            </w:r>
          </w:p>
        </w:tc>
        <w:tc>
          <w:tcPr>
            <w:tcW w:w="120" w:type="dxa"/>
            <w:vAlign w:val="bottom"/>
            <w:gridSpan w:val="2"/>
          </w:tcPr>
          <w:p>
            <w:pPr>
              <w:ind w:left="60"/>
              <w:spacing w:after="0"/>
              <w:rPr>
                <w:sz w:val="20"/>
                <w:szCs w:val="20"/>
                <w:color w:val="auto"/>
              </w:rPr>
            </w:pPr>
            <w:r>
              <w:rPr>
                <w:rFonts w:ascii="Arial" w:cs="Arial" w:eastAsia="Arial" w:hAnsi="Arial"/>
                <w:sz w:val="4"/>
                <w:szCs w:val="4"/>
                <w:color w:val="auto"/>
              </w:rPr>
              <w:t>​</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Pr>
          <w:p>
            <w:pPr>
              <w:jc w:val="right"/>
              <w:ind w:right="2"/>
              <w:spacing w:after="0"/>
              <w:rPr>
                <w:sz w:val="20"/>
                <w:szCs w:val="20"/>
                <w:color w:val="auto"/>
              </w:rPr>
            </w:pPr>
            <w:r>
              <w:rPr>
                <w:rFonts w:ascii="Arial" w:cs="Arial" w:eastAsia="Arial" w:hAnsi="Arial"/>
                <w:sz w:val="4"/>
                <w:szCs w:val="4"/>
                <w:color w:val="auto"/>
              </w:rPr>
              <w:t>​</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c>
          <w:tcPr>
            <w:tcW w:w="196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Pr>
          <w:p>
            <w:pPr>
              <w:jc w:val="right"/>
              <w:ind w:right="8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3"/>
        </w:trPr>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14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9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380" w:type="dxa"/>
            <w:vAlign w:val="bottom"/>
            <w:tcBorders>
              <w:bottom w:val="single" w:sz="8" w:color="E4C0D9"/>
            </w:tcBorders>
          </w:tcPr>
          <w:p>
            <w:pPr>
              <w:spacing w:after="0"/>
              <w:rPr>
                <w:sz w:val="8"/>
                <w:szCs w:val="8"/>
                <w:color w:val="auto"/>
              </w:rPr>
            </w:pPr>
          </w:p>
        </w:tc>
        <w:tc>
          <w:tcPr>
            <w:tcW w:w="400" w:type="dxa"/>
            <w:vAlign w:val="bottom"/>
            <w:tcBorders>
              <w:bottom w:val="single" w:sz="8" w:color="E4C0D9"/>
            </w:tcBorders>
          </w:tcPr>
          <w:p>
            <w:pPr>
              <w:spacing w:after="0"/>
              <w:rPr>
                <w:sz w:val="8"/>
                <w:szCs w:val="8"/>
                <w:color w:val="auto"/>
              </w:rPr>
            </w:pPr>
          </w:p>
        </w:tc>
        <w:tc>
          <w:tcPr>
            <w:tcW w:w="160" w:type="dxa"/>
            <w:vAlign w:val="bottom"/>
            <w:tcBorders>
              <w:bottom w:val="single" w:sz="8" w:color="E4C0D9"/>
            </w:tcBorders>
          </w:tcPr>
          <w:p>
            <w:pPr>
              <w:spacing w:after="0"/>
              <w:rPr>
                <w:sz w:val="8"/>
                <w:szCs w:val="8"/>
                <w:color w:val="auto"/>
              </w:rPr>
            </w:pPr>
          </w:p>
        </w:tc>
        <w:tc>
          <w:tcPr>
            <w:tcW w:w="920" w:type="dxa"/>
            <w:vAlign w:val="bottom"/>
            <w:tcBorders>
              <w:bottom w:val="single" w:sz="8" w:color="E4C0D9"/>
            </w:tcBorders>
          </w:tcPr>
          <w:p>
            <w:pPr>
              <w:spacing w:after="0"/>
              <w:rPr>
                <w:sz w:val="8"/>
                <w:szCs w:val="8"/>
                <w:color w:val="auto"/>
              </w:rPr>
            </w:pPr>
          </w:p>
        </w:tc>
        <w:tc>
          <w:tcPr>
            <w:tcW w:w="60" w:type="dxa"/>
            <w:vAlign w:val="bottom"/>
            <w:tcBorders>
              <w:bottom w:val="single" w:sz="8" w:color="E4C0D9"/>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380" w:type="dxa"/>
            <w:vAlign w:val="bottom"/>
            <w:shd w:val="clear" w:color="auto" w:fill="E4C0D9"/>
          </w:tcPr>
          <w:p>
            <w:pPr>
              <w:spacing w:after="0"/>
              <w:rPr>
                <w:sz w:val="21"/>
                <w:szCs w:val="21"/>
                <w:color w:val="auto"/>
              </w:rPr>
            </w:pPr>
          </w:p>
        </w:tc>
        <w:tc>
          <w:tcPr>
            <w:tcW w:w="400" w:type="dxa"/>
            <w:vAlign w:val="bottom"/>
            <w:shd w:val="clear" w:color="auto" w:fill="E4C0D9"/>
          </w:tcPr>
          <w:p>
            <w:pPr>
              <w:spacing w:after="0"/>
              <w:rPr>
                <w:sz w:val="21"/>
                <w:szCs w:val="21"/>
                <w:color w:val="auto"/>
              </w:rPr>
            </w:pPr>
          </w:p>
        </w:tc>
        <w:tc>
          <w:tcPr>
            <w:tcW w:w="160" w:type="dxa"/>
            <w:vAlign w:val="bottom"/>
            <w:shd w:val="clear" w:color="auto" w:fill="E4C0D9"/>
          </w:tcPr>
          <w:p>
            <w:pPr>
              <w:spacing w:after="0"/>
              <w:rPr>
                <w:sz w:val="21"/>
                <w:szCs w:val="21"/>
                <w:color w:val="auto"/>
              </w:rPr>
            </w:pPr>
          </w:p>
        </w:tc>
        <w:tc>
          <w:tcPr>
            <w:tcW w:w="920" w:type="dxa"/>
            <w:vAlign w:val="bottom"/>
            <w:shd w:val="clear" w:color="auto" w:fill="E4C0D9"/>
          </w:tcPr>
          <w:p>
            <w:pPr>
              <w:spacing w:after="0"/>
              <w:rPr>
                <w:sz w:val="21"/>
                <w:szCs w:val="21"/>
                <w:color w:val="auto"/>
              </w:rPr>
            </w:pPr>
          </w:p>
        </w:tc>
        <w:tc>
          <w:tcPr>
            <w:tcW w:w="60" w:type="dxa"/>
            <w:vAlign w:val="bottom"/>
            <w:shd w:val="clear" w:color="auto" w:fill="E4C0D9"/>
          </w:tcPr>
          <w:p>
            <w:pPr>
              <w:spacing w:after="0"/>
              <w:rPr>
                <w:sz w:val="21"/>
                <w:szCs w:val="21"/>
                <w:color w:val="auto"/>
              </w:rPr>
            </w:pPr>
          </w:p>
        </w:tc>
        <w:tc>
          <w:tcPr>
            <w:tcW w:w="60" w:type="dxa"/>
            <w:vAlign w:val="bottom"/>
            <w:shd w:val="clear" w:color="auto" w:fill="E4C0D9"/>
          </w:tcPr>
          <w:p>
            <w:pPr>
              <w:spacing w:after="0"/>
              <w:rPr>
                <w:sz w:val="21"/>
                <w:szCs w:val="21"/>
                <w:color w:val="auto"/>
              </w:rPr>
            </w:pPr>
          </w:p>
        </w:tc>
        <w:tc>
          <w:tcPr>
            <w:tcW w:w="920" w:type="dxa"/>
            <w:vAlign w:val="bottom"/>
            <w:vMerge w:val="restart"/>
            <w:shd w:val="clear" w:color="auto" w:fill="E4C0D9"/>
          </w:tcPr>
          <w:p>
            <w:pPr>
              <w:jc w:val="center"/>
              <w:ind w:left="11"/>
              <w:spacing w:after="0"/>
              <w:rPr>
                <w:sz w:val="20"/>
                <w:szCs w:val="20"/>
                <w:color w:val="auto"/>
              </w:rPr>
            </w:pPr>
            <w:r>
              <w:rPr>
                <w:rFonts w:ascii="Arial" w:cs="Arial" w:eastAsia="Arial" w:hAnsi="Arial"/>
                <w:sz w:val="14"/>
                <w:szCs w:val="14"/>
                <w:b w:val="1"/>
                <w:bCs w:val="1"/>
                <w:color w:val="auto"/>
              </w:rPr>
              <w:t>Number of</w:t>
            </w:r>
          </w:p>
        </w:tc>
        <w:tc>
          <w:tcPr>
            <w:tcW w:w="220" w:type="dxa"/>
            <w:vAlign w:val="bottom"/>
            <w:shd w:val="clear" w:color="auto" w:fill="E4C0D9"/>
          </w:tcPr>
          <w:p>
            <w:pPr>
              <w:spacing w:after="0"/>
              <w:rPr>
                <w:sz w:val="21"/>
                <w:szCs w:val="21"/>
                <w:color w:val="auto"/>
              </w:rPr>
            </w:pPr>
          </w:p>
        </w:tc>
        <w:tc>
          <w:tcPr>
            <w:tcW w:w="1040" w:type="dxa"/>
            <w:vAlign w:val="bottom"/>
            <w:vMerge w:val="restart"/>
            <w:shd w:val="clear" w:color="auto" w:fill="E4C0D9"/>
          </w:tcPr>
          <w:p>
            <w:pPr>
              <w:jc w:val="center"/>
              <w:spacing w:after="0"/>
              <w:rPr>
                <w:sz w:val="20"/>
                <w:szCs w:val="20"/>
                <w:color w:val="auto"/>
              </w:rPr>
            </w:pPr>
            <w:r>
              <w:rPr>
                <w:rFonts w:ascii="Arial" w:cs="Arial" w:eastAsia="Arial" w:hAnsi="Arial"/>
                <w:sz w:val="14"/>
                <w:szCs w:val="14"/>
                <w:b w:val="1"/>
                <w:bCs w:val="1"/>
                <w:color w:val="auto"/>
              </w:rPr>
              <w:t>Number of</w:t>
            </w:r>
          </w:p>
        </w:tc>
        <w:tc>
          <w:tcPr>
            <w:tcW w:w="200" w:type="dxa"/>
            <w:vAlign w:val="bottom"/>
            <w:shd w:val="clear" w:color="auto" w:fill="E4C0D9"/>
          </w:tcPr>
          <w:p>
            <w:pPr>
              <w:spacing w:after="0"/>
              <w:rPr>
                <w:sz w:val="21"/>
                <w:szCs w:val="21"/>
                <w:color w:val="auto"/>
              </w:rPr>
            </w:pPr>
          </w:p>
        </w:tc>
        <w:tc>
          <w:tcPr>
            <w:tcW w:w="900" w:type="dxa"/>
            <w:vAlign w:val="bottom"/>
            <w:shd w:val="clear" w:color="auto" w:fill="E4C0D9"/>
          </w:tcPr>
          <w:p>
            <w:pPr>
              <w:spacing w:after="0"/>
              <w:rPr>
                <w:sz w:val="21"/>
                <w:szCs w:val="21"/>
                <w:color w:val="auto"/>
              </w:rPr>
            </w:pPr>
          </w:p>
        </w:tc>
        <w:tc>
          <w:tcPr>
            <w:tcW w:w="920" w:type="dxa"/>
            <w:vAlign w:val="bottom"/>
            <w:shd w:val="clear" w:color="auto" w:fill="E4C0D9"/>
          </w:tcPr>
          <w:p>
            <w:pPr>
              <w:spacing w:after="0"/>
              <w:rPr>
                <w:sz w:val="21"/>
                <w:szCs w:val="21"/>
                <w:color w:val="auto"/>
              </w:rPr>
            </w:pPr>
          </w:p>
        </w:tc>
        <w:tc>
          <w:tcPr>
            <w:tcW w:w="160" w:type="dxa"/>
            <w:vAlign w:val="bottom"/>
            <w:shd w:val="clear" w:color="auto" w:fill="E4C0D9"/>
          </w:tcPr>
          <w:p>
            <w:pPr>
              <w:spacing w:after="0"/>
              <w:rPr>
                <w:sz w:val="21"/>
                <w:szCs w:val="21"/>
                <w:color w:val="auto"/>
              </w:rPr>
            </w:pPr>
          </w:p>
        </w:tc>
        <w:tc>
          <w:tcPr>
            <w:tcW w:w="820" w:type="dxa"/>
            <w:vAlign w:val="bottom"/>
            <w:vMerge w:val="restart"/>
            <w:shd w:val="clear" w:color="auto" w:fill="E4C0D9"/>
          </w:tcPr>
          <w:p>
            <w:pPr>
              <w:jc w:val="center"/>
              <w:spacing w:after="0"/>
              <w:rPr>
                <w:sz w:val="20"/>
                <w:szCs w:val="20"/>
                <w:color w:val="auto"/>
              </w:rPr>
            </w:pPr>
            <w:r>
              <w:rPr>
                <w:rFonts w:ascii="Arial" w:cs="Arial" w:eastAsia="Arial" w:hAnsi="Arial"/>
                <w:sz w:val="14"/>
                <w:szCs w:val="14"/>
                <w:b w:val="1"/>
                <w:bCs w:val="1"/>
                <w:color w:val="auto"/>
              </w:rPr>
              <w:t>Number of</w:t>
            </w:r>
          </w:p>
        </w:tc>
        <w:tc>
          <w:tcPr>
            <w:tcW w:w="240" w:type="dxa"/>
            <w:vAlign w:val="bottom"/>
            <w:shd w:val="clear" w:color="auto" w:fill="E4C0D9"/>
          </w:tcPr>
          <w:p>
            <w:pPr>
              <w:spacing w:after="0"/>
              <w:rPr>
                <w:sz w:val="21"/>
                <w:szCs w:val="21"/>
                <w:color w:val="auto"/>
              </w:rPr>
            </w:pPr>
          </w:p>
        </w:tc>
        <w:tc>
          <w:tcPr>
            <w:tcW w:w="90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Market</w:t>
            </w:r>
          </w:p>
        </w:tc>
        <w:tc>
          <w:tcPr>
            <w:tcW w:w="100" w:type="dxa"/>
            <w:vAlign w:val="bottom"/>
            <w:shd w:val="clear" w:color="auto" w:fill="E4C0D9"/>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380" w:type="dxa"/>
            <w:vAlign w:val="bottom"/>
            <w:shd w:val="clear" w:color="auto" w:fill="E4C0D9"/>
          </w:tcPr>
          <w:p>
            <w:pPr>
              <w:spacing w:after="0"/>
              <w:rPr>
                <w:sz w:val="7"/>
                <w:szCs w:val="7"/>
                <w:color w:val="auto"/>
              </w:rPr>
            </w:pPr>
          </w:p>
        </w:tc>
        <w:tc>
          <w:tcPr>
            <w:tcW w:w="400" w:type="dxa"/>
            <w:vAlign w:val="bottom"/>
            <w:shd w:val="clear" w:color="auto" w:fill="E4C0D9"/>
          </w:tcPr>
          <w:p>
            <w:pPr>
              <w:spacing w:after="0"/>
              <w:rPr>
                <w:sz w:val="7"/>
                <w:szCs w:val="7"/>
                <w:color w:val="auto"/>
              </w:rPr>
            </w:pPr>
          </w:p>
        </w:tc>
        <w:tc>
          <w:tcPr>
            <w:tcW w:w="160" w:type="dxa"/>
            <w:vAlign w:val="bottom"/>
            <w:shd w:val="clear" w:color="auto" w:fill="E4C0D9"/>
          </w:tcPr>
          <w:p>
            <w:pPr>
              <w:spacing w:after="0"/>
              <w:rPr>
                <w:sz w:val="7"/>
                <w:szCs w:val="7"/>
                <w:color w:val="auto"/>
              </w:rPr>
            </w:pPr>
          </w:p>
        </w:tc>
        <w:tc>
          <w:tcPr>
            <w:tcW w:w="920" w:type="dxa"/>
            <w:vAlign w:val="bottom"/>
            <w:shd w:val="clear" w:color="auto" w:fill="E4C0D9"/>
          </w:tcPr>
          <w:p>
            <w:pPr>
              <w:spacing w:after="0"/>
              <w:rPr>
                <w:sz w:val="7"/>
                <w:szCs w:val="7"/>
                <w:color w:val="auto"/>
              </w:rPr>
            </w:pPr>
          </w:p>
        </w:tc>
        <w:tc>
          <w:tcPr>
            <w:tcW w:w="60" w:type="dxa"/>
            <w:vAlign w:val="bottom"/>
            <w:shd w:val="clear" w:color="auto" w:fill="E4C0D9"/>
          </w:tcPr>
          <w:p>
            <w:pPr>
              <w:spacing w:after="0"/>
              <w:rPr>
                <w:sz w:val="7"/>
                <w:szCs w:val="7"/>
                <w:color w:val="auto"/>
              </w:rPr>
            </w:pPr>
          </w:p>
        </w:tc>
        <w:tc>
          <w:tcPr>
            <w:tcW w:w="60" w:type="dxa"/>
            <w:vAlign w:val="bottom"/>
            <w:shd w:val="clear" w:color="auto" w:fill="E4C0D9"/>
          </w:tcPr>
          <w:p>
            <w:pPr>
              <w:spacing w:after="0"/>
              <w:rPr>
                <w:sz w:val="7"/>
                <w:szCs w:val="7"/>
                <w:color w:val="auto"/>
              </w:rPr>
            </w:pPr>
          </w:p>
        </w:tc>
        <w:tc>
          <w:tcPr>
            <w:tcW w:w="920" w:type="dxa"/>
            <w:vAlign w:val="bottom"/>
            <w:vMerge w:val="continue"/>
            <w:shd w:val="clear" w:color="auto" w:fill="E4C0D9"/>
          </w:tcPr>
          <w:p>
            <w:pPr>
              <w:spacing w:after="0"/>
              <w:rPr>
                <w:sz w:val="7"/>
                <w:szCs w:val="7"/>
                <w:color w:val="auto"/>
              </w:rPr>
            </w:pPr>
          </w:p>
        </w:tc>
        <w:tc>
          <w:tcPr>
            <w:tcW w:w="220" w:type="dxa"/>
            <w:vAlign w:val="bottom"/>
            <w:shd w:val="clear" w:color="auto" w:fill="E4C0D9"/>
          </w:tcPr>
          <w:p>
            <w:pPr>
              <w:spacing w:after="0"/>
              <w:rPr>
                <w:sz w:val="7"/>
                <w:szCs w:val="7"/>
                <w:color w:val="auto"/>
              </w:rPr>
            </w:pPr>
          </w:p>
        </w:tc>
        <w:tc>
          <w:tcPr>
            <w:tcW w:w="1040" w:type="dxa"/>
            <w:vAlign w:val="bottom"/>
            <w:vMerge w:val="continue"/>
            <w:shd w:val="clear" w:color="auto" w:fill="E4C0D9"/>
          </w:tcPr>
          <w:p>
            <w:pPr>
              <w:spacing w:after="0"/>
              <w:rPr>
                <w:sz w:val="7"/>
                <w:szCs w:val="7"/>
                <w:color w:val="auto"/>
              </w:rPr>
            </w:pPr>
          </w:p>
        </w:tc>
        <w:tc>
          <w:tcPr>
            <w:tcW w:w="200" w:type="dxa"/>
            <w:vAlign w:val="bottom"/>
            <w:shd w:val="clear" w:color="auto" w:fill="E4C0D9"/>
          </w:tcPr>
          <w:p>
            <w:pPr>
              <w:spacing w:after="0"/>
              <w:rPr>
                <w:sz w:val="7"/>
                <w:szCs w:val="7"/>
                <w:color w:val="auto"/>
              </w:rPr>
            </w:pPr>
          </w:p>
        </w:tc>
        <w:tc>
          <w:tcPr>
            <w:tcW w:w="900" w:type="dxa"/>
            <w:vAlign w:val="bottom"/>
            <w:shd w:val="clear" w:color="auto" w:fill="E4C0D9"/>
          </w:tcPr>
          <w:p>
            <w:pPr>
              <w:spacing w:after="0"/>
              <w:rPr>
                <w:sz w:val="7"/>
                <w:szCs w:val="7"/>
                <w:color w:val="auto"/>
              </w:rPr>
            </w:pPr>
          </w:p>
        </w:tc>
        <w:tc>
          <w:tcPr>
            <w:tcW w:w="920" w:type="dxa"/>
            <w:vAlign w:val="bottom"/>
            <w:shd w:val="clear" w:color="auto" w:fill="E4C0D9"/>
          </w:tcPr>
          <w:p>
            <w:pPr>
              <w:spacing w:after="0"/>
              <w:rPr>
                <w:sz w:val="7"/>
                <w:szCs w:val="7"/>
                <w:color w:val="auto"/>
              </w:rPr>
            </w:pPr>
          </w:p>
        </w:tc>
        <w:tc>
          <w:tcPr>
            <w:tcW w:w="160" w:type="dxa"/>
            <w:vAlign w:val="bottom"/>
            <w:shd w:val="clear" w:color="auto" w:fill="E4C0D9"/>
          </w:tcPr>
          <w:p>
            <w:pPr>
              <w:spacing w:after="0"/>
              <w:rPr>
                <w:sz w:val="7"/>
                <w:szCs w:val="7"/>
                <w:color w:val="auto"/>
              </w:rPr>
            </w:pPr>
          </w:p>
        </w:tc>
        <w:tc>
          <w:tcPr>
            <w:tcW w:w="820" w:type="dxa"/>
            <w:vAlign w:val="bottom"/>
            <w:vMerge w:val="continue"/>
            <w:shd w:val="clear" w:color="auto" w:fill="E4C0D9"/>
          </w:tcPr>
          <w:p>
            <w:pPr>
              <w:spacing w:after="0"/>
              <w:rPr>
                <w:sz w:val="7"/>
                <w:szCs w:val="7"/>
                <w:color w:val="auto"/>
              </w:rPr>
            </w:pPr>
          </w:p>
        </w:tc>
        <w:tc>
          <w:tcPr>
            <w:tcW w:w="240" w:type="dxa"/>
            <w:vAlign w:val="bottom"/>
            <w:shd w:val="clear" w:color="auto" w:fill="E4C0D9"/>
          </w:tcPr>
          <w:p>
            <w:pPr>
              <w:spacing w:after="0"/>
              <w:rPr>
                <w:sz w:val="7"/>
                <w:szCs w:val="7"/>
                <w:color w:val="auto"/>
              </w:rPr>
            </w:pPr>
          </w:p>
        </w:tc>
        <w:tc>
          <w:tcPr>
            <w:tcW w:w="900" w:type="dxa"/>
            <w:vAlign w:val="bottom"/>
            <w:vMerge w:val="restart"/>
            <w:shd w:val="clear" w:color="auto" w:fill="E4C0D9"/>
          </w:tcPr>
          <w:p>
            <w:pPr>
              <w:jc w:val="center"/>
              <w:ind w:left="3"/>
              <w:spacing w:after="0"/>
              <w:rPr>
                <w:sz w:val="20"/>
                <w:szCs w:val="20"/>
                <w:color w:val="auto"/>
              </w:rPr>
            </w:pPr>
            <w:r>
              <w:rPr>
                <w:rFonts w:ascii="Arial" w:cs="Arial" w:eastAsia="Arial" w:hAnsi="Arial"/>
                <w:sz w:val="14"/>
                <w:szCs w:val="14"/>
                <w:b w:val="1"/>
                <w:bCs w:val="1"/>
                <w:color w:val="auto"/>
              </w:rPr>
              <w:t>Value of</w:t>
            </w:r>
          </w:p>
        </w:tc>
        <w:tc>
          <w:tcPr>
            <w:tcW w:w="100" w:type="dxa"/>
            <w:vAlign w:val="bottom"/>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380" w:type="dxa"/>
            <w:vAlign w:val="bottom"/>
            <w:shd w:val="clear" w:color="auto" w:fill="E4C0D9"/>
          </w:tcPr>
          <w:p>
            <w:pPr>
              <w:spacing w:after="0"/>
              <w:rPr>
                <w:sz w:val="7"/>
                <w:szCs w:val="7"/>
                <w:color w:val="auto"/>
              </w:rPr>
            </w:pPr>
          </w:p>
        </w:tc>
        <w:tc>
          <w:tcPr>
            <w:tcW w:w="400" w:type="dxa"/>
            <w:vAlign w:val="bottom"/>
            <w:shd w:val="clear" w:color="auto" w:fill="E4C0D9"/>
          </w:tcPr>
          <w:p>
            <w:pPr>
              <w:spacing w:after="0"/>
              <w:rPr>
                <w:sz w:val="7"/>
                <w:szCs w:val="7"/>
                <w:color w:val="auto"/>
              </w:rPr>
            </w:pPr>
          </w:p>
        </w:tc>
        <w:tc>
          <w:tcPr>
            <w:tcW w:w="160" w:type="dxa"/>
            <w:vAlign w:val="bottom"/>
            <w:shd w:val="clear" w:color="auto" w:fill="E4C0D9"/>
          </w:tcPr>
          <w:p>
            <w:pPr>
              <w:spacing w:after="0"/>
              <w:rPr>
                <w:sz w:val="7"/>
                <w:szCs w:val="7"/>
                <w:color w:val="auto"/>
              </w:rPr>
            </w:pPr>
          </w:p>
        </w:tc>
        <w:tc>
          <w:tcPr>
            <w:tcW w:w="920" w:type="dxa"/>
            <w:vAlign w:val="bottom"/>
            <w:shd w:val="clear" w:color="auto" w:fill="E4C0D9"/>
          </w:tcPr>
          <w:p>
            <w:pPr>
              <w:spacing w:after="0"/>
              <w:rPr>
                <w:sz w:val="7"/>
                <w:szCs w:val="7"/>
                <w:color w:val="auto"/>
              </w:rPr>
            </w:pPr>
          </w:p>
        </w:tc>
        <w:tc>
          <w:tcPr>
            <w:tcW w:w="60" w:type="dxa"/>
            <w:vAlign w:val="bottom"/>
            <w:shd w:val="clear" w:color="auto" w:fill="E4C0D9"/>
          </w:tcPr>
          <w:p>
            <w:pPr>
              <w:spacing w:after="0"/>
              <w:rPr>
                <w:sz w:val="7"/>
                <w:szCs w:val="7"/>
                <w:color w:val="auto"/>
              </w:rPr>
            </w:pPr>
          </w:p>
        </w:tc>
        <w:tc>
          <w:tcPr>
            <w:tcW w:w="60" w:type="dxa"/>
            <w:vAlign w:val="bottom"/>
            <w:shd w:val="clear" w:color="auto" w:fill="E4C0D9"/>
          </w:tcPr>
          <w:p>
            <w:pPr>
              <w:spacing w:after="0"/>
              <w:rPr>
                <w:sz w:val="7"/>
                <w:szCs w:val="7"/>
                <w:color w:val="auto"/>
              </w:rPr>
            </w:pPr>
          </w:p>
        </w:tc>
        <w:tc>
          <w:tcPr>
            <w:tcW w:w="920" w:type="dxa"/>
            <w:vAlign w:val="bottom"/>
            <w:vMerge w:val="restart"/>
            <w:shd w:val="clear" w:color="auto" w:fill="E4C0D9"/>
          </w:tcPr>
          <w:p>
            <w:pPr>
              <w:jc w:val="center"/>
              <w:ind w:left="11"/>
              <w:spacing w:after="0"/>
              <w:rPr>
                <w:sz w:val="20"/>
                <w:szCs w:val="20"/>
                <w:color w:val="auto"/>
              </w:rPr>
            </w:pPr>
            <w:r>
              <w:rPr>
                <w:rFonts w:ascii="Arial" w:cs="Arial" w:eastAsia="Arial" w:hAnsi="Arial"/>
                <w:sz w:val="14"/>
                <w:szCs w:val="14"/>
                <w:b w:val="1"/>
                <w:bCs w:val="1"/>
                <w:color w:val="auto"/>
              </w:rPr>
              <w:t>Securities</w:t>
            </w:r>
          </w:p>
        </w:tc>
        <w:tc>
          <w:tcPr>
            <w:tcW w:w="220" w:type="dxa"/>
            <w:vAlign w:val="bottom"/>
            <w:shd w:val="clear" w:color="auto" w:fill="E4C0D9"/>
          </w:tcPr>
          <w:p>
            <w:pPr>
              <w:spacing w:after="0"/>
              <w:rPr>
                <w:sz w:val="7"/>
                <w:szCs w:val="7"/>
                <w:color w:val="auto"/>
              </w:rPr>
            </w:pPr>
          </w:p>
        </w:tc>
        <w:tc>
          <w:tcPr>
            <w:tcW w:w="1040" w:type="dxa"/>
            <w:vAlign w:val="bottom"/>
            <w:vMerge w:val="restart"/>
            <w:shd w:val="clear" w:color="auto" w:fill="E4C0D9"/>
          </w:tcPr>
          <w:p>
            <w:pPr>
              <w:jc w:val="center"/>
              <w:spacing w:after="0"/>
              <w:rPr>
                <w:sz w:val="20"/>
                <w:szCs w:val="20"/>
                <w:color w:val="auto"/>
              </w:rPr>
            </w:pPr>
            <w:r>
              <w:rPr>
                <w:rFonts w:ascii="Arial" w:cs="Arial" w:eastAsia="Arial" w:hAnsi="Arial"/>
                <w:sz w:val="14"/>
                <w:szCs w:val="14"/>
                <w:b w:val="1"/>
                <w:bCs w:val="1"/>
                <w:color w:val="auto"/>
              </w:rPr>
              <w:t>Securities</w:t>
            </w:r>
          </w:p>
        </w:tc>
        <w:tc>
          <w:tcPr>
            <w:tcW w:w="200" w:type="dxa"/>
            <w:vAlign w:val="bottom"/>
            <w:shd w:val="clear" w:color="auto" w:fill="E4C0D9"/>
          </w:tcPr>
          <w:p>
            <w:pPr>
              <w:spacing w:after="0"/>
              <w:rPr>
                <w:sz w:val="7"/>
                <w:szCs w:val="7"/>
                <w:color w:val="auto"/>
              </w:rPr>
            </w:pPr>
          </w:p>
        </w:tc>
        <w:tc>
          <w:tcPr>
            <w:tcW w:w="900" w:type="dxa"/>
            <w:vAlign w:val="bottom"/>
            <w:shd w:val="clear" w:color="auto" w:fill="E4C0D9"/>
          </w:tcPr>
          <w:p>
            <w:pPr>
              <w:spacing w:after="0"/>
              <w:rPr>
                <w:sz w:val="7"/>
                <w:szCs w:val="7"/>
                <w:color w:val="auto"/>
              </w:rPr>
            </w:pPr>
          </w:p>
        </w:tc>
        <w:tc>
          <w:tcPr>
            <w:tcW w:w="920" w:type="dxa"/>
            <w:vAlign w:val="bottom"/>
            <w:shd w:val="clear" w:color="auto" w:fill="E4C0D9"/>
          </w:tcPr>
          <w:p>
            <w:pPr>
              <w:spacing w:after="0"/>
              <w:rPr>
                <w:sz w:val="7"/>
                <w:szCs w:val="7"/>
                <w:color w:val="auto"/>
              </w:rPr>
            </w:pPr>
          </w:p>
        </w:tc>
        <w:tc>
          <w:tcPr>
            <w:tcW w:w="160" w:type="dxa"/>
            <w:vAlign w:val="bottom"/>
            <w:shd w:val="clear" w:color="auto" w:fill="E4C0D9"/>
          </w:tcPr>
          <w:p>
            <w:pPr>
              <w:spacing w:after="0"/>
              <w:rPr>
                <w:sz w:val="7"/>
                <w:szCs w:val="7"/>
                <w:color w:val="auto"/>
              </w:rPr>
            </w:pPr>
          </w:p>
        </w:tc>
        <w:tc>
          <w:tcPr>
            <w:tcW w:w="820" w:type="dxa"/>
            <w:vAlign w:val="bottom"/>
            <w:vMerge w:val="restart"/>
            <w:shd w:val="clear" w:color="auto" w:fill="E4C0D9"/>
          </w:tcPr>
          <w:p>
            <w:pPr>
              <w:jc w:val="center"/>
              <w:spacing w:after="0"/>
              <w:rPr>
                <w:sz w:val="20"/>
                <w:szCs w:val="20"/>
                <w:color w:val="auto"/>
              </w:rPr>
            </w:pPr>
            <w:r>
              <w:rPr>
                <w:rFonts w:ascii="Arial" w:cs="Arial" w:eastAsia="Arial" w:hAnsi="Arial"/>
                <w:sz w:val="14"/>
                <w:szCs w:val="14"/>
                <w:b w:val="1"/>
                <w:bCs w:val="1"/>
                <w:color w:val="auto"/>
              </w:rPr>
              <w:t>Shares or</w:t>
            </w:r>
          </w:p>
        </w:tc>
        <w:tc>
          <w:tcPr>
            <w:tcW w:w="240" w:type="dxa"/>
            <w:vAlign w:val="bottom"/>
            <w:shd w:val="clear" w:color="auto" w:fill="E4C0D9"/>
          </w:tcPr>
          <w:p>
            <w:pPr>
              <w:spacing w:after="0"/>
              <w:rPr>
                <w:sz w:val="7"/>
                <w:szCs w:val="7"/>
                <w:color w:val="auto"/>
              </w:rPr>
            </w:pPr>
          </w:p>
        </w:tc>
        <w:tc>
          <w:tcPr>
            <w:tcW w:w="900" w:type="dxa"/>
            <w:vAlign w:val="bottom"/>
            <w:vMerge w:val="continue"/>
            <w:shd w:val="clear" w:color="auto" w:fill="E4C0D9"/>
          </w:tcPr>
          <w:p>
            <w:pPr>
              <w:spacing w:after="0"/>
              <w:rPr>
                <w:sz w:val="7"/>
                <w:szCs w:val="7"/>
                <w:color w:val="auto"/>
              </w:rPr>
            </w:pPr>
          </w:p>
        </w:tc>
        <w:tc>
          <w:tcPr>
            <w:tcW w:w="100" w:type="dxa"/>
            <w:vAlign w:val="bottom"/>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380" w:type="dxa"/>
            <w:vAlign w:val="bottom"/>
            <w:shd w:val="clear" w:color="auto" w:fill="E4C0D9"/>
          </w:tcPr>
          <w:p>
            <w:pPr>
              <w:spacing w:after="0"/>
              <w:rPr>
                <w:sz w:val="7"/>
                <w:szCs w:val="7"/>
                <w:color w:val="auto"/>
              </w:rPr>
            </w:pPr>
          </w:p>
        </w:tc>
        <w:tc>
          <w:tcPr>
            <w:tcW w:w="400" w:type="dxa"/>
            <w:vAlign w:val="bottom"/>
            <w:shd w:val="clear" w:color="auto" w:fill="E4C0D9"/>
          </w:tcPr>
          <w:p>
            <w:pPr>
              <w:spacing w:after="0"/>
              <w:rPr>
                <w:sz w:val="7"/>
                <w:szCs w:val="7"/>
                <w:color w:val="auto"/>
              </w:rPr>
            </w:pPr>
          </w:p>
        </w:tc>
        <w:tc>
          <w:tcPr>
            <w:tcW w:w="160" w:type="dxa"/>
            <w:vAlign w:val="bottom"/>
            <w:shd w:val="clear" w:color="auto" w:fill="E4C0D9"/>
          </w:tcPr>
          <w:p>
            <w:pPr>
              <w:spacing w:after="0"/>
              <w:rPr>
                <w:sz w:val="7"/>
                <w:szCs w:val="7"/>
                <w:color w:val="auto"/>
              </w:rPr>
            </w:pPr>
          </w:p>
        </w:tc>
        <w:tc>
          <w:tcPr>
            <w:tcW w:w="920" w:type="dxa"/>
            <w:vAlign w:val="bottom"/>
            <w:shd w:val="clear" w:color="auto" w:fill="E4C0D9"/>
          </w:tcPr>
          <w:p>
            <w:pPr>
              <w:spacing w:after="0"/>
              <w:rPr>
                <w:sz w:val="7"/>
                <w:szCs w:val="7"/>
                <w:color w:val="auto"/>
              </w:rPr>
            </w:pPr>
          </w:p>
        </w:tc>
        <w:tc>
          <w:tcPr>
            <w:tcW w:w="60" w:type="dxa"/>
            <w:vAlign w:val="bottom"/>
            <w:shd w:val="clear" w:color="auto" w:fill="E4C0D9"/>
          </w:tcPr>
          <w:p>
            <w:pPr>
              <w:spacing w:after="0"/>
              <w:rPr>
                <w:sz w:val="7"/>
                <w:szCs w:val="7"/>
                <w:color w:val="auto"/>
              </w:rPr>
            </w:pPr>
          </w:p>
        </w:tc>
        <w:tc>
          <w:tcPr>
            <w:tcW w:w="60" w:type="dxa"/>
            <w:vAlign w:val="bottom"/>
            <w:shd w:val="clear" w:color="auto" w:fill="E4C0D9"/>
          </w:tcPr>
          <w:p>
            <w:pPr>
              <w:spacing w:after="0"/>
              <w:rPr>
                <w:sz w:val="7"/>
                <w:szCs w:val="7"/>
                <w:color w:val="auto"/>
              </w:rPr>
            </w:pPr>
          </w:p>
        </w:tc>
        <w:tc>
          <w:tcPr>
            <w:tcW w:w="920" w:type="dxa"/>
            <w:vAlign w:val="bottom"/>
            <w:vMerge w:val="continue"/>
            <w:shd w:val="clear" w:color="auto" w:fill="E4C0D9"/>
          </w:tcPr>
          <w:p>
            <w:pPr>
              <w:spacing w:after="0"/>
              <w:rPr>
                <w:sz w:val="7"/>
                <w:szCs w:val="7"/>
                <w:color w:val="auto"/>
              </w:rPr>
            </w:pPr>
          </w:p>
        </w:tc>
        <w:tc>
          <w:tcPr>
            <w:tcW w:w="220" w:type="dxa"/>
            <w:vAlign w:val="bottom"/>
            <w:shd w:val="clear" w:color="auto" w:fill="E4C0D9"/>
          </w:tcPr>
          <w:p>
            <w:pPr>
              <w:spacing w:after="0"/>
              <w:rPr>
                <w:sz w:val="7"/>
                <w:szCs w:val="7"/>
                <w:color w:val="auto"/>
              </w:rPr>
            </w:pPr>
          </w:p>
        </w:tc>
        <w:tc>
          <w:tcPr>
            <w:tcW w:w="1040" w:type="dxa"/>
            <w:vAlign w:val="bottom"/>
            <w:vMerge w:val="continue"/>
            <w:shd w:val="clear" w:color="auto" w:fill="E4C0D9"/>
          </w:tcPr>
          <w:p>
            <w:pPr>
              <w:spacing w:after="0"/>
              <w:rPr>
                <w:sz w:val="7"/>
                <w:szCs w:val="7"/>
                <w:color w:val="auto"/>
              </w:rPr>
            </w:pPr>
          </w:p>
        </w:tc>
        <w:tc>
          <w:tcPr>
            <w:tcW w:w="200" w:type="dxa"/>
            <w:vAlign w:val="bottom"/>
            <w:shd w:val="clear" w:color="auto" w:fill="E4C0D9"/>
          </w:tcPr>
          <w:p>
            <w:pPr>
              <w:spacing w:after="0"/>
              <w:rPr>
                <w:sz w:val="7"/>
                <w:szCs w:val="7"/>
                <w:color w:val="auto"/>
              </w:rPr>
            </w:pPr>
          </w:p>
        </w:tc>
        <w:tc>
          <w:tcPr>
            <w:tcW w:w="900" w:type="dxa"/>
            <w:vAlign w:val="bottom"/>
            <w:vMerge w:val="restart"/>
            <w:shd w:val="clear" w:color="auto" w:fill="E4C0D9"/>
          </w:tcPr>
          <w:p>
            <w:pPr>
              <w:ind w:left="140"/>
              <w:spacing w:after="0"/>
              <w:rPr>
                <w:sz w:val="20"/>
                <w:szCs w:val="20"/>
                <w:color w:val="auto"/>
              </w:rPr>
            </w:pPr>
            <w:r>
              <w:rPr>
                <w:rFonts w:ascii="Arial" w:cs="Arial" w:eastAsia="Arial" w:hAnsi="Arial"/>
                <w:sz w:val="14"/>
                <w:szCs w:val="14"/>
                <w:b w:val="1"/>
                <w:bCs w:val="1"/>
                <w:color w:val="auto"/>
              </w:rPr>
              <w:t>Option</w:t>
            </w:r>
          </w:p>
        </w:tc>
        <w:tc>
          <w:tcPr>
            <w:tcW w:w="920" w:type="dxa"/>
            <w:vAlign w:val="bottom"/>
            <w:vMerge w:val="restart"/>
            <w:shd w:val="clear" w:color="auto" w:fill="E4C0D9"/>
          </w:tcPr>
          <w:p>
            <w:pPr>
              <w:jc w:val="right"/>
              <w:ind w:right="182"/>
              <w:spacing w:after="0"/>
              <w:rPr>
                <w:sz w:val="20"/>
                <w:szCs w:val="20"/>
                <w:color w:val="auto"/>
              </w:rPr>
            </w:pPr>
            <w:r>
              <w:rPr>
                <w:rFonts w:ascii="Arial" w:cs="Arial" w:eastAsia="Arial" w:hAnsi="Arial"/>
                <w:sz w:val="14"/>
                <w:szCs w:val="14"/>
                <w:b w:val="1"/>
                <w:bCs w:val="1"/>
                <w:color w:val="auto"/>
              </w:rPr>
              <w:t>Option</w:t>
            </w:r>
          </w:p>
        </w:tc>
        <w:tc>
          <w:tcPr>
            <w:tcW w:w="160" w:type="dxa"/>
            <w:vAlign w:val="bottom"/>
            <w:shd w:val="clear" w:color="auto" w:fill="E4C0D9"/>
          </w:tcPr>
          <w:p>
            <w:pPr>
              <w:spacing w:after="0"/>
              <w:rPr>
                <w:sz w:val="7"/>
                <w:szCs w:val="7"/>
                <w:color w:val="auto"/>
              </w:rPr>
            </w:pPr>
          </w:p>
        </w:tc>
        <w:tc>
          <w:tcPr>
            <w:tcW w:w="820" w:type="dxa"/>
            <w:vAlign w:val="bottom"/>
            <w:vMerge w:val="continue"/>
            <w:shd w:val="clear" w:color="auto" w:fill="E4C0D9"/>
          </w:tcPr>
          <w:p>
            <w:pPr>
              <w:spacing w:after="0"/>
              <w:rPr>
                <w:sz w:val="7"/>
                <w:szCs w:val="7"/>
                <w:color w:val="auto"/>
              </w:rPr>
            </w:pPr>
          </w:p>
        </w:tc>
        <w:tc>
          <w:tcPr>
            <w:tcW w:w="240" w:type="dxa"/>
            <w:vAlign w:val="bottom"/>
            <w:shd w:val="clear" w:color="auto" w:fill="E4C0D9"/>
          </w:tcPr>
          <w:p>
            <w:pPr>
              <w:spacing w:after="0"/>
              <w:rPr>
                <w:sz w:val="7"/>
                <w:szCs w:val="7"/>
                <w:color w:val="auto"/>
              </w:rPr>
            </w:pPr>
          </w:p>
        </w:tc>
        <w:tc>
          <w:tcPr>
            <w:tcW w:w="900" w:type="dxa"/>
            <w:vAlign w:val="bottom"/>
            <w:vMerge w:val="restart"/>
            <w:shd w:val="clear" w:color="auto" w:fill="E4C0D9"/>
          </w:tcPr>
          <w:p>
            <w:pPr>
              <w:jc w:val="center"/>
              <w:spacing w:after="0"/>
              <w:rPr>
                <w:sz w:val="20"/>
                <w:szCs w:val="20"/>
                <w:color w:val="auto"/>
              </w:rPr>
            </w:pPr>
            <w:r>
              <w:rPr>
                <w:rFonts w:ascii="Arial" w:cs="Arial" w:eastAsia="Arial" w:hAnsi="Arial"/>
                <w:sz w:val="14"/>
                <w:szCs w:val="14"/>
                <w:b w:val="1"/>
                <w:bCs w:val="1"/>
                <w:color w:val="auto"/>
              </w:rPr>
              <w:t>Shares or</w:t>
            </w:r>
          </w:p>
        </w:tc>
        <w:tc>
          <w:tcPr>
            <w:tcW w:w="100" w:type="dxa"/>
            <w:vAlign w:val="bottom"/>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380" w:type="dxa"/>
            <w:vAlign w:val="bottom"/>
            <w:shd w:val="clear" w:color="auto" w:fill="E4C0D9"/>
          </w:tcPr>
          <w:p>
            <w:pPr>
              <w:spacing w:after="0"/>
              <w:rPr>
                <w:sz w:val="7"/>
                <w:szCs w:val="7"/>
                <w:color w:val="auto"/>
              </w:rPr>
            </w:pPr>
          </w:p>
        </w:tc>
        <w:tc>
          <w:tcPr>
            <w:tcW w:w="400" w:type="dxa"/>
            <w:vAlign w:val="bottom"/>
            <w:shd w:val="clear" w:color="auto" w:fill="E4C0D9"/>
          </w:tcPr>
          <w:p>
            <w:pPr>
              <w:spacing w:after="0"/>
              <w:rPr>
                <w:sz w:val="7"/>
                <w:szCs w:val="7"/>
                <w:color w:val="auto"/>
              </w:rPr>
            </w:pPr>
          </w:p>
        </w:tc>
        <w:tc>
          <w:tcPr>
            <w:tcW w:w="160" w:type="dxa"/>
            <w:vAlign w:val="bottom"/>
            <w:shd w:val="clear" w:color="auto" w:fill="E4C0D9"/>
          </w:tcPr>
          <w:p>
            <w:pPr>
              <w:spacing w:after="0"/>
              <w:rPr>
                <w:sz w:val="7"/>
                <w:szCs w:val="7"/>
                <w:color w:val="auto"/>
              </w:rPr>
            </w:pPr>
          </w:p>
        </w:tc>
        <w:tc>
          <w:tcPr>
            <w:tcW w:w="920" w:type="dxa"/>
            <w:vAlign w:val="bottom"/>
            <w:shd w:val="clear" w:color="auto" w:fill="E4C0D9"/>
          </w:tcPr>
          <w:p>
            <w:pPr>
              <w:spacing w:after="0"/>
              <w:rPr>
                <w:sz w:val="7"/>
                <w:szCs w:val="7"/>
                <w:color w:val="auto"/>
              </w:rPr>
            </w:pPr>
          </w:p>
        </w:tc>
        <w:tc>
          <w:tcPr>
            <w:tcW w:w="60" w:type="dxa"/>
            <w:vAlign w:val="bottom"/>
            <w:shd w:val="clear" w:color="auto" w:fill="E4C0D9"/>
          </w:tcPr>
          <w:p>
            <w:pPr>
              <w:spacing w:after="0"/>
              <w:rPr>
                <w:sz w:val="7"/>
                <w:szCs w:val="7"/>
                <w:color w:val="auto"/>
              </w:rPr>
            </w:pPr>
          </w:p>
        </w:tc>
        <w:tc>
          <w:tcPr>
            <w:tcW w:w="60" w:type="dxa"/>
            <w:vAlign w:val="bottom"/>
            <w:shd w:val="clear" w:color="auto" w:fill="E4C0D9"/>
          </w:tcPr>
          <w:p>
            <w:pPr>
              <w:spacing w:after="0"/>
              <w:rPr>
                <w:sz w:val="7"/>
                <w:szCs w:val="7"/>
                <w:color w:val="auto"/>
              </w:rPr>
            </w:pPr>
          </w:p>
        </w:tc>
        <w:tc>
          <w:tcPr>
            <w:tcW w:w="920" w:type="dxa"/>
            <w:vAlign w:val="bottom"/>
            <w:vMerge w:val="restart"/>
            <w:shd w:val="clear" w:color="auto" w:fill="E4C0D9"/>
          </w:tcPr>
          <w:p>
            <w:pPr>
              <w:jc w:val="center"/>
              <w:ind w:left="11"/>
              <w:spacing w:after="0"/>
              <w:rPr>
                <w:sz w:val="20"/>
                <w:szCs w:val="20"/>
                <w:color w:val="auto"/>
              </w:rPr>
            </w:pPr>
            <w:r>
              <w:rPr>
                <w:rFonts w:ascii="Arial" w:cs="Arial" w:eastAsia="Arial" w:hAnsi="Arial"/>
                <w:sz w:val="14"/>
                <w:szCs w:val="14"/>
                <w:b w:val="1"/>
                <w:bCs w:val="1"/>
                <w:color w:val="auto"/>
              </w:rPr>
              <w:t>Underlying</w:t>
            </w:r>
          </w:p>
        </w:tc>
        <w:tc>
          <w:tcPr>
            <w:tcW w:w="220" w:type="dxa"/>
            <w:vAlign w:val="bottom"/>
            <w:shd w:val="clear" w:color="auto" w:fill="E4C0D9"/>
          </w:tcPr>
          <w:p>
            <w:pPr>
              <w:spacing w:after="0"/>
              <w:rPr>
                <w:sz w:val="7"/>
                <w:szCs w:val="7"/>
                <w:color w:val="auto"/>
              </w:rPr>
            </w:pPr>
          </w:p>
        </w:tc>
        <w:tc>
          <w:tcPr>
            <w:tcW w:w="1040" w:type="dxa"/>
            <w:vAlign w:val="bottom"/>
            <w:vMerge w:val="restart"/>
            <w:shd w:val="clear" w:color="auto" w:fill="E4C0D9"/>
          </w:tcPr>
          <w:p>
            <w:pPr>
              <w:jc w:val="center"/>
              <w:spacing w:after="0"/>
              <w:rPr>
                <w:sz w:val="20"/>
                <w:szCs w:val="20"/>
                <w:color w:val="auto"/>
              </w:rPr>
            </w:pPr>
            <w:r>
              <w:rPr>
                <w:rFonts w:ascii="Arial" w:cs="Arial" w:eastAsia="Arial" w:hAnsi="Arial"/>
                <w:sz w:val="14"/>
                <w:szCs w:val="14"/>
                <w:b w:val="1"/>
                <w:bCs w:val="1"/>
                <w:color w:val="auto"/>
              </w:rPr>
              <w:t>Underlying</w:t>
            </w:r>
          </w:p>
        </w:tc>
        <w:tc>
          <w:tcPr>
            <w:tcW w:w="200" w:type="dxa"/>
            <w:vAlign w:val="bottom"/>
            <w:shd w:val="clear" w:color="auto" w:fill="E4C0D9"/>
          </w:tcPr>
          <w:p>
            <w:pPr>
              <w:spacing w:after="0"/>
              <w:rPr>
                <w:sz w:val="7"/>
                <w:szCs w:val="7"/>
                <w:color w:val="auto"/>
              </w:rPr>
            </w:pPr>
          </w:p>
        </w:tc>
        <w:tc>
          <w:tcPr>
            <w:tcW w:w="900" w:type="dxa"/>
            <w:vAlign w:val="bottom"/>
            <w:vMerge w:val="continue"/>
            <w:shd w:val="clear" w:color="auto" w:fill="E4C0D9"/>
          </w:tcPr>
          <w:p>
            <w:pPr>
              <w:spacing w:after="0"/>
              <w:rPr>
                <w:sz w:val="7"/>
                <w:szCs w:val="7"/>
                <w:color w:val="auto"/>
              </w:rPr>
            </w:pPr>
          </w:p>
        </w:tc>
        <w:tc>
          <w:tcPr>
            <w:tcW w:w="920" w:type="dxa"/>
            <w:vAlign w:val="bottom"/>
            <w:vMerge w:val="continue"/>
            <w:shd w:val="clear" w:color="auto" w:fill="E4C0D9"/>
          </w:tcPr>
          <w:p>
            <w:pPr>
              <w:spacing w:after="0"/>
              <w:rPr>
                <w:sz w:val="7"/>
                <w:szCs w:val="7"/>
                <w:color w:val="auto"/>
              </w:rPr>
            </w:pPr>
          </w:p>
        </w:tc>
        <w:tc>
          <w:tcPr>
            <w:tcW w:w="160" w:type="dxa"/>
            <w:vAlign w:val="bottom"/>
            <w:shd w:val="clear" w:color="auto" w:fill="E4C0D9"/>
          </w:tcPr>
          <w:p>
            <w:pPr>
              <w:spacing w:after="0"/>
              <w:rPr>
                <w:sz w:val="7"/>
                <w:szCs w:val="7"/>
                <w:color w:val="auto"/>
              </w:rPr>
            </w:pPr>
          </w:p>
        </w:tc>
        <w:tc>
          <w:tcPr>
            <w:tcW w:w="820" w:type="dxa"/>
            <w:vAlign w:val="bottom"/>
            <w:vMerge w:val="restart"/>
            <w:shd w:val="clear" w:color="auto" w:fill="E4C0D9"/>
          </w:tcPr>
          <w:p>
            <w:pPr>
              <w:jc w:val="center"/>
              <w:spacing w:after="0"/>
              <w:rPr>
                <w:sz w:val="20"/>
                <w:szCs w:val="20"/>
                <w:color w:val="auto"/>
              </w:rPr>
            </w:pPr>
            <w:r>
              <w:rPr>
                <w:rFonts w:ascii="Arial" w:cs="Arial" w:eastAsia="Arial" w:hAnsi="Arial"/>
                <w:sz w:val="14"/>
                <w:szCs w:val="14"/>
                <w:b w:val="1"/>
                <w:bCs w:val="1"/>
                <w:color w:val="auto"/>
                <w:w w:val="99"/>
              </w:rPr>
              <w:t>Units of</w:t>
            </w:r>
          </w:p>
        </w:tc>
        <w:tc>
          <w:tcPr>
            <w:tcW w:w="240" w:type="dxa"/>
            <w:vAlign w:val="bottom"/>
            <w:shd w:val="clear" w:color="auto" w:fill="E4C0D9"/>
          </w:tcPr>
          <w:p>
            <w:pPr>
              <w:spacing w:after="0"/>
              <w:rPr>
                <w:sz w:val="7"/>
                <w:szCs w:val="7"/>
                <w:color w:val="auto"/>
              </w:rPr>
            </w:pPr>
          </w:p>
        </w:tc>
        <w:tc>
          <w:tcPr>
            <w:tcW w:w="900" w:type="dxa"/>
            <w:vAlign w:val="bottom"/>
            <w:vMerge w:val="continue"/>
            <w:shd w:val="clear" w:color="auto" w:fill="E4C0D9"/>
          </w:tcPr>
          <w:p>
            <w:pPr>
              <w:spacing w:after="0"/>
              <w:rPr>
                <w:sz w:val="7"/>
                <w:szCs w:val="7"/>
                <w:color w:val="auto"/>
              </w:rPr>
            </w:pPr>
          </w:p>
        </w:tc>
        <w:tc>
          <w:tcPr>
            <w:tcW w:w="100" w:type="dxa"/>
            <w:vAlign w:val="bottom"/>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20"/>
                <w:szCs w:val="20"/>
                <w:color w:val="auto"/>
              </w:rPr>
            </w:pPr>
            <w:r>
              <w:rPr>
                <w:rFonts w:ascii="Arial" w:cs="Arial" w:eastAsia="Arial" w:hAnsi="Arial"/>
                <w:sz w:val="4"/>
                <w:szCs w:val="4"/>
                <w:color w:val="auto"/>
              </w:rPr>
              <w:t>​</w:t>
            </w:r>
          </w:p>
        </w:tc>
        <w:tc>
          <w:tcPr>
            <w:tcW w:w="1380" w:type="dxa"/>
            <w:vAlign w:val="bottom"/>
            <w:shd w:val="clear" w:color="auto" w:fill="E4C0D9"/>
          </w:tcPr>
          <w:p>
            <w:pPr>
              <w:ind w:left="660"/>
              <w:spacing w:after="0" w:line="148" w:lineRule="exact"/>
              <w:rPr>
                <w:sz w:val="20"/>
                <w:szCs w:val="20"/>
                <w:color w:val="auto"/>
              </w:rPr>
            </w:pPr>
            <w:r>
              <w:rPr>
                <w:rFonts w:ascii="Arial" w:cs="Arial" w:eastAsia="Arial" w:hAnsi="Arial"/>
                <w:sz w:val="14"/>
                <w:szCs w:val="14"/>
                <w:b w:val="1"/>
                <w:bCs w:val="1"/>
                <w:color w:val="auto"/>
              </w:rPr>
              <w:t>Name</w:t>
            </w:r>
          </w:p>
        </w:tc>
        <w:tc>
          <w:tcPr>
            <w:tcW w:w="400" w:type="dxa"/>
            <w:vAlign w:val="bottom"/>
            <w:shd w:val="clear" w:color="auto" w:fill="E4C0D9"/>
          </w:tcPr>
          <w:p>
            <w:pPr>
              <w:ind w:left="320"/>
              <w:spacing w:after="0"/>
              <w:rPr>
                <w:sz w:val="20"/>
                <w:szCs w:val="20"/>
                <w:color w:val="auto"/>
              </w:rPr>
            </w:pPr>
            <w:r>
              <w:rPr>
                <w:rFonts w:ascii="Arial" w:cs="Arial" w:eastAsia="Arial" w:hAnsi="Arial"/>
                <w:sz w:val="4"/>
                <w:szCs w:val="4"/>
                <w:color w:val="auto"/>
              </w:rPr>
              <w:t>​</w:t>
            </w:r>
          </w:p>
        </w:tc>
        <w:tc>
          <w:tcPr>
            <w:tcW w:w="160" w:type="dxa"/>
            <w:vAlign w:val="bottom"/>
            <w:shd w:val="clear" w:color="auto" w:fill="E4C0D9"/>
          </w:tcPr>
          <w:p>
            <w:pPr>
              <w:ind w:left="60"/>
              <w:spacing w:after="0"/>
              <w:rPr>
                <w:sz w:val="20"/>
                <w:szCs w:val="20"/>
                <w:color w:val="auto"/>
              </w:rPr>
            </w:pPr>
            <w:r>
              <w:rPr>
                <w:rFonts w:ascii="Arial" w:cs="Arial" w:eastAsia="Arial" w:hAnsi="Arial"/>
                <w:sz w:val="4"/>
                <w:szCs w:val="4"/>
                <w:color w:val="auto"/>
              </w:rPr>
              <w:t>​</w:t>
            </w:r>
          </w:p>
        </w:tc>
        <w:tc>
          <w:tcPr>
            <w:tcW w:w="920" w:type="dxa"/>
            <w:vAlign w:val="bottom"/>
            <w:shd w:val="clear" w:color="auto" w:fill="E4C0D9"/>
          </w:tcPr>
          <w:p>
            <w:pPr>
              <w:jc w:val="right"/>
              <w:ind w:right="35"/>
              <w:spacing w:after="0" w:line="148" w:lineRule="exact"/>
              <w:rPr>
                <w:sz w:val="20"/>
                <w:szCs w:val="20"/>
                <w:color w:val="auto"/>
              </w:rPr>
            </w:pPr>
            <w:r>
              <w:rPr>
                <w:rFonts w:ascii="Arial" w:cs="Arial" w:eastAsia="Arial" w:hAnsi="Arial"/>
                <w:sz w:val="14"/>
                <w:szCs w:val="14"/>
                <w:b w:val="1"/>
                <w:bCs w:val="1"/>
                <w:color w:val="auto"/>
              </w:rPr>
              <w:t xml:space="preserve">Grant Date </w:t>
            </w:r>
            <w:r>
              <w:rPr>
                <w:rFonts w:ascii="Arial" w:cs="Arial" w:eastAsia="Arial" w:hAnsi="Arial"/>
                <w:sz w:val="3"/>
                <w:szCs w:val="3"/>
                <w:color w:val="auto"/>
              </w:rPr>
              <w:t>​</w:t>
            </w:r>
          </w:p>
        </w:tc>
        <w:tc>
          <w:tcPr>
            <w:tcW w:w="120" w:type="dxa"/>
            <w:vAlign w:val="bottom"/>
            <w:gridSpan w:val="2"/>
            <w:shd w:val="clear" w:color="auto" w:fill="E4C0D9"/>
          </w:tcPr>
          <w:p>
            <w:pPr>
              <w:ind w:left="60"/>
              <w:spacing w:after="0"/>
              <w:rPr>
                <w:sz w:val="20"/>
                <w:szCs w:val="20"/>
                <w:color w:val="auto"/>
              </w:rPr>
            </w:pPr>
            <w:r>
              <w:rPr>
                <w:rFonts w:ascii="Arial" w:cs="Arial" w:eastAsia="Arial" w:hAnsi="Arial"/>
                <w:sz w:val="4"/>
                <w:szCs w:val="4"/>
                <w:color w:val="auto"/>
              </w:rPr>
              <w:t>​</w:t>
            </w:r>
          </w:p>
        </w:tc>
        <w:tc>
          <w:tcPr>
            <w:tcW w:w="920" w:type="dxa"/>
            <w:vAlign w:val="bottom"/>
            <w:vMerge w:val="continue"/>
            <w:shd w:val="clear" w:color="auto" w:fill="E4C0D9"/>
          </w:tcPr>
          <w:p>
            <w:pPr>
              <w:spacing w:after="0"/>
              <w:rPr>
                <w:sz w:val="12"/>
                <w:szCs w:val="12"/>
                <w:color w:val="auto"/>
              </w:rPr>
            </w:pPr>
          </w:p>
        </w:tc>
        <w:tc>
          <w:tcPr>
            <w:tcW w:w="220" w:type="dxa"/>
            <w:vAlign w:val="bottom"/>
            <w:shd w:val="clear" w:color="auto" w:fill="E4C0D9"/>
          </w:tcPr>
          <w:p>
            <w:pPr>
              <w:spacing w:after="0"/>
              <w:rPr>
                <w:sz w:val="20"/>
                <w:szCs w:val="20"/>
                <w:color w:val="auto"/>
              </w:rPr>
            </w:pPr>
            <w:r>
              <w:rPr>
                <w:rFonts w:ascii="Arial" w:cs="Arial" w:eastAsia="Arial" w:hAnsi="Arial"/>
                <w:sz w:val="4"/>
                <w:szCs w:val="4"/>
                <w:color w:val="auto"/>
              </w:rPr>
              <w:t>​​</w:t>
            </w:r>
          </w:p>
        </w:tc>
        <w:tc>
          <w:tcPr>
            <w:tcW w:w="1040" w:type="dxa"/>
            <w:vAlign w:val="bottom"/>
            <w:vMerge w:val="continue"/>
            <w:shd w:val="clear" w:color="auto" w:fill="E4C0D9"/>
          </w:tcPr>
          <w:p>
            <w:pPr>
              <w:spacing w:after="0"/>
              <w:rPr>
                <w:sz w:val="12"/>
                <w:szCs w:val="12"/>
                <w:color w:val="auto"/>
              </w:rPr>
            </w:pPr>
          </w:p>
        </w:tc>
        <w:tc>
          <w:tcPr>
            <w:tcW w:w="200" w:type="dxa"/>
            <w:vAlign w:val="bottom"/>
            <w:shd w:val="clear" w:color="auto" w:fill="E4C0D9"/>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900" w:type="dxa"/>
            <w:vAlign w:val="bottom"/>
            <w:shd w:val="clear" w:color="auto" w:fill="E4C0D9"/>
          </w:tcPr>
          <w:p>
            <w:pPr>
              <w:ind w:left="60"/>
              <w:spacing w:after="0" w:line="148" w:lineRule="exact"/>
              <w:rPr>
                <w:sz w:val="20"/>
                <w:szCs w:val="20"/>
                <w:color w:val="auto"/>
              </w:rPr>
            </w:pPr>
            <w:r>
              <w:rPr>
                <w:rFonts w:ascii="Arial" w:cs="Arial" w:eastAsia="Arial" w:hAnsi="Arial"/>
                <w:sz w:val="14"/>
                <w:szCs w:val="14"/>
                <w:b w:val="1"/>
                <w:bCs w:val="1"/>
                <w:color w:val="auto"/>
              </w:rPr>
              <w:t>Exercise</w:t>
            </w:r>
            <w:r>
              <w:rPr>
                <w:rFonts w:ascii="Arial" w:cs="Arial" w:eastAsia="Arial" w:hAnsi="Arial"/>
                <w:sz w:val="3"/>
                <w:szCs w:val="3"/>
                <w:color w:val="auto"/>
              </w:rPr>
              <w:t>​       ​</w:t>
            </w:r>
          </w:p>
        </w:tc>
        <w:tc>
          <w:tcPr>
            <w:tcW w:w="920" w:type="dxa"/>
            <w:vAlign w:val="bottom"/>
            <w:shd w:val="clear" w:color="auto" w:fill="E4C0D9"/>
          </w:tcPr>
          <w:p>
            <w:pPr>
              <w:jc w:val="right"/>
              <w:ind w:right="2"/>
              <w:spacing w:after="0" w:line="148" w:lineRule="exact"/>
              <w:rPr>
                <w:sz w:val="20"/>
                <w:szCs w:val="20"/>
                <w:color w:val="auto"/>
              </w:rPr>
            </w:pPr>
            <w:r>
              <w:rPr>
                <w:rFonts w:ascii="Arial" w:cs="Arial" w:eastAsia="Arial" w:hAnsi="Arial"/>
                <w:sz w:val="14"/>
                <w:szCs w:val="14"/>
                <w:b w:val="1"/>
                <w:bCs w:val="1"/>
                <w:color w:val="auto"/>
              </w:rPr>
              <w:t xml:space="preserve">Expiration  </w:t>
            </w:r>
            <w:r>
              <w:rPr>
                <w:rFonts w:ascii="Arial" w:cs="Arial" w:eastAsia="Arial" w:hAnsi="Arial"/>
                <w:sz w:val="3"/>
                <w:szCs w:val="3"/>
                <w:color w:val="auto"/>
              </w:rPr>
              <w:t>​</w:t>
            </w:r>
          </w:p>
        </w:tc>
        <w:tc>
          <w:tcPr>
            <w:tcW w:w="160" w:type="dxa"/>
            <w:vAlign w:val="bottom"/>
            <w:shd w:val="clear" w:color="auto" w:fill="E4C0D9"/>
          </w:tcPr>
          <w:p>
            <w:pPr>
              <w:ind w:left="60"/>
              <w:spacing w:after="0"/>
              <w:rPr>
                <w:sz w:val="20"/>
                <w:szCs w:val="20"/>
                <w:color w:val="auto"/>
              </w:rPr>
            </w:pPr>
            <w:r>
              <w:rPr>
                <w:rFonts w:ascii="Arial" w:cs="Arial" w:eastAsia="Arial" w:hAnsi="Arial"/>
                <w:sz w:val="4"/>
                <w:szCs w:val="4"/>
                <w:color w:val="auto"/>
              </w:rPr>
              <w:t>​</w:t>
            </w:r>
          </w:p>
        </w:tc>
        <w:tc>
          <w:tcPr>
            <w:tcW w:w="820" w:type="dxa"/>
            <w:vAlign w:val="bottom"/>
            <w:vMerge w:val="continue"/>
            <w:shd w:val="clear" w:color="auto" w:fill="E4C0D9"/>
          </w:tcPr>
          <w:p>
            <w:pPr>
              <w:spacing w:after="0"/>
              <w:rPr>
                <w:sz w:val="12"/>
                <w:szCs w:val="12"/>
                <w:color w:val="auto"/>
              </w:rPr>
            </w:pPr>
          </w:p>
        </w:tc>
        <w:tc>
          <w:tcPr>
            <w:tcW w:w="240" w:type="dxa"/>
            <w:vAlign w:val="bottom"/>
            <w:shd w:val="clear" w:color="auto" w:fill="E4C0D9"/>
          </w:tcPr>
          <w:p>
            <w:pPr>
              <w:ind w:left="2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1000" w:type="dxa"/>
            <w:vAlign w:val="bottom"/>
            <w:gridSpan w:val="2"/>
            <w:shd w:val="clear" w:color="auto" w:fill="E4C0D9"/>
          </w:tcPr>
          <w:p>
            <w:pPr>
              <w:jc w:val="right"/>
              <w:ind w:right="82"/>
              <w:spacing w:after="0"/>
              <w:rPr>
                <w:sz w:val="20"/>
                <w:szCs w:val="20"/>
                <w:color w:val="auto"/>
              </w:rPr>
            </w:pPr>
            <w:r>
              <w:rPr>
                <w:rFonts w:ascii="Arial" w:cs="Arial" w:eastAsia="Arial" w:hAnsi="Arial"/>
                <w:sz w:val="14"/>
                <w:szCs w:val="14"/>
                <w:b w:val="1"/>
                <w:bCs w:val="1"/>
                <w:color w:val="auto"/>
                <w:w w:val="4294942296"/>
              </w:rPr>
              <w:t>Units of</w:t>
            </w: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1380" w:type="dxa"/>
            <w:vAlign w:val="bottom"/>
            <w:shd w:val="clear" w:color="auto" w:fill="E4C0D9"/>
          </w:tcPr>
          <w:p>
            <w:pPr>
              <w:spacing w:after="0"/>
              <w:rPr>
                <w:sz w:val="8"/>
                <w:szCs w:val="8"/>
                <w:color w:val="auto"/>
              </w:rPr>
            </w:pPr>
          </w:p>
        </w:tc>
        <w:tc>
          <w:tcPr>
            <w:tcW w:w="400" w:type="dxa"/>
            <w:vAlign w:val="bottom"/>
            <w:shd w:val="clear" w:color="auto" w:fill="E4C0D9"/>
          </w:tcPr>
          <w:p>
            <w:pPr>
              <w:spacing w:after="0"/>
              <w:rPr>
                <w:sz w:val="8"/>
                <w:szCs w:val="8"/>
                <w:color w:val="auto"/>
              </w:rPr>
            </w:pPr>
          </w:p>
        </w:tc>
        <w:tc>
          <w:tcPr>
            <w:tcW w:w="160" w:type="dxa"/>
            <w:vAlign w:val="bottom"/>
            <w:shd w:val="clear" w:color="auto" w:fill="E4C0D9"/>
          </w:tcPr>
          <w:p>
            <w:pPr>
              <w:spacing w:after="0"/>
              <w:rPr>
                <w:sz w:val="8"/>
                <w:szCs w:val="8"/>
                <w:color w:val="auto"/>
              </w:rPr>
            </w:pPr>
          </w:p>
        </w:tc>
        <w:tc>
          <w:tcPr>
            <w:tcW w:w="920" w:type="dxa"/>
            <w:vAlign w:val="bottom"/>
            <w:shd w:val="clear" w:color="auto" w:fill="E4C0D9"/>
          </w:tcPr>
          <w:p>
            <w:pPr>
              <w:spacing w:after="0"/>
              <w:rPr>
                <w:sz w:val="8"/>
                <w:szCs w:val="8"/>
                <w:color w:val="auto"/>
              </w:rPr>
            </w:pPr>
          </w:p>
        </w:tc>
        <w:tc>
          <w:tcPr>
            <w:tcW w:w="60" w:type="dxa"/>
            <w:vAlign w:val="bottom"/>
            <w:shd w:val="clear" w:color="auto" w:fill="E4C0D9"/>
          </w:tcPr>
          <w:p>
            <w:pPr>
              <w:spacing w:after="0"/>
              <w:rPr>
                <w:sz w:val="8"/>
                <w:szCs w:val="8"/>
                <w:color w:val="auto"/>
              </w:rPr>
            </w:pPr>
          </w:p>
        </w:tc>
        <w:tc>
          <w:tcPr>
            <w:tcW w:w="60" w:type="dxa"/>
            <w:vAlign w:val="bottom"/>
            <w:shd w:val="clear" w:color="auto" w:fill="E4C0D9"/>
          </w:tcPr>
          <w:p>
            <w:pPr>
              <w:spacing w:after="0"/>
              <w:rPr>
                <w:sz w:val="8"/>
                <w:szCs w:val="8"/>
                <w:color w:val="auto"/>
              </w:rPr>
            </w:pPr>
          </w:p>
        </w:tc>
        <w:tc>
          <w:tcPr>
            <w:tcW w:w="920" w:type="dxa"/>
            <w:vAlign w:val="bottom"/>
            <w:shd w:val="clear" w:color="auto" w:fill="E4C0D9"/>
          </w:tcPr>
          <w:p>
            <w:pPr>
              <w:jc w:val="center"/>
              <w:ind w:left="11"/>
              <w:spacing w:after="0" w:line="95" w:lineRule="exact"/>
              <w:rPr>
                <w:sz w:val="20"/>
                <w:szCs w:val="20"/>
                <w:color w:val="auto"/>
              </w:rPr>
            </w:pPr>
            <w:r>
              <w:rPr>
                <w:rFonts w:ascii="Arial" w:cs="Arial" w:eastAsia="Arial" w:hAnsi="Arial"/>
                <w:sz w:val="10"/>
                <w:szCs w:val="10"/>
                <w:b w:val="1"/>
                <w:bCs w:val="1"/>
                <w:color w:val="auto"/>
              </w:rPr>
              <w:t>Unexercised</w:t>
            </w:r>
          </w:p>
        </w:tc>
        <w:tc>
          <w:tcPr>
            <w:tcW w:w="220" w:type="dxa"/>
            <w:vAlign w:val="bottom"/>
            <w:shd w:val="clear" w:color="auto" w:fill="E4C0D9"/>
          </w:tcPr>
          <w:p>
            <w:pPr>
              <w:spacing w:after="0"/>
              <w:rPr>
                <w:sz w:val="8"/>
                <w:szCs w:val="8"/>
                <w:color w:val="auto"/>
              </w:rPr>
            </w:pPr>
          </w:p>
        </w:tc>
        <w:tc>
          <w:tcPr>
            <w:tcW w:w="1040" w:type="dxa"/>
            <w:vAlign w:val="bottom"/>
            <w:shd w:val="clear" w:color="auto" w:fill="E4C0D9"/>
          </w:tcPr>
          <w:p>
            <w:pPr>
              <w:jc w:val="center"/>
              <w:spacing w:after="0" w:line="95" w:lineRule="exact"/>
              <w:rPr>
                <w:sz w:val="20"/>
                <w:szCs w:val="20"/>
                <w:color w:val="auto"/>
              </w:rPr>
            </w:pPr>
            <w:r>
              <w:rPr>
                <w:rFonts w:ascii="Arial" w:cs="Arial" w:eastAsia="Arial" w:hAnsi="Arial"/>
                <w:sz w:val="10"/>
                <w:szCs w:val="10"/>
                <w:b w:val="1"/>
                <w:bCs w:val="1"/>
                <w:color w:val="auto"/>
              </w:rPr>
              <w:t>Unexercised</w:t>
            </w:r>
          </w:p>
        </w:tc>
        <w:tc>
          <w:tcPr>
            <w:tcW w:w="200" w:type="dxa"/>
            <w:vAlign w:val="bottom"/>
            <w:shd w:val="clear" w:color="auto" w:fill="E4C0D9"/>
          </w:tcPr>
          <w:p>
            <w:pPr>
              <w:spacing w:after="0"/>
              <w:rPr>
                <w:sz w:val="8"/>
                <w:szCs w:val="8"/>
                <w:color w:val="auto"/>
              </w:rPr>
            </w:pPr>
          </w:p>
        </w:tc>
        <w:tc>
          <w:tcPr>
            <w:tcW w:w="900" w:type="dxa"/>
            <w:vAlign w:val="bottom"/>
            <w:vMerge w:val="restart"/>
            <w:shd w:val="clear" w:color="auto" w:fill="E4C0D9"/>
          </w:tcPr>
          <w:p>
            <w:pPr>
              <w:ind w:left="80"/>
              <w:spacing w:after="0"/>
              <w:rPr>
                <w:sz w:val="20"/>
                <w:szCs w:val="20"/>
                <w:color w:val="auto"/>
              </w:rPr>
            </w:pPr>
            <w:r>
              <w:rPr>
                <w:rFonts w:ascii="Arial" w:cs="Arial" w:eastAsia="Arial" w:hAnsi="Arial"/>
                <w:sz w:val="14"/>
                <w:szCs w:val="14"/>
                <w:b w:val="1"/>
                <w:bCs w:val="1"/>
                <w:color w:val="auto"/>
              </w:rPr>
              <w:t>Price ($)</w:t>
            </w:r>
          </w:p>
        </w:tc>
        <w:tc>
          <w:tcPr>
            <w:tcW w:w="920" w:type="dxa"/>
            <w:vAlign w:val="bottom"/>
            <w:vMerge w:val="restart"/>
            <w:shd w:val="clear" w:color="auto" w:fill="E4C0D9"/>
          </w:tcPr>
          <w:p>
            <w:pPr>
              <w:jc w:val="right"/>
              <w:ind w:right="262"/>
              <w:spacing w:after="0"/>
              <w:rPr>
                <w:sz w:val="20"/>
                <w:szCs w:val="20"/>
                <w:color w:val="auto"/>
              </w:rPr>
            </w:pPr>
            <w:r>
              <w:rPr>
                <w:rFonts w:ascii="Arial" w:cs="Arial" w:eastAsia="Arial" w:hAnsi="Arial"/>
                <w:sz w:val="14"/>
                <w:szCs w:val="14"/>
                <w:b w:val="1"/>
                <w:bCs w:val="1"/>
                <w:color w:val="auto"/>
              </w:rPr>
              <w:t>Date</w:t>
            </w:r>
          </w:p>
        </w:tc>
        <w:tc>
          <w:tcPr>
            <w:tcW w:w="160" w:type="dxa"/>
            <w:vAlign w:val="bottom"/>
            <w:shd w:val="clear" w:color="auto" w:fill="E4C0D9"/>
          </w:tcPr>
          <w:p>
            <w:pPr>
              <w:spacing w:after="0"/>
              <w:rPr>
                <w:sz w:val="8"/>
                <w:szCs w:val="8"/>
                <w:color w:val="auto"/>
              </w:rPr>
            </w:pPr>
          </w:p>
        </w:tc>
        <w:tc>
          <w:tcPr>
            <w:tcW w:w="820" w:type="dxa"/>
            <w:vAlign w:val="bottom"/>
            <w:shd w:val="clear" w:color="auto" w:fill="E4C0D9"/>
          </w:tcPr>
          <w:p>
            <w:pPr>
              <w:jc w:val="center"/>
              <w:spacing w:after="0" w:line="95" w:lineRule="exact"/>
              <w:rPr>
                <w:sz w:val="20"/>
                <w:szCs w:val="20"/>
                <w:color w:val="auto"/>
              </w:rPr>
            </w:pPr>
            <w:r>
              <w:rPr>
                <w:rFonts w:ascii="Arial" w:cs="Arial" w:eastAsia="Arial" w:hAnsi="Arial"/>
                <w:sz w:val="10"/>
                <w:szCs w:val="10"/>
                <w:b w:val="1"/>
                <w:bCs w:val="1"/>
                <w:color w:val="auto"/>
              </w:rPr>
              <w:t>Stock That</w:t>
            </w:r>
          </w:p>
        </w:tc>
        <w:tc>
          <w:tcPr>
            <w:tcW w:w="240" w:type="dxa"/>
            <w:vAlign w:val="bottom"/>
            <w:shd w:val="clear" w:color="auto" w:fill="E4C0D9"/>
          </w:tcPr>
          <w:p>
            <w:pPr>
              <w:spacing w:after="0"/>
              <w:rPr>
                <w:sz w:val="8"/>
                <w:szCs w:val="8"/>
                <w:color w:val="auto"/>
              </w:rPr>
            </w:pPr>
          </w:p>
        </w:tc>
        <w:tc>
          <w:tcPr>
            <w:tcW w:w="900" w:type="dxa"/>
            <w:vAlign w:val="bottom"/>
            <w:vMerge w:val="restart"/>
            <w:shd w:val="clear" w:color="auto" w:fill="E4C0D9"/>
          </w:tcPr>
          <w:p>
            <w:pPr>
              <w:jc w:val="center"/>
              <w:spacing w:after="0"/>
              <w:rPr>
                <w:sz w:val="20"/>
                <w:szCs w:val="20"/>
                <w:color w:val="auto"/>
              </w:rPr>
            </w:pPr>
            <w:r>
              <w:rPr>
                <w:rFonts w:ascii="Arial" w:cs="Arial" w:eastAsia="Arial" w:hAnsi="Arial"/>
                <w:sz w:val="14"/>
                <w:szCs w:val="14"/>
                <w:b w:val="1"/>
                <w:bCs w:val="1"/>
                <w:color w:val="auto"/>
              </w:rPr>
              <w:t>Stock That</w:t>
            </w:r>
          </w:p>
        </w:tc>
        <w:tc>
          <w:tcPr>
            <w:tcW w:w="100" w:type="dxa"/>
            <w:vAlign w:val="bottom"/>
            <w:shd w:val="clear" w:color="auto" w:fill="E4C0D9"/>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380" w:type="dxa"/>
            <w:vAlign w:val="bottom"/>
            <w:shd w:val="clear" w:color="auto" w:fill="E4C0D9"/>
          </w:tcPr>
          <w:p>
            <w:pPr>
              <w:spacing w:after="0"/>
              <w:rPr>
                <w:sz w:val="7"/>
                <w:szCs w:val="7"/>
                <w:color w:val="auto"/>
              </w:rPr>
            </w:pPr>
          </w:p>
        </w:tc>
        <w:tc>
          <w:tcPr>
            <w:tcW w:w="400" w:type="dxa"/>
            <w:vAlign w:val="bottom"/>
            <w:shd w:val="clear" w:color="auto" w:fill="E4C0D9"/>
          </w:tcPr>
          <w:p>
            <w:pPr>
              <w:spacing w:after="0"/>
              <w:rPr>
                <w:sz w:val="7"/>
                <w:szCs w:val="7"/>
                <w:color w:val="auto"/>
              </w:rPr>
            </w:pPr>
          </w:p>
        </w:tc>
        <w:tc>
          <w:tcPr>
            <w:tcW w:w="160" w:type="dxa"/>
            <w:vAlign w:val="bottom"/>
            <w:shd w:val="clear" w:color="auto" w:fill="E4C0D9"/>
          </w:tcPr>
          <w:p>
            <w:pPr>
              <w:spacing w:after="0"/>
              <w:rPr>
                <w:sz w:val="7"/>
                <w:szCs w:val="7"/>
                <w:color w:val="auto"/>
              </w:rPr>
            </w:pPr>
          </w:p>
        </w:tc>
        <w:tc>
          <w:tcPr>
            <w:tcW w:w="920" w:type="dxa"/>
            <w:vAlign w:val="bottom"/>
            <w:shd w:val="clear" w:color="auto" w:fill="E4C0D9"/>
          </w:tcPr>
          <w:p>
            <w:pPr>
              <w:spacing w:after="0"/>
              <w:rPr>
                <w:sz w:val="7"/>
                <w:szCs w:val="7"/>
                <w:color w:val="auto"/>
              </w:rPr>
            </w:pPr>
          </w:p>
        </w:tc>
        <w:tc>
          <w:tcPr>
            <w:tcW w:w="60" w:type="dxa"/>
            <w:vAlign w:val="bottom"/>
            <w:shd w:val="clear" w:color="auto" w:fill="E4C0D9"/>
          </w:tcPr>
          <w:p>
            <w:pPr>
              <w:spacing w:after="0"/>
              <w:rPr>
                <w:sz w:val="7"/>
                <w:szCs w:val="7"/>
                <w:color w:val="auto"/>
              </w:rPr>
            </w:pPr>
          </w:p>
        </w:tc>
        <w:tc>
          <w:tcPr>
            <w:tcW w:w="60" w:type="dxa"/>
            <w:vAlign w:val="bottom"/>
            <w:shd w:val="clear" w:color="auto" w:fill="E4C0D9"/>
          </w:tcPr>
          <w:p>
            <w:pPr>
              <w:spacing w:after="0"/>
              <w:rPr>
                <w:sz w:val="7"/>
                <w:szCs w:val="7"/>
                <w:color w:val="auto"/>
              </w:rPr>
            </w:pPr>
          </w:p>
        </w:tc>
        <w:tc>
          <w:tcPr>
            <w:tcW w:w="920" w:type="dxa"/>
            <w:vAlign w:val="bottom"/>
            <w:vMerge w:val="restart"/>
            <w:shd w:val="clear" w:color="auto" w:fill="E4C0D9"/>
          </w:tcPr>
          <w:p>
            <w:pPr>
              <w:jc w:val="center"/>
              <w:ind w:left="11"/>
              <w:spacing w:after="0"/>
              <w:rPr>
                <w:sz w:val="20"/>
                <w:szCs w:val="20"/>
                <w:color w:val="auto"/>
              </w:rPr>
            </w:pPr>
            <w:r>
              <w:rPr>
                <w:rFonts w:ascii="Arial" w:cs="Arial" w:eastAsia="Arial" w:hAnsi="Arial"/>
                <w:sz w:val="14"/>
                <w:szCs w:val="14"/>
                <w:b w:val="1"/>
                <w:bCs w:val="1"/>
                <w:color w:val="auto"/>
              </w:rPr>
              <w:t>Options (#)</w:t>
            </w:r>
          </w:p>
        </w:tc>
        <w:tc>
          <w:tcPr>
            <w:tcW w:w="220" w:type="dxa"/>
            <w:vAlign w:val="bottom"/>
            <w:shd w:val="clear" w:color="auto" w:fill="E4C0D9"/>
          </w:tcPr>
          <w:p>
            <w:pPr>
              <w:spacing w:after="0"/>
              <w:rPr>
                <w:sz w:val="7"/>
                <w:szCs w:val="7"/>
                <w:color w:val="auto"/>
              </w:rPr>
            </w:pPr>
          </w:p>
        </w:tc>
        <w:tc>
          <w:tcPr>
            <w:tcW w:w="1040" w:type="dxa"/>
            <w:vAlign w:val="bottom"/>
            <w:vMerge w:val="restart"/>
            <w:shd w:val="clear" w:color="auto" w:fill="E4C0D9"/>
          </w:tcPr>
          <w:p>
            <w:pPr>
              <w:jc w:val="center"/>
              <w:spacing w:after="0"/>
              <w:rPr>
                <w:sz w:val="20"/>
                <w:szCs w:val="20"/>
                <w:color w:val="auto"/>
              </w:rPr>
            </w:pPr>
            <w:r>
              <w:rPr>
                <w:rFonts w:ascii="Arial" w:cs="Arial" w:eastAsia="Arial" w:hAnsi="Arial"/>
                <w:sz w:val="14"/>
                <w:szCs w:val="14"/>
                <w:b w:val="1"/>
                <w:bCs w:val="1"/>
                <w:color w:val="auto"/>
              </w:rPr>
              <w:t>Options (#)</w:t>
            </w:r>
          </w:p>
        </w:tc>
        <w:tc>
          <w:tcPr>
            <w:tcW w:w="200" w:type="dxa"/>
            <w:vAlign w:val="bottom"/>
            <w:shd w:val="clear" w:color="auto" w:fill="E4C0D9"/>
          </w:tcPr>
          <w:p>
            <w:pPr>
              <w:spacing w:after="0"/>
              <w:rPr>
                <w:sz w:val="7"/>
                <w:szCs w:val="7"/>
                <w:color w:val="auto"/>
              </w:rPr>
            </w:pPr>
          </w:p>
        </w:tc>
        <w:tc>
          <w:tcPr>
            <w:tcW w:w="900" w:type="dxa"/>
            <w:vAlign w:val="bottom"/>
            <w:vMerge w:val="continue"/>
            <w:shd w:val="clear" w:color="auto" w:fill="E4C0D9"/>
          </w:tcPr>
          <w:p>
            <w:pPr>
              <w:spacing w:after="0"/>
              <w:rPr>
                <w:sz w:val="7"/>
                <w:szCs w:val="7"/>
                <w:color w:val="auto"/>
              </w:rPr>
            </w:pPr>
          </w:p>
        </w:tc>
        <w:tc>
          <w:tcPr>
            <w:tcW w:w="920" w:type="dxa"/>
            <w:vAlign w:val="bottom"/>
            <w:vMerge w:val="continue"/>
            <w:shd w:val="clear" w:color="auto" w:fill="E4C0D9"/>
          </w:tcPr>
          <w:p>
            <w:pPr>
              <w:spacing w:after="0"/>
              <w:rPr>
                <w:sz w:val="7"/>
                <w:szCs w:val="7"/>
                <w:color w:val="auto"/>
              </w:rPr>
            </w:pPr>
          </w:p>
        </w:tc>
        <w:tc>
          <w:tcPr>
            <w:tcW w:w="160" w:type="dxa"/>
            <w:vAlign w:val="bottom"/>
            <w:shd w:val="clear" w:color="auto" w:fill="E4C0D9"/>
          </w:tcPr>
          <w:p>
            <w:pPr>
              <w:spacing w:after="0"/>
              <w:rPr>
                <w:sz w:val="7"/>
                <w:szCs w:val="7"/>
                <w:color w:val="auto"/>
              </w:rPr>
            </w:pPr>
          </w:p>
        </w:tc>
        <w:tc>
          <w:tcPr>
            <w:tcW w:w="820" w:type="dxa"/>
            <w:vAlign w:val="bottom"/>
            <w:vMerge w:val="restart"/>
            <w:shd w:val="clear" w:color="auto" w:fill="E4C0D9"/>
          </w:tcPr>
          <w:p>
            <w:pPr>
              <w:jc w:val="center"/>
              <w:spacing w:after="0"/>
              <w:rPr>
                <w:sz w:val="20"/>
                <w:szCs w:val="20"/>
                <w:color w:val="auto"/>
              </w:rPr>
            </w:pPr>
            <w:r>
              <w:rPr>
                <w:rFonts w:ascii="Arial" w:cs="Arial" w:eastAsia="Arial" w:hAnsi="Arial"/>
                <w:sz w:val="14"/>
                <w:szCs w:val="14"/>
                <w:b w:val="1"/>
                <w:bCs w:val="1"/>
                <w:color w:val="auto"/>
              </w:rPr>
              <w:t>Have Not</w:t>
            </w:r>
          </w:p>
        </w:tc>
        <w:tc>
          <w:tcPr>
            <w:tcW w:w="240" w:type="dxa"/>
            <w:vAlign w:val="bottom"/>
            <w:shd w:val="clear" w:color="auto" w:fill="E4C0D9"/>
          </w:tcPr>
          <w:p>
            <w:pPr>
              <w:spacing w:after="0"/>
              <w:rPr>
                <w:sz w:val="7"/>
                <w:szCs w:val="7"/>
                <w:color w:val="auto"/>
              </w:rPr>
            </w:pPr>
          </w:p>
        </w:tc>
        <w:tc>
          <w:tcPr>
            <w:tcW w:w="900" w:type="dxa"/>
            <w:vAlign w:val="bottom"/>
            <w:vMerge w:val="continue"/>
            <w:shd w:val="clear" w:color="auto" w:fill="E4C0D9"/>
          </w:tcPr>
          <w:p>
            <w:pPr>
              <w:spacing w:after="0"/>
              <w:rPr>
                <w:sz w:val="7"/>
                <w:szCs w:val="7"/>
                <w:color w:val="auto"/>
              </w:rPr>
            </w:pPr>
          </w:p>
        </w:tc>
        <w:tc>
          <w:tcPr>
            <w:tcW w:w="100" w:type="dxa"/>
            <w:vAlign w:val="bottom"/>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380" w:type="dxa"/>
            <w:vAlign w:val="bottom"/>
            <w:shd w:val="clear" w:color="auto" w:fill="E4C0D9"/>
          </w:tcPr>
          <w:p>
            <w:pPr>
              <w:spacing w:after="0"/>
              <w:rPr>
                <w:sz w:val="7"/>
                <w:szCs w:val="7"/>
                <w:color w:val="auto"/>
              </w:rPr>
            </w:pPr>
          </w:p>
        </w:tc>
        <w:tc>
          <w:tcPr>
            <w:tcW w:w="400" w:type="dxa"/>
            <w:vAlign w:val="bottom"/>
            <w:shd w:val="clear" w:color="auto" w:fill="E4C0D9"/>
          </w:tcPr>
          <w:p>
            <w:pPr>
              <w:spacing w:after="0"/>
              <w:rPr>
                <w:sz w:val="7"/>
                <w:szCs w:val="7"/>
                <w:color w:val="auto"/>
              </w:rPr>
            </w:pPr>
          </w:p>
        </w:tc>
        <w:tc>
          <w:tcPr>
            <w:tcW w:w="160" w:type="dxa"/>
            <w:vAlign w:val="bottom"/>
            <w:shd w:val="clear" w:color="auto" w:fill="E4C0D9"/>
          </w:tcPr>
          <w:p>
            <w:pPr>
              <w:spacing w:after="0"/>
              <w:rPr>
                <w:sz w:val="7"/>
                <w:szCs w:val="7"/>
                <w:color w:val="auto"/>
              </w:rPr>
            </w:pPr>
          </w:p>
        </w:tc>
        <w:tc>
          <w:tcPr>
            <w:tcW w:w="920" w:type="dxa"/>
            <w:vAlign w:val="bottom"/>
            <w:shd w:val="clear" w:color="auto" w:fill="E4C0D9"/>
          </w:tcPr>
          <w:p>
            <w:pPr>
              <w:spacing w:after="0"/>
              <w:rPr>
                <w:sz w:val="7"/>
                <w:szCs w:val="7"/>
                <w:color w:val="auto"/>
              </w:rPr>
            </w:pPr>
          </w:p>
        </w:tc>
        <w:tc>
          <w:tcPr>
            <w:tcW w:w="60" w:type="dxa"/>
            <w:vAlign w:val="bottom"/>
            <w:shd w:val="clear" w:color="auto" w:fill="E4C0D9"/>
          </w:tcPr>
          <w:p>
            <w:pPr>
              <w:spacing w:after="0"/>
              <w:rPr>
                <w:sz w:val="7"/>
                <w:szCs w:val="7"/>
                <w:color w:val="auto"/>
              </w:rPr>
            </w:pPr>
          </w:p>
        </w:tc>
        <w:tc>
          <w:tcPr>
            <w:tcW w:w="60" w:type="dxa"/>
            <w:vAlign w:val="bottom"/>
            <w:shd w:val="clear" w:color="auto" w:fill="E4C0D9"/>
          </w:tcPr>
          <w:p>
            <w:pPr>
              <w:spacing w:after="0"/>
              <w:rPr>
                <w:sz w:val="7"/>
                <w:szCs w:val="7"/>
                <w:color w:val="auto"/>
              </w:rPr>
            </w:pPr>
          </w:p>
        </w:tc>
        <w:tc>
          <w:tcPr>
            <w:tcW w:w="920" w:type="dxa"/>
            <w:vAlign w:val="bottom"/>
            <w:vMerge w:val="continue"/>
            <w:shd w:val="clear" w:color="auto" w:fill="E4C0D9"/>
          </w:tcPr>
          <w:p>
            <w:pPr>
              <w:spacing w:after="0"/>
              <w:rPr>
                <w:sz w:val="7"/>
                <w:szCs w:val="7"/>
                <w:color w:val="auto"/>
              </w:rPr>
            </w:pPr>
          </w:p>
        </w:tc>
        <w:tc>
          <w:tcPr>
            <w:tcW w:w="220" w:type="dxa"/>
            <w:vAlign w:val="bottom"/>
            <w:shd w:val="clear" w:color="auto" w:fill="E4C0D9"/>
          </w:tcPr>
          <w:p>
            <w:pPr>
              <w:spacing w:after="0"/>
              <w:rPr>
                <w:sz w:val="7"/>
                <w:szCs w:val="7"/>
                <w:color w:val="auto"/>
              </w:rPr>
            </w:pPr>
          </w:p>
        </w:tc>
        <w:tc>
          <w:tcPr>
            <w:tcW w:w="1040" w:type="dxa"/>
            <w:vAlign w:val="bottom"/>
            <w:vMerge w:val="continue"/>
            <w:shd w:val="clear" w:color="auto" w:fill="E4C0D9"/>
          </w:tcPr>
          <w:p>
            <w:pPr>
              <w:spacing w:after="0"/>
              <w:rPr>
                <w:sz w:val="7"/>
                <w:szCs w:val="7"/>
                <w:color w:val="auto"/>
              </w:rPr>
            </w:pPr>
          </w:p>
        </w:tc>
        <w:tc>
          <w:tcPr>
            <w:tcW w:w="200" w:type="dxa"/>
            <w:vAlign w:val="bottom"/>
            <w:shd w:val="clear" w:color="auto" w:fill="E4C0D9"/>
          </w:tcPr>
          <w:p>
            <w:pPr>
              <w:spacing w:after="0"/>
              <w:rPr>
                <w:sz w:val="7"/>
                <w:szCs w:val="7"/>
                <w:color w:val="auto"/>
              </w:rPr>
            </w:pPr>
          </w:p>
        </w:tc>
        <w:tc>
          <w:tcPr>
            <w:tcW w:w="900" w:type="dxa"/>
            <w:vAlign w:val="bottom"/>
            <w:shd w:val="clear" w:color="auto" w:fill="E4C0D9"/>
          </w:tcPr>
          <w:p>
            <w:pPr>
              <w:spacing w:after="0"/>
              <w:rPr>
                <w:sz w:val="7"/>
                <w:szCs w:val="7"/>
                <w:color w:val="auto"/>
              </w:rPr>
            </w:pPr>
          </w:p>
        </w:tc>
        <w:tc>
          <w:tcPr>
            <w:tcW w:w="920" w:type="dxa"/>
            <w:vAlign w:val="bottom"/>
            <w:shd w:val="clear" w:color="auto" w:fill="E4C0D9"/>
          </w:tcPr>
          <w:p>
            <w:pPr>
              <w:spacing w:after="0"/>
              <w:rPr>
                <w:sz w:val="7"/>
                <w:szCs w:val="7"/>
                <w:color w:val="auto"/>
              </w:rPr>
            </w:pPr>
          </w:p>
        </w:tc>
        <w:tc>
          <w:tcPr>
            <w:tcW w:w="160" w:type="dxa"/>
            <w:vAlign w:val="bottom"/>
            <w:shd w:val="clear" w:color="auto" w:fill="E4C0D9"/>
          </w:tcPr>
          <w:p>
            <w:pPr>
              <w:spacing w:after="0"/>
              <w:rPr>
                <w:sz w:val="7"/>
                <w:szCs w:val="7"/>
                <w:color w:val="auto"/>
              </w:rPr>
            </w:pPr>
          </w:p>
        </w:tc>
        <w:tc>
          <w:tcPr>
            <w:tcW w:w="820" w:type="dxa"/>
            <w:vAlign w:val="bottom"/>
            <w:vMerge w:val="continue"/>
            <w:shd w:val="clear" w:color="auto" w:fill="E4C0D9"/>
          </w:tcPr>
          <w:p>
            <w:pPr>
              <w:spacing w:after="0"/>
              <w:rPr>
                <w:sz w:val="7"/>
                <w:szCs w:val="7"/>
                <w:color w:val="auto"/>
              </w:rPr>
            </w:pPr>
          </w:p>
        </w:tc>
        <w:tc>
          <w:tcPr>
            <w:tcW w:w="240" w:type="dxa"/>
            <w:vAlign w:val="bottom"/>
            <w:shd w:val="clear" w:color="auto" w:fill="E4C0D9"/>
          </w:tcPr>
          <w:p>
            <w:pPr>
              <w:spacing w:after="0"/>
              <w:rPr>
                <w:sz w:val="7"/>
                <w:szCs w:val="7"/>
                <w:color w:val="auto"/>
              </w:rPr>
            </w:pPr>
          </w:p>
        </w:tc>
        <w:tc>
          <w:tcPr>
            <w:tcW w:w="900" w:type="dxa"/>
            <w:vAlign w:val="bottom"/>
            <w:vMerge w:val="restart"/>
            <w:shd w:val="clear" w:color="auto" w:fill="E4C0D9"/>
          </w:tcPr>
          <w:p>
            <w:pPr>
              <w:jc w:val="center"/>
              <w:spacing w:after="0" w:line="148" w:lineRule="exact"/>
              <w:rPr>
                <w:sz w:val="20"/>
                <w:szCs w:val="20"/>
                <w:color w:val="auto"/>
              </w:rPr>
            </w:pPr>
            <w:r>
              <w:rPr>
                <w:rFonts w:ascii="Arial" w:cs="Arial" w:eastAsia="Arial" w:hAnsi="Arial"/>
                <w:sz w:val="14"/>
                <w:szCs w:val="14"/>
                <w:b w:val="1"/>
                <w:bCs w:val="1"/>
                <w:color w:val="auto"/>
              </w:rPr>
              <w:t>Have Not</w:t>
            </w:r>
          </w:p>
        </w:tc>
        <w:tc>
          <w:tcPr>
            <w:tcW w:w="100" w:type="dxa"/>
            <w:vAlign w:val="bottom"/>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1380" w:type="dxa"/>
            <w:vAlign w:val="bottom"/>
            <w:shd w:val="clear" w:color="auto" w:fill="E4C0D9"/>
          </w:tcPr>
          <w:p>
            <w:pPr>
              <w:spacing w:after="0"/>
              <w:rPr>
                <w:sz w:val="5"/>
                <w:szCs w:val="5"/>
                <w:color w:val="auto"/>
              </w:rPr>
            </w:pPr>
          </w:p>
        </w:tc>
        <w:tc>
          <w:tcPr>
            <w:tcW w:w="400" w:type="dxa"/>
            <w:vAlign w:val="bottom"/>
            <w:shd w:val="clear" w:color="auto" w:fill="E4C0D9"/>
          </w:tcPr>
          <w:p>
            <w:pPr>
              <w:spacing w:after="0"/>
              <w:rPr>
                <w:sz w:val="5"/>
                <w:szCs w:val="5"/>
                <w:color w:val="auto"/>
              </w:rPr>
            </w:pPr>
          </w:p>
        </w:tc>
        <w:tc>
          <w:tcPr>
            <w:tcW w:w="160" w:type="dxa"/>
            <w:vAlign w:val="bottom"/>
            <w:shd w:val="clear" w:color="auto" w:fill="E4C0D9"/>
          </w:tcPr>
          <w:p>
            <w:pPr>
              <w:spacing w:after="0"/>
              <w:rPr>
                <w:sz w:val="5"/>
                <w:szCs w:val="5"/>
                <w:color w:val="auto"/>
              </w:rPr>
            </w:pPr>
          </w:p>
        </w:tc>
        <w:tc>
          <w:tcPr>
            <w:tcW w:w="920" w:type="dxa"/>
            <w:vAlign w:val="bottom"/>
            <w:shd w:val="clear" w:color="auto" w:fill="E4C0D9"/>
          </w:tcPr>
          <w:p>
            <w:pPr>
              <w:spacing w:after="0"/>
              <w:rPr>
                <w:sz w:val="5"/>
                <w:szCs w:val="5"/>
                <w:color w:val="auto"/>
              </w:rPr>
            </w:pPr>
          </w:p>
        </w:tc>
        <w:tc>
          <w:tcPr>
            <w:tcW w:w="60" w:type="dxa"/>
            <w:vAlign w:val="bottom"/>
            <w:shd w:val="clear" w:color="auto" w:fill="E4C0D9"/>
          </w:tcPr>
          <w:p>
            <w:pPr>
              <w:spacing w:after="0"/>
              <w:rPr>
                <w:sz w:val="5"/>
                <w:szCs w:val="5"/>
                <w:color w:val="auto"/>
              </w:rPr>
            </w:pPr>
          </w:p>
        </w:tc>
        <w:tc>
          <w:tcPr>
            <w:tcW w:w="60" w:type="dxa"/>
            <w:vAlign w:val="bottom"/>
            <w:shd w:val="clear" w:color="auto" w:fill="E4C0D9"/>
          </w:tcPr>
          <w:p>
            <w:pPr>
              <w:spacing w:after="0"/>
              <w:rPr>
                <w:sz w:val="5"/>
                <w:szCs w:val="5"/>
                <w:color w:val="auto"/>
              </w:rPr>
            </w:pPr>
          </w:p>
        </w:tc>
        <w:tc>
          <w:tcPr>
            <w:tcW w:w="920" w:type="dxa"/>
            <w:vAlign w:val="bottom"/>
            <w:vMerge w:val="restart"/>
            <w:shd w:val="clear" w:color="auto" w:fill="E4C0D9"/>
          </w:tcPr>
          <w:p>
            <w:pPr>
              <w:jc w:val="center"/>
              <w:ind w:left="11"/>
              <w:spacing w:after="0"/>
              <w:rPr>
                <w:sz w:val="20"/>
                <w:szCs w:val="20"/>
                <w:color w:val="auto"/>
              </w:rPr>
            </w:pPr>
            <w:r>
              <w:rPr>
                <w:rFonts w:ascii="Arial" w:cs="Arial" w:eastAsia="Arial" w:hAnsi="Arial"/>
                <w:sz w:val="14"/>
                <w:szCs w:val="14"/>
                <w:b w:val="1"/>
                <w:bCs w:val="1"/>
                <w:color w:val="auto"/>
              </w:rPr>
              <w:t>Exercisable</w:t>
            </w:r>
          </w:p>
        </w:tc>
        <w:tc>
          <w:tcPr>
            <w:tcW w:w="220" w:type="dxa"/>
            <w:vAlign w:val="bottom"/>
            <w:shd w:val="clear" w:color="auto" w:fill="E4C0D9"/>
          </w:tcPr>
          <w:p>
            <w:pPr>
              <w:spacing w:after="0"/>
              <w:rPr>
                <w:sz w:val="5"/>
                <w:szCs w:val="5"/>
                <w:color w:val="auto"/>
              </w:rPr>
            </w:pPr>
          </w:p>
        </w:tc>
        <w:tc>
          <w:tcPr>
            <w:tcW w:w="1040" w:type="dxa"/>
            <w:vAlign w:val="bottom"/>
            <w:vMerge w:val="restart"/>
            <w:shd w:val="clear" w:color="auto" w:fill="E4C0D9"/>
          </w:tcPr>
          <w:p>
            <w:pPr>
              <w:jc w:val="center"/>
              <w:spacing w:after="0"/>
              <w:rPr>
                <w:sz w:val="20"/>
                <w:szCs w:val="20"/>
                <w:color w:val="auto"/>
              </w:rPr>
            </w:pPr>
            <w:r>
              <w:rPr>
                <w:rFonts w:ascii="Arial" w:cs="Arial" w:eastAsia="Arial" w:hAnsi="Arial"/>
                <w:sz w:val="14"/>
                <w:szCs w:val="14"/>
                <w:b w:val="1"/>
                <w:bCs w:val="1"/>
                <w:color w:val="auto"/>
              </w:rPr>
              <w:t>Unexercisable</w:t>
            </w:r>
          </w:p>
        </w:tc>
        <w:tc>
          <w:tcPr>
            <w:tcW w:w="200" w:type="dxa"/>
            <w:vAlign w:val="bottom"/>
            <w:shd w:val="clear" w:color="auto" w:fill="E4C0D9"/>
          </w:tcPr>
          <w:p>
            <w:pPr>
              <w:spacing w:after="0"/>
              <w:rPr>
                <w:sz w:val="5"/>
                <w:szCs w:val="5"/>
                <w:color w:val="auto"/>
              </w:rPr>
            </w:pPr>
          </w:p>
        </w:tc>
        <w:tc>
          <w:tcPr>
            <w:tcW w:w="900" w:type="dxa"/>
            <w:vAlign w:val="bottom"/>
            <w:shd w:val="clear" w:color="auto" w:fill="E4C0D9"/>
          </w:tcPr>
          <w:p>
            <w:pPr>
              <w:spacing w:after="0"/>
              <w:rPr>
                <w:sz w:val="5"/>
                <w:szCs w:val="5"/>
                <w:color w:val="auto"/>
              </w:rPr>
            </w:pPr>
          </w:p>
        </w:tc>
        <w:tc>
          <w:tcPr>
            <w:tcW w:w="920" w:type="dxa"/>
            <w:vAlign w:val="bottom"/>
            <w:shd w:val="clear" w:color="auto" w:fill="E4C0D9"/>
          </w:tcPr>
          <w:p>
            <w:pPr>
              <w:spacing w:after="0"/>
              <w:rPr>
                <w:sz w:val="5"/>
                <w:szCs w:val="5"/>
                <w:color w:val="auto"/>
              </w:rPr>
            </w:pPr>
          </w:p>
        </w:tc>
        <w:tc>
          <w:tcPr>
            <w:tcW w:w="160" w:type="dxa"/>
            <w:vAlign w:val="bottom"/>
            <w:shd w:val="clear" w:color="auto" w:fill="E4C0D9"/>
          </w:tcPr>
          <w:p>
            <w:pPr>
              <w:spacing w:after="0"/>
              <w:rPr>
                <w:sz w:val="5"/>
                <w:szCs w:val="5"/>
                <w:color w:val="auto"/>
              </w:rPr>
            </w:pPr>
          </w:p>
        </w:tc>
        <w:tc>
          <w:tcPr>
            <w:tcW w:w="820" w:type="dxa"/>
            <w:vAlign w:val="bottom"/>
            <w:vMerge w:val="restart"/>
            <w:shd w:val="clear" w:color="auto" w:fill="E4C0D9"/>
          </w:tcPr>
          <w:p>
            <w:pPr>
              <w:jc w:val="center"/>
              <w:spacing w:after="0"/>
              <w:rPr>
                <w:sz w:val="20"/>
                <w:szCs w:val="20"/>
                <w:color w:val="auto"/>
              </w:rPr>
            </w:pPr>
            <w:r>
              <w:rPr>
                <w:rFonts w:ascii="Arial" w:cs="Arial" w:eastAsia="Arial" w:hAnsi="Arial"/>
                <w:sz w:val="14"/>
                <w:szCs w:val="14"/>
                <w:b w:val="1"/>
                <w:bCs w:val="1"/>
                <w:color w:val="auto"/>
              </w:rPr>
              <w:t>Vested (#)</w:t>
            </w:r>
          </w:p>
        </w:tc>
        <w:tc>
          <w:tcPr>
            <w:tcW w:w="240" w:type="dxa"/>
            <w:vAlign w:val="bottom"/>
            <w:shd w:val="clear" w:color="auto" w:fill="E4C0D9"/>
          </w:tcPr>
          <w:p>
            <w:pPr>
              <w:spacing w:after="0"/>
              <w:rPr>
                <w:sz w:val="5"/>
                <w:szCs w:val="5"/>
                <w:color w:val="auto"/>
              </w:rPr>
            </w:pPr>
          </w:p>
        </w:tc>
        <w:tc>
          <w:tcPr>
            <w:tcW w:w="900" w:type="dxa"/>
            <w:vAlign w:val="bottom"/>
            <w:vMerge w:val="continue"/>
            <w:shd w:val="clear" w:color="auto" w:fill="E4C0D9"/>
          </w:tcPr>
          <w:p>
            <w:pPr>
              <w:spacing w:after="0"/>
              <w:rPr>
                <w:sz w:val="5"/>
                <w:szCs w:val="5"/>
                <w:color w:val="auto"/>
              </w:rPr>
            </w:pPr>
          </w:p>
        </w:tc>
        <w:tc>
          <w:tcPr>
            <w:tcW w:w="100" w:type="dxa"/>
            <w:vAlign w:val="bottom"/>
            <w:shd w:val="clear" w:color="auto" w:fill="E4C0D9"/>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1380" w:type="dxa"/>
            <w:vAlign w:val="bottom"/>
            <w:shd w:val="clear" w:color="auto" w:fill="E4C0D9"/>
          </w:tcPr>
          <w:p>
            <w:pPr>
              <w:spacing w:after="0"/>
              <w:rPr>
                <w:sz w:val="11"/>
                <w:szCs w:val="11"/>
                <w:color w:val="auto"/>
              </w:rPr>
            </w:pPr>
          </w:p>
        </w:tc>
        <w:tc>
          <w:tcPr>
            <w:tcW w:w="400" w:type="dxa"/>
            <w:vAlign w:val="bottom"/>
            <w:shd w:val="clear" w:color="auto" w:fill="E4C0D9"/>
          </w:tcPr>
          <w:p>
            <w:pPr>
              <w:spacing w:after="0"/>
              <w:rPr>
                <w:sz w:val="11"/>
                <w:szCs w:val="11"/>
                <w:color w:val="auto"/>
              </w:rPr>
            </w:pPr>
          </w:p>
        </w:tc>
        <w:tc>
          <w:tcPr>
            <w:tcW w:w="160" w:type="dxa"/>
            <w:vAlign w:val="bottom"/>
            <w:shd w:val="clear" w:color="auto" w:fill="E4C0D9"/>
          </w:tcPr>
          <w:p>
            <w:pPr>
              <w:spacing w:after="0"/>
              <w:rPr>
                <w:sz w:val="11"/>
                <w:szCs w:val="11"/>
                <w:color w:val="auto"/>
              </w:rPr>
            </w:pPr>
          </w:p>
        </w:tc>
        <w:tc>
          <w:tcPr>
            <w:tcW w:w="920" w:type="dxa"/>
            <w:vAlign w:val="bottom"/>
            <w:shd w:val="clear" w:color="auto" w:fill="E4C0D9"/>
          </w:tcPr>
          <w:p>
            <w:pPr>
              <w:spacing w:after="0"/>
              <w:rPr>
                <w:sz w:val="11"/>
                <w:szCs w:val="11"/>
                <w:color w:val="auto"/>
              </w:rPr>
            </w:pPr>
          </w:p>
        </w:tc>
        <w:tc>
          <w:tcPr>
            <w:tcW w:w="60" w:type="dxa"/>
            <w:vAlign w:val="bottom"/>
            <w:shd w:val="clear" w:color="auto" w:fill="E4C0D9"/>
          </w:tcPr>
          <w:p>
            <w:pPr>
              <w:spacing w:after="0"/>
              <w:rPr>
                <w:sz w:val="11"/>
                <w:szCs w:val="11"/>
                <w:color w:val="auto"/>
              </w:rPr>
            </w:pPr>
          </w:p>
        </w:tc>
        <w:tc>
          <w:tcPr>
            <w:tcW w:w="60" w:type="dxa"/>
            <w:vAlign w:val="bottom"/>
            <w:shd w:val="clear" w:color="auto" w:fill="E4C0D9"/>
          </w:tcPr>
          <w:p>
            <w:pPr>
              <w:spacing w:after="0"/>
              <w:rPr>
                <w:sz w:val="11"/>
                <w:szCs w:val="11"/>
                <w:color w:val="auto"/>
              </w:rPr>
            </w:pPr>
          </w:p>
        </w:tc>
        <w:tc>
          <w:tcPr>
            <w:tcW w:w="920" w:type="dxa"/>
            <w:vAlign w:val="bottom"/>
            <w:vMerge w:val="continue"/>
            <w:shd w:val="clear" w:color="auto" w:fill="E4C0D9"/>
          </w:tcPr>
          <w:p>
            <w:pPr>
              <w:spacing w:after="0"/>
              <w:rPr>
                <w:sz w:val="11"/>
                <w:szCs w:val="11"/>
                <w:color w:val="auto"/>
              </w:rPr>
            </w:pPr>
          </w:p>
        </w:tc>
        <w:tc>
          <w:tcPr>
            <w:tcW w:w="220" w:type="dxa"/>
            <w:vAlign w:val="bottom"/>
            <w:shd w:val="clear" w:color="auto" w:fill="E4C0D9"/>
          </w:tcPr>
          <w:p>
            <w:pPr>
              <w:spacing w:after="0"/>
              <w:rPr>
                <w:sz w:val="11"/>
                <w:szCs w:val="11"/>
                <w:color w:val="auto"/>
              </w:rPr>
            </w:pPr>
          </w:p>
        </w:tc>
        <w:tc>
          <w:tcPr>
            <w:tcW w:w="1040" w:type="dxa"/>
            <w:vAlign w:val="bottom"/>
            <w:vMerge w:val="continue"/>
            <w:shd w:val="clear" w:color="auto" w:fill="E4C0D9"/>
          </w:tcPr>
          <w:p>
            <w:pPr>
              <w:spacing w:after="0"/>
              <w:rPr>
                <w:sz w:val="11"/>
                <w:szCs w:val="11"/>
                <w:color w:val="auto"/>
              </w:rPr>
            </w:pPr>
          </w:p>
        </w:tc>
        <w:tc>
          <w:tcPr>
            <w:tcW w:w="200" w:type="dxa"/>
            <w:vAlign w:val="bottom"/>
            <w:shd w:val="clear" w:color="auto" w:fill="E4C0D9"/>
          </w:tcPr>
          <w:p>
            <w:pPr>
              <w:spacing w:after="0"/>
              <w:rPr>
                <w:sz w:val="11"/>
                <w:szCs w:val="11"/>
                <w:color w:val="auto"/>
              </w:rPr>
            </w:pPr>
          </w:p>
        </w:tc>
        <w:tc>
          <w:tcPr>
            <w:tcW w:w="900" w:type="dxa"/>
            <w:vAlign w:val="bottom"/>
            <w:shd w:val="clear" w:color="auto" w:fill="E4C0D9"/>
          </w:tcPr>
          <w:p>
            <w:pPr>
              <w:spacing w:after="0"/>
              <w:rPr>
                <w:sz w:val="11"/>
                <w:szCs w:val="11"/>
                <w:color w:val="auto"/>
              </w:rPr>
            </w:pPr>
          </w:p>
        </w:tc>
        <w:tc>
          <w:tcPr>
            <w:tcW w:w="920" w:type="dxa"/>
            <w:vAlign w:val="bottom"/>
            <w:shd w:val="clear" w:color="auto" w:fill="E4C0D9"/>
          </w:tcPr>
          <w:p>
            <w:pPr>
              <w:spacing w:after="0"/>
              <w:rPr>
                <w:sz w:val="11"/>
                <w:szCs w:val="11"/>
                <w:color w:val="auto"/>
              </w:rPr>
            </w:pPr>
          </w:p>
        </w:tc>
        <w:tc>
          <w:tcPr>
            <w:tcW w:w="160" w:type="dxa"/>
            <w:vAlign w:val="bottom"/>
            <w:shd w:val="clear" w:color="auto" w:fill="E4C0D9"/>
          </w:tcPr>
          <w:p>
            <w:pPr>
              <w:spacing w:after="0"/>
              <w:rPr>
                <w:sz w:val="11"/>
                <w:szCs w:val="11"/>
                <w:color w:val="auto"/>
              </w:rPr>
            </w:pPr>
          </w:p>
        </w:tc>
        <w:tc>
          <w:tcPr>
            <w:tcW w:w="820" w:type="dxa"/>
            <w:vAlign w:val="bottom"/>
            <w:vMerge w:val="continue"/>
            <w:shd w:val="clear" w:color="auto" w:fill="E4C0D9"/>
          </w:tcPr>
          <w:p>
            <w:pPr>
              <w:spacing w:after="0"/>
              <w:rPr>
                <w:sz w:val="11"/>
                <w:szCs w:val="11"/>
                <w:color w:val="auto"/>
              </w:rPr>
            </w:pPr>
          </w:p>
        </w:tc>
        <w:tc>
          <w:tcPr>
            <w:tcW w:w="240" w:type="dxa"/>
            <w:vAlign w:val="bottom"/>
            <w:shd w:val="clear" w:color="auto" w:fill="E4C0D9"/>
          </w:tcPr>
          <w:p>
            <w:pPr>
              <w:spacing w:after="0"/>
              <w:rPr>
                <w:sz w:val="11"/>
                <w:szCs w:val="11"/>
                <w:color w:val="auto"/>
              </w:rPr>
            </w:pPr>
          </w:p>
        </w:tc>
        <w:tc>
          <w:tcPr>
            <w:tcW w:w="900" w:type="dxa"/>
            <w:vAlign w:val="bottom"/>
            <w:vMerge w:val="restart"/>
            <w:shd w:val="clear" w:color="auto" w:fill="E4C0D9"/>
          </w:tcPr>
          <w:p>
            <w:pPr>
              <w:jc w:val="center"/>
              <w:spacing w:after="0"/>
              <w:rPr>
                <w:sz w:val="20"/>
                <w:szCs w:val="20"/>
                <w:color w:val="auto"/>
              </w:rPr>
            </w:pPr>
            <w:r>
              <w:rPr>
                <w:rFonts w:ascii="Arial" w:cs="Arial" w:eastAsia="Arial" w:hAnsi="Arial"/>
                <w:sz w:val="14"/>
                <w:szCs w:val="14"/>
                <w:b w:val="1"/>
                <w:bCs w:val="1"/>
                <w:color w:val="auto"/>
                <w:w w:val="95"/>
              </w:rPr>
              <w:t>Vested ($)</w:t>
            </w:r>
            <w:r>
              <w:rPr>
                <w:rFonts w:ascii="Arial" w:cs="Arial" w:eastAsia="Arial" w:hAnsi="Arial"/>
                <w:sz w:val="23"/>
                <w:szCs w:val="23"/>
                <w:b w:val="1"/>
                <w:bCs w:val="1"/>
                <w:color w:val="auto"/>
                <w:w w:val="95"/>
                <w:vertAlign w:val="superscript"/>
              </w:rPr>
              <w:t>(2)</w:t>
            </w:r>
          </w:p>
        </w:tc>
        <w:tc>
          <w:tcPr>
            <w:tcW w:w="100" w:type="dxa"/>
            <w:vAlign w:val="bottom"/>
            <w:shd w:val="clear" w:color="auto" w:fill="E4C0D9"/>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shd w:val="clear" w:color="auto" w:fill="E4C0D9"/>
          </w:tcPr>
          <w:p>
            <w:pPr>
              <w:spacing w:after="0"/>
              <w:rPr>
                <w:sz w:val="15"/>
                <w:szCs w:val="15"/>
                <w:color w:val="auto"/>
              </w:rPr>
            </w:pPr>
          </w:p>
        </w:tc>
        <w:tc>
          <w:tcPr>
            <w:tcW w:w="400" w:type="dxa"/>
            <w:vAlign w:val="bottom"/>
            <w:tcBorders>
              <w:bottom w:val="single" w:sz="8" w:color="auto"/>
            </w:tcBorders>
            <w:shd w:val="clear" w:color="auto" w:fill="E4C0D9"/>
          </w:tcPr>
          <w:p>
            <w:pPr>
              <w:spacing w:after="0"/>
              <w:rPr>
                <w:sz w:val="15"/>
                <w:szCs w:val="15"/>
                <w:color w:val="auto"/>
              </w:rPr>
            </w:pPr>
          </w:p>
        </w:tc>
        <w:tc>
          <w:tcPr>
            <w:tcW w:w="160" w:type="dxa"/>
            <w:vAlign w:val="bottom"/>
            <w:tcBorders>
              <w:bottom w:val="single" w:sz="8" w:color="auto"/>
            </w:tcBorders>
            <w:shd w:val="clear" w:color="auto" w:fill="E4C0D9"/>
          </w:tcPr>
          <w:p>
            <w:pPr>
              <w:spacing w:after="0"/>
              <w:rPr>
                <w:sz w:val="15"/>
                <w:szCs w:val="15"/>
                <w:color w:val="auto"/>
              </w:rPr>
            </w:pPr>
          </w:p>
        </w:tc>
        <w:tc>
          <w:tcPr>
            <w:tcW w:w="920" w:type="dxa"/>
            <w:vAlign w:val="bottom"/>
            <w:tcBorders>
              <w:bottom w:val="single" w:sz="8" w:color="auto"/>
            </w:tcBorders>
            <w:shd w:val="clear" w:color="auto" w:fill="E4C0D9"/>
          </w:tcPr>
          <w:p>
            <w:pPr>
              <w:spacing w:after="0"/>
              <w:rPr>
                <w:sz w:val="15"/>
                <w:szCs w:val="15"/>
                <w:color w:val="auto"/>
              </w:rPr>
            </w:pPr>
          </w:p>
        </w:tc>
        <w:tc>
          <w:tcPr>
            <w:tcW w:w="60" w:type="dxa"/>
            <w:vAlign w:val="bottom"/>
            <w:tcBorders>
              <w:bottom w:val="single" w:sz="8" w:color="auto"/>
            </w:tcBorders>
            <w:shd w:val="clear" w:color="auto" w:fill="E4C0D9"/>
          </w:tcPr>
          <w:p>
            <w:pPr>
              <w:spacing w:after="0"/>
              <w:rPr>
                <w:sz w:val="15"/>
                <w:szCs w:val="15"/>
                <w:color w:val="auto"/>
              </w:rPr>
            </w:pPr>
          </w:p>
        </w:tc>
        <w:tc>
          <w:tcPr>
            <w:tcW w:w="60" w:type="dxa"/>
            <w:vAlign w:val="bottom"/>
            <w:tcBorders>
              <w:bottom w:val="single" w:sz="8" w:color="auto"/>
            </w:tcBorders>
            <w:shd w:val="clear" w:color="auto" w:fill="E4C0D9"/>
          </w:tcPr>
          <w:p>
            <w:pPr>
              <w:spacing w:after="0"/>
              <w:rPr>
                <w:sz w:val="15"/>
                <w:szCs w:val="15"/>
                <w:color w:val="auto"/>
              </w:rPr>
            </w:pPr>
          </w:p>
        </w:tc>
        <w:tc>
          <w:tcPr>
            <w:tcW w:w="920" w:type="dxa"/>
            <w:vAlign w:val="bottom"/>
            <w:tcBorders>
              <w:bottom w:val="single" w:sz="8" w:color="auto"/>
            </w:tcBorders>
            <w:shd w:val="clear" w:color="auto" w:fill="E4C0D9"/>
          </w:tcPr>
          <w:p>
            <w:pPr>
              <w:spacing w:after="0"/>
              <w:rPr>
                <w:sz w:val="15"/>
                <w:szCs w:val="15"/>
                <w:color w:val="auto"/>
              </w:rPr>
            </w:pPr>
          </w:p>
        </w:tc>
        <w:tc>
          <w:tcPr>
            <w:tcW w:w="220" w:type="dxa"/>
            <w:vAlign w:val="bottom"/>
            <w:tcBorders>
              <w:bottom w:val="single" w:sz="8" w:color="auto"/>
            </w:tcBorders>
            <w:shd w:val="clear" w:color="auto" w:fill="E4C0D9"/>
          </w:tcPr>
          <w:p>
            <w:pPr>
              <w:spacing w:after="0"/>
              <w:rPr>
                <w:sz w:val="15"/>
                <w:szCs w:val="15"/>
                <w:color w:val="auto"/>
              </w:rPr>
            </w:pPr>
          </w:p>
        </w:tc>
        <w:tc>
          <w:tcPr>
            <w:tcW w:w="1040" w:type="dxa"/>
            <w:vAlign w:val="bottom"/>
            <w:tcBorders>
              <w:bottom w:val="single" w:sz="8" w:color="auto"/>
            </w:tcBorders>
            <w:shd w:val="clear" w:color="auto" w:fill="E4C0D9"/>
          </w:tcPr>
          <w:p>
            <w:pPr>
              <w:spacing w:after="0"/>
              <w:rPr>
                <w:sz w:val="15"/>
                <w:szCs w:val="15"/>
                <w:color w:val="auto"/>
              </w:rPr>
            </w:pPr>
          </w:p>
        </w:tc>
        <w:tc>
          <w:tcPr>
            <w:tcW w:w="200" w:type="dxa"/>
            <w:vAlign w:val="bottom"/>
            <w:tcBorders>
              <w:bottom w:val="single" w:sz="8" w:color="auto"/>
            </w:tcBorders>
            <w:shd w:val="clear" w:color="auto" w:fill="E4C0D9"/>
          </w:tcPr>
          <w:p>
            <w:pPr>
              <w:spacing w:after="0"/>
              <w:rPr>
                <w:sz w:val="15"/>
                <w:szCs w:val="15"/>
                <w:color w:val="auto"/>
              </w:rPr>
            </w:pPr>
          </w:p>
        </w:tc>
        <w:tc>
          <w:tcPr>
            <w:tcW w:w="900" w:type="dxa"/>
            <w:vAlign w:val="bottom"/>
            <w:tcBorders>
              <w:bottom w:val="single" w:sz="8" w:color="auto"/>
            </w:tcBorders>
            <w:shd w:val="clear" w:color="auto" w:fill="E4C0D9"/>
          </w:tcPr>
          <w:p>
            <w:pPr>
              <w:spacing w:after="0"/>
              <w:rPr>
                <w:sz w:val="15"/>
                <w:szCs w:val="15"/>
                <w:color w:val="auto"/>
              </w:rPr>
            </w:pPr>
          </w:p>
        </w:tc>
        <w:tc>
          <w:tcPr>
            <w:tcW w:w="920" w:type="dxa"/>
            <w:vAlign w:val="bottom"/>
            <w:tcBorders>
              <w:bottom w:val="single" w:sz="8" w:color="auto"/>
            </w:tcBorders>
            <w:shd w:val="clear" w:color="auto" w:fill="E4C0D9"/>
          </w:tcPr>
          <w:p>
            <w:pPr>
              <w:spacing w:after="0"/>
              <w:rPr>
                <w:sz w:val="15"/>
                <w:szCs w:val="15"/>
                <w:color w:val="auto"/>
              </w:rPr>
            </w:pPr>
          </w:p>
        </w:tc>
        <w:tc>
          <w:tcPr>
            <w:tcW w:w="160" w:type="dxa"/>
            <w:vAlign w:val="bottom"/>
            <w:tcBorders>
              <w:bottom w:val="single" w:sz="8" w:color="auto"/>
            </w:tcBorders>
            <w:shd w:val="clear" w:color="auto" w:fill="E4C0D9"/>
          </w:tcPr>
          <w:p>
            <w:pPr>
              <w:spacing w:after="0"/>
              <w:rPr>
                <w:sz w:val="15"/>
                <w:szCs w:val="15"/>
                <w:color w:val="auto"/>
              </w:rPr>
            </w:pPr>
          </w:p>
        </w:tc>
        <w:tc>
          <w:tcPr>
            <w:tcW w:w="820" w:type="dxa"/>
            <w:vAlign w:val="bottom"/>
            <w:tcBorders>
              <w:bottom w:val="single" w:sz="8" w:color="auto"/>
            </w:tcBorders>
            <w:shd w:val="clear" w:color="auto" w:fill="E4C0D9"/>
          </w:tcPr>
          <w:p>
            <w:pPr>
              <w:spacing w:after="0"/>
              <w:rPr>
                <w:sz w:val="15"/>
                <w:szCs w:val="15"/>
                <w:color w:val="auto"/>
              </w:rPr>
            </w:pPr>
          </w:p>
        </w:tc>
        <w:tc>
          <w:tcPr>
            <w:tcW w:w="240" w:type="dxa"/>
            <w:vAlign w:val="bottom"/>
            <w:tcBorders>
              <w:bottom w:val="single" w:sz="8" w:color="auto"/>
            </w:tcBorders>
            <w:shd w:val="clear" w:color="auto" w:fill="E4C0D9"/>
          </w:tcPr>
          <w:p>
            <w:pPr>
              <w:spacing w:after="0"/>
              <w:rPr>
                <w:sz w:val="15"/>
                <w:szCs w:val="15"/>
                <w:color w:val="auto"/>
              </w:rPr>
            </w:pPr>
          </w:p>
        </w:tc>
        <w:tc>
          <w:tcPr>
            <w:tcW w:w="900" w:type="dxa"/>
            <w:vAlign w:val="bottom"/>
            <w:tcBorders>
              <w:bottom w:val="single" w:sz="8" w:color="auto"/>
            </w:tcBorders>
            <w:vMerge w:val="continue"/>
            <w:shd w:val="clear" w:color="auto" w:fill="E4C0D9"/>
          </w:tcPr>
          <w:p>
            <w:pPr>
              <w:spacing w:after="0"/>
              <w:rPr>
                <w:sz w:val="15"/>
                <w:szCs w:val="15"/>
                <w:color w:val="auto"/>
              </w:rPr>
            </w:pPr>
          </w:p>
        </w:tc>
        <w:tc>
          <w:tcPr>
            <w:tcW w:w="100" w:type="dxa"/>
            <w:vAlign w:val="bottom"/>
            <w:tcBorders>
              <w:bottom w:val="single" w:sz="8" w:color="auto"/>
            </w:tcBorders>
            <w:shd w:val="clear" w:color="auto" w:fill="E4C0D9"/>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520"/>
          </w:cols>
          <w:pgMar w:left="1180" w:top="265" w:right="1199" w:bottom="1440" w:gutter="0" w:footer="0" w:header="0"/>
        </w:sectPr>
      </w:pPr>
    </w:p>
    <w:tbl>
      <w:tblPr>
        <w:tblLayout w:type="fixed"/>
        <w:tblInd w:w="180" w:type="dxa"/>
        <w:tblCellMar>
          <w:top w:w="0" w:type="dxa"/>
          <w:left w:w="0" w:type="dxa"/>
          <w:bottom w:w="0" w:type="dxa"/>
          <w:right w:w="0" w:type="dxa"/>
        </w:tblCellMar>
      </w:tblPr>
      <w:tr>
        <w:trPr>
          <w:trHeight w:val="385"/>
        </w:trPr>
        <w:tc>
          <w:tcPr>
            <w:tcW w:w="14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04/01/2020</w:t>
            </w:r>
            <w:r>
              <w:rPr>
                <w:rFonts w:ascii="Arial" w:cs="Arial" w:eastAsia="Arial" w:hAnsi="Arial"/>
                <w:sz w:val="3"/>
                <w:szCs w:val="3"/>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28"/>
                <w:szCs w:val="28"/>
                <w:color w:val="auto"/>
                <w:w w:val="90"/>
                <w:vertAlign w:val="subscript"/>
              </w:rPr>
              <w:t>64,657</w:t>
            </w:r>
            <w:r>
              <w:rPr>
                <w:rFonts w:ascii="Arial" w:cs="Arial" w:eastAsia="Arial" w:hAnsi="Arial"/>
                <w:sz w:val="12"/>
                <w:szCs w:val="12"/>
                <w:color w:val="auto"/>
                <w:w w:val="90"/>
              </w:rPr>
              <w:t>(1)(10)</w:t>
            </w:r>
            <w:r>
              <w:rPr>
                <w:rFonts w:ascii="Arial" w:cs="Arial" w:eastAsia="Arial" w:hAnsi="Arial"/>
                <w:sz w:val="3"/>
                <w:szCs w:val="3"/>
                <w:color w:val="auto"/>
                <w:w w:val="90"/>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277,379</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85"/>
        </w:trPr>
        <w:tc>
          <w:tcPr>
            <w:tcW w:w="14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10/29/2021</w:t>
            </w:r>
            <w:r>
              <w:rPr>
                <w:rFonts w:ascii="Arial" w:cs="Arial" w:eastAsia="Arial" w:hAnsi="Arial"/>
                <w:sz w:val="3"/>
                <w:szCs w:val="3"/>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28"/>
                <w:szCs w:val="28"/>
                <w:color w:val="auto"/>
                <w:w w:val="90"/>
                <w:vertAlign w:val="subscript"/>
              </w:rPr>
              <w:t>38,161</w:t>
            </w:r>
            <w:r>
              <w:rPr>
                <w:rFonts w:ascii="Arial" w:cs="Arial" w:eastAsia="Arial" w:hAnsi="Arial"/>
                <w:sz w:val="12"/>
                <w:szCs w:val="12"/>
                <w:color w:val="auto"/>
                <w:w w:val="90"/>
              </w:rPr>
              <w:t>(3)(10)</w:t>
            </w:r>
            <w:r>
              <w:rPr>
                <w:rFonts w:ascii="Arial" w:cs="Arial" w:eastAsia="Arial" w:hAnsi="Arial"/>
                <w:sz w:val="3"/>
                <w:szCs w:val="3"/>
                <w:color w:val="auto"/>
                <w:w w:val="90"/>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163,711</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78"/>
        </w:trPr>
        <w:tc>
          <w:tcPr>
            <w:tcW w:w="14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03/15/2022</w:t>
            </w:r>
            <w:r>
              <w:rPr>
                <w:rFonts w:ascii="Arial" w:cs="Arial" w:eastAsia="Arial" w:hAnsi="Arial"/>
                <w:sz w:val="3"/>
                <w:szCs w:val="3"/>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536,673</w:t>
            </w:r>
            <w:r>
              <w:rPr>
                <w:rFonts w:ascii="Arial" w:cs="Arial" w:eastAsia="Arial" w:hAnsi="Arial"/>
                <w:sz w:val="23"/>
                <w:szCs w:val="23"/>
                <w:color w:val="auto"/>
                <w:vertAlign w:val="superscript"/>
              </w:rPr>
              <w:t>(4)</w:t>
            </w:r>
            <w:r>
              <w:rPr>
                <w:rFonts w:ascii="Arial" w:cs="Arial" w:eastAsia="Arial" w:hAnsi="Arial"/>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2,302,327</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85"/>
        </w:trPr>
        <w:tc>
          <w:tcPr>
            <w:tcW w:w="14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01/3/2023</w:t>
            </w:r>
            <w:r>
              <w:rPr>
                <w:rFonts w:ascii="Arial" w:cs="Arial" w:eastAsia="Arial" w:hAnsi="Arial"/>
                <w:sz w:val="3"/>
                <w:szCs w:val="3"/>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327,000</w:t>
            </w:r>
            <w:r>
              <w:rPr>
                <w:rFonts w:ascii="Arial" w:cs="Arial" w:eastAsia="Arial" w:hAnsi="Arial"/>
                <w:sz w:val="23"/>
                <w:szCs w:val="23"/>
                <w:color w:val="auto"/>
                <w:vertAlign w:val="superscript"/>
              </w:rPr>
              <w:t>(4)</w:t>
            </w:r>
            <w:r>
              <w:rPr>
                <w:rFonts w:ascii="Arial" w:cs="Arial" w:eastAsia="Arial" w:hAnsi="Arial"/>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1,402,830</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85"/>
        </w:trPr>
        <w:tc>
          <w:tcPr>
            <w:tcW w:w="14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01/16/2014</w:t>
            </w:r>
            <w:r>
              <w:rPr>
                <w:rFonts w:ascii="Arial" w:cs="Arial" w:eastAsia="Arial" w:hAnsi="Arial"/>
                <w:sz w:val="3"/>
                <w:szCs w:val="3"/>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191,812</w:t>
            </w:r>
            <w:r>
              <w:rPr>
                <w:rFonts w:ascii="Arial" w:cs="Arial" w:eastAsia="Arial" w:hAnsi="Arial"/>
                <w:sz w:val="23"/>
                <w:szCs w:val="23"/>
                <w:color w:val="auto"/>
                <w:vertAlign w:val="superscript"/>
              </w:rPr>
              <w:t>(5)</w:t>
            </w:r>
            <w:r>
              <w:rPr>
                <w:rFonts w:ascii="Arial" w:cs="Arial" w:eastAsia="Arial" w:hAnsi="Arial"/>
                <w:sz w:val="3"/>
                <w:szCs w:val="3"/>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2.38</w:t>
            </w:r>
            <w:r>
              <w:rPr>
                <w:rFonts w:ascii="Arial" w:cs="Arial" w:eastAsia="Arial" w:hAnsi="Arial"/>
                <w:sz w:val="3"/>
                <w:szCs w:val="3"/>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01/15/2024</w:t>
            </w:r>
            <w:r>
              <w:rPr>
                <w:rFonts w:ascii="Arial" w:cs="Arial" w:eastAsia="Arial" w:hAnsi="Arial"/>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0" w:type="dxa"/>
            <w:vAlign w:val="bottom"/>
          </w:tcPr>
          <w:p>
            <w:pPr>
              <w:spacing w:after="0"/>
              <w:rPr>
                <w:sz w:val="1"/>
                <w:szCs w:val="1"/>
                <w:color w:val="auto"/>
              </w:rPr>
            </w:pPr>
          </w:p>
        </w:tc>
      </w:tr>
      <w:tr>
        <w:trPr>
          <w:trHeight w:val="372"/>
        </w:trPr>
        <w:tc>
          <w:tcPr>
            <w:tcW w:w="1400" w:type="dxa"/>
            <w:vAlign w:val="bottom"/>
          </w:tcPr>
          <w:p>
            <w:pPr>
              <w:spacing w:after="0"/>
              <w:rPr>
                <w:sz w:val="20"/>
                <w:szCs w:val="20"/>
                <w:color w:val="auto"/>
              </w:rPr>
            </w:pPr>
            <w:r>
              <w:rPr>
                <w:rFonts w:ascii="Arial" w:cs="Arial" w:eastAsia="Arial" w:hAnsi="Arial"/>
                <w:sz w:val="14"/>
                <w:szCs w:val="14"/>
                <w:color w:val="auto"/>
              </w:rPr>
              <w:t>Jennifer Y. Hyman</w:t>
            </w: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05/24/2016</w:t>
            </w:r>
            <w:r>
              <w:rPr>
                <w:rFonts w:ascii="Arial" w:cs="Arial" w:eastAsia="Arial" w:hAnsi="Arial"/>
                <w:sz w:val="3"/>
                <w:szCs w:val="3"/>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53,421</w:t>
            </w:r>
            <w:r>
              <w:rPr>
                <w:rFonts w:ascii="Arial" w:cs="Arial" w:eastAsia="Arial" w:hAnsi="Arial"/>
                <w:sz w:val="23"/>
                <w:szCs w:val="23"/>
                <w:color w:val="auto"/>
                <w:vertAlign w:val="superscript"/>
              </w:rPr>
              <w:t>(6)</w:t>
            </w:r>
            <w:r>
              <w:rPr>
                <w:rFonts w:ascii="Arial" w:cs="Arial" w:eastAsia="Arial" w:hAnsi="Arial"/>
                <w:sz w:val="3"/>
                <w:szCs w:val="3"/>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7.02</w:t>
            </w:r>
            <w:r>
              <w:rPr>
                <w:rFonts w:ascii="Arial" w:cs="Arial" w:eastAsia="Arial" w:hAnsi="Arial"/>
                <w:sz w:val="3"/>
                <w:szCs w:val="3"/>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05/24/2026</w:t>
            </w:r>
            <w:r>
              <w:rPr>
                <w:rFonts w:ascii="Arial" w:cs="Arial" w:eastAsia="Arial" w:hAnsi="Arial"/>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85"/>
        </w:trPr>
        <w:tc>
          <w:tcPr>
            <w:tcW w:w="14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03/02/2017</w:t>
            </w:r>
            <w:r>
              <w:rPr>
                <w:rFonts w:ascii="Arial" w:cs="Arial" w:eastAsia="Arial" w:hAnsi="Arial"/>
                <w:sz w:val="3"/>
                <w:szCs w:val="3"/>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395,218</w:t>
            </w:r>
            <w:r>
              <w:rPr>
                <w:rFonts w:ascii="Arial" w:cs="Arial" w:eastAsia="Arial" w:hAnsi="Arial"/>
                <w:sz w:val="23"/>
                <w:szCs w:val="23"/>
                <w:color w:val="auto"/>
                <w:vertAlign w:val="superscript"/>
              </w:rPr>
              <w:t>(7)</w:t>
            </w:r>
            <w:r>
              <w:rPr>
                <w:rFonts w:ascii="Arial" w:cs="Arial" w:eastAsia="Arial" w:hAnsi="Arial"/>
                <w:sz w:val="3"/>
                <w:szCs w:val="3"/>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7.66</w:t>
            </w:r>
            <w:r>
              <w:rPr>
                <w:rFonts w:ascii="Arial" w:cs="Arial" w:eastAsia="Arial" w:hAnsi="Arial"/>
                <w:sz w:val="3"/>
                <w:szCs w:val="3"/>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03/01/2027</w:t>
            </w:r>
            <w:r>
              <w:rPr>
                <w:rFonts w:ascii="Arial" w:cs="Arial" w:eastAsia="Arial" w:hAnsi="Arial"/>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85"/>
        </w:trPr>
        <w:tc>
          <w:tcPr>
            <w:tcW w:w="14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03/08/2018</w:t>
            </w:r>
            <w:r>
              <w:rPr>
                <w:rFonts w:ascii="Arial" w:cs="Arial" w:eastAsia="Arial" w:hAnsi="Arial"/>
                <w:sz w:val="3"/>
                <w:szCs w:val="3"/>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280,606</w:t>
            </w:r>
            <w:r>
              <w:rPr>
                <w:rFonts w:ascii="Arial" w:cs="Arial" w:eastAsia="Arial" w:hAnsi="Arial"/>
                <w:sz w:val="23"/>
                <w:szCs w:val="23"/>
                <w:color w:val="auto"/>
                <w:vertAlign w:val="superscript"/>
              </w:rPr>
              <w:t>(7)</w:t>
            </w:r>
            <w:r>
              <w:rPr>
                <w:rFonts w:ascii="Arial" w:cs="Arial" w:eastAsia="Arial" w:hAnsi="Arial"/>
                <w:sz w:val="3"/>
                <w:szCs w:val="3"/>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9.89</w:t>
            </w:r>
            <w:r>
              <w:rPr>
                <w:rFonts w:ascii="Arial" w:cs="Arial" w:eastAsia="Arial" w:hAnsi="Arial"/>
                <w:sz w:val="3"/>
                <w:szCs w:val="3"/>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03/07/2028</w:t>
            </w:r>
            <w:r>
              <w:rPr>
                <w:rFonts w:ascii="Arial" w:cs="Arial" w:eastAsia="Arial" w:hAnsi="Arial"/>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71"/>
        </w:trPr>
        <w:tc>
          <w:tcPr>
            <w:tcW w:w="14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02/08/2019</w:t>
            </w:r>
            <w:r>
              <w:rPr>
                <w:rFonts w:ascii="Arial" w:cs="Arial" w:eastAsia="Arial" w:hAnsi="Arial"/>
                <w:sz w:val="3"/>
                <w:szCs w:val="3"/>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504,030</w:t>
            </w:r>
            <w:r>
              <w:rPr>
                <w:rFonts w:ascii="Arial" w:cs="Arial" w:eastAsia="Arial" w:hAnsi="Arial"/>
                <w:sz w:val="23"/>
                <w:szCs w:val="23"/>
                <w:color w:val="auto"/>
                <w:vertAlign w:val="superscript"/>
              </w:rPr>
              <w:t>(7)</w:t>
            </w:r>
            <w:r>
              <w:rPr>
                <w:rFonts w:ascii="Arial" w:cs="Arial" w:eastAsia="Arial" w:hAnsi="Arial"/>
                <w:sz w:val="3"/>
                <w:szCs w:val="3"/>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10,724</w:t>
            </w:r>
            <w:r>
              <w:rPr>
                <w:rFonts w:ascii="Arial" w:cs="Arial" w:eastAsia="Arial" w:hAnsi="Arial"/>
                <w:sz w:val="3"/>
                <w:szCs w:val="3"/>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7.01</w:t>
            </w:r>
            <w:r>
              <w:rPr>
                <w:rFonts w:ascii="Arial" w:cs="Arial" w:eastAsia="Arial" w:hAnsi="Arial"/>
                <w:sz w:val="3"/>
                <w:szCs w:val="3"/>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02/07/2029</w:t>
            </w:r>
            <w:r>
              <w:rPr>
                <w:rFonts w:ascii="Arial" w:cs="Arial" w:eastAsia="Arial" w:hAnsi="Arial"/>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385"/>
        </w:trPr>
        <w:tc>
          <w:tcPr>
            <w:tcW w:w="14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07/03/2019</w:t>
            </w:r>
            <w:r>
              <w:rPr>
                <w:rFonts w:ascii="Arial" w:cs="Arial" w:eastAsia="Arial" w:hAnsi="Arial"/>
                <w:sz w:val="3"/>
                <w:szCs w:val="3"/>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528,155</w:t>
            </w:r>
            <w:r>
              <w:rPr>
                <w:rFonts w:ascii="Arial" w:cs="Arial" w:eastAsia="Arial" w:hAnsi="Arial"/>
                <w:sz w:val="23"/>
                <w:szCs w:val="23"/>
                <w:color w:val="auto"/>
                <w:vertAlign w:val="superscript"/>
              </w:rPr>
              <w:t>(5)</w:t>
            </w:r>
            <w:r>
              <w:rPr>
                <w:rFonts w:ascii="Arial" w:cs="Arial" w:eastAsia="Arial" w:hAnsi="Arial"/>
                <w:sz w:val="3"/>
                <w:szCs w:val="3"/>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75,451</w:t>
            </w:r>
            <w:r>
              <w:rPr>
                <w:rFonts w:ascii="Arial" w:cs="Arial" w:eastAsia="Arial" w:hAnsi="Arial"/>
                <w:sz w:val="3"/>
                <w:szCs w:val="3"/>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7.01</w:t>
            </w:r>
            <w:r>
              <w:rPr>
                <w:rFonts w:ascii="Arial" w:cs="Arial" w:eastAsia="Arial" w:hAnsi="Arial"/>
                <w:sz w:val="3"/>
                <w:szCs w:val="3"/>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07/02/2029</w:t>
            </w:r>
            <w:r>
              <w:rPr>
                <w:rFonts w:ascii="Arial" w:cs="Arial" w:eastAsia="Arial" w:hAnsi="Arial"/>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395"/>
        </w:trPr>
        <w:tc>
          <w:tcPr>
            <w:tcW w:w="14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03/25/2021</w:t>
            </w:r>
            <w:r>
              <w:rPr>
                <w:rFonts w:ascii="Arial" w:cs="Arial" w:eastAsia="Arial" w:hAnsi="Arial"/>
                <w:sz w:val="3"/>
                <w:szCs w:val="3"/>
                <w:color w:val="auto"/>
              </w:rPr>
              <w:t>​</w:t>
            </w:r>
          </w:p>
        </w:tc>
        <w:tc>
          <w:tcPr>
            <w:tcW w:w="220" w:type="dxa"/>
            <w:vAlign w:val="bottom"/>
          </w:tcPr>
          <w:p>
            <w:pPr>
              <w:ind w:left="60"/>
              <w:spacing w:after="0"/>
              <w:rPr>
                <w:sz w:val="20"/>
                <w:szCs w:val="20"/>
                <w:color w:val="auto"/>
              </w:rPr>
            </w:pPr>
            <w:r>
              <w:rPr>
                <w:rFonts w:ascii="Arial" w:cs="Arial" w:eastAsia="Arial" w:hAnsi="Arial"/>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466,400</w:t>
            </w:r>
            <w:r>
              <w:rPr>
                <w:rFonts w:ascii="Arial" w:cs="Arial" w:eastAsia="Arial" w:hAnsi="Arial"/>
                <w:sz w:val="23"/>
                <w:szCs w:val="23"/>
                <w:color w:val="auto"/>
                <w:vertAlign w:val="superscript"/>
              </w:rPr>
              <w:t>(5)</w:t>
            </w:r>
            <w:r>
              <w:rPr>
                <w:rFonts w:ascii="Arial" w:cs="Arial" w:eastAsia="Arial" w:hAnsi="Arial"/>
                <w:sz w:val="3"/>
                <w:szCs w:val="3"/>
                <w:color w:val="auto"/>
              </w:rPr>
              <w:t>​</w:t>
            </w:r>
          </w:p>
        </w:tc>
        <w:tc>
          <w:tcPr>
            <w:tcW w:w="360" w:type="dxa"/>
            <w:vAlign w:val="bottom"/>
          </w:tcPr>
          <w:p>
            <w:pPr>
              <w:ind w:left="60"/>
              <w:spacing w:after="0"/>
              <w:rPr>
                <w:sz w:val="20"/>
                <w:szCs w:val="20"/>
                <w:color w:val="auto"/>
              </w:rPr>
            </w:pPr>
            <w:r>
              <w:rPr>
                <w:rFonts w:ascii="Arial" w:cs="Arial" w:eastAsia="Arial" w:hAnsi="Arial"/>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551,200</w:t>
            </w:r>
            <w:r>
              <w:rPr>
                <w:rFonts w:ascii="Arial" w:cs="Arial" w:eastAsia="Arial" w:hAnsi="Arial"/>
                <w:sz w:val="3"/>
                <w:szCs w:val="3"/>
                <w:color w:val="auto"/>
              </w:rPr>
              <w:t>​</w:t>
            </w:r>
          </w:p>
        </w:tc>
        <w:tc>
          <w:tcPr>
            <w:tcW w:w="300" w:type="dxa"/>
            <w:vAlign w:val="bottom"/>
          </w:tcPr>
          <w:p>
            <w:pPr>
              <w:ind w:left="80"/>
              <w:spacing w:after="0"/>
              <w:rPr>
                <w:sz w:val="20"/>
                <w:szCs w:val="20"/>
                <w:color w:val="auto"/>
              </w:rPr>
            </w:pPr>
            <w:r>
              <w:rPr>
                <w:rFonts w:ascii="Arial" w:cs="Arial" w:eastAsia="Arial" w:hAnsi="Arial"/>
                <w:sz w:val="4"/>
                <w:szCs w:val="4"/>
                <w:color w:val="auto"/>
              </w:rPr>
              <w:t>​</w:t>
            </w:r>
          </w:p>
        </w:tc>
        <w:tc>
          <w:tcPr>
            <w:tcW w:w="580" w:type="dxa"/>
            <w:vAlign w:val="bottom"/>
          </w:tcPr>
          <w:p>
            <w:pPr>
              <w:jc w:val="right"/>
              <w:ind w:right="15"/>
              <w:spacing w:after="0"/>
              <w:rPr>
                <w:sz w:val="20"/>
                <w:szCs w:val="20"/>
                <w:color w:val="auto"/>
              </w:rPr>
            </w:pPr>
            <w:r>
              <w:rPr>
                <w:rFonts w:ascii="Arial" w:cs="Arial" w:eastAsia="Arial" w:hAnsi="Arial"/>
                <w:sz w:val="14"/>
                <w:szCs w:val="14"/>
                <w:color w:val="auto"/>
              </w:rPr>
              <w:t>6.76</w:t>
            </w:r>
            <w:r>
              <w:rPr>
                <w:rFonts w:ascii="Arial" w:cs="Arial" w:eastAsia="Arial" w:hAnsi="Arial"/>
                <w:sz w:val="3"/>
                <w:szCs w:val="3"/>
                <w:color w:val="auto"/>
              </w:rPr>
              <w:t>​</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03/24/2031</w:t>
            </w:r>
            <w:r>
              <w:rPr>
                <w:rFonts w:ascii="Arial" w:cs="Arial" w:eastAsia="Arial" w:hAnsi="Arial"/>
                <w:sz w:val="3"/>
                <w:szCs w:val="3"/>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940" w:type="dxa"/>
            <w:vAlign w:val="bottom"/>
          </w:tcPr>
          <w:p>
            <w:pPr>
              <w:jc w:val="right"/>
              <w:ind w:right="18"/>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240" w:type="dxa"/>
            <w:vAlign w:val="bottom"/>
          </w:tcPr>
          <w:p>
            <w:pPr>
              <w:ind w:left="6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37"/>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82"/>
        </w:trPr>
        <w:tc>
          <w:tcPr>
            <w:tcW w:w="14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04/01/2020</w:t>
            </w:r>
            <w:r>
              <w:rPr>
                <w:rFonts w:ascii="Arial" w:cs="Arial" w:eastAsia="Arial" w:hAnsi="Arial"/>
                <w:sz w:val="3"/>
                <w:szCs w:val="3"/>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37,816</w:t>
            </w:r>
            <w:r>
              <w:rPr>
                <w:rFonts w:ascii="Arial" w:cs="Arial" w:eastAsia="Arial" w:hAnsi="Arial"/>
                <w:sz w:val="23"/>
                <w:szCs w:val="23"/>
                <w:color w:val="auto"/>
                <w:vertAlign w:val="superscript"/>
              </w:rPr>
              <w:t>(1)</w:t>
            </w:r>
            <w:r>
              <w:rPr>
                <w:rFonts w:ascii="Arial" w:cs="Arial" w:eastAsia="Arial" w:hAnsi="Arial"/>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163,231</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85"/>
        </w:trPr>
        <w:tc>
          <w:tcPr>
            <w:tcW w:w="14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10/29/2021</w:t>
            </w:r>
            <w:r>
              <w:rPr>
                <w:rFonts w:ascii="Arial" w:cs="Arial" w:eastAsia="Arial" w:hAnsi="Arial"/>
                <w:sz w:val="3"/>
                <w:szCs w:val="3"/>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38,161</w:t>
            </w:r>
            <w:r>
              <w:rPr>
                <w:rFonts w:ascii="Arial" w:cs="Arial" w:eastAsia="Arial" w:hAnsi="Arial"/>
                <w:sz w:val="23"/>
                <w:szCs w:val="23"/>
                <w:color w:val="auto"/>
                <w:vertAlign w:val="superscript"/>
              </w:rPr>
              <w:t>(3)</w:t>
            </w:r>
            <w:r>
              <w:rPr>
                <w:rFonts w:ascii="Arial" w:cs="Arial" w:eastAsia="Arial" w:hAnsi="Arial"/>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163,711</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71"/>
        </w:trPr>
        <w:tc>
          <w:tcPr>
            <w:tcW w:w="14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03/15/2022</w:t>
            </w:r>
            <w:r>
              <w:rPr>
                <w:rFonts w:ascii="Arial" w:cs="Arial" w:eastAsia="Arial" w:hAnsi="Arial"/>
                <w:sz w:val="3"/>
                <w:szCs w:val="3"/>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402,504</w:t>
            </w:r>
            <w:r>
              <w:rPr>
                <w:rFonts w:ascii="Arial" w:cs="Arial" w:eastAsia="Arial" w:hAnsi="Arial"/>
                <w:sz w:val="23"/>
                <w:szCs w:val="23"/>
                <w:color w:val="auto"/>
                <w:vertAlign w:val="superscript"/>
              </w:rPr>
              <w:t>(4)</w:t>
            </w:r>
            <w:r>
              <w:rPr>
                <w:rFonts w:ascii="Arial" w:cs="Arial" w:eastAsia="Arial" w:hAnsi="Arial"/>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1,726,742</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65"/>
        </w:trPr>
        <w:tc>
          <w:tcPr>
            <w:tcW w:w="1400" w:type="dxa"/>
            <w:vAlign w:val="bottom"/>
            <w:vMerge w:val="restart"/>
          </w:tcPr>
          <w:p>
            <w:pPr>
              <w:spacing w:after="0"/>
              <w:rPr>
                <w:sz w:val="20"/>
                <w:szCs w:val="20"/>
                <w:color w:val="auto"/>
              </w:rPr>
            </w:pPr>
            <w:r>
              <w:rPr>
                <w:rFonts w:ascii="Arial" w:cs="Arial" w:eastAsia="Arial" w:hAnsi="Arial"/>
                <w:sz w:val="14"/>
                <w:szCs w:val="14"/>
                <w:color w:val="auto"/>
              </w:rPr>
              <w:t>Anushka Salinas</w:t>
            </w: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03/02/2017</w:t>
            </w:r>
            <w:r>
              <w:rPr>
                <w:rFonts w:ascii="Arial" w:cs="Arial" w:eastAsia="Arial" w:hAnsi="Arial"/>
                <w:sz w:val="3"/>
                <w:szCs w:val="3"/>
                <w:color w:val="auto"/>
              </w:rPr>
              <w:t>​</w:t>
            </w:r>
          </w:p>
        </w:tc>
        <w:tc>
          <w:tcPr>
            <w:tcW w:w="220" w:type="dxa"/>
            <w:vAlign w:val="bottom"/>
          </w:tcPr>
          <w:p>
            <w:pPr>
              <w:ind w:left="60"/>
              <w:spacing w:after="0"/>
              <w:rPr>
                <w:sz w:val="20"/>
                <w:szCs w:val="20"/>
                <w:color w:val="auto"/>
              </w:rPr>
            </w:pPr>
            <w:r>
              <w:rPr>
                <w:rFonts w:ascii="Arial" w:cs="Arial" w:eastAsia="Arial" w:hAnsi="Arial"/>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160,000</w:t>
            </w:r>
            <w:r>
              <w:rPr>
                <w:rFonts w:ascii="Arial" w:cs="Arial" w:eastAsia="Arial" w:hAnsi="Arial"/>
                <w:sz w:val="23"/>
                <w:szCs w:val="23"/>
                <w:color w:val="auto"/>
                <w:vertAlign w:val="superscript"/>
              </w:rPr>
              <w:t>(5)</w:t>
            </w:r>
            <w:r>
              <w:rPr>
                <w:rFonts w:ascii="Arial" w:cs="Arial" w:eastAsia="Arial" w:hAnsi="Arial"/>
                <w:sz w:val="3"/>
                <w:szCs w:val="3"/>
                <w:color w:val="auto"/>
              </w:rPr>
              <w:t>​</w:t>
            </w:r>
          </w:p>
        </w:tc>
        <w:tc>
          <w:tcPr>
            <w:tcW w:w="360" w:type="dxa"/>
            <w:vAlign w:val="bottom"/>
          </w:tcPr>
          <w:p>
            <w:pPr>
              <w:ind w:left="60"/>
              <w:spacing w:after="0"/>
              <w:rPr>
                <w:sz w:val="20"/>
                <w:szCs w:val="20"/>
                <w:color w:val="auto"/>
              </w:rPr>
            </w:pPr>
            <w:r>
              <w:rPr>
                <w:rFonts w:ascii="Arial" w:cs="Arial" w:eastAsia="Arial" w:hAnsi="Arial"/>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300" w:type="dxa"/>
            <w:vAlign w:val="bottom"/>
          </w:tcPr>
          <w:p>
            <w:pPr>
              <w:ind w:left="80"/>
              <w:spacing w:after="0"/>
              <w:rPr>
                <w:sz w:val="20"/>
                <w:szCs w:val="20"/>
                <w:color w:val="auto"/>
              </w:rPr>
            </w:pPr>
            <w:r>
              <w:rPr>
                <w:rFonts w:ascii="Arial" w:cs="Arial" w:eastAsia="Arial" w:hAnsi="Arial"/>
                <w:sz w:val="4"/>
                <w:szCs w:val="4"/>
                <w:color w:val="auto"/>
              </w:rPr>
              <w:t>​</w:t>
            </w:r>
          </w:p>
        </w:tc>
        <w:tc>
          <w:tcPr>
            <w:tcW w:w="580" w:type="dxa"/>
            <w:vAlign w:val="bottom"/>
          </w:tcPr>
          <w:p>
            <w:pPr>
              <w:jc w:val="right"/>
              <w:ind w:right="15"/>
              <w:spacing w:after="0"/>
              <w:rPr>
                <w:sz w:val="20"/>
                <w:szCs w:val="20"/>
                <w:color w:val="auto"/>
              </w:rPr>
            </w:pPr>
            <w:r>
              <w:rPr>
                <w:rFonts w:ascii="Arial" w:cs="Arial" w:eastAsia="Arial" w:hAnsi="Arial"/>
                <w:sz w:val="14"/>
                <w:szCs w:val="14"/>
                <w:color w:val="auto"/>
              </w:rPr>
              <w:t>7.66</w:t>
            </w:r>
            <w:r>
              <w:rPr>
                <w:rFonts w:ascii="Arial" w:cs="Arial" w:eastAsia="Arial" w:hAnsi="Arial"/>
                <w:sz w:val="3"/>
                <w:szCs w:val="3"/>
                <w:color w:val="auto"/>
              </w:rPr>
              <w:t>​</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03/01/2027</w:t>
            </w:r>
            <w:r>
              <w:rPr>
                <w:rFonts w:ascii="Arial" w:cs="Arial" w:eastAsia="Arial" w:hAnsi="Arial"/>
                <w:sz w:val="3"/>
                <w:szCs w:val="3"/>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940" w:type="dxa"/>
            <w:vAlign w:val="bottom"/>
          </w:tcPr>
          <w:p>
            <w:pPr>
              <w:jc w:val="right"/>
              <w:ind w:right="18"/>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240" w:type="dxa"/>
            <w:vAlign w:val="bottom"/>
          </w:tcPr>
          <w:p>
            <w:pPr>
              <w:ind w:left="6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37"/>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20"/>
        </w:trPr>
        <w:tc>
          <w:tcPr>
            <w:tcW w:w="1400" w:type="dxa"/>
            <w:vAlign w:val="bottom"/>
            <w:vMerge w:val="continue"/>
          </w:tcPr>
          <w:p>
            <w:pPr>
              <w:spacing w:after="0" w:line="20" w:lineRule="exact"/>
              <w:rPr>
                <w:sz w:val="1"/>
                <w:szCs w:val="1"/>
                <w:color w:val="auto"/>
              </w:rPr>
            </w:pPr>
          </w:p>
        </w:tc>
        <w:tc>
          <w:tcPr>
            <w:tcW w:w="380" w:type="dxa"/>
            <w:vAlign w:val="bottom"/>
          </w:tcPr>
          <w:p>
            <w:pPr>
              <w:ind w:left="240"/>
              <w:spacing w:after="0" w:line="14" w:lineRule="exact"/>
              <w:rPr>
                <w:sz w:val="20"/>
                <w:szCs w:val="20"/>
                <w:color w:val="auto"/>
              </w:rPr>
            </w:pPr>
            <w:r>
              <w:rPr>
                <w:rFonts w:ascii="Arial" w:cs="Arial" w:eastAsia="Arial" w:hAnsi="Arial"/>
                <w:sz w:val="2"/>
                <w:szCs w:val="2"/>
                <w:color w:val="auto"/>
              </w:rPr>
              <w:t>​</w:t>
            </w: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14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03/08/2018</w:t>
            </w:r>
            <w:r>
              <w:rPr>
                <w:rFonts w:ascii="Arial" w:cs="Arial" w:eastAsia="Arial" w:hAnsi="Arial"/>
                <w:sz w:val="3"/>
                <w:szCs w:val="3"/>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w:t>
            </w:r>
            <w:r>
              <w:rPr>
                <w:rFonts w:ascii="Arial" w:cs="Arial" w:eastAsia="Arial" w:hAnsi="Arial"/>
                <w:sz w:val="23"/>
                <w:szCs w:val="23"/>
                <w:color w:val="auto"/>
                <w:vertAlign w:val="superscript"/>
              </w:rPr>
              <w:t>(5)</w:t>
            </w:r>
            <w:r>
              <w:rPr>
                <w:rFonts w:ascii="Arial" w:cs="Arial" w:eastAsia="Arial" w:hAnsi="Arial"/>
                <w:sz w:val="3"/>
                <w:szCs w:val="3"/>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9.89</w:t>
            </w:r>
            <w:r>
              <w:rPr>
                <w:rFonts w:ascii="Arial" w:cs="Arial" w:eastAsia="Arial" w:hAnsi="Arial"/>
                <w:sz w:val="3"/>
                <w:szCs w:val="3"/>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03/07/2028</w:t>
            </w:r>
            <w:r>
              <w:rPr>
                <w:rFonts w:ascii="Arial" w:cs="Arial" w:eastAsia="Arial" w:hAnsi="Arial"/>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372"/>
        </w:trPr>
        <w:tc>
          <w:tcPr>
            <w:tcW w:w="14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01/14/2019</w:t>
            </w:r>
            <w:r>
              <w:rPr>
                <w:rFonts w:ascii="Arial" w:cs="Arial" w:eastAsia="Arial" w:hAnsi="Arial"/>
                <w:sz w:val="3"/>
                <w:szCs w:val="3"/>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19,583</w:t>
            </w:r>
            <w:r>
              <w:rPr>
                <w:rFonts w:ascii="Arial" w:cs="Arial" w:eastAsia="Arial" w:hAnsi="Arial"/>
                <w:sz w:val="23"/>
                <w:szCs w:val="23"/>
                <w:color w:val="auto"/>
                <w:vertAlign w:val="superscript"/>
              </w:rPr>
              <w:t>(5)</w:t>
            </w:r>
            <w:r>
              <w:rPr>
                <w:rFonts w:ascii="Arial" w:cs="Arial" w:eastAsia="Arial" w:hAnsi="Arial"/>
                <w:sz w:val="3"/>
                <w:szCs w:val="3"/>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w:t>
            </w:r>
            <w:r>
              <w:rPr>
                <w:rFonts w:ascii="Arial" w:cs="Arial" w:eastAsia="Arial" w:hAnsi="Arial"/>
                <w:sz w:val="3"/>
                <w:szCs w:val="3"/>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7.01</w:t>
            </w:r>
            <w:r>
              <w:rPr>
                <w:rFonts w:ascii="Arial" w:cs="Arial" w:eastAsia="Arial" w:hAnsi="Arial"/>
                <w:sz w:val="3"/>
                <w:szCs w:val="3"/>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01/13/2029</w:t>
            </w:r>
            <w:r>
              <w:rPr>
                <w:rFonts w:ascii="Arial" w:cs="Arial" w:eastAsia="Arial" w:hAnsi="Arial"/>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385"/>
        </w:trPr>
        <w:tc>
          <w:tcPr>
            <w:tcW w:w="14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07/03/2019</w:t>
            </w:r>
            <w:r>
              <w:rPr>
                <w:rFonts w:ascii="Arial" w:cs="Arial" w:eastAsia="Arial" w:hAnsi="Arial"/>
                <w:sz w:val="3"/>
                <w:szCs w:val="3"/>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175,000</w:t>
            </w:r>
            <w:r>
              <w:rPr>
                <w:rFonts w:ascii="Arial" w:cs="Arial" w:eastAsia="Arial" w:hAnsi="Arial"/>
                <w:sz w:val="23"/>
                <w:szCs w:val="23"/>
                <w:color w:val="auto"/>
                <w:vertAlign w:val="superscript"/>
              </w:rPr>
              <w:t>(5)</w:t>
            </w:r>
            <w:r>
              <w:rPr>
                <w:rFonts w:ascii="Arial" w:cs="Arial" w:eastAsia="Arial" w:hAnsi="Arial"/>
                <w:sz w:val="3"/>
                <w:szCs w:val="3"/>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25,000</w:t>
            </w:r>
            <w:r>
              <w:rPr>
                <w:rFonts w:ascii="Arial" w:cs="Arial" w:eastAsia="Arial" w:hAnsi="Arial"/>
                <w:sz w:val="3"/>
                <w:szCs w:val="3"/>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7.01</w:t>
            </w:r>
            <w:r>
              <w:rPr>
                <w:rFonts w:ascii="Arial" w:cs="Arial" w:eastAsia="Arial" w:hAnsi="Arial"/>
                <w:sz w:val="3"/>
                <w:szCs w:val="3"/>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07/02/2029</w:t>
            </w:r>
            <w:r>
              <w:rPr>
                <w:rFonts w:ascii="Arial" w:cs="Arial" w:eastAsia="Arial" w:hAnsi="Arial"/>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95"/>
        </w:trPr>
        <w:tc>
          <w:tcPr>
            <w:tcW w:w="14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03/25/2021</w:t>
            </w:r>
            <w:r>
              <w:rPr>
                <w:rFonts w:ascii="Arial" w:cs="Arial" w:eastAsia="Arial" w:hAnsi="Arial"/>
                <w:sz w:val="3"/>
                <w:szCs w:val="3"/>
                <w:color w:val="auto"/>
              </w:rPr>
              <w:t>​</w:t>
            </w:r>
          </w:p>
        </w:tc>
        <w:tc>
          <w:tcPr>
            <w:tcW w:w="220" w:type="dxa"/>
            <w:vAlign w:val="bottom"/>
          </w:tcPr>
          <w:p>
            <w:pPr>
              <w:ind w:left="60"/>
              <w:spacing w:after="0"/>
              <w:rPr>
                <w:sz w:val="20"/>
                <w:szCs w:val="20"/>
                <w:color w:val="auto"/>
              </w:rPr>
            </w:pPr>
            <w:r>
              <w:rPr>
                <w:rFonts w:ascii="Arial" w:cs="Arial" w:eastAsia="Arial" w:hAnsi="Arial"/>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180,354</w:t>
            </w:r>
            <w:r>
              <w:rPr>
                <w:rFonts w:ascii="Arial" w:cs="Arial" w:eastAsia="Arial" w:hAnsi="Arial"/>
                <w:sz w:val="23"/>
                <w:szCs w:val="23"/>
                <w:color w:val="auto"/>
                <w:vertAlign w:val="superscript"/>
              </w:rPr>
              <w:t>(5)</w:t>
            </w:r>
            <w:r>
              <w:rPr>
                <w:rFonts w:ascii="Arial" w:cs="Arial" w:eastAsia="Arial" w:hAnsi="Arial"/>
                <w:sz w:val="3"/>
                <w:szCs w:val="3"/>
                <w:color w:val="auto"/>
              </w:rPr>
              <w:t>​</w:t>
            </w:r>
          </w:p>
        </w:tc>
        <w:tc>
          <w:tcPr>
            <w:tcW w:w="360" w:type="dxa"/>
            <w:vAlign w:val="bottom"/>
          </w:tcPr>
          <w:p>
            <w:pPr>
              <w:ind w:left="60"/>
              <w:spacing w:after="0"/>
              <w:rPr>
                <w:sz w:val="20"/>
                <w:szCs w:val="20"/>
                <w:color w:val="auto"/>
              </w:rPr>
            </w:pPr>
            <w:r>
              <w:rPr>
                <w:rFonts w:ascii="Arial" w:cs="Arial" w:eastAsia="Arial" w:hAnsi="Arial"/>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213,146</w:t>
            </w:r>
            <w:r>
              <w:rPr>
                <w:rFonts w:ascii="Arial" w:cs="Arial" w:eastAsia="Arial" w:hAnsi="Arial"/>
                <w:sz w:val="3"/>
                <w:szCs w:val="3"/>
                <w:color w:val="auto"/>
              </w:rPr>
              <w:t>​</w:t>
            </w:r>
          </w:p>
        </w:tc>
        <w:tc>
          <w:tcPr>
            <w:tcW w:w="300" w:type="dxa"/>
            <w:vAlign w:val="bottom"/>
          </w:tcPr>
          <w:p>
            <w:pPr>
              <w:ind w:left="80"/>
              <w:spacing w:after="0"/>
              <w:rPr>
                <w:sz w:val="20"/>
                <w:szCs w:val="20"/>
                <w:color w:val="auto"/>
              </w:rPr>
            </w:pPr>
            <w:r>
              <w:rPr>
                <w:rFonts w:ascii="Arial" w:cs="Arial" w:eastAsia="Arial" w:hAnsi="Arial"/>
                <w:sz w:val="4"/>
                <w:szCs w:val="4"/>
                <w:color w:val="auto"/>
              </w:rPr>
              <w:t>​</w:t>
            </w:r>
          </w:p>
        </w:tc>
        <w:tc>
          <w:tcPr>
            <w:tcW w:w="580" w:type="dxa"/>
            <w:vAlign w:val="bottom"/>
          </w:tcPr>
          <w:p>
            <w:pPr>
              <w:jc w:val="right"/>
              <w:ind w:right="15"/>
              <w:spacing w:after="0"/>
              <w:rPr>
                <w:sz w:val="20"/>
                <w:szCs w:val="20"/>
                <w:color w:val="auto"/>
              </w:rPr>
            </w:pPr>
            <w:r>
              <w:rPr>
                <w:rFonts w:ascii="Arial" w:cs="Arial" w:eastAsia="Arial" w:hAnsi="Arial"/>
                <w:sz w:val="14"/>
                <w:szCs w:val="14"/>
                <w:color w:val="auto"/>
              </w:rPr>
              <w:t>6.76</w:t>
            </w:r>
            <w:r>
              <w:rPr>
                <w:rFonts w:ascii="Arial" w:cs="Arial" w:eastAsia="Arial" w:hAnsi="Arial"/>
                <w:sz w:val="3"/>
                <w:szCs w:val="3"/>
                <w:color w:val="auto"/>
              </w:rPr>
              <w:t>​</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03/24/2031</w:t>
            </w:r>
            <w:r>
              <w:rPr>
                <w:rFonts w:ascii="Arial" w:cs="Arial" w:eastAsia="Arial" w:hAnsi="Arial"/>
                <w:sz w:val="3"/>
                <w:szCs w:val="3"/>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940" w:type="dxa"/>
            <w:vAlign w:val="bottom"/>
          </w:tcPr>
          <w:p>
            <w:pPr>
              <w:jc w:val="right"/>
              <w:ind w:right="18"/>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240" w:type="dxa"/>
            <w:vAlign w:val="bottom"/>
          </w:tcPr>
          <w:p>
            <w:pPr>
              <w:ind w:left="6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37"/>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82"/>
        </w:trPr>
        <w:tc>
          <w:tcPr>
            <w:tcW w:w="14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07/27/2020</w:t>
            </w:r>
            <w:r>
              <w:rPr>
                <w:rFonts w:ascii="Arial" w:cs="Arial" w:eastAsia="Arial" w:hAnsi="Arial"/>
                <w:sz w:val="3"/>
                <w:szCs w:val="3"/>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43,058</w:t>
            </w:r>
            <w:r>
              <w:rPr>
                <w:rFonts w:ascii="Arial" w:cs="Arial" w:eastAsia="Arial" w:hAnsi="Arial"/>
                <w:sz w:val="23"/>
                <w:szCs w:val="23"/>
                <w:color w:val="auto"/>
                <w:vertAlign w:val="superscript"/>
              </w:rPr>
              <w:t>(8)</w:t>
            </w:r>
            <w:r>
              <w:rPr>
                <w:rFonts w:ascii="Arial" w:cs="Arial" w:eastAsia="Arial" w:hAnsi="Arial"/>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184,719</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38"/>
        </w:trPr>
        <w:tc>
          <w:tcPr>
            <w:tcW w:w="1400" w:type="dxa"/>
            <w:vAlign w:val="bottom"/>
            <w:vMerge w:val="restart"/>
          </w:tcPr>
          <w:p>
            <w:pPr>
              <w:spacing w:after="0"/>
              <w:rPr>
                <w:sz w:val="20"/>
                <w:szCs w:val="20"/>
                <w:color w:val="auto"/>
              </w:rPr>
            </w:pPr>
            <w:r>
              <w:rPr>
                <w:rFonts w:ascii="Arial" w:cs="Arial" w:eastAsia="Arial" w:hAnsi="Arial"/>
                <w:sz w:val="14"/>
                <w:szCs w:val="14"/>
                <w:color w:val="auto"/>
              </w:rPr>
              <w:t>Larry Steinberg</w:t>
            </w: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03/15/2022</w:t>
            </w:r>
            <w:r>
              <w:rPr>
                <w:rFonts w:ascii="Arial" w:cs="Arial" w:eastAsia="Arial" w:hAnsi="Arial"/>
                <w:sz w:val="3"/>
                <w:szCs w:val="3"/>
                <w:color w:val="auto"/>
              </w:rPr>
              <w:t>​</w:t>
            </w:r>
          </w:p>
        </w:tc>
        <w:tc>
          <w:tcPr>
            <w:tcW w:w="220" w:type="dxa"/>
            <w:vAlign w:val="bottom"/>
          </w:tcPr>
          <w:p>
            <w:pPr>
              <w:ind w:left="60"/>
              <w:spacing w:after="0"/>
              <w:rPr>
                <w:sz w:val="20"/>
                <w:szCs w:val="20"/>
                <w:color w:val="auto"/>
              </w:rPr>
            </w:pPr>
            <w:r>
              <w:rPr>
                <w:rFonts w:ascii="Arial" w:cs="Arial" w:eastAsia="Arial" w:hAnsi="Arial"/>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360" w:type="dxa"/>
            <w:vAlign w:val="bottom"/>
          </w:tcPr>
          <w:p>
            <w:pPr>
              <w:ind w:left="60"/>
              <w:spacing w:after="0"/>
              <w:rPr>
                <w:sz w:val="20"/>
                <w:szCs w:val="20"/>
                <w:color w:val="auto"/>
              </w:rPr>
            </w:pPr>
            <w:r>
              <w:rPr>
                <w:rFonts w:ascii="Arial" w:cs="Arial" w:eastAsia="Arial" w:hAnsi="Arial"/>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300" w:type="dxa"/>
            <w:vAlign w:val="bottom"/>
          </w:tcPr>
          <w:p>
            <w:pPr>
              <w:ind w:left="80"/>
              <w:spacing w:after="0"/>
              <w:rPr>
                <w:sz w:val="20"/>
                <w:szCs w:val="20"/>
                <w:color w:val="auto"/>
              </w:rPr>
            </w:pPr>
            <w:r>
              <w:rPr>
                <w:rFonts w:ascii="Arial" w:cs="Arial" w:eastAsia="Arial" w:hAnsi="Arial"/>
                <w:sz w:val="4"/>
                <w:szCs w:val="4"/>
                <w:color w:val="auto"/>
              </w:rPr>
              <w:t>​</w:t>
            </w:r>
          </w:p>
        </w:tc>
        <w:tc>
          <w:tcPr>
            <w:tcW w:w="580" w:type="dxa"/>
            <w:vAlign w:val="bottom"/>
          </w:tcPr>
          <w:p>
            <w:pPr>
              <w:jc w:val="right"/>
              <w:ind w:right="15"/>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940" w:type="dxa"/>
            <w:vAlign w:val="bottom"/>
          </w:tcPr>
          <w:p>
            <w:pPr>
              <w:jc w:val="right"/>
              <w:ind w:right="18"/>
              <w:spacing w:after="0"/>
              <w:rPr>
                <w:sz w:val="20"/>
                <w:szCs w:val="20"/>
                <w:color w:val="auto"/>
              </w:rPr>
            </w:pPr>
            <w:r>
              <w:rPr>
                <w:rFonts w:ascii="Arial" w:cs="Arial" w:eastAsia="Arial" w:hAnsi="Arial"/>
                <w:sz w:val="14"/>
                <w:szCs w:val="14"/>
                <w:color w:val="auto"/>
              </w:rPr>
              <w:t>268,336</w:t>
            </w:r>
            <w:r>
              <w:rPr>
                <w:rFonts w:ascii="Arial" w:cs="Arial" w:eastAsia="Arial" w:hAnsi="Arial"/>
                <w:sz w:val="23"/>
                <w:szCs w:val="23"/>
                <w:color w:val="auto"/>
                <w:vertAlign w:val="superscript"/>
              </w:rPr>
              <w:t>(4)</w:t>
            </w:r>
            <w:r>
              <w:rPr>
                <w:rFonts w:ascii="Arial" w:cs="Arial" w:eastAsia="Arial" w:hAnsi="Arial"/>
                <w:sz w:val="3"/>
                <w:szCs w:val="3"/>
                <w:color w:val="auto"/>
              </w:rPr>
              <w:t>​</w:t>
            </w:r>
          </w:p>
        </w:tc>
        <w:tc>
          <w:tcPr>
            <w:tcW w:w="240" w:type="dxa"/>
            <w:vAlign w:val="bottom"/>
          </w:tcPr>
          <w:p>
            <w:pPr>
              <w:ind w:left="6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37"/>
              <w:spacing w:after="0"/>
              <w:rPr>
                <w:sz w:val="20"/>
                <w:szCs w:val="20"/>
                <w:color w:val="auto"/>
              </w:rPr>
            </w:pPr>
            <w:r>
              <w:rPr>
                <w:rFonts w:ascii="Arial" w:cs="Arial" w:eastAsia="Arial" w:hAnsi="Arial"/>
                <w:sz w:val="14"/>
                <w:szCs w:val="14"/>
                <w:color w:val="auto"/>
              </w:rPr>
              <w:t>1,151,161</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46"/>
        </w:trPr>
        <w:tc>
          <w:tcPr>
            <w:tcW w:w="1400" w:type="dxa"/>
            <w:vAlign w:val="bottom"/>
            <w:vMerge w:val="continue"/>
          </w:tcPr>
          <w:p>
            <w:pPr>
              <w:spacing w:after="0"/>
              <w:rPr>
                <w:sz w:val="3"/>
                <w:szCs w:val="3"/>
                <w:color w:val="auto"/>
              </w:rPr>
            </w:pPr>
          </w:p>
        </w:tc>
        <w:tc>
          <w:tcPr>
            <w:tcW w:w="380" w:type="dxa"/>
            <w:vAlign w:val="bottom"/>
          </w:tcPr>
          <w:p>
            <w:pPr>
              <w:ind w:left="240"/>
              <w:spacing w:after="0" w:line="44" w:lineRule="exact"/>
              <w:rPr>
                <w:sz w:val="20"/>
                <w:szCs w:val="20"/>
                <w:color w:val="auto"/>
              </w:rPr>
            </w:pPr>
            <w:r>
              <w:rPr>
                <w:rFonts w:ascii="Arial" w:cs="Arial" w:eastAsia="Arial" w:hAnsi="Arial"/>
                <w:sz w:val="4"/>
                <w:szCs w:val="4"/>
                <w:color w:val="auto"/>
              </w:rPr>
              <w:t>​</w:t>
            </w:r>
          </w:p>
        </w:tc>
        <w:tc>
          <w:tcPr>
            <w:tcW w:w="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09/15/2022</w:t>
            </w:r>
            <w:r>
              <w:rPr>
                <w:rFonts w:ascii="Arial" w:cs="Arial" w:eastAsia="Arial" w:hAnsi="Arial"/>
                <w:sz w:val="3"/>
                <w:szCs w:val="3"/>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300,000</w:t>
            </w:r>
            <w:r>
              <w:rPr>
                <w:rFonts w:ascii="Arial" w:cs="Arial" w:eastAsia="Arial" w:hAnsi="Arial"/>
                <w:sz w:val="23"/>
                <w:szCs w:val="23"/>
                <w:color w:val="auto"/>
                <w:vertAlign w:val="superscript"/>
              </w:rPr>
              <w:t>(9)</w:t>
            </w:r>
            <w:r>
              <w:rPr>
                <w:rFonts w:ascii="Arial" w:cs="Arial" w:eastAsia="Arial" w:hAnsi="Arial"/>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1,287,000</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95"/>
        </w:trPr>
        <w:tc>
          <w:tcPr>
            <w:tcW w:w="14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4"/>
                <w:szCs w:val="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03/25/2021</w:t>
            </w:r>
            <w:r>
              <w:rPr>
                <w:rFonts w:ascii="Arial" w:cs="Arial" w:eastAsia="Arial" w:hAnsi="Arial"/>
                <w:sz w:val="3"/>
                <w:szCs w:val="3"/>
                <w:color w:val="auto"/>
              </w:rPr>
              <w:t>​</w:t>
            </w:r>
          </w:p>
        </w:tc>
        <w:tc>
          <w:tcPr>
            <w:tcW w:w="220" w:type="dxa"/>
            <w:vAlign w:val="bottom"/>
          </w:tcPr>
          <w:p>
            <w:pPr>
              <w:ind w:left="60"/>
              <w:spacing w:after="0"/>
              <w:rPr>
                <w:sz w:val="20"/>
                <w:szCs w:val="20"/>
                <w:color w:val="auto"/>
              </w:rPr>
            </w:pPr>
            <w:r>
              <w:rPr>
                <w:rFonts w:ascii="Arial" w:cs="Arial" w:eastAsia="Arial" w:hAnsi="Arial"/>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108,808</w:t>
            </w:r>
            <w:r>
              <w:rPr>
                <w:rFonts w:ascii="Arial" w:cs="Arial" w:eastAsia="Arial" w:hAnsi="Arial"/>
                <w:sz w:val="23"/>
                <w:szCs w:val="23"/>
                <w:color w:val="auto"/>
                <w:vertAlign w:val="superscript"/>
              </w:rPr>
              <w:t>(5)</w:t>
            </w:r>
            <w:r>
              <w:rPr>
                <w:rFonts w:ascii="Arial" w:cs="Arial" w:eastAsia="Arial" w:hAnsi="Arial"/>
                <w:sz w:val="3"/>
                <w:szCs w:val="3"/>
                <w:color w:val="auto"/>
              </w:rPr>
              <w:t>​</w:t>
            </w:r>
          </w:p>
        </w:tc>
        <w:tc>
          <w:tcPr>
            <w:tcW w:w="360" w:type="dxa"/>
            <w:vAlign w:val="bottom"/>
          </w:tcPr>
          <w:p>
            <w:pPr>
              <w:ind w:left="60"/>
              <w:spacing w:after="0"/>
              <w:rPr>
                <w:sz w:val="20"/>
                <w:szCs w:val="20"/>
                <w:color w:val="auto"/>
              </w:rPr>
            </w:pPr>
            <w:r>
              <w:rPr>
                <w:rFonts w:ascii="Arial" w:cs="Arial" w:eastAsia="Arial" w:hAnsi="Arial"/>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128,592</w:t>
            </w:r>
            <w:r>
              <w:rPr>
                <w:rFonts w:ascii="Arial" w:cs="Arial" w:eastAsia="Arial" w:hAnsi="Arial"/>
                <w:sz w:val="3"/>
                <w:szCs w:val="3"/>
                <w:color w:val="auto"/>
              </w:rPr>
              <w:t>​</w:t>
            </w:r>
          </w:p>
        </w:tc>
        <w:tc>
          <w:tcPr>
            <w:tcW w:w="300" w:type="dxa"/>
            <w:vAlign w:val="bottom"/>
          </w:tcPr>
          <w:p>
            <w:pPr>
              <w:ind w:left="80"/>
              <w:spacing w:after="0"/>
              <w:rPr>
                <w:sz w:val="20"/>
                <w:szCs w:val="20"/>
                <w:color w:val="auto"/>
              </w:rPr>
            </w:pPr>
            <w:r>
              <w:rPr>
                <w:rFonts w:ascii="Arial" w:cs="Arial" w:eastAsia="Arial" w:hAnsi="Arial"/>
                <w:sz w:val="4"/>
                <w:szCs w:val="4"/>
                <w:color w:val="auto"/>
              </w:rPr>
              <w:t>​</w:t>
            </w:r>
          </w:p>
        </w:tc>
        <w:tc>
          <w:tcPr>
            <w:tcW w:w="580" w:type="dxa"/>
            <w:vAlign w:val="bottom"/>
          </w:tcPr>
          <w:p>
            <w:pPr>
              <w:jc w:val="right"/>
              <w:ind w:right="15"/>
              <w:spacing w:after="0"/>
              <w:rPr>
                <w:sz w:val="20"/>
                <w:szCs w:val="20"/>
                <w:color w:val="auto"/>
              </w:rPr>
            </w:pPr>
            <w:r>
              <w:rPr>
                <w:rFonts w:ascii="Arial" w:cs="Arial" w:eastAsia="Arial" w:hAnsi="Arial"/>
                <w:sz w:val="14"/>
                <w:szCs w:val="14"/>
                <w:color w:val="auto"/>
              </w:rPr>
              <w:t>6.76</w:t>
            </w:r>
            <w:r>
              <w:rPr>
                <w:rFonts w:ascii="Arial" w:cs="Arial" w:eastAsia="Arial" w:hAnsi="Arial"/>
                <w:sz w:val="3"/>
                <w:szCs w:val="3"/>
                <w:color w:val="auto"/>
              </w:rPr>
              <w:t>​</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3/24/2031</w:t>
            </w:r>
            <w:r>
              <w:rPr>
                <w:rFonts w:ascii="Arial" w:cs="Arial" w:eastAsia="Arial" w:hAnsi="Arial"/>
                <w:sz w:val="3"/>
                <w:szCs w:val="3"/>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940" w:type="dxa"/>
            <w:vAlign w:val="bottom"/>
          </w:tcPr>
          <w:p>
            <w:pPr>
              <w:jc w:val="right"/>
              <w:ind w:right="18"/>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240" w:type="dxa"/>
            <w:vAlign w:val="bottom"/>
          </w:tcPr>
          <w:p>
            <w:pPr>
              <w:ind w:left="6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37"/>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-3065780</wp:posOffset>
            </wp:positionV>
            <wp:extent cx="60350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-1025525</wp:posOffset>
            </wp:positionV>
            <wp:extent cx="60350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-48260</wp:posOffset>
            </wp:positionV>
            <wp:extent cx="60350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type w:val="continuous"/>
        </w:sectPr>
      </w:pPr>
    </w:p>
    <w:p>
      <w:pPr>
        <w:spacing w:after="0" w:line="107" w:lineRule="exact"/>
        <w:rPr>
          <w:sz w:val="20"/>
          <w:szCs w:val="20"/>
          <w:color w:val="auto"/>
        </w:rPr>
      </w:pPr>
    </w:p>
    <w:p>
      <w:pPr>
        <w:ind w:left="380" w:right="60" w:hanging="359"/>
        <w:spacing w:after="0" w:line="252"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These RSUs vest based on the satisfaction of both service-based and liquidity-based vesting conditions. The service-based vesting period for these RSU awards is scheduled over four years in ratable installments on each quarterly anniversary of February 1, 2020, in each case subject to continued service. The liquidity-based vesting condition was deemed satisfied in connection with our IPO and the RSUs that had met the service-based vesting condition settled into shares of common stock on March 15, 2022.</w:t>
      </w:r>
    </w:p>
    <w:p>
      <w:pPr>
        <w:spacing w:after="0" w:line="25" w:lineRule="exact"/>
        <w:rPr>
          <w:rFonts w:ascii="Arial" w:cs="Arial" w:eastAsia="Arial" w:hAnsi="Arial"/>
          <w:sz w:val="14"/>
          <w:szCs w:val="14"/>
          <w:color w:val="auto"/>
        </w:rPr>
      </w:pPr>
    </w:p>
    <w:p>
      <w:pPr>
        <w:ind w:left="380" w:right="140" w:hanging="359"/>
        <w:spacing w:after="0" w:line="273"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are calculated by multiplying the number of shares shown in the table by $4.29, the closing stock price of our Class A common stock on January 31, 2023.</w:t>
      </w:r>
    </w:p>
    <w:p>
      <w:pPr>
        <w:spacing w:after="0" w:line="11" w:lineRule="exact"/>
        <w:rPr>
          <w:rFonts w:ascii="Arial" w:cs="Arial" w:eastAsia="Arial" w:hAnsi="Arial"/>
          <w:sz w:val="14"/>
          <w:szCs w:val="14"/>
          <w:color w:val="auto"/>
        </w:rPr>
      </w:pPr>
    </w:p>
    <w:p>
      <w:pPr>
        <w:ind w:left="380" w:right="100" w:hanging="359"/>
        <w:spacing w:after="0" w:line="257"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RSUs that vest as to 25% of the RSUs on the grant date and in ratable quarterly installments thereafter as of the first day of each fiscal quarter such that the award will be fully vested on approximately the fourth anniversary of the grant date, subject to the named executive officer’s continued service with us through the applicable vesting dates.</w:t>
      </w:r>
    </w:p>
    <w:p>
      <w:pPr>
        <w:sectPr>
          <w:pgSz w:w="11900" w:h="16838" w:orient="portrait"/>
          <w:cols w:equalWidth="0" w:num="1">
            <w:col w:w="9520"/>
          </w:cols>
          <w:pgMar w:left="1180" w:top="265" w:right="1199" w:bottom="1440" w:gutter="0" w:footer="0" w:header="0"/>
          <w:type w:val="continuous"/>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167005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0" w:lineRule="exact"/>
        <w:rPr>
          <w:sz w:val="20"/>
          <w:szCs w:val="20"/>
          <w:color w:val="auto"/>
        </w:rPr>
      </w:pPr>
    </w:p>
    <w:p>
      <w:pPr>
        <w:ind w:left="380" w:right="140" w:hanging="359"/>
        <w:spacing w:after="0" w:line="273"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RSUs that vest 50% on the first anniversary of the grant date and 50% on the second anniversary of the grant date, subject to the named executive officer’s continued service with us through the applicable vesting dates.</w:t>
      </w:r>
    </w:p>
    <w:p>
      <w:pPr>
        <w:spacing w:after="0" w:line="11" w:lineRule="exact"/>
        <w:rPr>
          <w:rFonts w:ascii="Arial" w:cs="Arial" w:eastAsia="Arial" w:hAnsi="Arial"/>
          <w:sz w:val="14"/>
          <w:szCs w:val="14"/>
          <w:color w:val="auto"/>
        </w:rPr>
      </w:pPr>
    </w:p>
    <w:p>
      <w:pPr>
        <w:ind w:left="380" w:right="60" w:hanging="359"/>
        <w:spacing w:after="0" w:line="246"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option vests or vested as to 25% of the shares subject to the option on the first anniversary of the vesting commencement date and as to ratable installments on each monthly anniversary thereafter such that the option was or will be fully vested on the fourth anniversary of the vesting commencement date, subject to the executive’s continued service with us through the applicable vesting dates. The vesting commencement dates for the applicable option grants are as follows: Ms. Hyman’s 01/16/2014 grant – 01/01/2014; Ms. Hyman’s 07/03/2019 grant – 07/03/2019; Ms. Hyman’s 03/25/2021 grant – 03/01/2021; Ms. Salinas’ 03/02/2017 grant – 02/27/2017; Ms. Salinas’ 03/08/2018 grant – 2/27/2018; Ms. Salinas’ 01/14/2019 grant – 02/27/2019; Ms. Salinas’ 07/03/2019 grant – 07/03/2019; Ms. Salinas’ 03/25/2021 grant – 03/01/2021; and Mr. Steinberg’s 03/25/2021 grant – 03/01/2021.</w:t>
      </w:r>
    </w:p>
    <w:p>
      <w:pPr>
        <w:spacing w:after="0" w:line="32" w:lineRule="exact"/>
        <w:rPr>
          <w:rFonts w:ascii="Arial" w:cs="Arial" w:eastAsia="Arial" w:hAnsi="Arial"/>
          <w:sz w:val="14"/>
          <w:szCs w:val="14"/>
          <w:color w:val="auto"/>
        </w:rPr>
      </w:pPr>
    </w:p>
    <w:p>
      <w:pPr>
        <w:ind w:left="380" w:right="440" w:hanging="359"/>
        <w:spacing w:after="0" w:line="273"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option vests as to 2.0833% of the shares subject to the option on each monthly anniversary of January 31, 2016 such that the option became fully vested on January 31, 2020.</w:t>
      </w:r>
    </w:p>
    <w:p>
      <w:pPr>
        <w:spacing w:after="0" w:line="11" w:lineRule="exact"/>
        <w:rPr>
          <w:rFonts w:ascii="Arial" w:cs="Arial" w:eastAsia="Arial" w:hAnsi="Arial"/>
          <w:sz w:val="14"/>
          <w:szCs w:val="14"/>
          <w:color w:val="auto"/>
        </w:rPr>
      </w:pPr>
    </w:p>
    <w:p>
      <w:pPr>
        <w:ind w:left="380" w:right="20" w:hanging="359"/>
        <w:spacing w:after="0" w:line="252"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option vests as to 2.0833% of the shares subject to the option on each monthly anniversary of the vesting commencement date such that the option will be fully vested on the fourth anniversary of the vesting commencement date, subject to the executive’s continued service with us. The vesting commencement dates for the applicable option grants are as follows: Ms. Hyman’s 03/02/2017 grant – 01/29/2017; Ms. Hyman’s 03/08/2018 grant – 02/01/2018; and Ms. Hyman’s 02/08/2019 grant – 02/01/2019.</w:t>
      </w:r>
    </w:p>
    <w:p>
      <w:pPr>
        <w:spacing w:after="0" w:line="25" w:lineRule="exact"/>
        <w:rPr>
          <w:rFonts w:ascii="Arial" w:cs="Arial" w:eastAsia="Arial" w:hAnsi="Arial"/>
          <w:sz w:val="14"/>
          <w:szCs w:val="14"/>
          <w:color w:val="auto"/>
        </w:rPr>
      </w:pPr>
    </w:p>
    <w:p>
      <w:pPr>
        <w:ind w:left="380" w:hanging="359"/>
        <w:spacing w:after="0" w:line="257"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RSUs that vest as to 25% of the RSUs on the first anniversary of the grant date and in ratable quarterly installments thereafter as of the first day of each fiscal quarter such that the award will be fully vested on approximately the fourth anniversary of the grant date, subject to the named executive officer’s continued service with us through the applicable vesting dates.</w:t>
      </w:r>
    </w:p>
    <w:p>
      <w:pPr>
        <w:spacing w:after="0" w:line="22" w:lineRule="exact"/>
        <w:rPr>
          <w:rFonts w:ascii="Arial" w:cs="Arial" w:eastAsia="Arial" w:hAnsi="Arial"/>
          <w:sz w:val="14"/>
          <w:szCs w:val="14"/>
          <w:color w:val="auto"/>
        </w:rPr>
      </w:pPr>
    </w:p>
    <w:p>
      <w:pPr>
        <w:ind w:left="380" w:right="120" w:hanging="359"/>
        <w:spacing w:after="0" w:line="257"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RSUs that vest 50% on the first anniversary of the grant date and in ratable quarterly installments thereafter on the quarterly anniversary of the grant date such that the award will be fully vested on approximately the second anniversary of the grant date, subject to the named executive officer’s continued service with us through the applicable vesting dates.</w:t>
      </w:r>
    </w:p>
    <w:p>
      <w:pPr>
        <w:spacing w:after="0" w:line="22" w:lineRule="exact"/>
        <w:rPr>
          <w:rFonts w:ascii="Arial" w:cs="Arial" w:eastAsia="Arial" w:hAnsi="Arial"/>
          <w:sz w:val="14"/>
          <w:szCs w:val="14"/>
          <w:color w:val="auto"/>
        </w:rPr>
      </w:pPr>
    </w:p>
    <w:p>
      <w:pPr>
        <w:ind w:left="380" w:hanging="359"/>
        <w:spacing w:after="0"/>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These RSUs vest into shares of Class B common stock.</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Compensation Arrangements</w:t>
      </w:r>
    </w:p>
    <w:p>
      <w:pPr>
        <w:spacing w:after="0" w:line="181" w:lineRule="exact"/>
        <w:rPr>
          <w:sz w:val="20"/>
          <w:szCs w:val="20"/>
          <w:color w:val="auto"/>
        </w:rPr>
      </w:pPr>
    </w:p>
    <w:p>
      <w:pPr>
        <w:ind w:left="20" w:right="40"/>
        <w:spacing w:after="0" w:line="260" w:lineRule="auto"/>
        <w:rPr>
          <w:sz w:val="20"/>
          <w:szCs w:val="20"/>
          <w:color w:val="auto"/>
        </w:rPr>
      </w:pPr>
      <w:r>
        <w:rPr>
          <w:rFonts w:ascii="Arial" w:cs="Arial" w:eastAsia="Arial" w:hAnsi="Arial"/>
          <w:sz w:val="18"/>
          <w:szCs w:val="18"/>
          <w:color w:val="auto"/>
        </w:rPr>
        <w:t>Below are written descriptions of our employment arrangements with each of our named executive officers. Each of our named executive officers’ employment is “at will” and may be terminated at any time.</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Jennifer Y. Hyman</w:t>
      </w:r>
    </w:p>
    <w:p>
      <w:pPr>
        <w:spacing w:after="0" w:line="195"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In connection with our IPO, we entered into an employment agreement, or the CEO Agreement, with Ms. Hyman, which provides for her continued employment with us as Co-Founder and Chief Executive Officer. The CEO Agreement provides for a three-year initial term of employment with successive one-year automatic extensions of the term, provided that either party does not provide prior written notice of non-extension of the term. Notwithstanding the foregoing, if Ms. Hyman voluntarily agrees to transition into the role of Executive Chair of our Board of Directors or an officer position other than Chief Executive Officer, she will be entitled to receive compensation and other benefits at the same levels as described below through the end of the fiscal year in which such transition occurs, following which the Compensation Committee may determine whether to amend the CEO Agreement or enter into a new Executive Chair Agreement with Ms. Hyman.</w:t>
      </w:r>
    </w:p>
    <w:p>
      <w:pPr>
        <w:spacing w:after="0" w:line="151" w:lineRule="exact"/>
        <w:rPr>
          <w:sz w:val="20"/>
          <w:szCs w:val="20"/>
          <w:color w:val="auto"/>
        </w:rPr>
      </w:pPr>
    </w:p>
    <w:p>
      <w:pPr>
        <w:ind w:left="20" w:right="20"/>
        <w:spacing w:after="0" w:line="238" w:lineRule="auto"/>
        <w:rPr>
          <w:sz w:val="20"/>
          <w:szCs w:val="20"/>
          <w:color w:val="auto"/>
        </w:rPr>
      </w:pPr>
      <w:r>
        <w:rPr>
          <w:rFonts w:ascii="Arial" w:cs="Arial" w:eastAsia="Arial" w:hAnsi="Arial"/>
          <w:sz w:val="18"/>
          <w:szCs w:val="18"/>
          <w:color w:val="auto"/>
        </w:rPr>
        <w:t>Pursuant to the CEO Agreement, Ms. Hyman is entitled to an initial annual base salary of $650,000. With respect to fiscal year 2022, Ms. Hyman’s target annual bonus was 100% of her base salary, with a minimum opportunity of 0% and maximum opportunity of 150% of her annual base salary. In addition, pursuant to the CEO Agreement, Ms. Hyman is eligible to receive data security consulting benefits, including an assessment of Ms. Hyman’s personal security considerations in connection with her position with us (following which the Compensation Committee will determine any reasonable security enhancements to be adopted after its review of such assessment). In May 2022, the CEO Agreement was amended to provide that, with respect to fiscal year 2022 and thereafter, Ms. Hyman is eligible to receive an annual performance-based cash bonus with a target bonus opportunity of 100% of her base salary.</w:t>
      </w:r>
    </w:p>
    <w:p>
      <w:pPr>
        <w:spacing w:after="0" w:line="153"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The CEO Agreement also provides that any outstanding equity awards held by Ms. Hyman would accelerate and vest in full upon the occurrence of a “change of control” (as defined in the CEO Agreement); provided, that, to the extent any such equity awards were assumed or substituted by an acquirer or successor, such awards would accelerate and vest upon the earlier of (x) the time provided for in the applicable award agreement or the equity plan, (y) the one-year anniversary of such change of control, subject to Ms. Hyman’s continued employment through such date, and (z) the date of Ms. Hyman’s termination of employment by the Company without “cause,” by Ms. Hyman for “good reason,” or due to Ms. Hyman’s death or “disability” (each as defined in the CEO Agreement).</w:t>
      </w:r>
    </w:p>
    <w:p>
      <w:pPr>
        <w:spacing w:after="0" w:line="164" w:lineRule="exact"/>
        <w:rPr>
          <w:sz w:val="20"/>
          <w:szCs w:val="20"/>
          <w:color w:val="auto"/>
        </w:rPr>
      </w:pPr>
    </w:p>
    <w:p>
      <w:pPr>
        <w:ind w:left="20" w:right="120"/>
        <w:spacing w:after="0" w:line="260" w:lineRule="auto"/>
        <w:rPr>
          <w:sz w:val="20"/>
          <w:szCs w:val="20"/>
          <w:color w:val="auto"/>
        </w:rPr>
      </w:pPr>
      <w:r>
        <w:rPr>
          <w:rFonts w:ascii="Arial" w:cs="Arial" w:eastAsia="Arial" w:hAnsi="Arial"/>
          <w:sz w:val="18"/>
          <w:szCs w:val="18"/>
          <w:color w:val="auto"/>
        </w:rPr>
        <w:t>Pursuant to the CEO Agreement, if Ms. Hyman’s employment is terminated by us without “cause” or by Ms. Hyman for “good reason” (each as defined in the CEO Agreement), whether outside or within the 24-month period</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2" w:lineRule="exact"/>
        <w:rPr>
          <w:sz w:val="20"/>
          <w:szCs w:val="20"/>
          <w:color w:val="auto"/>
        </w:rPr>
      </w:pPr>
    </w:p>
    <w:p>
      <w:pPr>
        <w:ind w:left="20" w:right="160"/>
        <w:spacing w:after="0" w:line="241" w:lineRule="auto"/>
        <w:rPr>
          <w:sz w:val="20"/>
          <w:szCs w:val="20"/>
          <w:color w:val="auto"/>
        </w:rPr>
      </w:pPr>
      <w:r>
        <w:rPr>
          <w:rFonts w:ascii="Arial" w:cs="Arial" w:eastAsia="Arial" w:hAnsi="Arial"/>
          <w:sz w:val="18"/>
          <w:szCs w:val="18"/>
          <w:color w:val="auto"/>
        </w:rPr>
        <w:t>following a change of control, then, subject to her timely execution and non-revocation of a release of claims and continued compliance with the applicable restrictive covenants, she will be entitled to, in addition to accrued amounts:</w:t>
      </w:r>
    </w:p>
    <w:p>
      <w:pPr>
        <w:spacing w:after="0" w:line="1" w:lineRule="exact"/>
        <w:rPr>
          <w:sz w:val="20"/>
          <w:szCs w:val="20"/>
          <w:color w:val="auto"/>
        </w:rPr>
      </w:pPr>
    </w:p>
    <w:p>
      <w:pPr>
        <w:jc w:val="both"/>
        <w:ind w:left="20" w:firstLine="1"/>
        <w:spacing w:after="0" w:line="248" w:lineRule="auto"/>
        <w:tabs>
          <w:tab w:leader="none" w:pos="23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cash amount equal to two times the sum of (x) her then-current annual base salary and (y) the greater of (1) the bonus that Ms. Hyman would have earned had she remained employed for the full year in which termination occurs, based on actual achievement and (2) her target annual bonus for the fiscal year in which the date of termination occurs;</w:t>
      </w:r>
    </w:p>
    <w:p>
      <w:pPr>
        <w:spacing w:after="0" w:line="1" w:lineRule="exact"/>
        <w:rPr>
          <w:rFonts w:ascii="Arial" w:cs="Arial" w:eastAsia="Arial" w:hAnsi="Arial"/>
          <w:sz w:val="17"/>
          <w:szCs w:val="17"/>
          <w:color w:val="auto"/>
        </w:rPr>
      </w:pPr>
    </w:p>
    <w:p>
      <w:pPr>
        <w:ind w:left="20" w:right="140" w:firstLine="1"/>
        <w:spacing w:after="0" w:line="238"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continued group health coverage for a period of up to 18 months following termination, and (iii) an extended post-termination option exercise period in accordance with the terms of the CEO Agreement. Ms. Hyman will continue to receive the same severance benefits in the event of a termination due to death or disability. Additionally, in the event a termination of employment other than for a termination for cause or a resignation that is not for good reason occurs prior to or upon the change of control, the vesting of Ms. Hyman’s outstanding equity awards will accelerate in full.</w:t>
      </w:r>
    </w:p>
    <w:p>
      <w:pPr>
        <w:spacing w:after="0" w:line="163" w:lineRule="exact"/>
        <w:rPr>
          <w:sz w:val="20"/>
          <w:szCs w:val="20"/>
          <w:color w:val="auto"/>
        </w:rPr>
      </w:pPr>
    </w:p>
    <w:p>
      <w:pPr>
        <w:ind w:left="20" w:right="100"/>
        <w:spacing w:after="0" w:line="260" w:lineRule="auto"/>
        <w:rPr>
          <w:sz w:val="20"/>
          <w:szCs w:val="20"/>
          <w:color w:val="auto"/>
        </w:rPr>
      </w:pPr>
      <w:r>
        <w:rPr>
          <w:rFonts w:ascii="Arial" w:cs="Arial" w:eastAsia="Arial" w:hAnsi="Arial"/>
          <w:sz w:val="18"/>
          <w:szCs w:val="18"/>
          <w:color w:val="auto"/>
        </w:rPr>
        <w:t>The restrictive covenants described above will continue to apply under the CEO Agreement. The CEO Agreement also provides for a Section 280G “best net” cutback.</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Anushka Salinas</w:t>
      </w:r>
    </w:p>
    <w:p>
      <w:pPr>
        <w:spacing w:after="0" w:line="181" w:lineRule="exact"/>
        <w:rPr>
          <w:sz w:val="20"/>
          <w:szCs w:val="20"/>
          <w:color w:val="auto"/>
        </w:rPr>
      </w:pPr>
    </w:p>
    <w:p>
      <w:pPr>
        <w:ind w:left="20" w:right="20"/>
        <w:spacing w:after="0" w:line="258" w:lineRule="auto"/>
        <w:rPr>
          <w:sz w:val="20"/>
          <w:szCs w:val="20"/>
          <w:color w:val="auto"/>
        </w:rPr>
      </w:pPr>
      <w:r>
        <w:rPr>
          <w:rFonts w:ascii="Arial" w:cs="Arial" w:eastAsia="Arial" w:hAnsi="Arial"/>
          <w:sz w:val="17"/>
          <w:szCs w:val="17"/>
          <w:color w:val="auto"/>
        </w:rPr>
        <w:t>On January 20, 2017, we entered into an offer letter with Ms. Salinas to employ her as our General Manager of Subscription, though she currently serves as our President and Chief Operating Officer, or the COO Offer Letter. The COO Offer Letter provided for an initial annual base salary of $400,000, which base salary was subsequently increased to $600,000. The COO Offer Letter also provided for Ms. Salinas’ initial stock option grant as well as for additional stock option grants Ms. Salinas would be eligible to receive in 2018 and 2019 in the event she achieved certain goals.</w:t>
      </w:r>
    </w:p>
    <w:p>
      <w:pPr>
        <w:spacing w:after="0" w:line="151" w:lineRule="exact"/>
        <w:rPr>
          <w:sz w:val="20"/>
          <w:szCs w:val="20"/>
          <w:color w:val="auto"/>
        </w:rPr>
      </w:pPr>
    </w:p>
    <w:p>
      <w:pPr>
        <w:ind w:left="20" w:right="160"/>
        <w:spacing w:after="0" w:line="243" w:lineRule="auto"/>
        <w:rPr>
          <w:sz w:val="20"/>
          <w:szCs w:val="20"/>
          <w:color w:val="auto"/>
        </w:rPr>
      </w:pPr>
      <w:r>
        <w:rPr>
          <w:rFonts w:ascii="Arial" w:cs="Arial" w:eastAsia="Arial" w:hAnsi="Arial"/>
          <w:sz w:val="18"/>
          <w:szCs w:val="18"/>
          <w:color w:val="auto"/>
        </w:rPr>
        <w:t>In addition to the COO Offer Letter, Ms. Salinas entered into the Company’s Invention and Non-Disclosure Agreement as well as Non-Competition and Non-Solicitation Agreement in connection with her employment, which provides that she will be subject to 12-month post-termination non-competition and non-solicitation of customers and employees covenants, as well as perpetual non-disparagement covenants.</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Larry Steinberg</w:t>
      </w:r>
    </w:p>
    <w:p>
      <w:pPr>
        <w:spacing w:after="0" w:line="181" w:lineRule="exact"/>
        <w:rPr>
          <w:sz w:val="20"/>
          <w:szCs w:val="20"/>
          <w:color w:val="auto"/>
        </w:rPr>
      </w:pPr>
    </w:p>
    <w:p>
      <w:pPr>
        <w:ind w:left="20" w:right="160"/>
        <w:spacing w:after="0" w:line="243" w:lineRule="auto"/>
        <w:rPr>
          <w:sz w:val="20"/>
          <w:szCs w:val="20"/>
          <w:color w:val="auto"/>
        </w:rPr>
      </w:pPr>
      <w:r>
        <w:rPr>
          <w:rFonts w:ascii="Arial" w:cs="Arial" w:eastAsia="Arial" w:hAnsi="Arial"/>
          <w:sz w:val="18"/>
          <w:szCs w:val="18"/>
          <w:color w:val="auto"/>
        </w:rPr>
        <w:t>On June 26, 2022, we entered into an offer letter with Mr. Steinberg to employ him as our Chief Technology Officer, or the CTO Offer Letter. The CTO Offer Letter provided for an initial annual base salary of $475,000, which was subsequently increased to $500,000 in September 2022. The CTO Offer Letter also provided for Mr. Steinberg’s initial RSU grants.</w:t>
      </w:r>
    </w:p>
    <w:p>
      <w:pPr>
        <w:spacing w:after="0" w:line="161" w:lineRule="exact"/>
        <w:rPr>
          <w:sz w:val="20"/>
          <w:szCs w:val="20"/>
          <w:color w:val="auto"/>
        </w:rPr>
      </w:pPr>
    </w:p>
    <w:p>
      <w:pPr>
        <w:ind w:left="20" w:right="40"/>
        <w:spacing w:after="0" w:line="243" w:lineRule="auto"/>
        <w:rPr>
          <w:sz w:val="20"/>
          <w:szCs w:val="20"/>
          <w:color w:val="auto"/>
        </w:rPr>
      </w:pPr>
      <w:r>
        <w:rPr>
          <w:rFonts w:ascii="Arial" w:cs="Arial" w:eastAsia="Arial" w:hAnsi="Arial"/>
          <w:sz w:val="18"/>
          <w:szCs w:val="18"/>
          <w:color w:val="auto"/>
        </w:rPr>
        <w:t>In addition to the CTO Offer Letter, Mr. Steinberg entered into the Company’s Invention and Non -Disclosure Agreement as well as Non-Competition and Non-Solicitation Agreement in connection with his employment, which provides that he will be subject to 12-month post-termination non-competition and non-solicitation of customers and employees covenants, as well as perpetual non-disparagement covenants.</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Severance Plan</w:t>
      </w:r>
    </w:p>
    <w:p>
      <w:pPr>
        <w:spacing w:after="0" w:line="195" w:lineRule="exact"/>
        <w:rPr>
          <w:sz w:val="20"/>
          <w:szCs w:val="20"/>
          <w:color w:val="auto"/>
        </w:rPr>
      </w:pPr>
    </w:p>
    <w:p>
      <w:pPr>
        <w:ind w:left="20" w:right="20"/>
        <w:spacing w:after="0" w:line="243" w:lineRule="auto"/>
        <w:rPr>
          <w:sz w:val="20"/>
          <w:szCs w:val="20"/>
          <w:color w:val="auto"/>
        </w:rPr>
      </w:pPr>
      <w:r>
        <w:rPr>
          <w:rFonts w:ascii="Arial" w:cs="Arial" w:eastAsia="Arial" w:hAnsi="Arial"/>
          <w:sz w:val="18"/>
          <w:szCs w:val="18"/>
          <w:color w:val="auto"/>
        </w:rPr>
        <w:t>We have adopted an Executive Severance Plan, or the Severance Plan, pursuant to which senior employees (including our named executive officers other than Ms. Hyman) are eligible to participate. The Severance Plan provides for the payment of certain severance and other benefits to participants according to their position in the event of a qualifying termination of employment with us.</w:t>
      </w:r>
    </w:p>
    <w:p>
      <w:pPr>
        <w:spacing w:after="0" w:line="147" w:lineRule="exact"/>
        <w:rPr>
          <w:sz w:val="20"/>
          <w:szCs w:val="20"/>
          <w:color w:val="auto"/>
        </w:rPr>
      </w:pPr>
    </w:p>
    <w:p>
      <w:pPr>
        <w:jc w:val="both"/>
        <w:ind w:left="20" w:right="80"/>
        <w:spacing w:after="0" w:line="247" w:lineRule="auto"/>
        <w:rPr>
          <w:sz w:val="20"/>
          <w:szCs w:val="20"/>
          <w:color w:val="auto"/>
        </w:rPr>
      </w:pPr>
      <w:r>
        <w:rPr>
          <w:rFonts w:ascii="Arial" w:cs="Arial" w:eastAsia="Arial" w:hAnsi="Arial"/>
          <w:sz w:val="18"/>
          <w:szCs w:val="18"/>
          <w:color w:val="auto"/>
        </w:rPr>
        <w:t>Under the Severance Plan, in the event of a termination of Ms. Salinas’ employment by us without “cause” (as defined in her offer letter) or by Ms. Salinas for “good reason” (as defined in the Severance Plan), she will be eligible to receive the following benefits:</w:t>
      </w:r>
    </w:p>
    <w:p>
      <w:pPr>
        <w:spacing w:after="0" w:line="144" w:lineRule="exact"/>
        <w:rPr>
          <w:sz w:val="20"/>
          <w:szCs w:val="20"/>
          <w:color w:val="auto"/>
        </w:rPr>
      </w:pPr>
    </w:p>
    <w:p>
      <w:pPr>
        <w:ind w:left="740" w:right="100" w:hanging="359"/>
        <w:spacing w:after="0" w:line="241"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cash payment equal to 1.25x her then-current base salary as she has been employed with us for more than five years, payable in installments over a period of time equal to her severance multiple;</w:t>
      </w:r>
    </w:p>
    <w:p>
      <w:pPr>
        <w:spacing w:after="0" w:line="1"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lump-sum cash payment equal to the cash bonus with respect to the fiscal year in which her termination of employment occurs, based on actual achievement of any applicable company performance goals or objectives and any applicable individual performance goals or objectives, prorated for the number of days Ms. Salinas was employed during that fiscal year; and</w:t>
      </w:r>
    </w:p>
    <w:p>
      <w:pPr>
        <w:spacing w:after="0" w:line="2" w:lineRule="exact"/>
        <w:rPr>
          <w:rFonts w:ascii="Arial" w:cs="Arial" w:eastAsia="Arial" w:hAnsi="Arial"/>
          <w:sz w:val="18"/>
          <w:szCs w:val="18"/>
          <w:color w:val="auto"/>
        </w:rPr>
      </w:pPr>
    </w:p>
    <w:p>
      <w:pPr>
        <w:ind w:left="740" w:hanging="359"/>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company-paid COBRA premium payments for up to 15 months.</w:t>
      </w:r>
    </w:p>
    <w:p>
      <w:pPr>
        <w:spacing w:after="0" w:line="173" w:lineRule="exact"/>
        <w:rPr>
          <w:sz w:val="20"/>
          <w:szCs w:val="20"/>
          <w:color w:val="auto"/>
        </w:rPr>
      </w:pPr>
    </w:p>
    <w:p>
      <w:pPr>
        <w:ind w:left="20" w:right="180"/>
        <w:spacing w:after="0" w:line="247" w:lineRule="auto"/>
        <w:rPr>
          <w:sz w:val="20"/>
          <w:szCs w:val="20"/>
          <w:color w:val="auto"/>
        </w:rPr>
      </w:pPr>
      <w:r>
        <w:rPr>
          <w:rFonts w:ascii="Arial" w:cs="Arial" w:eastAsia="Arial" w:hAnsi="Arial"/>
          <w:sz w:val="18"/>
          <w:szCs w:val="18"/>
          <w:color w:val="auto"/>
        </w:rPr>
        <w:t>In the event of a termination of Ms. Salinas’ employment by us without “cause” or by Ms. Salinas for “good reason” during the period beginning three months before and ending on the 12-month anniversary of a “change in control” (as defined in the Severance Plan), she will be eligible to receive the following benefits:</w:t>
      </w:r>
    </w:p>
    <w:p>
      <w:pPr>
        <w:spacing w:after="0" w:line="144" w:lineRule="exact"/>
        <w:rPr>
          <w:sz w:val="20"/>
          <w:szCs w:val="20"/>
          <w:color w:val="auto"/>
        </w:rPr>
      </w:pPr>
    </w:p>
    <w:p>
      <w:pPr>
        <w:ind w:left="740" w:hanging="359"/>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lump sum cash payment equal to 1.25x of her then-current annual base salary;</w:t>
      </w:r>
    </w:p>
    <w:p>
      <w:pPr>
        <w:spacing w:after="0" w:line="7" w:lineRule="exact"/>
        <w:rPr>
          <w:rFonts w:ascii="Arial" w:cs="Arial" w:eastAsia="Arial" w:hAnsi="Arial"/>
          <w:sz w:val="18"/>
          <w:szCs w:val="18"/>
          <w:color w:val="auto"/>
        </w:rPr>
      </w:pPr>
    </w:p>
    <w:p>
      <w:pPr>
        <w:jc w:val="both"/>
        <w:ind w:left="740" w:right="320" w:hanging="359"/>
        <w:spacing w:after="0" w:line="234"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lump sum cash payment equal to 1.25x the greater of (1) the bonus that she would have earned had she remained employed for the full year in which termination occurs, based on actual achievement and (2) her target annual bonus for the fiscal year in which the date of termination occurs;</w:t>
      </w:r>
    </w:p>
    <w:p>
      <w:pPr>
        <w:spacing w:after="0" w:line="2"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company-paid COBRA premium payments for up to 15 months; and</w:t>
      </w:r>
    </w:p>
    <w:p>
      <w:pPr>
        <w:ind w:left="740" w:right="140" w:hanging="359"/>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accelerated vesting of all equity awards which vest based solely on continued service with us or the passage of time, with awards that vest based on the achievement of performance objectives or conditions eligible to vest based on the applicable award agreement.</w:t>
      </w:r>
    </w:p>
    <w:p>
      <w:pPr>
        <w:spacing w:after="0" w:line="150" w:lineRule="exact"/>
        <w:rPr>
          <w:sz w:val="20"/>
          <w:szCs w:val="20"/>
          <w:color w:val="auto"/>
        </w:rPr>
      </w:pPr>
    </w:p>
    <w:p>
      <w:pPr>
        <w:ind w:left="20" w:right="340"/>
        <w:spacing w:after="0" w:line="247" w:lineRule="auto"/>
        <w:rPr>
          <w:sz w:val="20"/>
          <w:szCs w:val="20"/>
          <w:color w:val="auto"/>
        </w:rPr>
      </w:pPr>
      <w:r>
        <w:rPr>
          <w:rFonts w:ascii="Arial" w:cs="Arial" w:eastAsia="Arial" w:hAnsi="Arial"/>
          <w:sz w:val="18"/>
          <w:szCs w:val="18"/>
          <w:color w:val="auto"/>
        </w:rPr>
        <w:t>Under the Severance Plan, in the event of a termination of Mr. Steinberg’s employment by us without “cause” (as defined in the Severance Plan) or by him for “good reason” (as defined in the Severance Plan), he will be eligible to receive the following benefits:</w:t>
      </w:r>
    </w:p>
    <w:p>
      <w:pPr>
        <w:spacing w:after="0" w:line="157" w:lineRule="exact"/>
        <w:rPr>
          <w:sz w:val="20"/>
          <w:szCs w:val="20"/>
          <w:color w:val="auto"/>
        </w:rPr>
      </w:pPr>
    </w:p>
    <w:p>
      <w:pPr>
        <w:ind w:left="740" w:right="220" w:hanging="359"/>
        <w:spacing w:after="0" w:line="239"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cash payment equal to 0.5x Mr. Steinberg’s then-current base salary because he has been employed with us for less than five years, payable in installments over a period of years or partial years equal to his severance multiple;</w:t>
      </w:r>
    </w:p>
    <w:p>
      <w:pPr>
        <w:spacing w:after="0" w:line="1" w:lineRule="exact"/>
        <w:rPr>
          <w:rFonts w:ascii="Arial" w:cs="Arial" w:eastAsia="Arial" w:hAnsi="Arial"/>
          <w:sz w:val="18"/>
          <w:szCs w:val="18"/>
          <w:color w:val="auto"/>
        </w:rPr>
      </w:pPr>
    </w:p>
    <w:p>
      <w:pPr>
        <w:ind w:left="740" w:right="440" w:hanging="359"/>
        <w:spacing w:after="0" w:line="234"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lump-sum cash payment equal to the cash bonus with respect to the fiscal year in which such named executive officer’s termination of employment occurs, based on actual achievement of any applicable company performance goals or objectives and any applicable individual performance goals or objectives, prorated for the number of days the named executive officer was employed during that fiscal year; and</w:t>
      </w:r>
    </w:p>
    <w:p>
      <w:pPr>
        <w:spacing w:after="0" w:line="2" w:lineRule="exact"/>
        <w:rPr>
          <w:rFonts w:ascii="Arial" w:cs="Arial" w:eastAsia="Arial" w:hAnsi="Arial"/>
          <w:sz w:val="18"/>
          <w:szCs w:val="18"/>
          <w:color w:val="auto"/>
        </w:rPr>
      </w:pPr>
    </w:p>
    <w:p>
      <w:pPr>
        <w:ind w:left="740" w:hanging="359"/>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company-paid COBRA premium payments for up to 6 months.</w:t>
      </w:r>
    </w:p>
    <w:p>
      <w:pPr>
        <w:spacing w:after="0" w:line="159" w:lineRule="exact"/>
        <w:rPr>
          <w:sz w:val="20"/>
          <w:szCs w:val="20"/>
          <w:color w:val="auto"/>
        </w:rPr>
      </w:pPr>
    </w:p>
    <w:p>
      <w:pPr>
        <w:ind w:left="20" w:right="100"/>
        <w:spacing w:after="0" w:line="239" w:lineRule="auto"/>
        <w:rPr>
          <w:sz w:val="20"/>
          <w:szCs w:val="20"/>
          <w:color w:val="auto"/>
        </w:rPr>
      </w:pPr>
      <w:r>
        <w:rPr>
          <w:rFonts w:ascii="Arial" w:cs="Arial" w:eastAsia="Arial" w:hAnsi="Arial"/>
          <w:sz w:val="18"/>
          <w:szCs w:val="18"/>
          <w:color w:val="auto"/>
        </w:rPr>
        <w:t>In the event of a termination of Mr. Steinberg’s employment by us without “cause” or by him for “good reason” during the period beginning three months before and ending on the 12-month anniversary of a “change in control” (as defined in the Severance Plan), he will be eligible to receive the following benefits:</w:t>
      </w:r>
    </w:p>
    <w:p>
      <w:pPr>
        <w:ind w:left="740" w:hanging="359"/>
        <w:spacing w:after="0" w:line="236"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lump sum cash payment equal to 1.0x Mr. Steinberg’s then-current annual base salary;</w:t>
      </w:r>
    </w:p>
    <w:p>
      <w:pPr>
        <w:ind w:left="740" w:right="400" w:hanging="359"/>
        <w:spacing w:after="0" w:line="234"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lump sum cash payment equal to 1.0x the greater of (1) the bonus that he would have earned had he remained employed for the full year in which termination occurs, based on actual achievement and (2) his target annual bonus for the fiscal year in which the date of termination occurs;</w:t>
      </w:r>
    </w:p>
    <w:p>
      <w:pPr>
        <w:spacing w:after="0" w:line="2"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company-paid COBRA premium payments for up to 12 months; and</w:t>
      </w:r>
    </w:p>
    <w:p>
      <w:pPr>
        <w:ind w:left="740" w:right="380" w:hanging="359"/>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accelerated vesting of all equity awards which vest based solely on his continued service with us or the passage of time, with awards that vest based on the achievement of performance objectives or conditions eligible to vest based on the applicable award agreement.</w:t>
      </w: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2" w:lineRule="exact"/>
        <w:rPr>
          <w:sz w:val="20"/>
          <w:szCs w:val="20"/>
          <w:color w:val="auto"/>
        </w:rPr>
      </w:pPr>
    </w:p>
    <w:p>
      <w:pPr>
        <w:ind w:left="20" w:right="140"/>
        <w:spacing w:after="0" w:line="247" w:lineRule="auto"/>
        <w:rPr>
          <w:sz w:val="20"/>
          <w:szCs w:val="20"/>
          <w:color w:val="auto"/>
        </w:rPr>
      </w:pPr>
      <w:r>
        <w:rPr>
          <w:rFonts w:ascii="Arial" w:cs="Arial" w:eastAsia="Arial" w:hAnsi="Arial"/>
          <w:sz w:val="18"/>
          <w:szCs w:val="18"/>
          <w:color w:val="auto"/>
        </w:rPr>
        <w:t>In the event that Ms. Salinas or Mr. Steinberg provides at least three months’ advance notice of their intent to resign without good reason, such named executive officer will be entitled to an additional fiscal quarter of acceleration of the named executive officer’s outstanding equity awards subject to the passage of time.</w:t>
      </w:r>
    </w:p>
    <w:p>
      <w:pPr>
        <w:spacing w:after="0" w:line="157"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Any named executive officer’s right to receive the severance payments and benefits described above is subject to their delivery and, as applicable, non-revocation of a general release of claims in our favor, and their continued compliance with any applicable restrictive covenants.</w:t>
      </w:r>
    </w:p>
    <w:p>
      <w:pPr>
        <w:spacing w:after="0" w:line="144" w:lineRule="exact"/>
        <w:rPr>
          <w:sz w:val="20"/>
          <w:szCs w:val="20"/>
          <w:color w:val="auto"/>
        </w:rPr>
      </w:pPr>
    </w:p>
    <w:p>
      <w:pPr>
        <w:ind w:left="20" w:right="260"/>
        <w:spacing w:after="0" w:line="243" w:lineRule="auto"/>
        <w:rPr>
          <w:sz w:val="20"/>
          <w:szCs w:val="20"/>
          <w:color w:val="auto"/>
        </w:rPr>
      </w:pPr>
      <w:r>
        <w:rPr>
          <w:rFonts w:ascii="Arial" w:cs="Arial" w:eastAsia="Arial" w:hAnsi="Arial"/>
          <w:sz w:val="18"/>
          <w:szCs w:val="18"/>
          <w:color w:val="auto"/>
        </w:rPr>
        <w:t>In addition, in the event that any payment under the Severance Plan, together with any other amounts paid to the participant by us, would subject such participant to an excise tax under Section 4999 of the Internal Revenue Code, such payments will be reduced to the extent that such reduction would produce a better net after-tax result for the named executive officer.</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265" w:right="125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68" w:lineRule="exact"/>
        <w:rPr>
          <w:sz w:val="20"/>
          <w:szCs w:val="20"/>
          <w:color w:val="auto"/>
        </w:rPr>
      </w:pPr>
    </w:p>
    <w:p>
      <w:pPr>
        <w:ind w:left="20" w:right="1280"/>
        <w:spacing w:after="0" w:line="276" w:lineRule="auto"/>
        <w:rPr>
          <w:sz w:val="20"/>
          <w:szCs w:val="20"/>
          <w:color w:val="auto"/>
        </w:rPr>
      </w:pPr>
      <w:r>
        <w:rPr>
          <w:rFonts w:ascii="Arial" w:cs="Arial" w:eastAsia="Arial" w:hAnsi="Arial"/>
          <w:sz w:val="65"/>
          <w:szCs w:val="65"/>
          <w:b w:val="1"/>
          <w:bCs w:val="1"/>
          <w:color w:val="auto"/>
        </w:rPr>
        <w:t>Equity Compensation Plan Information</w:t>
      </w:r>
    </w:p>
    <w:p>
      <w:pPr>
        <w:spacing w:after="0" w:line="3" w:lineRule="exact"/>
        <w:rPr>
          <w:sz w:val="20"/>
          <w:szCs w:val="20"/>
          <w:color w:val="auto"/>
        </w:rPr>
      </w:pPr>
    </w:p>
    <w:p>
      <w:pPr>
        <w:ind w:left="20" w:right="120"/>
        <w:spacing w:after="0" w:line="260" w:lineRule="auto"/>
        <w:rPr>
          <w:sz w:val="20"/>
          <w:szCs w:val="20"/>
          <w:color w:val="auto"/>
        </w:rPr>
      </w:pPr>
      <w:r>
        <w:rPr>
          <w:rFonts w:ascii="Arial" w:cs="Arial" w:eastAsia="Arial" w:hAnsi="Arial"/>
          <w:sz w:val="18"/>
          <w:szCs w:val="18"/>
          <w:color w:val="auto"/>
        </w:rPr>
        <w:t>The following table provides information as of January 31, 2023, with respect to the shares of the Company’s common stock that may be issued under the Company’s existing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6035040" cy="10890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5040" cy="1089025"/>
                    </a:xfrm>
                    <a:prstGeom prst="rect">
                      <a:avLst/>
                    </a:prstGeom>
                    <a:noFill/>
                  </pic:spPr>
                </pic:pic>
              </a:graphicData>
            </a:graphic>
          </wp:anchor>
        </w:drawing>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20" w:type="dxa"/>
            <w:vAlign w:val="bottom"/>
          </w:tcPr>
          <w:p>
            <w:pPr>
              <w:ind w:left="2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ind w:left="22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ind w:left="22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Securities</w:t>
            </w: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 be Issued</w:t>
            </w: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Available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Exercise</w:t>
            </w: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9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Plan Category</w:t>
            </w:r>
          </w:p>
        </w:tc>
        <w:tc>
          <w:tcPr>
            <w:tcW w:w="260" w:type="dxa"/>
            <w:vAlign w:val="bottom"/>
          </w:tcPr>
          <w:p>
            <w:pPr>
              <w:ind w:left="20"/>
              <w:spacing w:after="0"/>
              <w:rPr>
                <w:sz w:val="20"/>
                <w:szCs w:val="20"/>
                <w:color w:val="auto"/>
              </w:rPr>
            </w:pPr>
            <w:r>
              <w:rPr>
                <w:rFonts w:ascii="Arial" w:cs="Arial" w:eastAsia="Arial" w:hAnsi="Arial"/>
                <w:sz w:val="4"/>
                <w:szCs w:val="4"/>
                <w:color w:val="auto"/>
              </w:rPr>
              <w:t>​</w:t>
            </w:r>
          </w:p>
        </w:tc>
        <w:tc>
          <w:tcPr>
            <w:tcW w:w="440" w:type="dxa"/>
            <w:vAlign w:val="bottom"/>
          </w:tcPr>
          <w:p>
            <w:pPr>
              <w:ind w:left="220"/>
              <w:spacing w:after="0"/>
              <w:rPr>
                <w:sz w:val="20"/>
                <w:szCs w:val="20"/>
                <w:color w:val="auto"/>
              </w:rPr>
            </w:pPr>
            <w:r>
              <w:rPr>
                <w:rFonts w:ascii="Arial" w:cs="Arial" w:eastAsia="Arial" w:hAnsi="Arial"/>
                <w:sz w:val="4"/>
                <w:szCs w:val="4"/>
                <w:color w:val="auto"/>
              </w:rPr>
              <w:t>​</w:t>
            </w:r>
          </w:p>
        </w:tc>
        <w:tc>
          <w:tcPr>
            <w:tcW w:w="10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Upon</w:t>
            </w:r>
          </w:p>
        </w:tc>
        <w:tc>
          <w:tcPr>
            <w:tcW w:w="240" w:type="dxa"/>
            <w:vAlign w:val="bottom"/>
          </w:tcPr>
          <w:p>
            <w:pPr>
              <w:jc w:val="right"/>
              <w:ind w:right="211"/>
              <w:spacing w:after="0"/>
              <w:rPr>
                <w:sz w:val="20"/>
                <w:szCs w:val="20"/>
                <w:color w:val="auto"/>
              </w:rPr>
            </w:pPr>
            <w:r>
              <w:rPr>
                <w:rFonts w:ascii="Arial" w:cs="Arial" w:eastAsia="Arial" w:hAnsi="Arial"/>
                <w:sz w:val="2"/>
                <w:szCs w:val="2"/>
                <w:color w:val="auto"/>
                <w:w w:val="4294942296"/>
              </w:rPr>
              <w:t>​</w:t>
            </w:r>
          </w:p>
        </w:tc>
        <w:tc>
          <w:tcPr>
            <w:tcW w:w="440" w:type="dxa"/>
            <w:vAlign w:val="bottom"/>
          </w:tcPr>
          <w:p>
            <w:pPr>
              <w:ind w:left="220"/>
              <w:spacing w:after="0"/>
              <w:rPr>
                <w:sz w:val="20"/>
                <w:szCs w:val="20"/>
                <w:color w:val="auto"/>
              </w:rPr>
            </w:pPr>
            <w:r>
              <w:rPr>
                <w:rFonts w:ascii="Arial" w:cs="Arial" w:eastAsia="Arial" w:hAnsi="Arial"/>
                <w:sz w:val="4"/>
                <w:szCs w:val="4"/>
                <w:color w:val="auto"/>
              </w:rPr>
              <w:t>​</w:t>
            </w:r>
          </w:p>
        </w:tc>
        <w:tc>
          <w:tcPr>
            <w:tcW w:w="1120" w:type="dxa"/>
            <w:vAlign w:val="bottom"/>
            <w:vMerge w:val="continue"/>
          </w:tcPr>
          <w:p>
            <w:pPr>
              <w:spacing w:after="0"/>
              <w:rPr>
                <w:sz w:val="9"/>
                <w:szCs w:val="9"/>
                <w:color w:val="auto"/>
              </w:rPr>
            </w:pPr>
          </w:p>
        </w:tc>
        <w:tc>
          <w:tcPr>
            <w:tcW w:w="240" w:type="dxa"/>
            <w:vAlign w:val="bottom"/>
          </w:tcPr>
          <w:p>
            <w:pPr>
              <w:jc w:val="right"/>
              <w:ind w:right="211"/>
              <w:spacing w:after="0"/>
              <w:rPr>
                <w:sz w:val="20"/>
                <w:szCs w:val="20"/>
                <w:color w:val="auto"/>
              </w:rPr>
            </w:pPr>
            <w:r>
              <w:rPr>
                <w:rFonts w:ascii="Arial" w:cs="Arial" w:eastAsia="Arial" w:hAnsi="Arial"/>
                <w:sz w:val="2"/>
                <w:szCs w:val="2"/>
                <w:color w:val="auto"/>
                <w:w w:val="4294942296"/>
              </w:rPr>
              <w:t>​</w:t>
            </w:r>
          </w:p>
        </w:tc>
        <w:tc>
          <w:tcPr>
            <w:tcW w:w="440" w:type="dxa"/>
            <w:vAlign w:val="bottom"/>
          </w:tcPr>
          <w:p>
            <w:pPr>
              <w:ind w:left="220"/>
              <w:spacing w:after="0"/>
              <w:rPr>
                <w:sz w:val="20"/>
                <w:szCs w:val="20"/>
                <w:color w:val="auto"/>
              </w:rPr>
            </w:pPr>
            <w:r>
              <w:rPr>
                <w:rFonts w:ascii="Arial" w:cs="Arial" w:eastAsia="Arial" w:hAnsi="Arial"/>
                <w:sz w:val="4"/>
                <w:szCs w:val="4"/>
                <w:color w:val="auto"/>
              </w:rPr>
              <w:t>​</w:t>
            </w:r>
          </w:p>
        </w:tc>
        <w:tc>
          <w:tcPr>
            <w:tcW w:w="12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for Future</w:t>
            </w:r>
          </w:p>
        </w:tc>
        <w:tc>
          <w:tcPr>
            <w:tcW w:w="100" w:type="dxa"/>
            <w:vAlign w:val="bottom"/>
          </w:tcPr>
          <w:p>
            <w:pPr>
              <w:jc w:val="right"/>
              <w:ind w:right="8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54"/>
        </w:trPr>
        <w:tc>
          <w:tcPr>
            <w:tcW w:w="39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20" w:type="dxa"/>
            <w:vAlign w:val="bottom"/>
            <w:vMerge w:val="restart"/>
          </w:tcPr>
          <w:p>
            <w:pPr>
              <w:ind w:left="220"/>
              <w:spacing w:after="0" w:line="135" w:lineRule="exact"/>
              <w:rPr>
                <w:sz w:val="20"/>
                <w:szCs w:val="20"/>
                <w:color w:val="auto"/>
              </w:rPr>
            </w:pPr>
            <w:r>
              <w:rPr>
                <w:rFonts w:ascii="Arial" w:cs="Arial" w:eastAsia="Arial" w:hAnsi="Arial"/>
                <w:sz w:val="14"/>
                <w:szCs w:val="14"/>
                <w:b w:val="1"/>
                <w:bCs w:val="1"/>
                <w:color w:val="auto"/>
              </w:rPr>
              <w:t>Price of</w:t>
            </w: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Exercise of</w:t>
            </w: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Issuance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vMerge w:val="restart"/>
          </w:tcPr>
          <w:p>
            <w:pPr>
              <w:ind w:left="220"/>
              <w:spacing w:after="0" w:line="148" w:lineRule="exact"/>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3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vMerge w:val="restart"/>
          </w:tcPr>
          <w:p>
            <w:pPr>
              <w:ind w:left="220"/>
              <w:spacing w:after="0" w:line="148" w:lineRule="exact"/>
              <w:rPr>
                <w:sz w:val="20"/>
                <w:szCs w:val="20"/>
                <w:color w:val="auto"/>
              </w:rPr>
            </w:pPr>
            <w:r>
              <w:rPr>
                <w:rFonts w:ascii="Arial" w:cs="Arial" w:eastAsia="Arial" w:hAnsi="Arial"/>
                <w:sz w:val="14"/>
                <w:szCs w:val="14"/>
                <w:b w:val="1"/>
                <w:bCs w:val="1"/>
                <w:color w:val="auto"/>
                <w:w w:val="99"/>
              </w:rPr>
              <w:t>Outstanding</w:t>
            </w: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20" w:type="dxa"/>
            <w:vAlign w:val="bottom"/>
            <w:vMerge w:val="restart"/>
          </w:tcPr>
          <w:p>
            <w:pPr>
              <w:ind w:left="220"/>
              <w:spacing w:after="0" w:line="148" w:lineRule="exact"/>
              <w:rPr>
                <w:sz w:val="20"/>
                <w:szCs w:val="20"/>
                <w:color w:val="auto"/>
              </w:rPr>
            </w:pPr>
            <w:r>
              <w:rPr>
                <w:rFonts w:ascii="Arial" w:cs="Arial" w:eastAsia="Arial" w:hAnsi="Arial"/>
                <w:sz w:val="14"/>
                <w:szCs w:val="14"/>
                <w:b w:val="1"/>
                <w:bCs w:val="1"/>
                <w:color w:val="auto"/>
              </w:rPr>
              <w:t>Under Equity</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vMerge w:val="restart"/>
          </w:tcPr>
          <w:p>
            <w:pPr>
              <w:ind w:left="220"/>
              <w:spacing w:after="0" w:line="243" w:lineRule="exact"/>
              <w:rPr>
                <w:sz w:val="20"/>
                <w:szCs w:val="20"/>
                <w:color w:val="auto"/>
              </w:rPr>
            </w:pPr>
            <w:r>
              <w:rPr>
                <w:rFonts w:ascii="Arial" w:cs="Arial" w:eastAsia="Arial" w:hAnsi="Arial"/>
                <w:sz w:val="14"/>
                <w:szCs w:val="14"/>
                <w:b w:val="1"/>
                <w:bCs w:val="1"/>
                <w:color w:val="auto"/>
                <w:w w:val="94"/>
              </w:rPr>
              <w:t>Options ($)</w:t>
            </w:r>
            <w:r>
              <w:rPr>
                <w:rFonts w:ascii="Arial" w:cs="Arial" w:eastAsia="Arial" w:hAnsi="Arial"/>
                <w:sz w:val="23"/>
                <w:szCs w:val="23"/>
                <w:b w:val="1"/>
                <w:bCs w:val="1"/>
                <w:color w:val="auto"/>
                <w:w w:val="94"/>
                <w:vertAlign w:val="superscript"/>
              </w:rPr>
              <w:t>(2)</w:t>
            </w: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ind w:left="220"/>
              <w:spacing w:after="0" w:line="162" w:lineRule="exact"/>
              <w:rPr>
                <w:sz w:val="20"/>
                <w:szCs w:val="20"/>
                <w:color w:val="auto"/>
              </w:rPr>
            </w:pPr>
            <w:r>
              <w:rPr>
                <w:rFonts w:ascii="Arial" w:cs="Arial" w:eastAsia="Arial" w:hAnsi="Arial"/>
                <w:sz w:val="12"/>
                <w:szCs w:val="12"/>
                <w:b w:val="1"/>
                <w:bCs w:val="1"/>
                <w:color w:val="auto"/>
              </w:rPr>
              <w:t>Securities</w:t>
            </w:r>
            <w:r>
              <w:rPr>
                <w:rFonts w:ascii="Arial" w:cs="Arial" w:eastAsia="Arial" w:hAnsi="Arial"/>
                <w:sz w:val="18"/>
                <w:szCs w:val="18"/>
                <w:b w:val="1"/>
                <w:bCs w:val="1"/>
                <w:color w:val="auto"/>
                <w:vertAlign w:val="superscript"/>
              </w:rPr>
              <w:t>(1)</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ind w:left="220"/>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Plans</w:t>
            </w:r>
            <w:r>
              <w:rPr>
                <w:rFonts w:ascii="Arial" w:cs="Arial" w:eastAsia="Arial" w:hAnsi="Arial"/>
                <w:sz w:val="23"/>
                <w:szCs w:val="23"/>
                <w:b w:val="1"/>
                <w:bCs w:val="1"/>
                <w:color w:val="auto"/>
                <w:vertAlign w:val="superscript"/>
              </w:rPr>
              <w:t>(3)</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39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Equity compensation plans approved by security holders</w:t>
            </w:r>
            <w:r>
              <w:rPr>
                <w:rFonts w:ascii="Arial" w:cs="Arial" w:eastAsia="Arial" w:hAnsi="Arial"/>
                <w:sz w:val="23"/>
                <w:szCs w:val="23"/>
                <w:color w:val="auto"/>
                <w:vertAlign w:val="superscript"/>
              </w:rPr>
              <w:t>(4)</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4"/>
                <w:szCs w:val="4"/>
                <w:color w:val="auto"/>
              </w:rPr>
              <w:t>​</w:t>
            </w: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4"/>
                <w:szCs w:val="4"/>
                <w:color w:val="auto"/>
              </w:rPr>
              <w:t>​</w:t>
            </w:r>
          </w:p>
        </w:tc>
        <w:tc>
          <w:tcPr>
            <w:tcW w:w="130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4"/>
                <w:szCs w:val="14"/>
                <w:color w:val="auto"/>
              </w:rPr>
              <w:t>14,036,768</w:t>
            </w:r>
            <w:r>
              <w:rPr>
                <w:rFonts w:ascii="Arial" w:cs="Arial" w:eastAsia="Arial" w:hAnsi="Arial"/>
                <w:sz w:val="3"/>
                <w:szCs w:val="3"/>
                <w:color w:val="auto"/>
              </w:rPr>
              <w:t>​</w:t>
            </w: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4"/>
                <w:szCs w:val="4"/>
                <w:color w:val="auto"/>
              </w:rPr>
              <w:t>​</w:t>
            </w:r>
          </w:p>
        </w:tc>
        <w:tc>
          <w:tcPr>
            <w:tcW w:w="136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4"/>
                <w:szCs w:val="14"/>
                <w:color w:val="auto"/>
              </w:rPr>
              <w:t>7.33</w:t>
            </w:r>
            <w:r>
              <w:rPr>
                <w:rFonts w:ascii="Arial" w:cs="Arial" w:eastAsia="Arial" w:hAnsi="Arial"/>
                <w:sz w:val="3"/>
                <w:szCs w:val="3"/>
                <w:color w:val="auto"/>
              </w:rPr>
              <w:t>​</w:t>
            </w: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4"/>
                <w:szCs w:val="4"/>
                <w:color w:val="auto"/>
              </w:rPr>
              <w:t>​</w:t>
            </w:r>
          </w:p>
        </w:tc>
        <w:tc>
          <w:tcPr>
            <w:tcW w:w="132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color w:val="auto"/>
              </w:rPr>
              <w:t>8,095,260</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297"/>
        </w:trPr>
        <w:tc>
          <w:tcPr>
            <w:tcW w:w="3940" w:type="dxa"/>
            <w:vAlign w:val="bottom"/>
          </w:tcPr>
          <w:p>
            <w:pPr>
              <w:ind w:left="160"/>
              <w:spacing w:after="0"/>
              <w:rPr>
                <w:sz w:val="20"/>
                <w:szCs w:val="20"/>
                <w:color w:val="auto"/>
              </w:rPr>
            </w:pPr>
            <w:r>
              <w:rPr>
                <w:rFonts w:ascii="Arial" w:cs="Arial" w:eastAsia="Arial" w:hAnsi="Arial"/>
                <w:sz w:val="14"/>
                <w:szCs w:val="14"/>
                <w:color w:val="auto"/>
              </w:rPr>
              <w:t>Equity compensation plans not approved by security</w:t>
            </w:r>
          </w:p>
        </w:tc>
        <w:tc>
          <w:tcPr>
            <w:tcW w:w="260" w:type="dxa"/>
            <w:vAlign w:val="bottom"/>
          </w:tcPr>
          <w:p>
            <w:pPr>
              <w:ind w:left="20"/>
              <w:spacing w:after="0"/>
              <w:rPr>
                <w:sz w:val="20"/>
                <w:szCs w:val="20"/>
                <w:color w:val="auto"/>
              </w:rPr>
            </w:pPr>
            <w:r>
              <w:rPr>
                <w:rFonts w:ascii="Arial" w:cs="Arial" w:eastAsia="Arial" w:hAnsi="Arial"/>
                <w:sz w:val="4"/>
                <w:szCs w:val="4"/>
                <w:color w:val="auto"/>
              </w:rPr>
              <w:t>​</w:t>
            </w:r>
          </w:p>
        </w:tc>
        <w:tc>
          <w:tcPr>
            <w:tcW w:w="440" w:type="dxa"/>
            <w:vAlign w:val="bottom"/>
          </w:tcPr>
          <w:p>
            <w:pPr>
              <w:ind w:left="220"/>
              <w:spacing w:after="0"/>
              <w:rPr>
                <w:sz w:val="20"/>
                <w:szCs w:val="20"/>
                <w:color w:val="auto"/>
              </w:rPr>
            </w:pPr>
            <w:r>
              <w:rPr>
                <w:rFonts w:ascii="Arial" w:cs="Arial" w:eastAsia="Arial" w:hAnsi="Arial"/>
                <w:sz w:val="4"/>
                <w:szCs w:val="4"/>
                <w:color w:val="auto"/>
              </w:rPr>
              <w:t>​</w:t>
            </w:r>
          </w:p>
        </w:tc>
        <w:tc>
          <w:tcPr>
            <w:tcW w:w="1300" w:type="dxa"/>
            <w:vAlign w:val="bottom"/>
            <w:gridSpan w:val="2"/>
          </w:tcPr>
          <w:p>
            <w:pPr>
              <w:jc w:val="right"/>
              <w:ind w:right="211"/>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440" w:type="dxa"/>
            <w:vAlign w:val="bottom"/>
          </w:tcPr>
          <w:p>
            <w:pPr>
              <w:ind w:left="220"/>
              <w:spacing w:after="0"/>
              <w:rPr>
                <w:sz w:val="20"/>
                <w:szCs w:val="20"/>
                <w:color w:val="auto"/>
              </w:rPr>
            </w:pPr>
            <w:r>
              <w:rPr>
                <w:rFonts w:ascii="Arial" w:cs="Arial" w:eastAsia="Arial" w:hAnsi="Arial"/>
                <w:sz w:val="4"/>
                <w:szCs w:val="4"/>
                <w:color w:val="auto"/>
              </w:rPr>
              <w:t>​</w:t>
            </w:r>
          </w:p>
        </w:tc>
        <w:tc>
          <w:tcPr>
            <w:tcW w:w="1360" w:type="dxa"/>
            <w:vAlign w:val="bottom"/>
            <w:gridSpan w:val="2"/>
          </w:tcPr>
          <w:p>
            <w:pPr>
              <w:jc w:val="right"/>
              <w:ind w:right="211"/>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440" w:type="dxa"/>
            <w:vAlign w:val="bottom"/>
          </w:tcPr>
          <w:p>
            <w:pPr>
              <w:ind w:left="220"/>
              <w:spacing w:after="0"/>
              <w:rPr>
                <w:sz w:val="20"/>
                <w:szCs w:val="20"/>
                <w:color w:val="auto"/>
              </w:rPr>
            </w:pPr>
            <w:r>
              <w:rPr>
                <w:rFonts w:ascii="Arial" w:cs="Arial" w:eastAsia="Arial" w:hAnsi="Arial"/>
                <w:sz w:val="4"/>
                <w:szCs w:val="4"/>
                <w:color w:val="auto"/>
              </w:rPr>
              <w:t>​</w:t>
            </w:r>
          </w:p>
        </w:tc>
        <w:tc>
          <w:tcPr>
            <w:tcW w:w="1320" w:type="dxa"/>
            <w:vAlign w:val="bottom"/>
            <w:gridSpan w:val="2"/>
          </w:tcPr>
          <w:p>
            <w:pPr>
              <w:jc w:val="right"/>
              <w:ind w:right="82"/>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182"/>
        </w:trPr>
        <w:tc>
          <w:tcPr>
            <w:tcW w:w="3940" w:type="dxa"/>
            <w:vAlign w:val="bottom"/>
          </w:tcPr>
          <w:p>
            <w:pPr>
              <w:ind w:left="340"/>
              <w:spacing w:after="0"/>
              <w:rPr>
                <w:sz w:val="20"/>
                <w:szCs w:val="20"/>
                <w:color w:val="auto"/>
              </w:rPr>
            </w:pPr>
            <w:r>
              <w:rPr>
                <w:rFonts w:ascii="Arial" w:cs="Arial" w:eastAsia="Arial" w:hAnsi="Arial"/>
                <w:sz w:val="14"/>
                <w:szCs w:val="14"/>
                <w:color w:val="auto"/>
              </w:rPr>
              <w:t>holders</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39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3940" w:type="dxa"/>
            <w:vAlign w:val="bottom"/>
          </w:tcPr>
          <w:p>
            <w:pPr>
              <w:ind w:left="160"/>
              <w:spacing w:after="0"/>
              <w:rPr>
                <w:sz w:val="20"/>
                <w:szCs w:val="20"/>
                <w:color w:val="auto"/>
              </w:rPr>
            </w:pPr>
            <w:r>
              <w:rPr>
                <w:rFonts w:ascii="Arial" w:cs="Arial" w:eastAsia="Arial" w:hAnsi="Arial"/>
                <w:sz w:val="14"/>
                <w:szCs w:val="14"/>
                <w:color w:val="auto"/>
              </w:rPr>
              <w:t>Totals</w:t>
            </w:r>
          </w:p>
        </w:tc>
        <w:tc>
          <w:tcPr>
            <w:tcW w:w="260" w:type="dxa"/>
            <w:vAlign w:val="bottom"/>
          </w:tcPr>
          <w:p>
            <w:pPr>
              <w:ind w:left="20"/>
              <w:spacing w:after="0"/>
              <w:rPr>
                <w:sz w:val="20"/>
                <w:szCs w:val="20"/>
                <w:color w:val="auto"/>
              </w:rPr>
            </w:pPr>
            <w:r>
              <w:rPr>
                <w:rFonts w:ascii="Arial" w:cs="Arial" w:eastAsia="Arial" w:hAnsi="Arial"/>
                <w:sz w:val="4"/>
                <w:szCs w:val="4"/>
                <w:color w:val="auto"/>
              </w:rPr>
              <w:t>​</w:t>
            </w:r>
          </w:p>
        </w:tc>
        <w:tc>
          <w:tcPr>
            <w:tcW w:w="440" w:type="dxa"/>
            <w:vAlign w:val="bottom"/>
          </w:tcPr>
          <w:p>
            <w:pPr>
              <w:ind w:left="220"/>
              <w:spacing w:after="0"/>
              <w:rPr>
                <w:sz w:val="20"/>
                <w:szCs w:val="20"/>
                <w:color w:val="auto"/>
              </w:rPr>
            </w:pPr>
            <w:r>
              <w:rPr>
                <w:rFonts w:ascii="Arial" w:cs="Arial" w:eastAsia="Arial" w:hAnsi="Arial"/>
                <w:sz w:val="4"/>
                <w:szCs w:val="4"/>
                <w:color w:val="auto"/>
              </w:rPr>
              <w:t>​</w:t>
            </w:r>
          </w:p>
        </w:tc>
        <w:tc>
          <w:tcPr>
            <w:tcW w:w="1300" w:type="dxa"/>
            <w:vAlign w:val="bottom"/>
            <w:gridSpan w:val="2"/>
          </w:tcPr>
          <w:p>
            <w:pPr>
              <w:jc w:val="right"/>
              <w:ind w:right="211"/>
              <w:spacing w:after="0"/>
              <w:rPr>
                <w:sz w:val="20"/>
                <w:szCs w:val="20"/>
                <w:color w:val="auto"/>
              </w:rPr>
            </w:pPr>
            <w:r>
              <w:rPr>
                <w:rFonts w:ascii="Arial" w:cs="Arial" w:eastAsia="Arial" w:hAnsi="Arial"/>
                <w:sz w:val="14"/>
                <w:szCs w:val="14"/>
                <w:color w:val="auto"/>
              </w:rPr>
              <w:t>14,036,768</w:t>
            </w:r>
            <w:r>
              <w:rPr>
                <w:rFonts w:ascii="Arial" w:cs="Arial" w:eastAsia="Arial" w:hAnsi="Arial"/>
                <w:sz w:val="3"/>
                <w:szCs w:val="3"/>
                <w:color w:val="auto"/>
              </w:rPr>
              <w:t>​</w:t>
            </w:r>
          </w:p>
        </w:tc>
        <w:tc>
          <w:tcPr>
            <w:tcW w:w="440" w:type="dxa"/>
            <w:vAlign w:val="bottom"/>
          </w:tcPr>
          <w:p>
            <w:pPr>
              <w:ind w:left="220"/>
              <w:spacing w:after="0"/>
              <w:rPr>
                <w:sz w:val="20"/>
                <w:szCs w:val="20"/>
                <w:color w:val="auto"/>
              </w:rPr>
            </w:pPr>
            <w:r>
              <w:rPr>
                <w:rFonts w:ascii="Arial" w:cs="Arial" w:eastAsia="Arial" w:hAnsi="Arial"/>
                <w:sz w:val="4"/>
                <w:szCs w:val="4"/>
                <w:color w:val="auto"/>
              </w:rPr>
              <w:t>​</w:t>
            </w:r>
          </w:p>
        </w:tc>
        <w:tc>
          <w:tcPr>
            <w:tcW w:w="1120" w:type="dxa"/>
            <w:vAlign w:val="bottom"/>
          </w:tcPr>
          <w:p>
            <w:pPr>
              <w:spacing w:after="0"/>
              <w:rPr>
                <w:sz w:val="24"/>
                <w:szCs w:val="24"/>
                <w:color w:val="auto"/>
              </w:rPr>
            </w:pPr>
          </w:p>
        </w:tc>
        <w:tc>
          <w:tcPr>
            <w:tcW w:w="240" w:type="dxa"/>
            <w:vAlign w:val="bottom"/>
          </w:tcPr>
          <w:p>
            <w:pPr>
              <w:jc w:val="right"/>
              <w:ind w:right="211"/>
              <w:spacing w:after="0"/>
              <w:rPr>
                <w:sz w:val="20"/>
                <w:szCs w:val="20"/>
                <w:color w:val="auto"/>
              </w:rPr>
            </w:pPr>
            <w:r>
              <w:rPr>
                <w:rFonts w:ascii="Arial" w:cs="Arial" w:eastAsia="Arial" w:hAnsi="Arial"/>
                <w:sz w:val="2"/>
                <w:szCs w:val="2"/>
                <w:color w:val="auto"/>
                <w:w w:val="4294942296"/>
              </w:rPr>
              <w:t>​</w:t>
            </w:r>
          </w:p>
        </w:tc>
        <w:tc>
          <w:tcPr>
            <w:tcW w:w="440" w:type="dxa"/>
            <w:vAlign w:val="bottom"/>
          </w:tcPr>
          <w:p>
            <w:pPr>
              <w:ind w:left="220"/>
              <w:spacing w:after="0"/>
              <w:rPr>
                <w:sz w:val="20"/>
                <w:szCs w:val="20"/>
                <w:color w:val="auto"/>
              </w:rPr>
            </w:pPr>
            <w:r>
              <w:rPr>
                <w:rFonts w:ascii="Arial" w:cs="Arial" w:eastAsia="Arial" w:hAnsi="Arial"/>
                <w:sz w:val="4"/>
                <w:szCs w:val="4"/>
                <w:color w:val="auto"/>
              </w:rPr>
              <w:t>​</w:t>
            </w:r>
          </w:p>
        </w:tc>
        <w:tc>
          <w:tcPr>
            <w:tcW w:w="1320" w:type="dxa"/>
            <w:vAlign w:val="bottom"/>
            <w:gridSpan w:val="2"/>
          </w:tcPr>
          <w:p>
            <w:pPr>
              <w:jc w:val="right"/>
              <w:ind w:right="82"/>
              <w:spacing w:after="0"/>
              <w:rPr>
                <w:sz w:val="20"/>
                <w:szCs w:val="20"/>
                <w:color w:val="auto"/>
              </w:rPr>
            </w:pPr>
            <w:r>
              <w:rPr>
                <w:rFonts w:ascii="Arial" w:cs="Arial" w:eastAsia="Arial" w:hAnsi="Arial"/>
                <w:sz w:val="14"/>
                <w:szCs w:val="14"/>
                <w:color w:val="auto"/>
              </w:rPr>
              <w:t>8,095,260</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9"/>
        </w:trPr>
        <w:tc>
          <w:tcPr>
            <w:tcW w:w="39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right="20" w:hanging="359"/>
        <w:spacing w:after="0" w:line="257" w:lineRule="auto"/>
        <w:tabs>
          <w:tab w:leader="none" w:pos="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shares subject to outstanding awards granted, of which 5,003,630 shares of Class A common stock are subject to outstanding options, 3,057,017 shares of Class B common stock are subject to options, 5,855,105 shares of Class A common stock are subject to outstanding RSUs, and 121,016 shares of Class B common stock are subject to outstanding RSUs.</w:t>
      </w:r>
    </w:p>
    <w:p>
      <w:pPr>
        <w:spacing w:after="0" w:line="22" w:lineRule="exact"/>
        <w:rPr>
          <w:rFonts w:ascii="Arial" w:cs="Arial" w:eastAsia="Arial" w:hAnsi="Arial"/>
          <w:sz w:val="14"/>
          <w:szCs w:val="14"/>
          <w:color w:val="auto"/>
        </w:rPr>
      </w:pPr>
    </w:p>
    <w:p>
      <w:pPr>
        <w:ind w:left="380" w:right="440" w:hanging="359"/>
        <w:spacing w:after="0" w:line="273" w:lineRule="auto"/>
        <w:tabs>
          <w:tab w:leader="none" w:pos="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weighted average exercise price is calculated based solely on the exercise prices of the outstanding options and does not reflect the shares that will be issued upon the vesting of outstanding RSUs, which have no exercise price.</w:t>
      </w:r>
    </w:p>
    <w:p>
      <w:pPr>
        <w:spacing w:after="0" w:line="11" w:lineRule="exact"/>
        <w:rPr>
          <w:rFonts w:ascii="Arial" w:cs="Arial" w:eastAsia="Arial" w:hAnsi="Arial"/>
          <w:sz w:val="14"/>
          <w:szCs w:val="14"/>
          <w:color w:val="auto"/>
        </w:rPr>
      </w:pPr>
    </w:p>
    <w:p>
      <w:pPr>
        <w:ind w:left="380" w:right="60" w:hanging="359"/>
        <w:spacing w:after="0" w:line="252" w:lineRule="auto"/>
        <w:tabs>
          <w:tab w:leader="none" w:pos="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Consists of shares available for future issuance under the 2021 Plan and the 2021 Employee Stock Purchase Plan (the “ESPP”). As of January 31, 2023, 7,224,952 shares of Class A common stock and 0 shares of Class B common stock were available for issuance under the 2021 Plan, and 870,308 shares of Class A common stock were available for issuance under the ESPP. There was no ESPP purchase period in effect as of January 31, 2023 and as a result there were no rights to purchase shares under the ESPP outstanding as of January 31, 2023.</w:t>
      </w:r>
    </w:p>
    <w:p>
      <w:pPr>
        <w:spacing w:after="0" w:line="26" w:lineRule="exact"/>
        <w:rPr>
          <w:sz w:val="20"/>
          <w:szCs w:val="20"/>
          <w:color w:val="auto"/>
        </w:rPr>
      </w:pPr>
    </w:p>
    <w:p>
      <w:pPr>
        <w:ind w:left="380" w:right="80" w:hanging="359"/>
        <w:spacing w:after="0" w:line="247" w:lineRule="auto"/>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2021 Plan and ESPP each contain an “evergreen” provision, which allows for an annual increase in the number of shares of Class A common stock available for issuance under the respective plan on the first day of each year commencing on January 1, 2022 and ending on and including January 1, 2031. The number of shares under the 2021 Plan shall be increased by 5% of the number of shares of Class A common stock issued and outstanding on the immediately preceding December 31, or such lesser number of shares determined by our Board. The number of shares under the ESPP shall be increased by 1% of the number of shares of Class A common stock issued and outstanding on the immediately preceding December 31, or such lesser number of shares determined by our Board.</w:t>
      </w:r>
    </w:p>
    <w:p>
      <w:pPr>
        <w:spacing w:after="0" w:line="31" w:lineRule="exact"/>
        <w:rPr>
          <w:rFonts w:ascii="Arial" w:cs="Arial" w:eastAsia="Arial" w:hAnsi="Arial"/>
          <w:sz w:val="14"/>
          <w:szCs w:val="14"/>
          <w:color w:val="auto"/>
        </w:rPr>
      </w:pPr>
    </w:p>
    <w:p>
      <w:pPr>
        <w:ind w:left="380" w:hanging="359"/>
        <w:spacing w:after="0"/>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 further shares are available for issuance under the 2009 or 2019 Plans.</w:t>
      </w:r>
    </w:p>
    <w:p>
      <w:pPr>
        <w:spacing w:after="0" w:line="55" w:lineRule="exact"/>
        <w:rPr>
          <w:sz w:val="20"/>
          <w:szCs w:val="20"/>
          <w:color w:val="auto"/>
        </w:rPr>
      </w:pPr>
    </w:p>
    <w:p>
      <w:pPr>
        <w:ind w:left="380" w:hanging="359"/>
        <w:spacing w:after="0"/>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Consists of the 2021 Plan, ESPP, 2009 Plan, and 2019 Plan.</w:t>
      </w: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159385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68" w:lineRule="exact"/>
        <w:rPr>
          <w:sz w:val="20"/>
          <w:szCs w:val="20"/>
          <w:color w:val="auto"/>
        </w:rPr>
      </w:pPr>
    </w:p>
    <w:p>
      <w:pPr>
        <w:ind w:left="20" w:right="600"/>
        <w:spacing w:after="0" w:line="280" w:lineRule="auto"/>
        <w:rPr>
          <w:sz w:val="20"/>
          <w:szCs w:val="20"/>
          <w:color w:val="auto"/>
        </w:rPr>
      </w:pPr>
      <w:r>
        <w:rPr>
          <w:rFonts w:ascii="Arial" w:cs="Arial" w:eastAsia="Arial" w:hAnsi="Arial"/>
          <w:sz w:val="64"/>
          <w:szCs w:val="64"/>
          <w:b w:val="1"/>
          <w:bCs w:val="1"/>
          <w:color w:val="auto"/>
        </w:rPr>
        <w:t>Certain Relationships and Related Person Transactions</w:t>
      </w:r>
    </w:p>
    <w:p>
      <w:pPr>
        <w:spacing w:after="0" w:line="5" w:lineRule="exact"/>
        <w:rPr>
          <w:sz w:val="20"/>
          <w:szCs w:val="20"/>
          <w:color w:val="auto"/>
        </w:rPr>
      </w:pPr>
    </w:p>
    <w:p>
      <w:pPr>
        <w:jc w:val="both"/>
        <w:ind w:left="20" w:right="140"/>
        <w:spacing w:after="0" w:line="239"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proxy statement, below we describe transactions since February 1, 2022 and each currently proposed transaction, in which:</w:t>
      </w:r>
    </w:p>
    <w:p>
      <w:pPr>
        <w:ind w:left="740" w:hanging="359"/>
        <w:spacing w:after="0" w:line="236"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ind w:left="740" w:hanging="359"/>
        <w:spacing w:after="0" w:line="234"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ind w:left="740" w:right="60" w:hanging="359"/>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50" w:lineRule="exact"/>
        <w:rPr>
          <w:sz w:val="20"/>
          <w:szCs w:val="20"/>
          <w:color w:val="auto"/>
        </w:rPr>
      </w:pPr>
    </w:p>
    <w:p>
      <w:pPr>
        <w:ind w:left="20" w:right="300"/>
        <w:spacing w:after="0" w:line="247" w:lineRule="auto"/>
        <w:rPr>
          <w:sz w:val="20"/>
          <w:szCs w:val="20"/>
          <w:color w:val="auto"/>
        </w:rPr>
      </w:pPr>
      <w:r>
        <w:rPr>
          <w:rFonts w:ascii="Arial" w:cs="Arial" w:eastAsia="Arial" w:hAnsi="Arial"/>
          <w:sz w:val="18"/>
          <w:szCs w:val="18"/>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Investors’ Rights Agreement</w:t>
      </w:r>
    </w:p>
    <w:p>
      <w:pPr>
        <w:spacing w:after="0" w:line="181" w:lineRule="exact"/>
        <w:rPr>
          <w:sz w:val="20"/>
          <w:szCs w:val="20"/>
          <w:color w:val="auto"/>
        </w:rPr>
      </w:pPr>
    </w:p>
    <w:p>
      <w:pPr>
        <w:ind w:left="20" w:right="40"/>
        <w:spacing w:after="0" w:line="237" w:lineRule="auto"/>
        <w:rPr>
          <w:sz w:val="20"/>
          <w:szCs w:val="20"/>
          <w:color w:val="auto"/>
        </w:rPr>
      </w:pPr>
      <w:r>
        <w:rPr>
          <w:rFonts w:ascii="Arial" w:cs="Arial" w:eastAsia="Arial" w:hAnsi="Arial"/>
          <w:sz w:val="18"/>
          <w:szCs w:val="18"/>
          <w:color w:val="auto"/>
        </w:rPr>
        <w:t>Following our IPO, certain holders of our common stock are entitled to rights with respect to the registration of their shares under the Securities Act. These registration rights are contained in the Eighth Amended and Restated Investors’ Rights Agreement, as amended, or the Investors’ Rights Agreement, which we are a party to, along with certain holders of our capital stock, including our Chief Executive Officer and director, Jennifer Y. Hyman; our director Jennifer Fleiss; entities affiliated with Bain Capital Ventures, a holder of greater than 5% of our outstanding capital stock and affiliate of our director, Scott Friend; entities affiliated with Highland Capital Partners, a holder of greater than 5% of our outstanding capital stock and affiliate of our director, Dan Nova; and entities affiliated with Technology Crossover Ventures, a holder of greater than 5% of our outstanding capital stock. The Investors’ Rights Agreement provides certain holders of our capital stock with certain registration rights, including the right to demand that we file a registration statement or request that their shares be covered by a registration statement that we are otherwise filing. For a description of these registration rights, see the section titled “Description of Capital Stock—Registration Rights.”</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Stockholders Agreement</w:t>
      </w:r>
    </w:p>
    <w:p>
      <w:pPr>
        <w:spacing w:after="0" w:line="195" w:lineRule="exact"/>
        <w:rPr>
          <w:sz w:val="20"/>
          <w:szCs w:val="20"/>
          <w:color w:val="auto"/>
        </w:rPr>
      </w:pPr>
    </w:p>
    <w:p>
      <w:pPr>
        <w:ind w:left="20" w:right="820"/>
        <w:spacing w:after="0" w:line="260" w:lineRule="auto"/>
        <w:rPr>
          <w:sz w:val="20"/>
          <w:szCs w:val="20"/>
          <w:color w:val="auto"/>
        </w:rPr>
      </w:pPr>
      <w:r>
        <w:rPr>
          <w:rFonts w:ascii="Arial" w:cs="Arial" w:eastAsia="Arial" w:hAnsi="Arial"/>
          <w:sz w:val="18"/>
          <w:szCs w:val="18"/>
          <w:color w:val="auto"/>
        </w:rPr>
        <w:t>For a description of our Stockholders Agreement, see “The Board and Corporate Governance – Stockholders Agreement” above.</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Transactions</w:t>
      </w:r>
    </w:p>
    <w:p>
      <w:pPr>
        <w:spacing w:after="0" w:line="181" w:lineRule="exact"/>
        <w:rPr>
          <w:sz w:val="20"/>
          <w:szCs w:val="20"/>
          <w:color w:val="auto"/>
        </w:rPr>
      </w:pPr>
    </w:p>
    <w:p>
      <w:pPr>
        <w:ind w:left="20" w:right="100"/>
        <w:spacing w:after="0" w:line="239" w:lineRule="auto"/>
        <w:rPr>
          <w:sz w:val="20"/>
          <w:szCs w:val="20"/>
          <w:color w:val="auto"/>
        </w:rPr>
      </w:pPr>
      <w:r>
        <w:rPr>
          <w:rFonts w:ascii="Arial" w:cs="Arial" w:eastAsia="Arial" w:hAnsi="Arial"/>
          <w:sz w:val="18"/>
          <w:szCs w:val="18"/>
          <w:color w:val="auto"/>
        </w:rPr>
        <w:t>Our Vice President of Customer Experience, or VP CX, is the sister of Jennifer Y. Hyman, our Co-Founder, Chief Executive Officer, and Chair and is currently employed by us. She does not share a household with Ms. Hyman and is not one of our executive officers. During fiscal years 2022 and 2023 (as of April 1, 2023), the VP CX had a base salary of $310,000. The VP CX was granted 37,567 RSUs in fiscal year 2022 and 50,000 RSUs in fiscal year 2023 (to date). The VP CX is eligible to receive an incentive cash bonus for fiscal year 2023 based upon the achievement of certain company and individual metrics.</w:t>
      </w:r>
    </w:p>
    <w:p>
      <w:pPr>
        <w:spacing w:after="0" w:line="167" w:lineRule="exact"/>
        <w:rPr>
          <w:sz w:val="20"/>
          <w:szCs w:val="20"/>
          <w:color w:val="auto"/>
        </w:rPr>
      </w:pPr>
    </w:p>
    <w:p>
      <w:pPr>
        <w:ind w:left="20"/>
        <w:spacing w:after="0" w:line="241" w:lineRule="auto"/>
        <w:rPr>
          <w:sz w:val="20"/>
          <w:szCs w:val="20"/>
          <w:color w:val="auto"/>
        </w:rPr>
      </w:pPr>
      <w:r>
        <w:rPr>
          <w:rFonts w:ascii="Arial" w:cs="Arial" w:eastAsia="Arial" w:hAnsi="Arial"/>
          <w:sz w:val="18"/>
          <w:szCs w:val="18"/>
          <w:color w:val="auto"/>
        </w:rPr>
        <w:t>The compensation described above was based on reference to external market practice of similar positions or internal pay equity when compared to the compensation paid to employees in similar positions that were not related to our executive officers. The VP CX is also eligible to participate in employee benefit plans and receive future incentive equity awards on the same general terms and conditions as applicable to other employees in similar positions who were not related to our executive officers.</w:t>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Indemnification Agreements</w:t>
      </w:r>
    </w:p>
    <w:p>
      <w:pPr>
        <w:spacing w:after="0" w:line="195"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Our Amended and Restated Certificate of Incorporation (the “Amended Charter”) contains provisions limiting the liability of directors to the fullest extent permitted under Delaware law, and our Amended and Restated Bylaws (the “Amended Bylaws”) provide that we will indemnify each of our directors and officers to the fullest extent permitted under Delaware law. Our Amended Charter and Amended Bylaws also provide our Board with discretion to indemnify our employees and other agents when determined appropriate by the Board. In addition, we have entered into an indemnification agreement with each of our directors and executive officers, which requires us to indemnify them in certain circumstances.</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95" w:lineRule="exact"/>
        <w:rPr>
          <w:sz w:val="20"/>
          <w:szCs w:val="20"/>
          <w:color w:val="auto"/>
        </w:rPr>
      </w:pPr>
    </w:p>
    <w:p>
      <w:pPr>
        <w:ind w:left="20"/>
        <w:spacing w:after="0" w:line="237" w:lineRule="auto"/>
        <w:rPr>
          <w:sz w:val="20"/>
          <w:szCs w:val="20"/>
          <w:color w:val="auto"/>
        </w:rPr>
      </w:pPr>
      <w:r>
        <w:rPr>
          <w:rFonts w:ascii="Arial" w:cs="Arial" w:eastAsia="Arial" w:hAnsi="Arial"/>
          <w:sz w:val="18"/>
          <w:szCs w:val="18"/>
          <w:color w:val="auto"/>
        </w:rPr>
        <w:t>Our Audit Committee has the primary responsibility for the review, approval, and oversight of “related person transactions,” as defined under the rules and regulations of the Securities Exchange Act of 1934, as amended. The Audit Committee has adopted a written related person transaction policy, which requires that any related person transaction (as defined in the policy) must be presented to our Audit Committee for review, consideration, and approval. When considering proposed related person transactions, the Audit Committee will take into account the relevant facts and circumstances, including, among other things, the material terms and conditions, the basis for which the individual or entity is a related person, the related person’s interest in the transaction, the approximate dollar value of the transaction, whether the transaction is in the ordinary course, the business purpose for entering into the transaction with a related person versus an unrelated third party, whether the transaction is proposed to be or was entered into on terms no less favorable to RTR than terms that could have been reached with an unrelated third party, and any other material information. The Audit Committee will then approve or disapprove such transaction. In the event a related person transaction relates to compensation of employees, such transaction shall be reviewed, approved and/or ratified by the Compensation Committee of the Board.</w:t>
      </w:r>
    </w:p>
    <w:p>
      <w:pPr>
        <w:spacing w:after="0" w:line="151" w:lineRule="exact"/>
        <w:rPr>
          <w:sz w:val="20"/>
          <w:szCs w:val="20"/>
          <w:color w:val="auto"/>
        </w:rPr>
      </w:pPr>
    </w:p>
    <w:p>
      <w:pPr>
        <w:ind w:left="20" w:right="380"/>
        <w:spacing w:after="0" w:line="243" w:lineRule="auto"/>
        <w:rPr>
          <w:sz w:val="20"/>
          <w:szCs w:val="20"/>
          <w:color w:val="auto"/>
        </w:rPr>
      </w:pPr>
      <w:r>
        <w:rPr>
          <w:rFonts w:ascii="Arial" w:cs="Arial" w:eastAsia="Arial" w:hAnsi="Arial"/>
          <w:sz w:val="18"/>
          <w:szCs w:val="18"/>
          <w:color w:val="auto"/>
        </w:rPr>
        <w:t>In addition, our Code of Conduct (available on our website at investors.renttherunway.com) provides that directors, executive officers, and employees should avoid conflicts of interest or even the appearance of a conflict of interest. Under the Code of Conduct, a conflict of interest occurs when personal interests, activities, investments, or associations interfere in any way, or even appear to interfere, with our interests as a company.</w:t>
      </w:r>
    </w:p>
    <w:p>
      <w:pPr>
        <w:spacing w:after="0" w:line="147" w:lineRule="exact"/>
        <w:rPr>
          <w:sz w:val="20"/>
          <w:szCs w:val="20"/>
          <w:color w:val="auto"/>
        </w:rPr>
      </w:pPr>
    </w:p>
    <w:p>
      <w:pPr>
        <w:ind w:left="20" w:right="100"/>
        <w:spacing w:after="0" w:line="239" w:lineRule="auto"/>
        <w:rPr>
          <w:sz w:val="20"/>
          <w:szCs w:val="20"/>
          <w:color w:val="auto"/>
        </w:rPr>
      </w:pPr>
      <w:r>
        <w:rPr>
          <w:rFonts w:ascii="Arial" w:cs="Arial" w:eastAsia="Arial" w:hAnsi="Arial"/>
          <w:sz w:val="18"/>
          <w:szCs w:val="18"/>
          <w:color w:val="auto"/>
        </w:rPr>
        <w:t>We have multiple processes for identifying related person transactions and conflicts of interest. Under our Related Person Transaction Policy, each director, director nominee, and executive officer is responsible for identifying potential related person transactions and conflicts of interest. We also annually distribute a questionnaire to directors and executive officers requesting certain information regarding, among other things, their immediate family members and employment and beneficial ownership interests in Rent the Runway. We then review this information for any related person transactions and conflicts of interest.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159385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5" w:right="121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68" w:lineRule="exact"/>
        <w:rPr>
          <w:sz w:val="20"/>
          <w:szCs w:val="20"/>
          <w:color w:val="auto"/>
        </w:rPr>
      </w:pPr>
    </w:p>
    <w:p>
      <w:pPr>
        <w:ind w:left="20" w:right="200"/>
        <w:spacing w:after="0" w:line="263" w:lineRule="auto"/>
        <w:rPr>
          <w:sz w:val="20"/>
          <w:szCs w:val="20"/>
          <w:color w:val="auto"/>
        </w:rPr>
      </w:pPr>
      <w:r>
        <w:rPr>
          <w:rFonts w:ascii="Arial" w:cs="Arial" w:eastAsia="Arial" w:hAnsi="Arial"/>
          <w:sz w:val="65"/>
          <w:szCs w:val="65"/>
          <w:b w:val="1"/>
          <w:bCs w:val="1"/>
          <w:color w:val="auto"/>
        </w:rPr>
        <w:t>Security Ownership of Certain Beneficial Owners, Directors, and Management</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 information with respect to the beneficial ownership of our Class A common stock and</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B common stock as of May 18, 2023, for:</w:t>
      </w:r>
    </w:p>
    <w:p>
      <w:pPr>
        <w:spacing w:after="0" w:line="159" w:lineRule="exact"/>
        <w:rPr>
          <w:sz w:val="20"/>
          <w:szCs w:val="20"/>
          <w:color w:val="auto"/>
        </w:rPr>
      </w:pPr>
    </w:p>
    <w:p>
      <w:pPr>
        <w:ind w:left="740" w:right="480" w:hanging="359"/>
        <w:spacing w:after="0" w:line="241"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our Class A common stock or our Class B common stock;</w:t>
      </w:r>
    </w:p>
    <w:p>
      <w:pPr>
        <w:spacing w:after="0" w:line="1"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of our directors;</w:t>
      </w:r>
    </w:p>
    <w:p>
      <w:pPr>
        <w:ind w:left="740" w:hanging="359"/>
        <w:spacing w:after="0" w:line="234"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ind w:left="740" w:hanging="359"/>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73" w:lineRule="exact"/>
        <w:rPr>
          <w:sz w:val="20"/>
          <w:szCs w:val="20"/>
          <w:color w:val="auto"/>
        </w:rPr>
      </w:pPr>
    </w:p>
    <w:p>
      <w:pPr>
        <w:jc w:val="both"/>
        <w:ind w:left="20" w:right="360"/>
        <w:spacing w:after="0" w:line="247"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Under these rules, beneficial ownership includes any shares as to which the individual or entity has sole or shared voting power or investment power.</w:t>
      </w:r>
    </w:p>
    <w:p>
      <w:pPr>
        <w:spacing w:after="0" w:line="144"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Applicable percentage ownership is based on 64,082,703 shares of Class A common stock and 3,085,148 shares of Class B common stock outstanding on May 18, 2023. In computing the number of shares beneficially owned by an individual or entity and the percentage ownership of that person, shares of Class A common stock or Class B common stock subject to options, or other rights held by such person that are currently exercisable or will become exercisable within 60 days of May 18, 2023 and shares of RSUs that are vested or will become vested within 60 days of May 18, 2023, are considered outstanding, although these shares are not considered outstanding for purposes of computing the percentage ownership of any other person.</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Unless otherwise indicated, the address of all listed stockholders is 10 Jay Street, Brooklyn, New York 11201.</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12" w:lineRule="exact"/>
        <w:rPr>
          <w:sz w:val="20"/>
          <w:szCs w:val="20"/>
          <w:color w:val="auto"/>
        </w:rPr>
      </w:pPr>
    </w:p>
    <w:p>
      <w:pPr>
        <w:ind w:left="20"/>
        <w:spacing w:after="0"/>
        <w:tabs>
          <w:tab w:leader="none" w:pos="4440" w:val="left"/>
          <w:tab w:leader="none" w:pos="466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319" w:lineRule="exact"/>
        <w:rPr>
          <w:sz w:val="20"/>
          <w:szCs w:val="20"/>
          <w:color w:val="auto"/>
        </w:rPr>
      </w:pPr>
    </w:p>
    <w:p>
      <w:pPr>
        <w:ind w:left="20"/>
        <w:spacing w:after="0"/>
        <w:tabs>
          <w:tab w:leader="none" w:pos="4440" w:val="left"/>
          <w:tab w:leader="none" w:pos="466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2140" w:type="dxa"/>
            <w:vAlign w:val="bottom"/>
            <w:gridSpan w:val="2"/>
          </w:tcPr>
          <w:p>
            <w:pPr>
              <w:ind w:left="160"/>
              <w:spacing w:after="0"/>
              <w:rPr>
                <w:sz w:val="20"/>
                <w:szCs w:val="20"/>
                <w:color w:val="auto"/>
              </w:rPr>
            </w:pPr>
            <w:r>
              <w:rPr>
                <w:rFonts w:ascii="Arial" w:cs="Arial" w:eastAsia="Arial" w:hAnsi="Arial"/>
                <w:sz w:val="14"/>
                <w:szCs w:val="14"/>
                <w:color w:val="auto"/>
              </w:rPr>
              <w:t>Shares Beneficially Owned</w:t>
            </w:r>
          </w:p>
        </w:tc>
        <w:tc>
          <w:tcPr>
            <w:tcW w:w="1120" w:type="dxa"/>
            <w:vAlign w:val="bottom"/>
          </w:tcPr>
          <w:p>
            <w:pPr>
              <w:spacing w:after="0"/>
              <w:rPr>
                <w:sz w:val="14"/>
                <w:szCs w:val="14"/>
                <w:color w:val="auto"/>
              </w:rPr>
            </w:pPr>
          </w:p>
        </w:tc>
        <w:tc>
          <w:tcPr>
            <w:tcW w:w="20" w:type="dxa"/>
            <w:vAlign w:val="bottom"/>
          </w:tcPr>
          <w:p>
            <w:pPr>
              <w:ind w:left="20"/>
              <w:spacing w:after="0"/>
              <w:rPr>
                <w:sz w:val="20"/>
                <w:szCs w:val="20"/>
                <w:color w:val="auto"/>
              </w:rPr>
            </w:pPr>
            <w:r>
              <w:rPr>
                <w:rFonts w:ascii="Arial" w:cs="Arial" w:eastAsia="Arial" w:hAnsi="Arial"/>
                <w:sz w:val="4"/>
                <w:szCs w:val="4"/>
                <w:color w:val="auto"/>
              </w:rPr>
              <w:t>​</w:t>
            </w:r>
          </w:p>
        </w:tc>
      </w:tr>
      <w:tr>
        <w:trPr>
          <w:trHeight w:val="166"/>
        </w:trPr>
        <w:tc>
          <w:tcPr>
            <w:tcW w:w="1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9"/>
        </w:trPr>
        <w:tc>
          <w:tcPr>
            <w:tcW w:w="1220" w:type="dxa"/>
            <w:vAlign w:val="bottom"/>
          </w:tcPr>
          <w:p>
            <w:pPr>
              <w:ind w:left="540"/>
              <w:spacing w:after="0"/>
              <w:rPr>
                <w:sz w:val="20"/>
                <w:szCs w:val="20"/>
                <w:color w:val="auto"/>
              </w:rPr>
            </w:pPr>
            <w:r>
              <w:rPr>
                <w:rFonts w:ascii="Arial" w:cs="Arial" w:eastAsia="Arial" w:hAnsi="Arial"/>
                <w:sz w:val="14"/>
                <w:szCs w:val="14"/>
                <w:color w:val="auto"/>
              </w:rPr>
              <w:t>Class A</w:t>
            </w:r>
          </w:p>
        </w:tc>
        <w:tc>
          <w:tcPr>
            <w:tcW w:w="980" w:type="dxa"/>
            <w:vAlign w:val="bottom"/>
          </w:tcPr>
          <w:p>
            <w:pPr>
              <w:ind w:left="36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1160" w:type="dxa"/>
            <w:vAlign w:val="bottom"/>
          </w:tcPr>
          <w:p>
            <w:pPr>
              <w:ind w:left="380"/>
              <w:spacing w:after="0"/>
              <w:rPr>
                <w:sz w:val="20"/>
                <w:szCs w:val="20"/>
                <w:color w:val="auto"/>
              </w:rPr>
            </w:pPr>
            <w:r>
              <w:rPr>
                <w:rFonts w:ascii="Arial" w:cs="Arial" w:eastAsia="Arial" w:hAnsi="Arial"/>
                <w:sz w:val="14"/>
                <w:szCs w:val="14"/>
                <w:color w:val="auto"/>
              </w:rPr>
              <w:t>Class B</w:t>
            </w:r>
          </w:p>
        </w:tc>
        <w:tc>
          <w:tcPr>
            <w:tcW w:w="1140" w:type="dxa"/>
            <w:vAlign w:val="bottom"/>
            <w:gridSpan w:val="2"/>
          </w:tcPr>
          <w:p>
            <w:pPr>
              <w:ind w:left="260"/>
              <w:spacing w:after="0"/>
              <w:rPr>
                <w:sz w:val="20"/>
                <w:szCs w:val="20"/>
                <w:color w:val="auto"/>
              </w:rPr>
            </w:pPr>
            <w:r>
              <w:rPr>
                <w:rFonts w:ascii="Arial" w:cs="Arial" w:eastAsia="Arial" w:hAnsi="Arial"/>
                <w:sz w:val="4"/>
                <w:szCs w:val="4"/>
                <w:color w:val="auto"/>
              </w:rPr>
              <w:t>​</w:t>
            </w:r>
          </w:p>
        </w:tc>
      </w:tr>
    </w:tbl>
    <w:p>
      <w:pPr>
        <w:spacing w:after="0" w:line="93" w:lineRule="exact"/>
        <w:rPr>
          <w:sz w:val="20"/>
          <w:szCs w:val="20"/>
          <w:color w:val="auto"/>
        </w:rPr>
      </w:pPr>
    </w:p>
    <w:p>
      <w:pPr>
        <w:jc w:val="both"/>
        <w:ind w:left="3840"/>
        <w:spacing w:after="0"/>
        <w:tabs>
          <w:tab w:leader="none" w:pos="406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14"/>
          <w:szCs w:val="14"/>
          <w:color w:val="auto"/>
        </w:rPr>
        <w:t xml:space="preserve">Total  </w:t>
      </w: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-55245</wp:posOffset>
            </wp:positionV>
            <wp:extent cx="22891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700" w:space="220"/>
            <w:col w:w="4600"/>
          </w:cols>
          <w:pgMar w:left="1180" w:top="265" w:right="1199" w:bottom="1440" w:gutter="0" w:footer="0" w:header="0"/>
        </w:sectPr>
      </w:pPr>
    </w:p>
    <w:tbl>
      <w:tblPr>
        <w:tblLayout w:type="fixed"/>
        <w:tblInd w:w="20" w:type="dxa"/>
        <w:tblCellMar>
          <w:top w:w="0" w:type="dxa"/>
          <w:left w:w="0" w:type="dxa"/>
          <w:bottom w:w="0" w:type="dxa"/>
          <w:right w:w="0" w:type="dxa"/>
        </w:tblCellMar>
      </w:tblPr>
      <w:tr>
        <w:trPr>
          <w:trHeight w:val="124"/>
        </w:trPr>
        <w:tc>
          <w:tcPr>
            <w:tcW w:w="2220" w:type="dxa"/>
            <w:vAlign w:val="bottom"/>
          </w:tcPr>
          <w:p>
            <w:pPr>
              <w:spacing w:after="0"/>
              <w:rPr>
                <w:sz w:val="20"/>
                <w:szCs w:val="20"/>
                <w:color w:val="auto"/>
              </w:rPr>
            </w:pPr>
            <w:r>
              <w:rPr>
                <w:rFonts w:ascii="Arial" w:cs="Arial" w:eastAsia="Arial" w:hAnsi="Arial"/>
                <w:sz w:val="4"/>
                <w:szCs w:val="4"/>
                <w:color w:val="auto"/>
              </w:rPr>
              <w:t>​</w:t>
            </w:r>
          </w:p>
        </w:tc>
        <w:tc>
          <w:tcPr>
            <w:tcW w:w="2560" w:type="dxa"/>
            <w:vAlign w:val="bottom"/>
          </w:tcPr>
          <w:p>
            <w:pPr>
              <w:ind w:left="2220"/>
              <w:spacing w:after="0"/>
              <w:rPr>
                <w:sz w:val="20"/>
                <w:szCs w:val="20"/>
                <w:color w:val="auto"/>
              </w:rPr>
            </w:pPr>
            <w:r>
              <w:rPr>
                <w:rFonts w:ascii="Arial" w:cs="Arial" w:eastAsia="Arial" w:hAnsi="Arial"/>
                <w:sz w:val="4"/>
                <w:szCs w:val="4"/>
                <w:color w:val="auto"/>
              </w:rPr>
              <w:t>​​</w:t>
            </w:r>
          </w:p>
        </w:tc>
        <w:tc>
          <w:tcPr>
            <w:tcW w:w="700" w:type="dxa"/>
            <w:vAlign w:val="bottom"/>
          </w:tcPr>
          <w:p>
            <w:pPr>
              <w:ind w:left="120"/>
              <w:spacing w:after="0" w:line="114" w:lineRule="exact"/>
              <w:rPr>
                <w:sz w:val="20"/>
                <w:szCs w:val="20"/>
                <w:color w:val="auto"/>
              </w:rPr>
            </w:pPr>
            <w:r>
              <w:rPr>
                <w:rFonts w:ascii="Arial" w:cs="Arial" w:eastAsia="Arial" w:hAnsi="Arial"/>
                <w:sz w:val="13"/>
                <w:szCs w:val="13"/>
                <w:color w:val="auto"/>
              </w:rPr>
              <w:t>Shares</w:t>
            </w:r>
          </w:p>
        </w:tc>
        <w:tc>
          <w:tcPr>
            <w:tcW w:w="480" w:type="dxa"/>
            <w:vAlign w:val="bottom"/>
          </w:tcPr>
          <w:p>
            <w:pPr>
              <w:ind w:left="12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460" w:type="dxa"/>
            <w:vAlign w:val="bottom"/>
          </w:tcPr>
          <w:p>
            <w:pPr>
              <w:jc w:val="right"/>
              <w:ind w:right="40"/>
              <w:spacing w:after="0" w:line="114" w:lineRule="exact"/>
              <w:rPr>
                <w:sz w:val="20"/>
                <w:szCs w:val="20"/>
                <w:color w:val="auto"/>
              </w:rPr>
            </w:pPr>
            <w:r>
              <w:rPr>
                <w:rFonts w:ascii="Arial" w:cs="Arial" w:eastAsia="Arial" w:hAnsi="Arial"/>
                <w:sz w:val="13"/>
                <w:szCs w:val="13"/>
                <w:color w:val="auto"/>
                <w:vertAlign w:val="subscript"/>
              </w:rPr>
              <w:t>%</w:t>
            </w:r>
            <w:r>
              <w:rPr>
                <w:rFonts w:ascii="Arial" w:cs="Arial" w:eastAsia="Arial" w:hAnsi="Arial"/>
                <w:sz w:val="8"/>
                <w:szCs w:val="8"/>
                <w:color w:val="auto"/>
              </w:rPr>
              <w:t>(1)</w:t>
            </w:r>
          </w:p>
        </w:tc>
        <w:tc>
          <w:tcPr>
            <w:tcW w:w="420" w:type="dxa"/>
            <w:vAlign w:val="bottom"/>
          </w:tcPr>
          <w:p>
            <w:pPr>
              <w:ind w:left="6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660" w:type="dxa"/>
            <w:vAlign w:val="bottom"/>
          </w:tcPr>
          <w:p>
            <w:pPr>
              <w:ind w:left="120"/>
              <w:spacing w:after="0" w:line="114" w:lineRule="exact"/>
              <w:rPr>
                <w:sz w:val="20"/>
                <w:szCs w:val="20"/>
                <w:color w:val="auto"/>
              </w:rPr>
            </w:pPr>
            <w:r>
              <w:rPr>
                <w:rFonts w:ascii="Arial" w:cs="Arial" w:eastAsia="Arial" w:hAnsi="Arial"/>
                <w:sz w:val="13"/>
                <w:szCs w:val="13"/>
                <w:color w:val="auto"/>
              </w:rPr>
              <w:t>Shares</w:t>
            </w:r>
          </w:p>
        </w:tc>
        <w:tc>
          <w:tcPr>
            <w:tcW w:w="460" w:type="dxa"/>
            <w:vAlign w:val="bottom"/>
          </w:tcPr>
          <w:p>
            <w:pPr>
              <w:ind w:left="10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460" w:type="dxa"/>
            <w:vAlign w:val="bottom"/>
          </w:tcPr>
          <w:p>
            <w:pPr>
              <w:jc w:val="right"/>
              <w:ind w:right="40"/>
              <w:spacing w:after="0" w:line="114" w:lineRule="exact"/>
              <w:rPr>
                <w:sz w:val="20"/>
                <w:szCs w:val="20"/>
                <w:color w:val="auto"/>
              </w:rPr>
            </w:pPr>
            <w:r>
              <w:rPr>
                <w:rFonts w:ascii="Arial" w:cs="Arial" w:eastAsia="Arial" w:hAnsi="Arial"/>
                <w:sz w:val="13"/>
                <w:szCs w:val="13"/>
                <w:color w:val="auto"/>
                <w:vertAlign w:val="subscript"/>
              </w:rPr>
              <w:t>%</w:t>
            </w:r>
            <w:r>
              <w:rPr>
                <w:rFonts w:ascii="Arial" w:cs="Arial" w:eastAsia="Arial" w:hAnsi="Arial"/>
                <w:sz w:val="8"/>
                <w:szCs w:val="8"/>
                <w:color w:val="auto"/>
              </w:rPr>
              <w:t>(1)</w:t>
            </w:r>
          </w:p>
        </w:tc>
        <w:tc>
          <w:tcPr>
            <w:tcW w:w="100" w:type="dxa"/>
            <w:vAlign w:val="bottom"/>
          </w:tcPr>
          <w:p>
            <w:pPr>
              <w:ind w:left="100"/>
              <w:spacing w:after="0"/>
              <w:rPr>
                <w:sz w:val="20"/>
                <w:szCs w:val="20"/>
                <w:color w:val="auto"/>
              </w:rPr>
            </w:pPr>
            <w:r>
              <w:rPr>
                <w:rFonts w:ascii="Arial" w:cs="Arial" w:eastAsia="Arial" w:hAnsi="Arial"/>
                <w:sz w:val="4"/>
                <w:szCs w:val="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105410</wp:posOffset>
            </wp:positionV>
            <wp:extent cx="6035040" cy="240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5040" cy="240030"/>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type w:val="continuous"/>
        </w:sectPr>
      </w:pP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3540" w:type="dxa"/>
            <w:vAlign w:val="bottom"/>
          </w:tcPr>
          <w:p>
            <w:pPr>
              <w:spacing w:after="0"/>
              <w:rPr>
                <w:sz w:val="20"/>
                <w:szCs w:val="20"/>
                <w:color w:val="auto"/>
              </w:rPr>
            </w:pPr>
            <w:r>
              <w:rPr>
                <w:rFonts w:ascii="Arial" w:cs="Arial" w:eastAsia="Arial" w:hAnsi="Arial"/>
                <w:sz w:val="14"/>
                <w:szCs w:val="14"/>
                <w:b w:val="1"/>
                <w:bCs w:val="1"/>
                <w:color w:val="auto"/>
              </w:rPr>
              <w:t>Named Executive Officers and Directors:</w:t>
            </w:r>
          </w:p>
        </w:tc>
        <w:tc>
          <w:tcPr>
            <w:tcW w:w="860" w:type="dxa"/>
            <w:vAlign w:val="bottom"/>
          </w:tcPr>
          <w:p>
            <w:pPr>
              <w:ind w:left="740"/>
              <w:spacing w:after="0"/>
              <w:rPr>
                <w:sz w:val="20"/>
                <w:szCs w:val="20"/>
                <w:color w:val="auto"/>
              </w:rPr>
            </w:pPr>
            <w:r>
              <w:rPr>
                <w:rFonts w:ascii="Arial" w:cs="Arial" w:eastAsia="Arial" w:hAnsi="Arial"/>
                <w:sz w:val="4"/>
                <w:szCs w:val="4"/>
                <w:color w:val="auto"/>
              </w:rPr>
              <w:t>​</w:t>
            </w:r>
          </w:p>
        </w:tc>
        <w:tc>
          <w:tcPr>
            <w:tcW w:w="320" w:type="dxa"/>
            <w:vAlign w:val="bottom"/>
          </w:tcPr>
          <w:p>
            <w:pPr>
              <w:ind w:left="100"/>
              <w:spacing w:after="0"/>
              <w:rPr>
                <w:sz w:val="20"/>
                <w:szCs w:val="20"/>
                <w:color w:val="auto"/>
              </w:rPr>
            </w:pPr>
            <w:r>
              <w:rPr>
                <w:rFonts w:ascii="Arial" w:cs="Arial" w:eastAsia="Arial" w:hAnsi="Arial"/>
                <w:sz w:val="4"/>
                <w:szCs w:val="4"/>
                <w:color w:val="auto"/>
              </w:rPr>
              <w:t>​</w:t>
            </w:r>
          </w:p>
        </w:tc>
        <w:tc>
          <w:tcPr>
            <w:tcW w:w="840" w:type="dxa"/>
            <w:vAlign w:val="bottom"/>
          </w:tcPr>
          <w:p>
            <w:pPr>
              <w:jc w:val="right"/>
              <w:ind w:right="34"/>
              <w:spacing w:after="0"/>
              <w:rPr>
                <w:sz w:val="20"/>
                <w:szCs w:val="20"/>
                <w:color w:val="auto"/>
              </w:rPr>
            </w:pPr>
            <w:r>
              <w:rPr>
                <w:rFonts w:ascii="Arial" w:cs="Arial" w:eastAsia="Arial" w:hAnsi="Arial"/>
                <w:sz w:val="4"/>
                <w:szCs w:val="4"/>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600" w:type="dxa"/>
            <w:vAlign w:val="bottom"/>
          </w:tcPr>
          <w:p>
            <w:pPr>
              <w:jc w:val="right"/>
              <w:ind w:right="34"/>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880" w:type="dxa"/>
            <w:vAlign w:val="bottom"/>
          </w:tcPr>
          <w:p>
            <w:pPr>
              <w:jc w:val="right"/>
              <w:ind w:right="7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660" w:type="dxa"/>
            <w:vAlign w:val="bottom"/>
          </w:tcPr>
          <w:p>
            <w:pPr>
              <w:jc w:val="right"/>
              <w:ind w:right="54"/>
              <w:spacing w:after="0"/>
              <w:rPr>
                <w:sz w:val="20"/>
                <w:szCs w:val="20"/>
                <w:color w:val="auto"/>
              </w:rPr>
            </w:pPr>
            <w:r>
              <w:rPr>
                <w:rFonts w:ascii="Arial" w:cs="Arial" w:eastAsia="Arial" w:hAnsi="Arial"/>
                <w:sz w:val="4"/>
                <w:szCs w:val="4"/>
                <w:color w:val="auto"/>
              </w:rPr>
              <w:t>​</w:t>
            </w:r>
          </w:p>
        </w:tc>
        <w:tc>
          <w:tcPr>
            <w:tcW w:w="280" w:type="dxa"/>
            <w:vAlign w:val="bottom"/>
          </w:tcPr>
          <w:p>
            <w:pPr>
              <w:ind w:left="100"/>
              <w:spacing w:after="0"/>
              <w:rPr>
                <w:sz w:val="20"/>
                <w:szCs w:val="20"/>
                <w:color w:val="auto"/>
              </w:rPr>
            </w:pPr>
            <w:r>
              <w:rPr>
                <w:rFonts w:ascii="Arial" w:cs="Arial" w:eastAsia="Arial" w:hAnsi="Arial"/>
                <w:sz w:val="4"/>
                <w:szCs w:val="4"/>
                <w:color w:val="auto"/>
              </w:rPr>
              <w:t>​</w:t>
            </w:r>
          </w:p>
        </w:tc>
        <w:tc>
          <w:tcPr>
            <w:tcW w:w="480" w:type="dxa"/>
            <w:vAlign w:val="bottom"/>
          </w:tcPr>
          <w:p>
            <w:pPr>
              <w:jc w:val="right"/>
              <w:spacing w:after="0"/>
              <w:rPr>
                <w:sz w:val="20"/>
                <w:szCs w:val="20"/>
                <w:color w:val="auto"/>
              </w:rPr>
            </w:pPr>
            <w:r>
              <w:rPr>
                <w:rFonts w:ascii="Arial" w:cs="Arial" w:eastAsia="Arial" w:hAnsi="Arial"/>
                <w:sz w:val="4"/>
                <w:szCs w:val="4"/>
                <w:color w:val="auto"/>
              </w:rPr>
              <w:t>​</w:t>
            </w:r>
          </w:p>
        </w:tc>
      </w:tr>
      <w:tr>
        <w:trPr>
          <w:trHeight w:val="553"/>
        </w:trPr>
        <w:tc>
          <w:tcPr>
            <w:tcW w:w="3540" w:type="dxa"/>
            <w:vAlign w:val="bottom"/>
          </w:tcPr>
          <w:p>
            <w:pPr>
              <w:spacing w:after="0"/>
              <w:rPr>
                <w:sz w:val="20"/>
                <w:szCs w:val="20"/>
                <w:color w:val="auto"/>
              </w:rPr>
            </w:pPr>
            <w:r>
              <w:rPr>
                <w:rFonts w:ascii="Arial" w:cs="Arial" w:eastAsia="Arial" w:hAnsi="Arial"/>
                <w:sz w:val="14"/>
                <w:szCs w:val="14"/>
                <w:color w:val="auto"/>
              </w:rPr>
              <w:t>Jennifer Hyman</w:t>
            </w:r>
            <w:r>
              <w:rPr>
                <w:rFonts w:ascii="Arial" w:cs="Arial" w:eastAsia="Arial" w:hAnsi="Arial"/>
                <w:sz w:val="23"/>
                <w:szCs w:val="23"/>
                <w:color w:val="auto"/>
                <w:vertAlign w:val="superscript"/>
              </w:rPr>
              <w:t>(2)</w:t>
            </w:r>
          </w:p>
        </w:tc>
        <w:tc>
          <w:tcPr>
            <w:tcW w:w="860" w:type="dxa"/>
            <w:vAlign w:val="bottom"/>
          </w:tcPr>
          <w:p>
            <w:pPr>
              <w:ind w:left="740"/>
              <w:spacing w:after="0"/>
              <w:rPr>
                <w:sz w:val="20"/>
                <w:szCs w:val="20"/>
                <w:color w:val="auto"/>
              </w:rPr>
            </w:pPr>
            <w:r>
              <w:rPr>
                <w:rFonts w:ascii="Arial" w:cs="Arial" w:eastAsia="Arial" w:hAnsi="Arial"/>
                <w:sz w:val="4"/>
                <w:szCs w:val="4"/>
                <w:color w:val="auto"/>
              </w:rPr>
              <w:t>​</w:t>
            </w:r>
          </w:p>
        </w:tc>
        <w:tc>
          <w:tcPr>
            <w:tcW w:w="320" w:type="dxa"/>
            <w:vAlign w:val="bottom"/>
          </w:tcPr>
          <w:p>
            <w:pPr>
              <w:ind w:left="100"/>
              <w:spacing w:after="0"/>
              <w:rPr>
                <w:sz w:val="20"/>
                <w:szCs w:val="20"/>
                <w:color w:val="auto"/>
              </w:rPr>
            </w:pPr>
            <w:r>
              <w:rPr>
                <w:rFonts w:ascii="Arial" w:cs="Arial" w:eastAsia="Arial" w:hAnsi="Arial"/>
                <w:sz w:val="4"/>
                <w:szCs w:val="4"/>
                <w:color w:val="auto"/>
              </w:rPr>
              <w:t>​</w:t>
            </w:r>
          </w:p>
        </w:tc>
        <w:tc>
          <w:tcPr>
            <w:tcW w:w="840" w:type="dxa"/>
            <w:vAlign w:val="bottom"/>
          </w:tcPr>
          <w:p>
            <w:pPr>
              <w:jc w:val="right"/>
              <w:ind w:right="34"/>
              <w:spacing w:after="0"/>
              <w:rPr>
                <w:sz w:val="20"/>
                <w:szCs w:val="20"/>
                <w:color w:val="auto"/>
              </w:rPr>
            </w:pPr>
            <w:r>
              <w:rPr>
                <w:rFonts w:ascii="Arial" w:cs="Arial" w:eastAsia="Arial" w:hAnsi="Arial"/>
                <w:sz w:val="14"/>
                <w:szCs w:val="14"/>
                <w:color w:val="auto"/>
              </w:rPr>
              <w:t>252,285</w:t>
            </w:r>
            <w:r>
              <w:rPr>
                <w:rFonts w:ascii="Arial" w:cs="Arial" w:eastAsia="Arial" w:hAnsi="Arial"/>
                <w:sz w:val="3"/>
                <w:szCs w:val="3"/>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600" w:type="dxa"/>
            <w:vAlign w:val="bottom"/>
          </w:tcPr>
          <w:p>
            <w:pPr>
              <w:jc w:val="right"/>
              <w:ind w:right="34"/>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3,817,846</w:t>
            </w:r>
            <w:r>
              <w:rPr>
                <w:rFonts w:ascii="Arial" w:cs="Arial" w:eastAsia="Arial" w:hAnsi="Arial"/>
                <w:sz w:val="3"/>
                <w:szCs w:val="3"/>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660" w:type="dxa"/>
            <w:vAlign w:val="bottom"/>
          </w:tcPr>
          <w:p>
            <w:pPr>
              <w:jc w:val="right"/>
              <w:ind w:right="54"/>
              <w:spacing w:after="0"/>
              <w:rPr>
                <w:sz w:val="20"/>
                <w:szCs w:val="20"/>
                <w:color w:val="auto"/>
              </w:rPr>
            </w:pPr>
            <w:r>
              <w:rPr>
                <w:rFonts w:ascii="Arial" w:cs="Arial" w:eastAsia="Arial" w:hAnsi="Arial"/>
                <w:sz w:val="14"/>
                <w:szCs w:val="14"/>
                <w:color w:val="auto"/>
              </w:rPr>
              <w:t>67.4%</w:t>
            </w:r>
            <w:r>
              <w:rPr>
                <w:rFonts w:ascii="Arial" w:cs="Arial" w:eastAsia="Arial" w:hAnsi="Arial"/>
                <w:sz w:val="3"/>
                <w:szCs w:val="3"/>
                <w:color w:val="auto"/>
              </w:rPr>
              <w:t>​</w:t>
            </w:r>
          </w:p>
        </w:tc>
        <w:tc>
          <w:tcPr>
            <w:tcW w:w="280" w:type="dxa"/>
            <w:vAlign w:val="bottom"/>
          </w:tcPr>
          <w:p>
            <w:pPr>
              <w:ind w:left="100"/>
              <w:spacing w:after="0"/>
              <w:rPr>
                <w:sz w:val="20"/>
                <w:szCs w:val="20"/>
                <w:color w:val="auto"/>
              </w:rPr>
            </w:pPr>
            <w:r>
              <w:rPr>
                <w:rFonts w:ascii="Arial" w:cs="Arial" w:eastAsia="Arial" w:hAnsi="Arial"/>
                <w:sz w:val="4"/>
                <w:szCs w:val="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6​.0%</w:t>
            </w:r>
            <w:r>
              <w:rPr>
                <w:rFonts w:ascii="Arial" w:cs="Arial" w:eastAsia="Arial" w:hAnsi="Arial"/>
                <w:sz w:val="3"/>
                <w:szCs w:val="3"/>
                <w:color w:val="auto"/>
              </w:rPr>
              <w:t>​</w:t>
            </w:r>
          </w:p>
        </w:tc>
      </w:tr>
      <w:tr>
        <w:trPr>
          <w:trHeight w:val="365"/>
        </w:trPr>
        <w:tc>
          <w:tcPr>
            <w:tcW w:w="3540" w:type="dxa"/>
            <w:vAlign w:val="bottom"/>
          </w:tcPr>
          <w:p>
            <w:pPr>
              <w:spacing w:after="0"/>
              <w:rPr>
                <w:sz w:val="20"/>
                <w:szCs w:val="20"/>
                <w:color w:val="auto"/>
              </w:rPr>
            </w:pPr>
            <w:r>
              <w:rPr>
                <w:rFonts w:ascii="Arial" w:cs="Arial" w:eastAsia="Arial" w:hAnsi="Arial"/>
                <w:sz w:val="14"/>
                <w:szCs w:val="14"/>
                <w:color w:val="auto"/>
              </w:rPr>
              <w:t>Anushka Salinas</w:t>
            </w:r>
            <w:r>
              <w:rPr>
                <w:rFonts w:ascii="Arial" w:cs="Arial" w:eastAsia="Arial" w:hAnsi="Arial"/>
                <w:sz w:val="23"/>
                <w:szCs w:val="23"/>
                <w:color w:val="auto"/>
                <w:vertAlign w:val="superscript"/>
              </w:rPr>
              <w:t>(3)</w:t>
            </w:r>
          </w:p>
        </w:tc>
        <w:tc>
          <w:tcPr>
            <w:tcW w:w="860" w:type="dxa"/>
            <w:vAlign w:val="bottom"/>
          </w:tcPr>
          <w:p>
            <w:pPr>
              <w:ind w:left="740"/>
              <w:spacing w:after="0"/>
              <w:rPr>
                <w:sz w:val="20"/>
                <w:szCs w:val="20"/>
                <w:color w:val="auto"/>
              </w:rPr>
            </w:pPr>
            <w:r>
              <w:rPr>
                <w:rFonts w:ascii="Arial" w:cs="Arial" w:eastAsia="Arial" w:hAnsi="Arial"/>
                <w:sz w:val="4"/>
                <w:szCs w:val="4"/>
                <w:color w:val="auto"/>
              </w:rPr>
              <w:t>​</w:t>
            </w:r>
          </w:p>
        </w:tc>
        <w:tc>
          <w:tcPr>
            <w:tcW w:w="320" w:type="dxa"/>
            <w:vAlign w:val="bottom"/>
          </w:tcPr>
          <w:p>
            <w:pPr>
              <w:ind w:left="100"/>
              <w:spacing w:after="0"/>
              <w:rPr>
                <w:sz w:val="20"/>
                <w:szCs w:val="20"/>
                <w:color w:val="auto"/>
              </w:rPr>
            </w:pPr>
            <w:r>
              <w:rPr>
                <w:rFonts w:ascii="Arial" w:cs="Arial" w:eastAsia="Arial" w:hAnsi="Arial"/>
                <w:sz w:val="4"/>
                <w:szCs w:val="4"/>
                <w:color w:val="auto"/>
              </w:rPr>
              <w:t>​</w:t>
            </w:r>
          </w:p>
        </w:tc>
        <w:tc>
          <w:tcPr>
            <w:tcW w:w="840" w:type="dxa"/>
            <w:vAlign w:val="bottom"/>
          </w:tcPr>
          <w:p>
            <w:pPr>
              <w:jc w:val="right"/>
              <w:ind w:right="34"/>
              <w:spacing w:after="0"/>
              <w:rPr>
                <w:sz w:val="20"/>
                <w:szCs w:val="20"/>
                <w:color w:val="auto"/>
              </w:rPr>
            </w:pPr>
            <w:r>
              <w:rPr>
                <w:rFonts w:ascii="Arial" w:cs="Arial" w:eastAsia="Arial" w:hAnsi="Arial"/>
                <w:sz w:val="14"/>
                <w:szCs w:val="14"/>
                <w:color w:val="auto"/>
              </w:rPr>
              <w:t>883,937</w:t>
            </w:r>
            <w:r>
              <w:rPr>
                <w:rFonts w:ascii="Arial" w:cs="Arial" w:eastAsia="Arial" w:hAnsi="Arial"/>
                <w:sz w:val="3"/>
                <w:szCs w:val="3"/>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600" w:type="dxa"/>
            <w:vAlign w:val="bottom"/>
          </w:tcPr>
          <w:p>
            <w:pPr>
              <w:jc w:val="right"/>
              <w:ind w:right="34"/>
              <w:spacing w:after="0"/>
              <w:rPr>
                <w:sz w:val="20"/>
                <w:szCs w:val="20"/>
                <w:color w:val="auto"/>
              </w:rPr>
            </w:pPr>
            <w:r>
              <w:rPr>
                <w:rFonts w:ascii="Arial" w:cs="Arial" w:eastAsia="Arial" w:hAnsi="Arial"/>
                <w:sz w:val="14"/>
                <w:szCs w:val="14"/>
                <w:color w:val="auto"/>
              </w:rPr>
              <w:t>1.4%</w:t>
            </w:r>
            <w:r>
              <w:rPr>
                <w:rFonts w:ascii="Arial" w:cs="Arial" w:eastAsia="Arial" w:hAnsi="Arial"/>
                <w:sz w:val="3"/>
                <w:szCs w:val="3"/>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880" w:type="dxa"/>
            <w:vAlign w:val="bottom"/>
          </w:tcPr>
          <w:p>
            <w:pPr>
              <w:jc w:val="right"/>
              <w:ind w:right="7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660" w:type="dxa"/>
            <w:vAlign w:val="bottom"/>
          </w:tcPr>
          <w:p>
            <w:pPr>
              <w:jc w:val="right"/>
              <w:ind w:right="54"/>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280" w:type="dxa"/>
            <w:vAlign w:val="bottom"/>
          </w:tcPr>
          <w:p>
            <w:pPr>
              <w:ind w:left="100"/>
              <w:spacing w:after="0"/>
              <w:rPr>
                <w:sz w:val="20"/>
                <w:szCs w:val="20"/>
                <w:color w:val="auto"/>
              </w:rPr>
            </w:pPr>
            <w:r>
              <w:rPr>
                <w:rFonts w:ascii="Arial" w:cs="Arial" w:eastAsia="Arial" w:hAnsi="Arial"/>
                <w:sz w:val="4"/>
                <w:szCs w:val="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1.4%</w:t>
            </w:r>
            <w:r>
              <w:rPr>
                <w:rFonts w:ascii="Arial" w:cs="Arial" w:eastAsia="Arial" w:hAnsi="Arial"/>
                <w:sz w:val="3"/>
                <w:szCs w:val="3"/>
                <w:color w:val="auto"/>
              </w:rPr>
              <w:t>​</w:t>
            </w:r>
          </w:p>
        </w:tc>
      </w:tr>
      <w:tr>
        <w:trPr>
          <w:trHeight w:val="364"/>
        </w:trPr>
        <w:tc>
          <w:tcPr>
            <w:tcW w:w="3540" w:type="dxa"/>
            <w:vAlign w:val="bottom"/>
          </w:tcPr>
          <w:p>
            <w:pPr>
              <w:spacing w:after="0"/>
              <w:rPr>
                <w:sz w:val="20"/>
                <w:szCs w:val="20"/>
                <w:color w:val="auto"/>
              </w:rPr>
            </w:pPr>
            <w:r>
              <w:rPr>
                <w:rFonts w:ascii="Arial" w:cs="Arial" w:eastAsia="Arial" w:hAnsi="Arial"/>
                <w:sz w:val="14"/>
                <w:szCs w:val="14"/>
                <w:color w:val="auto"/>
              </w:rPr>
              <w:t>Larry Steinberg</w:t>
            </w:r>
            <w:r>
              <w:rPr>
                <w:rFonts w:ascii="Arial" w:cs="Arial" w:eastAsia="Arial" w:hAnsi="Arial"/>
                <w:sz w:val="23"/>
                <w:szCs w:val="23"/>
                <w:color w:val="auto"/>
                <w:vertAlign w:val="superscript"/>
              </w:rPr>
              <w:t>(4)</w:t>
            </w:r>
          </w:p>
        </w:tc>
        <w:tc>
          <w:tcPr>
            <w:tcW w:w="860" w:type="dxa"/>
            <w:vAlign w:val="bottom"/>
          </w:tcPr>
          <w:p>
            <w:pPr>
              <w:ind w:left="740"/>
              <w:spacing w:after="0"/>
              <w:rPr>
                <w:sz w:val="20"/>
                <w:szCs w:val="20"/>
                <w:color w:val="auto"/>
              </w:rPr>
            </w:pPr>
            <w:r>
              <w:rPr>
                <w:rFonts w:ascii="Arial" w:cs="Arial" w:eastAsia="Arial" w:hAnsi="Arial"/>
                <w:sz w:val="4"/>
                <w:szCs w:val="4"/>
                <w:color w:val="auto"/>
              </w:rPr>
              <w:t>​</w:t>
            </w:r>
          </w:p>
        </w:tc>
        <w:tc>
          <w:tcPr>
            <w:tcW w:w="320" w:type="dxa"/>
            <w:vAlign w:val="bottom"/>
          </w:tcPr>
          <w:p>
            <w:pPr>
              <w:ind w:left="100"/>
              <w:spacing w:after="0"/>
              <w:rPr>
                <w:sz w:val="20"/>
                <w:szCs w:val="20"/>
                <w:color w:val="auto"/>
              </w:rPr>
            </w:pPr>
            <w:r>
              <w:rPr>
                <w:rFonts w:ascii="Arial" w:cs="Arial" w:eastAsia="Arial" w:hAnsi="Arial"/>
                <w:sz w:val="4"/>
                <w:szCs w:val="4"/>
                <w:color w:val="auto"/>
              </w:rPr>
              <w:t>​</w:t>
            </w:r>
          </w:p>
        </w:tc>
        <w:tc>
          <w:tcPr>
            <w:tcW w:w="840" w:type="dxa"/>
            <w:vAlign w:val="bottom"/>
          </w:tcPr>
          <w:p>
            <w:pPr>
              <w:jc w:val="right"/>
              <w:ind w:right="34"/>
              <w:spacing w:after="0"/>
              <w:rPr>
                <w:sz w:val="20"/>
                <w:szCs w:val="20"/>
                <w:color w:val="auto"/>
              </w:rPr>
            </w:pPr>
            <w:r>
              <w:rPr>
                <w:rFonts w:ascii="Arial" w:cs="Arial" w:eastAsia="Arial" w:hAnsi="Arial"/>
                <w:sz w:val="14"/>
                <w:szCs w:val="14"/>
                <w:color w:val="auto"/>
              </w:rPr>
              <w:t>348,055</w:t>
            </w:r>
            <w:r>
              <w:rPr>
                <w:rFonts w:ascii="Arial" w:cs="Arial" w:eastAsia="Arial" w:hAnsi="Arial"/>
                <w:sz w:val="3"/>
                <w:szCs w:val="3"/>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600" w:type="dxa"/>
            <w:vAlign w:val="bottom"/>
          </w:tcPr>
          <w:p>
            <w:pPr>
              <w:jc w:val="right"/>
              <w:ind w:right="34"/>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880" w:type="dxa"/>
            <w:vAlign w:val="bottom"/>
          </w:tcPr>
          <w:p>
            <w:pPr>
              <w:jc w:val="right"/>
              <w:ind w:right="7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660" w:type="dxa"/>
            <w:vAlign w:val="bottom"/>
          </w:tcPr>
          <w:p>
            <w:pPr>
              <w:jc w:val="right"/>
              <w:ind w:right="54"/>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280" w:type="dxa"/>
            <w:vAlign w:val="bottom"/>
          </w:tcPr>
          <w:p>
            <w:pPr>
              <w:ind w:left="100"/>
              <w:spacing w:after="0"/>
              <w:rPr>
                <w:sz w:val="20"/>
                <w:szCs w:val="20"/>
                <w:color w:val="auto"/>
              </w:rPr>
            </w:pPr>
            <w:r>
              <w:rPr>
                <w:rFonts w:ascii="Arial" w:cs="Arial" w:eastAsia="Arial" w:hAnsi="Arial"/>
                <w:sz w:val="4"/>
                <w:szCs w:val="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r>
      <w:tr>
        <w:trPr>
          <w:trHeight w:val="365"/>
        </w:trPr>
        <w:tc>
          <w:tcPr>
            <w:tcW w:w="3540" w:type="dxa"/>
            <w:vAlign w:val="bottom"/>
          </w:tcPr>
          <w:p>
            <w:pPr>
              <w:spacing w:after="0"/>
              <w:rPr>
                <w:sz w:val="20"/>
                <w:szCs w:val="20"/>
                <w:color w:val="auto"/>
              </w:rPr>
            </w:pPr>
            <w:r>
              <w:rPr>
                <w:rFonts w:ascii="Arial" w:cs="Arial" w:eastAsia="Arial" w:hAnsi="Arial"/>
                <w:sz w:val="14"/>
                <w:szCs w:val="14"/>
                <w:color w:val="auto"/>
              </w:rPr>
              <w:t>Tim Bixby</w:t>
            </w:r>
            <w:r>
              <w:rPr>
                <w:rFonts w:ascii="Arial" w:cs="Arial" w:eastAsia="Arial" w:hAnsi="Arial"/>
                <w:sz w:val="23"/>
                <w:szCs w:val="23"/>
                <w:color w:val="auto"/>
                <w:vertAlign w:val="superscript"/>
              </w:rPr>
              <w:t>(5)</w:t>
            </w:r>
          </w:p>
        </w:tc>
        <w:tc>
          <w:tcPr>
            <w:tcW w:w="860" w:type="dxa"/>
            <w:vAlign w:val="bottom"/>
          </w:tcPr>
          <w:p>
            <w:pPr>
              <w:ind w:left="740"/>
              <w:spacing w:after="0"/>
              <w:rPr>
                <w:sz w:val="20"/>
                <w:szCs w:val="20"/>
                <w:color w:val="auto"/>
              </w:rPr>
            </w:pPr>
            <w:r>
              <w:rPr>
                <w:rFonts w:ascii="Arial" w:cs="Arial" w:eastAsia="Arial" w:hAnsi="Arial"/>
                <w:sz w:val="4"/>
                <w:szCs w:val="4"/>
                <w:color w:val="auto"/>
              </w:rPr>
              <w:t>​</w:t>
            </w:r>
          </w:p>
        </w:tc>
        <w:tc>
          <w:tcPr>
            <w:tcW w:w="320" w:type="dxa"/>
            <w:vAlign w:val="bottom"/>
          </w:tcPr>
          <w:p>
            <w:pPr>
              <w:ind w:left="100"/>
              <w:spacing w:after="0"/>
              <w:rPr>
                <w:sz w:val="20"/>
                <w:szCs w:val="20"/>
                <w:color w:val="auto"/>
              </w:rPr>
            </w:pPr>
            <w:r>
              <w:rPr>
                <w:rFonts w:ascii="Arial" w:cs="Arial" w:eastAsia="Arial" w:hAnsi="Arial"/>
                <w:sz w:val="4"/>
                <w:szCs w:val="4"/>
                <w:color w:val="auto"/>
              </w:rPr>
              <w:t>​</w:t>
            </w:r>
          </w:p>
        </w:tc>
        <w:tc>
          <w:tcPr>
            <w:tcW w:w="840" w:type="dxa"/>
            <w:vAlign w:val="bottom"/>
          </w:tcPr>
          <w:p>
            <w:pPr>
              <w:jc w:val="right"/>
              <w:ind w:right="34"/>
              <w:spacing w:after="0"/>
              <w:rPr>
                <w:sz w:val="20"/>
                <w:szCs w:val="20"/>
                <w:color w:val="auto"/>
              </w:rPr>
            </w:pPr>
            <w:r>
              <w:rPr>
                <w:rFonts w:ascii="Arial" w:cs="Arial" w:eastAsia="Arial" w:hAnsi="Arial"/>
                <w:sz w:val="14"/>
                <w:szCs w:val="14"/>
                <w:color w:val="auto"/>
              </w:rPr>
              <w:t>57,916</w:t>
            </w:r>
            <w:r>
              <w:rPr>
                <w:rFonts w:ascii="Arial" w:cs="Arial" w:eastAsia="Arial" w:hAnsi="Arial"/>
                <w:sz w:val="3"/>
                <w:szCs w:val="3"/>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600" w:type="dxa"/>
            <w:vAlign w:val="bottom"/>
          </w:tcPr>
          <w:p>
            <w:pPr>
              <w:jc w:val="right"/>
              <w:ind w:right="34"/>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880" w:type="dxa"/>
            <w:vAlign w:val="bottom"/>
          </w:tcPr>
          <w:p>
            <w:pPr>
              <w:jc w:val="right"/>
              <w:ind w:right="7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660" w:type="dxa"/>
            <w:vAlign w:val="bottom"/>
          </w:tcPr>
          <w:p>
            <w:pPr>
              <w:jc w:val="right"/>
              <w:ind w:right="54"/>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280" w:type="dxa"/>
            <w:vAlign w:val="bottom"/>
          </w:tcPr>
          <w:p>
            <w:pPr>
              <w:ind w:left="100"/>
              <w:spacing w:after="0"/>
              <w:rPr>
                <w:sz w:val="20"/>
                <w:szCs w:val="20"/>
                <w:color w:val="auto"/>
              </w:rPr>
            </w:pPr>
            <w:r>
              <w:rPr>
                <w:rFonts w:ascii="Arial" w:cs="Arial" w:eastAsia="Arial" w:hAnsi="Arial"/>
                <w:sz w:val="4"/>
                <w:szCs w:val="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r>
      <w:tr>
        <w:trPr>
          <w:trHeight w:val="364"/>
        </w:trPr>
        <w:tc>
          <w:tcPr>
            <w:tcW w:w="3540" w:type="dxa"/>
            <w:vAlign w:val="bottom"/>
          </w:tcPr>
          <w:p>
            <w:pPr>
              <w:spacing w:after="0"/>
              <w:rPr>
                <w:sz w:val="20"/>
                <w:szCs w:val="20"/>
                <w:color w:val="auto"/>
              </w:rPr>
            </w:pPr>
            <w:r>
              <w:rPr>
                <w:rFonts w:ascii="Arial" w:cs="Arial" w:eastAsia="Arial" w:hAnsi="Arial"/>
                <w:sz w:val="14"/>
                <w:szCs w:val="14"/>
                <w:color w:val="auto"/>
              </w:rPr>
              <w:t>Jennifer Fleiss</w:t>
            </w:r>
            <w:r>
              <w:rPr>
                <w:rFonts w:ascii="Arial" w:cs="Arial" w:eastAsia="Arial" w:hAnsi="Arial"/>
                <w:sz w:val="23"/>
                <w:szCs w:val="23"/>
                <w:color w:val="auto"/>
                <w:vertAlign w:val="superscript"/>
              </w:rPr>
              <w:t>(6)</w:t>
            </w:r>
          </w:p>
        </w:tc>
        <w:tc>
          <w:tcPr>
            <w:tcW w:w="860" w:type="dxa"/>
            <w:vAlign w:val="bottom"/>
          </w:tcPr>
          <w:p>
            <w:pPr>
              <w:ind w:left="740"/>
              <w:spacing w:after="0"/>
              <w:rPr>
                <w:sz w:val="20"/>
                <w:szCs w:val="20"/>
                <w:color w:val="auto"/>
              </w:rPr>
            </w:pPr>
            <w:r>
              <w:rPr>
                <w:rFonts w:ascii="Arial" w:cs="Arial" w:eastAsia="Arial" w:hAnsi="Arial"/>
                <w:sz w:val="4"/>
                <w:szCs w:val="4"/>
                <w:color w:val="auto"/>
              </w:rPr>
              <w:t>​</w:t>
            </w:r>
          </w:p>
        </w:tc>
        <w:tc>
          <w:tcPr>
            <w:tcW w:w="320" w:type="dxa"/>
            <w:vAlign w:val="bottom"/>
          </w:tcPr>
          <w:p>
            <w:pPr>
              <w:ind w:left="100"/>
              <w:spacing w:after="0"/>
              <w:rPr>
                <w:sz w:val="20"/>
                <w:szCs w:val="20"/>
                <w:color w:val="auto"/>
              </w:rPr>
            </w:pPr>
            <w:r>
              <w:rPr>
                <w:rFonts w:ascii="Arial" w:cs="Arial" w:eastAsia="Arial" w:hAnsi="Arial"/>
                <w:sz w:val="4"/>
                <w:szCs w:val="4"/>
                <w:color w:val="auto"/>
              </w:rPr>
              <w:t>​</w:t>
            </w:r>
          </w:p>
        </w:tc>
        <w:tc>
          <w:tcPr>
            <w:tcW w:w="840" w:type="dxa"/>
            <w:vAlign w:val="bottom"/>
          </w:tcPr>
          <w:p>
            <w:pPr>
              <w:jc w:val="right"/>
              <w:ind w:right="34"/>
              <w:spacing w:after="0"/>
              <w:rPr>
                <w:sz w:val="20"/>
                <w:szCs w:val="20"/>
                <w:color w:val="auto"/>
              </w:rPr>
            </w:pPr>
            <w:r>
              <w:rPr>
                <w:rFonts w:ascii="Arial" w:cs="Arial" w:eastAsia="Arial" w:hAnsi="Arial"/>
                <w:sz w:val="14"/>
                <w:szCs w:val="14"/>
                <w:color w:val="auto"/>
              </w:rPr>
              <w:t>14,758</w:t>
            </w:r>
            <w:r>
              <w:rPr>
                <w:rFonts w:ascii="Arial" w:cs="Arial" w:eastAsia="Arial" w:hAnsi="Arial"/>
                <w:sz w:val="3"/>
                <w:szCs w:val="3"/>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600" w:type="dxa"/>
            <w:vAlign w:val="bottom"/>
          </w:tcPr>
          <w:p>
            <w:pPr>
              <w:jc w:val="right"/>
              <w:ind w:right="34"/>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626,281</w:t>
            </w:r>
            <w:r>
              <w:rPr>
                <w:rFonts w:ascii="Arial" w:cs="Arial" w:eastAsia="Arial" w:hAnsi="Arial"/>
                <w:sz w:val="3"/>
                <w:szCs w:val="3"/>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660" w:type="dxa"/>
            <w:vAlign w:val="bottom"/>
          </w:tcPr>
          <w:p>
            <w:pPr>
              <w:jc w:val="right"/>
              <w:ind w:right="54"/>
              <w:spacing w:after="0"/>
              <w:rPr>
                <w:sz w:val="20"/>
                <w:szCs w:val="20"/>
                <w:color w:val="auto"/>
              </w:rPr>
            </w:pPr>
            <w:r>
              <w:rPr>
                <w:rFonts w:ascii="Arial" w:cs="Arial" w:eastAsia="Arial" w:hAnsi="Arial"/>
                <w:sz w:val="14"/>
                <w:szCs w:val="14"/>
                <w:color w:val="auto"/>
              </w:rPr>
              <w:t>20.3%</w:t>
            </w:r>
            <w:r>
              <w:rPr>
                <w:rFonts w:ascii="Arial" w:cs="Arial" w:eastAsia="Arial" w:hAnsi="Arial"/>
                <w:sz w:val="3"/>
                <w:szCs w:val="3"/>
                <w:color w:val="auto"/>
              </w:rPr>
              <w:t>​</w:t>
            </w:r>
          </w:p>
        </w:tc>
        <w:tc>
          <w:tcPr>
            <w:tcW w:w="280" w:type="dxa"/>
            <w:vAlign w:val="bottom"/>
          </w:tcPr>
          <w:p>
            <w:pPr>
              <w:ind w:left="100"/>
              <w:spacing w:after="0"/>
              <w:rPr>
                <w:sz w:val="20"/>
                <w:szCs w:val="20"/>
                <w:color w:val="auto"/>
              </w:rPr>
            </w:pPr>
            <w:r>
              <w:rPr>
                <w:rFonts w:ascii="Arial" w:cs="Arial" w:eastAsia="Arial" w:hAnsi="Arial"/>
                <w:sz w:val="4"/>
                <w:szCs w:val="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1.0%</w:t>
            </w:r>
            <w:r>
              <w:rPr>
                <w:rFonts w:ascii="Arial" w:cs="Arial" w:eastAsia="Arial" w:hAnsi="Arial"/>
                <w:sz w:val="3"/>
                <w:szCs w:val="3"/>
                <w:color w:val="auto"/>
              </w:rPr>
              <w:t>​</w:t>
            </w:r>
          </w:p>
        </w:tc>
      </w:tr>
      <w:tr>
        <w:trPr>
          <w:trHeight w:val="364"/>
        </w:trPr>
        <w:tc>
          <w:tcPr>
            <w:tcW w:w="3540" w:type="dxa"/>
            <w:vAlign w:val="bottom"/>
          </w:tcPr>
          <w:p>
            <w:pPr>
              <w:spacing w:after="0"/>
              <w:rPr>
                <w:sz w:val="20"/>
                <w:szCs w:val="20"/>
                <w:color w:val="auto"/>
              </w:rPr>
            </w:pPr>
            <w:r>
              <w:rPr>
                <w:rFonts w:ascii="Arial" w:cs="Arial" w:eastAsia="Arial" w:hAnsi="Arial"/>
                <w:sz w:val="14"/>
                <w:szCs w:val="14"/>
                <w:color w:val="auto"/>
              </w:rPr>
              <w:t>Scott Friend</w:t>
            </w:r>
            <w:r>
              <w:rPr>
                <w:rFonts w:ascii="Arial" w:cs="Arial" w:eastAsia="Arial" w:hAnsi="Arial"/>
                <w:sz w:val="23"/>
                <w:szCs w:val="23"/>
                <w:color w:val="auto"/>
                <w:vertAlign w:val="superscript"/>
              </w:rPr>
              <w:t>(7)</w:t>
            </w:r>
          </w:p>
        </w:tc>
        <w:tc>
          <w:tcPr>
            <w:tcW w:w="860" w:type="dxa"/>
            <w:vAlign w:val="bottom"/>
          </w:tcPr>
          <w:p>
            <w:pPr>
              <w:ind w:left="740"/>
              <w:spacing w:after="0"/>
              <w:rPr>
                <w:sz w:val="20"/>
                <w:szCs w:val="20"/>
                <w:color w:val="auto"/>
              </w:rPr>
            </w:pPr>
            <w:r>
              <w:rPr>
                <w:rFonts w:ascii="Arial" w:cs="Arial" w:eastAsia="Arial" w:hAnsi="Arial"/>
                <w:sz w:val="4"/>
                <w:szCs w:val="4"/>
                <w:color w:val="auto"/>
              </w:rPr>
              <w:t>​</w:t>
            </w:r>
          </w:p>
        </w:tc>
        <w:tc>
          <w:tcPr>
            <w:tcW w:w="320" w:type="dxa"/>
            <w:vAlign w:val="bottom"/>
          </w:tcPr>
          <w:p>
            <w:pPr>
              <w:ind w:left="100"/>
              <w:spacing w:after="0"/>
              <w:rPr>
                <w:sz w:val="20"/>
                <w:szCs w:val="20"/>
                <w:color w:val="auto"/>
              </w:rPr>
            </w:pPr>
            <w:r>
              <w:rPr>
                <w:rFonts w:ascii="Arial" w:cs="Arial" w:eastAsia="Arial" w:hAnsi="Arial"/>
                <w:sz w:val="4"/>
                <w:szCs w:val="4"/>
                <w:color w:val="auto"/>
              </w:rPr>
              <w:t>​</w:t>
            </w:r>
          </w:p>
        </w:tc>
        <w:tc>
          <w:tcPr>
            <w:tcW w:w="840" w:type="dxa"/>
            <w:vAlign w:val="bottom"/>
          </w:tcPr>
          <w:p>
            <w:pPr>
              <w:jc w:val="right"/>
              <w:ind w:right="34"/>
              <w:spacing w:after="0"/>
              <w:rPr>
                <w:sz w:val="20"/>
                <w:szCs w:val="20"/>
                <w:color w:val="auto"/>
              </w:rPr>
            </w:pPr>
            <w:r>
              <w:rPr>
                <w:rFonts w:ascii="Arial" w:cs="Arial" w:eastAsia="Arial" w:hAnsi="Arial"/>
                <w:sz w:val="14"/>
                <w:szCs w:val="14"/>
                <w:color w:val="auto"/>
              </w:rPr>
              <w:t>14,758</w:t>
            </w:r>
            <w:r>
              <w:rPr>
                <w:rFonts w:ascii="Arial" w:cs="Arial" w:eastAsia="Arial" w:hAnsi="Arial"/>
                <w:sz w:val="3"/>
                <w:szCs w:val="3"/>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600" w:type="dxa"/>
            <w:vAlign w:val="bottom"/>
          </w:tcPr>
          <w:p>
            <w:pPr>
              <w:jc w:val="right"/>
              <w:ind w:right="34"/>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880" w:type="dxa"/>
            <w:vAlign w:val="bottom"/>
          </w:tcPr>
          <w:p>
            <w:pPr>
              <w:jc w:val="right"/>
              <w:ind w:right="7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660" w:type="dxa"/>
            <w:vAlign w:val="bottom"/>
          </w:tcPr>
          <w:p>
            <w:pPr>
              <w:jc w:val="right"/>
              <w:ind w:right="54"/>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280" w:type="dxa"/>
            <w:vAlign w:val="bottom"/>
          </w:tcPr>
          <w:p>
            <w:pPr>
              <w:ind w:left="100"/>
              <w:spacing w:after="0"/>
              <w:rPr>
                <w:sz w:val="20"/>
                <w:szCs w:val="20"/>
                <w:color w:val="auto"/>
              </w:rPr>
            </w:pPr>
            <w:r>
              <w:rPr>
                <w:rFonts w:ascii="Arial" w:cs="Arial" w:eastAsia="Arial" w:hAnsi="Arial"/>
                <w:sz w:val="4"/>
                <w:szCs w:val="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r>
      <w:tr>
        <w:trPr>
          <w:trHeight w:val="365"/>
        </w:trPr>
        <w:tc>
          <w:tcPr>
            <w:tcW w:w="3540" w:type="dxa"/>
            <w:vAlign w:val="bottom"/>
          </w:tcPr>
          <w:p>
            <w:pPr>
              <w:spacing w:after="0"/>
              <w:rPr>
                <w:sz w:val="20"/>
                <w:szCs w:val="20"/>
                <w:color w:val="auto"/>
              </w:rPr>
            </w:pPr>
            <w:r>
              <w:rPr>
                <w:rFonts w:ascii="Arial" w:cs="Arial" w:eastAsia="Arial" w:hAnsi="Arial"/>
                <w:sz w:val="14"/>
                <w:szCs w:val="14"/>
                <w:color w:val="auto"/>
              </w:rPr>
              <w:t>Melanie Harris</w:t>
            </w:r>
            <w:r>
              <w:rPr>
                <w:rFonts w:ascii="Arial" w:cs="Arial" w:eastAsia="Arial" w:hAnsi="Arial"/>
                <w:sz w:val="23"/>
                <w:szCs w:val="23"/>
                <w:color w:val="auto"/>
                <w:vertAlign w:val="superscript"/>
              </w:rPr>
              <w:t>(8)</w:t>
            </w:r>
          </w:p>
        </w:tc>
        <w:tc>
          <w:tcPr>
            <w:tcW w:w="860" w:type="dxa"/>
            <w:vAlign w:val="bottom"/>
          </w:tcPr>
          <w:p>
            <w:pPr>
              <w:ind w:left="740"/>
              <w:spacing w:after="0"/>
              <w:rPr>
                <w:sz w:val="20"/>
                <w:szCs w:val="20"/>
                <w:color w:val="auto"/>
              </w:rPr>
            </w:pPr>
            <w:r>
              <w:rPr>
                <w:rFonts w:ascii="Arial" w:cs="Arial" w:eastAsia="Arial" w:hAnsi="Arial"/>
                <w:sz w:val="4"/>
                <w:szCs w:val="4"/>
                <w:color w:val="auto"/>
              </w:rPr>
              <w:t>​</w:t>
            </w:r>
          </w:p>
        </w:tc>
        <w:tc>
          <w:tcPr>
            <w:tcW w:w="320" w:type="dxa"/>
            <w:vAlign w:val="bottom"/>
          </w:tcPr>
          <w:p>
            <w:pPr>
              <w:ind w:left="100"/>
              <w:spacing w:after="0"/>
              <w:rPr>
                <w:sz w:val="20"/>
                <w:szCs w:val="20"/>
                <w:color w:val="auto"/>
              </w:rPr>
            </w:pPr>
            <w:r>
              <w:rPr>
                <w:rFonts w:ascii="Arial" w:cs="Arial" w:eastAsia="Arial" w:hAnsi="Arial"/>
                <w:sz w:val="4"/>
                <w:szCs w:val="4"/>
                <w:color w:val="auto"/>
              </w:rPr>
              <w:t>​</w:t>
            </w:r>
          </w:p>
        </w:tc>
        <w:tc>
          <w:tcPr>
            <w:tcW w:w="840" w:type="dxa"/>
            <w:vAlign w:val="bottom"/>
          </w:tcPr>
          <w:p>
            <w:pPr>
              <w:jc w:val="right"/>
              <w:ind w:right="34"/>
              <w:spacing w:after="0"/>
              <w:rPr>
                <w:sz w:val="20"/>
                <w:szCs w:val="20"/>
                <w:color w:val="auto"/>
              </w:rPr>
            </w:pPr>
            <w:r>
              <w:rPr>
                <w:rFonts w:ascii="Arial" w:cs="Arial" w:eastAsia="Arial" w:hAnsi="Arial"/>
                <w:sz w:val="14"/>
                <w:szCs w:val="14"/>
                <w:color w:val="auto"/>
              </w:rPr>
              <w:t>38,838</w:t>
            </w:r>
            <w:r>
              <w:rPr>
                <w:rFonts w:ascii="Arial" w:cs="Arial" w:eastAsia="Arial" w:hAnsi="Arial"/>
                <w:sz w:val="3"/>
                <w:szCs w:val="3"/>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600" w:type="dxa"/>
            <w:vAlign w:val="bottom"/>
          </w:tcPr>
          <w:p>
            <w:pPr>
              <w:jc w:val="right"/>
              <w:ind w:right="34"/>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880" w:type="dxa"/>
            <w:vAlign w:val="bottom"/>
          </w:tcPr>
          <w:p>
            <w:pPr>
              <w:jc w:val="right"/>
              <w:ind w:right="7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660" w:type="dxa"/>
            <w:vAlign w:val="bottom"/>
          </w:tcPr>
          <w:p>
            <w:pPr>
              <w:jc w:val="right"/>
              <w:ind w:right="54"/>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280" w:type="dxa"/>
            <w:vAlign w:val="bottom"/>
          </w:tcPr>
          <w:p>
            <w:pPr>
              <w:ind w:left="100"/>
              <w:spacing w:after="0"/>
              <w:rPr>
                <w:sz w:val="20"/>
                <w:szCs w:val="20"/>
                <w:color w:val="auto"/>
              </w:rPr>
            </w:pPr>
            <w:r>
              <w:rPr>
                <w:rFonts w:ascii="Arial" w:cs="Arial" w:eastAsia="Arial" w:hAnsi="Arial"/>
                <w:sz w:val="4"/>
                <w:szCs w:val="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r>
      <w:tr>
        <w:trPr>
          <w:trHeight w:val="364"/>
        </w:trPr>
        <w:tc>
          <w:tcPr>
            <w:tcW w:w="3540" w:type="dxa"/>
            <w:vAlign w:val="bottom"/>
          </w:tcPr>
          <w:p>
            <w:pPr>
              <w:spacing w:after="0"/>
              <w:rPr>
                <w:sz w:val="20"/>
                <w:szCs w:val="20"/>
                <w:color w:val="auto"/>
              </w:rPr>
            </w:pPr>
            <w:r>
              <w:rPr>
                <w:rFonts w:ascii="Arial" w:cs="Arial" w:eastAsia="Arial" w:hAnsi="Arial"/>
                <w:sz w:val="14"/>
                <w:szCs w:val="14"/>
                <w:color w:val="auto"/>
              </w:rPr>
              <w:t>Beth Kaplan</w:t>
            </w:r>
            <w:r>
              <w:rPr>
                <w:rFonts w:ascii="Arial" w:cs="Arial" w:eastAsia="Arial" w:hAnsi="Arial"/>
                <w:sz w:val="23"/>
                <w:szCs w:val="23"/>
                <w:color w:val="auto"/>
                <w:vertAlign w:val="superscript"/>
              </w:rPr>
              <w:t>(9)</w:t>
            </w:r>
          </w:p>
        </w:tc>
        <w:tc>
          <w:tcPr>
            <w:tcW w:w="860" w:type="dxa"/>
            <w:vAlign w:val="bottom"/>
          </w:tcPr>
          <w:p>
            <w:pPr>
              <w:ind w:left="740"/>
              <w:spacing w:after="0"/>
              <w:rPr>
                <w:sz w:val="20"/>
                <w:szCs w:val="20"/>
                <w:color w:val="auto"/>
              </w:rPr>
            </w:pPr>
            <w:r>
              <w:rPr>
                <w:rFonts w:ascii="Arial" w:cs="Arial" w:eastAsia="Arial" w:hAnsi="Arial"/>
                <w:sz w:val="4"/>
                <w:szCs w:val="4"/>
                <w:color w:val="auto"/>
              </w:rPr>
              <w:t>​</w:t>
            </w:r>
          </w:p>
        </w:tc>
        <w:tc>
          <w:tcPr>
            <w:tcW w:w="320" w:type="dxa"/>
            <w:vAlign w:val="bottom"/>
          </w:tcPr>
          <w:p>
            <w:pPr>
              <w:ind w:left="100"/>
              <w:spacing w:after="0"/>
              <w:rPr>
                <w:sz w:val="20"/>
                <w:szCs w:val="20"/>
                <w:color w:val="auto"/>
              </w:rPr>
            </w:pPr>
            <w:r>
              <w:rPr>
                <w:rFonts w:ascii="Arial" w:cs="Arial" w:eastAsia="Arial" w:hAnsi="Arial"/>
                <w:sz w:val="4"/>
                <w:szCs w:val="4"/>
                <w:color w:val="auto"/>
              </w:rPr>
              <w:t>​</w:t>
            </w:r>
          </w:p>
        </w:tc>
        <w:tc>
          <w:tcPr>
            <w:tcW w:w="840" w:type="dxa"/>
            <w:vAlign w:val="bottom"/>
          </w:tcPr>
          <w:p>
            <w:pPr>
              <w:jc w:val="right"/>
              <w:ind w:right="34"/>
              <w:spacing w:after="0"/>
              <w:rPr>
                <w:sz w:val="20"/>
                <w:szCs w:val="20"/>
                <w:color w:val="auto"/>
              </w:rPr>
            </w:pPr>
            <w:r>
              <w:rPr>
                <w:rFonts w:ascii="Arial" w:cs="Arial" w:eastAsia="Arial" w:hAnsi="Arial"/>
                <w:sz w:val="14"/>
                <w:szCs w:val="14"/>
                <w:color w:val="auto"/>
              </w:rPr>
              <w:t>610,456</w:t>
            </w:r>
            <w:r>
              <w:rPr>
                <w:rFonts w:ascii="Arial" w:cs="Arial" w:eastAsia="Arial" w:hAnsi="Arial"/>
                <w:sz w:val="3"/>
                <w:szCs w:val="3"/>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600" w:type="dxa"/>
            <w:vAlign w:val="bottom"/>
          </w:tcPr>
          <w:p>
            <w:pPr>
              <w:jc w:val="right"/>
              <w:ind w:right="34"/>
              <w:spacing w:after="0"/>
              <w:rPr>
                <w:sz w:val="20"/>
                <w:szCs w:val="20"/>
                <w:color w:val="auto"/>
              </w:rPr>
            </w:pPr>
            <w:r>
              <w:rPr>
                <w:rFonts w:ascii="Arial" w:cs="Arial" w:eastAsia="Arial" w:hAnsi="Arial"/>
                <w:sz w:val="14"/>
                <w:szCs w:val="14"/>
                <w:color w:val="auto"/>
              </w:rPr>
              <w:t>1.0%</w:t>
            </w:r>
            <w:r>
              <w:rPr>
                <w:rFonts w:ascii="Arial" w:cs="Arial" w:eastAsia="Arial" w:hAnsi="Arial"/>
                <w:sz w:val="3"/>
                <w:szCs w:val="3"/>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880" w:type="dxa"/>
            <w:vAlign w:val="bottom"/>
          </w:tcPr>
          <w:p>
            <w:pPr>
              <w:jc w:val="right"/>
              <w:ind w:right="7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660" w:type="dxa"/>
            <w:vAlign w:val="bottom"/>
          </w:tcPr>
          <w:p>
            <w:pPr>
              <w:jc w:val="right"/>
              <w:ind w:right="54"/>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280" w:type="dxa"/>
            <w:vAlign w:val="bottom"/>
          </w:tcPr>
          <w:p>
            <w:pPr>
              <w:ind w:left="100"/>
              <w:spacing w:after="0"/>
              <w:rPr>
                <w:sz w:val="20"/>
                <w:szCs w:val="20"/>
                <w:color w:val="auto"/>
              </w:rPr>
            </w:pPr>
            <w:r>
              <w:rPr>
                <w:rFonts w:ascii="Arial" w:cs="Arial" w:eastAsia="Arial" w:hAnsi="Arial"/>
                <w:sz w:val="4"/>
                <w:szCs w:val="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-1642745</wp:posOffset>
            </wp:positionV>
            <wp:extent cx="60350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-1411605</wp:posOffset>
            </wp:positionV>
            <wp:extent cx="60350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-1179830</wp:posOffset>
            </wp:positionV>
            <wp:extent cx="60350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-948690</wp:posOffset>
            </wp:positionV>
            <wp:extent cx="60350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-716915</wp:posOffset>
            </wp:positionV>
            <wp:extent cx="60350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-485775</wp:posOffset>
            </wp:positionV>
            <wp:extent cx="60350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-254000</wp:posOffset>
            </wp:positionV>
            <wp:extent cx="60350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-22860</wp:posOffset>
            </wp:positionV>
            <wp:extent cx="60350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type w:val="continuous"/>
        </w:sectPr>
      </w:pPr>
    </w:p>
    <w:p>
      <w:pPr>
        <w:spacing w:after="0" w:line="66" w:lineRule="exact"/>
        <w:rPr>
          <w:sz w:val="20"/>
          <w:szCs w:val="20"/>
          <w:color w:val="auto"/>
        </w:rPr>
      </w:pPr>
    </w:p>
    <w:tbl>
      <w:tblPr>
        <w:tblLayout w:type="fixed"/>
        <w:tblInd w:w="180" w:type="dxa"/>
        <w:tblCellMar>
          <w:top w:w="0" w:type="dxa"/>
          <w:left w:w="0" w:type="dxa"/>
          <w:bottom w:w="0" w:type="dxa"/>
          <w:right w:w="0" w:type="dxa"/>
        </w:tblCellMar>
      </w:tblPr>
      <w:tr>
        <w:trPr>
          <w:trHeight w:val="182"/>
        </w:trPr>
        <w:tc>
          <w:tcPr>
            <w:tcW w:w="2780" w:type="dxa"/>
            <w:vAlign w:val="bottom"/>
          </w:tcPr>
          <w:p>
            <w:pPr>
              <w:spacing w:after="0"/>
              <w:rPr>
                <w:sz w:val="20"/>
                <w:szCs w:val="20"/>
                <w:color w:val="auto"/>
              </w:rPr>
            </w:pPr>
            <w:r>
              <w:rPr>
                <w:rFonts w:ascii="Arial" w:cs="Arial" w:eastAsia="Arial" w:hAnsi="Arial"/>
                <w:sz w:val="14"/>
                <w:szCs w:val="14"/>
                <w:color w:val="auto"/>
              </w:rPr>
              <w:t>Emil Michael</w:t>
            </w:r>
          </w:p>
        </w:tc>
        <w:tc>
          <w:tcPr>
            <w:tcW w:w="1620" w:type="dxa"/>
            <w:vAlign w:val="bottom"/>
          </w:tcPr>
          <w:p>
            <w:pPr>
              <w:ind w:left="1500"/>
              <w:spacing w:after="0"/>
              <w:rPr>
                <w:sz w:val="20"/>
                <w:szCs w:val="20"/>
                <w:color w:val="auto"/>
              </w:rPr>
            </w:pPr>
            <w:r>
              <w:rPr>
                <w:rFonts w:ascii="Arial" w:cs="Arial" w:eastAsia="Arial" w:hAnsi="Arial"/>
                <w:sz w:val="4"/>
                <w:szCs w:val="4"/>
                <w:color w:val="auto"/>
              </w:rPr>
              <w:t>​</w:t>
            </w:r>
          </w:p>
        </w:tc>
        <w:tc>
          <w:tcPr>
            <w:tcW w:w="320" w:type="dxa"/>
            <w:vAlign w:val="bottom"/>
          </w:tcPr>
          <w:p>
            <w:pPr>
              <w:ind w:left="100"/>
              <w:spacing w:after="0"/>
              <w:rPr>
                <w:sz w:val="20"/>
                <w:szCs w:val="20"/>
                <w:color w:val="auto"/>
              </w:rPr>
            </w:pPr>
            <w:r>
              <w:rPr>
                <w:rFonts w:ascii="Arial" w:cs="Arial" w:eastAsia="Arial" w:hAnsi="Arial"/>
                <w:sz w:val="4"/>
                <w:szCs w:val="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380" w:type="dxa"/>
            <w:vAlign w:val="bottom"/>
          </w:tcPr>
          <w:p>
            <w:pPr>
              <w:ind w:left="120"/>
              <w:spacing w:after="0"/>
              <w:rPr>
                <w:sz w:val="20"/>
                <w:szCs w:val="20"/>
                <w:color w:val="auto"/>
              </w:rPr>
            </w:pPr>
            <w:r>
              <w:rPr>
                <w:rFonts w:ascii="Arial" w:cs="Arial" w:eastAsia="Arial" w:hAnsi="Arial"/>
                <w:sz w:val="4"/>
                <w:szCs w:val="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560" w:type="dxa"/>
            <w:vAlign w:val="bottom"/>
          </w:tcPr>
          <w:p>
            <w:pPr>
              <w:ind w:left="120"/>
              <w:spacing w:after="0"/>
              <w:rPr>
                <w:sz w:val="20"/>
                <w:szCs w:val="20"/>
                <w:color w:val="auto"/>
              </w:rPr>
            </w:pPr>
            <w:r>
              <w:rPr>
                <w:rFonts w:ascii="Arial" w:cs="Arial" w:eastAsia="Arial" w:hAnsi="Arial"/>
                <w:sz w:val="4"/>
                <w:szCs w:val="4"/>
                <w:color w:val="auto"/>
              </w:rPr>
              <w:t>​</w:t>
            </w:r>
          </w:p>
        </w:tc>
        <w:tc>
          <w:tcPr>
            <w:tcW w:w="560" w:type="dxa"/>
            <w:vAlign w:val="bottom"/>
          </w:tcPr>
          <w:p>
            <w:pPr>
              <w:ind w:left="440"/>
              <w:spacing w:after="0"/>
              <w:rPr>
                <w:sz w:val="20"/>
                <w:szCs w:val="20"/>
                <w:color w:val="auto"/>
              </w:rPr>
            </w:pPr>
            <w:r>
              <w:rPr>
                <w:rFonts w:ascii="Arial" w:cs="Arial" w:eastAsia="Arial" w:hAnsi="Arial"/>
                <w:sz w:val="4"/>
                <w:szCs w:val="4"/>
                <w:color w:val="auto"/>
              </w:rPr>
              <w:t>​</w:t>
            </w:r>
          </w:p>
        </w:tc>
        <w:tc>
          <w:tcPr>
            <w:tcW w:w="38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ind w:left="260"/>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360" w:type="dxa"/>
            <w:vAlign w:val="bottom"/>
          </w:tcPr>
          <w:p>
            <w:pPr>
              <w:ind w:left="100"/>
              <w:spacing w:after="0"/>
              <w:rPr>
                <w:sz w:val="20"/>
                <w:szCs w:val="20"/>
                <w:color w:val="auto"/>
              </w:rPr>
            </w:pPr>
            <w:r>
              <w:rPr>
                <w:rFonts w:ascii="Arial" w:cs="Arial" w:eastAsia="Arial" w:hAnsi="Arial"/>
                <w:sz w:val="4"/>
                <w:szCs w:val="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r>
      <w:tr>
        <w:trPr>
          <w:trHeight w:val="481"/>
        </w:trPr>
        <w:tc>
          <w:tcPr>
            <w:tcW w:w="2780" w:type="dxa"/>
            <w:vAlign w:val="bottom"/>
          </w:tcPr>
          <w:p>
            <w:pPr>
              <w:spacing w:after="0"/>
              <w:rPr>
                <w:sz w:val="20"/>
                <w:szCs w:val="20"/>
                <w:color w:val="auto"/>
              </w:rPr>
            </w:pPr>
            <w:r>
              <w:rPr>
                <w:rFonts w:ascii="Arial" w:cs="Arial" w:eastAsia="Arial" w:hAnsi="Arial"/>
                <w:sz w:val="14"/>
                <w:szCs w:val="14"/>
                <w:color w:val="auto"/>
              </w:rPr>
              <w:t>Dan Nova</w:t>
            </w:r>
            <w:r>
              <w:rPr>
                <w:rFonts w:ascii="Arial" w:cs="Arial" w:eastAsia="Arial" w:hAnsi="Arial"/>
                <w:sz w:val="23"/>
                <w:szCs w:val="23"/>
                <w:color w:val="auto"/>
                <w:vertAlign w:val="superscript"/>
              </w:rPr>
              <w:t>(10)</w:t>
            </w:r>
          </w:p>
        </w:tc>
        <w:tc>
          <w:tcPr>
            <w:tcW w:w="1620" w:type="dxa"/>
            <w:vAlign w:val="bottom"/>
          </w:tcPr>
          <w:p>
            <w:pPr>
              <w:ind w:left="1500"/>
              <w:spacing w:after="0"/>
              <w:rPr>
                <w:sz w:val="20"/>
                <w:szCs w:val="20"/>
                <w:color w:val="auto"/>
              </w:rPr>
            </w:pPr>
            <w:r>
              <w:rPr>
                <w:rFonts w:ascii="Arial" w:cs="Arial" w:eastAsia="Arial" w:hAnsi="Arial"/>
                <w:sz w:val="4"/>
                <w:szCs w:val="4"/>
                <w:color w:val="auto"/>
              </w:rPr>
              <w:t>​</w:t>
            </w:r>
          </w:p>
        </w:tc>
        <w:tc>
          <w:tcPr>
            <w:tcW w:w="320" w:type="dxa"/>
            <w:vAlign w:val="bottom"/>
          </w:tcPr>
          <w:p>
            <w:pPr>
              <w:ind w:left="100"/>
              <w:spacing w:after="0"/>
              <w:rPr>
                <w:sz w:val="20"/>
                <w:szCs w:val="20"/>
                <w:color w:val="auto"/>
              </w:rPr>
            </w:pPr>
            <w:r>
              <w:rPr>
                <w:rFonts w:ascii="Arial" w:cs="Arial" w:eastAsia="Arial" w:hAnsi="Arial"/>
                <w:sz w:val="4"/>
                <w:szCs w:val="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14,758</w:t>
            </w:r>
            <w:r>
              <w:rPr>
                <w:rFonts w:ascii="Arial" w:cs="Arial" w:eastAsia="Arial" w:hAnsi="Arial"/>
                <w:sz w:val="3"/>
                <w:szCs w:val="3"/>
                <w:color w:val="auto"/>
              </w:rPr>
              <w:t>​</w:t>
            </w:r>
          </w:p>
        </w:tc>
        <w:tc>
          <w:tcPr>
            <w:tcW w:w="380" w:type="dxa"/>
            <w:vAlign w:val="bottom"/>
          </w:tcPr>
          <w:p>
            <w:pPr>
              <w:ind w:left="120"/>
              <w:spacing w:after="0"/>
              <w:rPr>
                <w:sz w:val="20"/>
                <w:szCs w:val="20"/>
                <w:color w:val="auto"/>
              </w:rPr>
            </w:pPr>
            <w:r>
              <w:rPr>
                <w:rFonts w:ascii="Arial" w:cs="Arial" w:eastAsia="Arial" w:hAnsi="Arial"/>
                <w:sz w:val="4"/>
                <w:szCs w:val="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560" w:type="dxa"/>
            <w:vAlign w:val="bottom"/>
          </w:tcPr>
          <w:p>
            <w:pPr>
              <w:ind w:left="120"/>
              <w:spacing w:after="0"/>
              <w:rPr>
                <w:sz w:val="20"/>
                <w:szCs w:val="20"/>
                <w:color w:val="auto"/>
              </w:rPr>
            </w:pPr>
            <w:r>
              <w:rPr>
                <w:rFonts w:ascii="Arial" w:cs="Arial" w:eastAsia="Arial" w:hAnsi="Arial"/>
                <w:sz w:val="4"/>
                <w:szCs w:val="4"/>
                <w:color w:val="auto"/>
              </w:rPr>
              <w:t>​</w:t>
            </w:r>
          </w:p>
        </w:tc>
        <w:tc>
          <w:tcPr>
            <w:tcW w:w="560" w:type="dxa"/>
            <w:vAlign w:val="bottom"/>
          </w:tcPr>
          <w:p>
            <w:pPr>
              <w:ind w:left="440"/>
              <w:spacing w:after="0"/>
              <w:rPr>
                <w:sz w:val="20"/>
                <w:szCs w:val="20"/>
                <w:color w:val="auto"/>
              </w:rPr>
            </w:pPr>
            <w:r>
              <w:rPr>
                <w:rFonts w:ascii="Arial" w:cs="Arial" w:eastAsia="Arial" w:hAnsi="Arial"/>
                <w:sz w:val="4"/>
                <w:szCs w:val="4"/>
                <w:color w:val="auto"/>
              </w:rPr>
              <w:t>​</w:t>
            </w:r>
          </w:p>
        </w:tc>
        <w:tc>
          <w:tcPr>
            <w:tcW w:w="38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ind w:left="260"/>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360" w:type="dxa"/>
            <w:vAlign w:val="bottom"/>
          </w:tcPr>
          <w:p>
            <w:pPr>
              <w:ind w:left="100"/>
              <w:spacing w:after="0"/>
              <w:rPr>
                <w:sz w:val="20"/>
                <w:szCs w:val="20"/>
                <w:color w:val="auto"/>
              </w:rPr>
            </w:pPr>
            <w:r>
              <w:rPr>
                <w:rFonts w:ascii="Arial" w:cs="Arial" w:eastAsia="Arial" w:hAnsi="Arial"/>
                <w:sz w:val="4"/>
                <w:szCs w:val="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r>
      <w:tr>
        <w:trPr>
          <w:trHeight w:val="364"/>
        </w:trPr>
        <w:tc>
          <w:tcPr>
            <w:tcW w:w="2780" w:type="dxa"/>
            <w:vAlign w:val="bottom"/>
          </w:tcPr>
          <w:p>
            <w:pPr>
              <w:spacing w:after="0"/>
              <w:rPr>
                <w:sz w:val="20"/>
                <w:szCs w:val="20"/>
                <w:color w:val="auto"/>
              </w:rPr>
            </w:pPr>
            <w:r>
              <w:rPr>
                <w:rFonts w:ascii="Arial" w:cs="Arial" w:eastAsia="Arial" w:hAnsi="Arial"/>
                <w:sz w:val="14"/>
                <w:szCs w:val="14"/>
                <w:color w:val="auto"/>
              </w:rPr>
              <w:t>Gwyneth Paltrow</w:t>
            </w:r>
            <w:r>
              <w:rPr>
                <w:rFonts w:ascii="Arial" w:cs="Arial" w:eastAsia="Arial" w:hAnsi="Arial"/>
                <w:sz w:val="23"/>
                <w:szCs w:val="23"/>
                <w:color w:val="auto"/>
                <w:vertAlign w:val="superscript"/>
              </w:rPr>
              <w:t>(11)</w:t>
            </w:r>
          </w:p>
        </w:tc>
        <w:tc>
          <w:tcPr>
            <w:tcW w:w="1620" w:type="dxa"/>
            <w:vAlign w:val="bottom"/>
          </w:tcPr>
          <w:p>
            <w:pPr>
              <w:ind w:left="1500"/>
              <w:spacing w:after="0"/>
              <w:rPr>
                <w:sz w:val="20"/>
                <w:szCs w:val="20"/>
                <w:color w:val="auto"/>
              </w:rPr>
            </w:pPr>
            <w:r>
              <w:rPr>
                <w:rFonts w:ascii="Arial" w:cs="Arial" w:eastAsia="Arial" w:hAnsi="Arial"/>
                <w:sz w:val="4"/>
                <w:szCs w:val="4"/>
                <w:color w:val="auto"/>
              </w:rPr>
              <w:t>​</w:t>
            </w:r>
          </w:p>
        </w:tc>
        <w:tc>
          <w:tcPr>
            <w:tcW w:w="320" w:type="dxa"/>
            <w:vAlign w:val="bottom"/>
          </w:tcPr>
          <w:p>
            <w:pPr>
              <w:ind w:left="100"/>
              <w:spacing w:after="0"/>
              <w:rPr>
                <w:sz w:val="20"/>
                <w:szCs w:val="20"/>
                <w:color w:val="auto"/>
              </w:rPr>
            </w:pPr>
            <w:r>
              <w:rPr>
                <w:rFonts w:ascii="Arial" w:cs="Arial" w:eastAsia="Arial" w:hAnsi="Arial"/>
                <w:sz w:val="4"/>
                <w:szCs w:val="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45,278</w:t>
            </w:r>
            <w:r>
              <w:rPr>
                <w:rFonts w:ascii="Arial" w:cs="Arial" w:eastAsia="Arial" w:hAnsi="Arial"/>
                <w:sz w:val="3"/>
                <w:szCs w:val="3"/>
                <w:color w:val="auto"/>
              </w:rPr>
              <w:t>​</w:t>
            </w:r>
          </w:p>
        </w:tc>
        <w:tc>
          <w:tcPr>
            <w:tcW w:w="380" w:type="dxa"/>
            <w:vAlign w:val="bottom"/>
          </w:tcPr>
          <w:p>
            <w:pPr>
              <w:ind w:left="120"/>
              <w:spacing w:after="0"/>
              <w:rPr>
                <w:sz w:val="20"/>
                <w:szCs w:val="20"/>
                <w:color w:val="auto"/>
              </w:rPr>
            </w:pPr>
            <w:r>
              <w:rPr>
                <w:rFonts w:ascii="Arial" w:cs="Arial" w:eastAsia="Arial" w:hAnsi="Arial"/>
                <w:sz w:val="4"/>
                <w:szCs w:val="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560" w:type="dxa"/>
            <w:vAlign w:val="bottom"/>
          </w:tcPr>
          <w:p>
            <w:pPr>
              <w:ind w:left="120"/>
              <w:spacing w:after="0"/>
              <w:rPr>
                <w:sz w:val="20"/>
                <w:szCs w:val="20"/>
                <w:color w:val="auto"/>
              </w:rPr>
            </w:pPr>
            <w:r>
              <w:rPr>
                <w:rFonts w:ascii="Arial" w:cs="Arial" w:eastAsia="Arial" w:hAnsi="Arial"/>
                <w:sz w:val="4"/>
                <w:szCs w:val="4"/>
                <w:color w:val="auto"/>
              </w:rPr>
              <w:t>​</w:t>
            </w:r>
          </w:p>
        </w:tc>
        <w:tc>
          <w:tcPr>
            <w:tcW w:w="560" w:type="dxa"/>
            <w:vAlign w:val="bottom"/>
          </w:tcPr>
          <w:p>
            <w:pPr>
              <w:ind w:left="440"/>
              <w:spacing w:after="0"/>
              <w:rPr>
                <w:sz w:val="20"/>
                <w:szCs w:val="20"/>
                <w:color w:val="auto"/>
              </w:rPr>
            </w:pPr>
            <w:r>
              <w:rPr>
                <w:rFonts w:ascii="Arial" w:cs="Arial" w:eastAsia="Arial" w:hAnsi="Arial"/>
                <w:sz w:val="4"/>
                <w:szCs w:val="4"/>
                <w:color w:val="auto"/>
              </w:rPr>
              <w:t>​</w:t>
            </w:r>
          </w:p>
        </w:tc>
        <w:tc>
          <w:tcPr>
            <w:tcW w:w="38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ind w:left="260"/>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360" w:type="dxa"/>
            <w:vAlign w:val="bottom"/>
          </w:tcPr>
          <w:p>
            <w:pPr>
              <w:ind w:left="100"/>
              <w:spacing w:after="0"/>
              <w:rPr>
                <w:sz w:val="20"/>
                <w:szCs w:val="20"/>
                <w:color w:val="auto"/>
              </w:rPr>
            </w:pPr>
            <w:r>
              <w:rPr>
                <w:rFonts w:ascii="Arial" w:cs="Arial" w:eastAsia="Arial" w:hAnsi="Arial"/>
                <w:sz w:val="4"/>
                <w:szCs w:val="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r>
      <w:tr>
        <w:trPr>
          <w:trHeight w:val="365"/>
        </w:trPr>
        <w:tc>
          <w:tcPr>
            <w:tcW w:w="2780" w:type="dxa"/>
            <w:vAlign w:val="bottom"/>
          </w:tcPr>
          <w:p>
            <w:pPr>
              <w:spacing w:after="0"/>
              <w:rPr>
                <w:sz w:val="20"/>
                <w:szCs w:val="20"/>
                <w:color w:val="auto"/>
              </w:rPr>
            </w:pPr>
            <w:r>
              <w:rPr>
                <w:rFonts w:ascii="Arial" w:cs="Arial" w:eastAsia="Arial" w:hAnsi="Arial"/>
                <w:sz w:val="14"/>
                <w:szCs w:val="14"/>
                <w:color w:val="auto"/>
              </w:rPr>
              <w:t>Carley Roney</w:t>
            </w:r>
            <w:r>
              <w:rPr>
                <w:rFonts w:ascii="Arial" w:cs="Arial" w:eastAsia="Arial" w:hAnsi="Arial"/>
                <w:sz w:val="23"/>
                <w:szCs w:val="23"/>
                <w:color w:val="auto"/>
                <w:vertAlign w:val="superscript"/>
              </w:rPr>
              <w:t>(12)</w:t>
            </w:r>
          </w:p>
        </w:tc>
        <w:tc>
          <w:tcPr>
            <w:tcW w:w="1620" w:type="dxa"/>
            <w:vAlign w:val="bottom"/>
          </w:tcPr>
          <w:p>
            <w:pPr>
              <w:ind w:left="1500"/>
              <w:spacing w:after="0"/>
              <w:rPr>
                <w:sz w:val="20"/>
                <w:szCs w:val="20"/>
                <w:color w:val="auto"/>
              </w:rPr>
            </w:pPr>
            <w:r>
              <w:rPr>
                <w:rFonts w:ascii="Arial" w:cs="Arial" w:eastAsia="Arial" w:hAnsi="Arial"/>
                <w:sz w:val="4"/>
                <w:szCs w:val="4"/>
                <w:color w:val="auto"/>
              </w:rPr>
              <w:t>​</w:t>
            </w:r>
          </w:p>
        </w:tc>
        <w:tc>
          <w:tcPr>
            <w:tcW w:w="320" w:type="dxa"/>
            <w:vAlign w:val="bottom"/>
          </w:tcPr>
          <w:p>
            <w:pPr>
              <w:ind w:left="100"/>
              <w:spacing w:after="0"/>
              <w:rPr>
                <w:sz w:val="20"/>
                <w:szCs w:val="20"/>
                <w:color w:val="auto"/>
              </w:rPr>
            </w:pPr>
            <w:r>
              <w:rPr>
                <w:rFonts w:ascii="Arial" w:cs="Arial" w:eastAsia="Arial" w:hAnsi="Arial"/>
                <w:sz w:val="4"/>
                <w:szCs w:val="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89,528</w:t>
            </w:r>
            <w:r>
              <w:rPr>
                <w:rFonts w:ascii="Arial" w:cs="Arial" w:eastAsia="Arial" w:hAnsi="Arial"/>
                <w:sz w:val="3"/>
                <w:szCs w:val="3"/>
                <w:color w:val="auto"/>
              </w:rPr>
              <w:t>​</w:t>
            </w:r>
          </w:p>
        </w:tc>
        <w:tc>
          <w:tcPr>
            <w:tcW w:w="380" w:type="dxa"/>
            <w:vAlign w:val="bottom"/>
          </w:tcPr>
          <w:p>
            <w:pPr>
              <w:ind w:left="120"/>
              <w:spacing w:after="0"/>
              <w:rPr>
                <w:sz w:val="20"/>
                <w:szCs w:val="20"/>
                <w:color w:val="auto"/>
              </w:rPr>
            </w:pPr>
            <w:r>
              <w:rPr>
                <w:rFonts w:ascii="Arial" w:cs="Arial" w:eastAsia="Arial" w:hAnsi="Arial"/>
                <w:sz w:val="4"/>
                <w:szCs w:val="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560" w:type="dxa"/>
            <w:vAlign w:val="bottom"/>
          </w:tcPr>
          <w:p>
            <w:pPr>
              <w:ind w:left="120"/>
              <w:spacing w:after="0"/>
              <w:rPr>
                <w:sz w:val="20"/>
                <w:szCs w:val="20"/>
                <w:color w:val="auto"/>
              </w:rPr>
            </w:pPr>
            <w:r>
              <w:rPr>
                <w:rFonts w:ascii="Arial" w:cs="Arial" w:eastAsia="Arial" w:hAnsi="Arial"/>
                <w:sz w:val="4"/>
                <w:szCs w:val="4"/>
                <w:color w:val="auto"/>
              </w:rPr>
              <w:t>​</w:t>
            </w:r>
          </w:p>
        </w:tc>
        <w:tc>
          <w:tcPr>
            <w:tcW w:w="560" w:type="dxa"/>
            <w:vAlign w:val="bottom"/>
          </w:tcPr>
          <w:p>
            <w:pPr>
              <w:ind w:left="440"/>
              <w:spacing w:after="0"/>
              <w:rPr>
                <w:sz w:val="20"/>
                <w:szCs w:val="20"/>
                <w:color w:val="auto"/>
              </w:rPr>
            </w:pPr>
            <w:r>
              <w:rPr>
                <w:rFonts w:ascii="Arial" w:cs="Arial" w:eastAsia="Arial" w:hAnsi="Arial"/>
                <w:sz w:val="4"/>
                <w:szCs w:val="4"/>
                <w:color w:val="auto"/>
              </w:rPr>
              <w:t>​</w:t>
            </w:r>
          </w:p>
        </w:tc>
        <w:tc>
          <w:tcPr>
            <w:tcW w:w="38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ind w:left="260"/>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360" w:type="dxa"/>
            <w:vAlign w:val="bottom"/>
          </w:tcPr>
          <w:p>
            <w:pPr>
              <w:ind w:left="100"/>
              <w:spacing w:after="0"/>
              <w:rPr>
                <w:sz w:val="20"/>
                <w:szCs w:val="20"/>
                <w:color w:val="auto"/>
              </w:rPr>
            </w:pPr>
            <w:r>
              <w:rPr>
                <w:rFonts w:ascii="Arial" w:cs="Arial" w:eastAsia="Arial" w:hAnsi="Arial"/>
                <w:sz w:val="4"/>
                <w:szCs w:val="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r>
      <w:tr>
        <w:trPr>
          <w:trHeight w:val="364"/>
        </w:trPr>
        <w:tc>
          <w:tcPr>
            <w:tcW w:w="2780" w:type="dxa"/>
            <w:vAlign w:val="bottom"/>
          </w:tcPr>
          <w:p>
            <w:pPr>
              <w:spacing w:after="0"/>
              <w:rPr>
                <w:sz w:val="20"/>
                <w:szCs w:val="20"/>
                <w:color w:val="auto"/>
              </w:rPr>
            </w:pPr>
            <w:r>
              <w:rPr>
                <w:rFonts w:ascii="Arial" w:cs="Arial" w:eastAsia="Arial" w:hAnsi="Arial"/>
                <w:sz w:val="14"/>
                <w:szCs w:val="14"/>
                <w:color w:val="auto"/>
              </w:rPr>
              <w:t>Mike Roth</w:t>
            </w:r>
            <w:r>
              <w:rPr>
                <w:rFonts w:ascii="Arial" w:cs="Arial" w:eastAsia="Arial" w:hAnsi="Arial"/>
                <w:sz w:val="23"/>
                <w:szCs w:val="23"/>
                <w:color w:val="auto"/>
                <w:vertAlign w:val="superscript"/>
              </w:rPr>
              <w:t>(13)</w:t>
            </w:r>
          </w:p>
        </w:tc>
        <w:tc>
          <w:tcPr>
            <w:tcW w:w="1620" w:type="dxa"/>
            <w:vAlign w:val="bottom"/>
          </w:tcPr>
          <w:p>
            <w:pPr>
              <w:ind w:left="1500"/>
              <w:spacing w:after="0"/>
              <w:rPr>
                <w:sz w:val="20"/>
                <w:szCs w:val="20"/>
                <w:color w:val="auto"/>
              </w:rPr>
            </w:pPr>
            <w:r>
              <w:rPr>
                <w:rFonts w:ascii="Arial" w:cs="Arial" w:eastAsia="Arial" w:hAnsi="Arial"/>
                <w:sz w:val="4"/>
                <w:szCs w:val="4"/>
                <w:color w:val="auto"/>
              </w:rPr>
              <w:t>​</w:t>
            </w:r>
          </w:p>
        </w:tc>
        <w:tc>
          <w:tcPr>
            <w:tcW w:w="320" w:type="dxa"/>
            <w:vAlign w:val="bottom"/>
          </w:tcPr>
          <w:p>
            <w:pPr>
              <w:ind w:left="100"/>
              <w:spacing w:after="0"/>
              <w:rPr>
                <w:sz w:val="20"/>
                <w:szCs w:val="20"/>
                <w:color w:val="auto"/>
              </w:rPr>
            </w:pPr>
            <w:r>
              <w:rPr>
                <w:rFonts w:ascii="Arial" w:cs="Arial" w:eastAsia="Arial" w:hAnsi="Arial"/>
                <w:sz w:val="4"/>
                <w:szCs w:val="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127,316</w:t>
            </w:r>
            <w:r>
              <w:rPr>
                <w:rFonts w:ascii="Arial" w:cs="Arial" w:eastAsia="Arial" w:hAnsi="Arial"/>
                <w:sz w:val="3"/>
                <w:szCs w:val="3"/>
                <w:color w:val="auto"/>
              </w:rPr>
              <w:t>​</w:t>
            </w:r>
          </w:p>
        </w:tc>
        <w:tc>
          <w:tcPr>
            <w:tcW w:w="380" w:type="dxa"/>
            <w:vAlign w:val="bottom"/>
          </w:tcPr>
          <w:p>
            <w:pPr>
              <w:ind w:left="120"/>
              <w:spacing w:after="0"/>
              <w:rPr>
                <w:sz w:val="20"/>
                <w:szCs w:val="20"/>
                <w:color w:val="auto"/>
              </w:rPr>
            </w:pPr>
            <w:r>
              <w:rPr>
                <w:rFonts w:ascii="Arial" w:cs="Arial" w:eastAsia="Arial" w:hAnsi="Arial"/>
                <w:sz w:val="4"/>
                <w:szCs w:val="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560" w:type="dxa"/>
            <w:vAlign w:val="bottom"/>
          </w:tcPr>
          <w:p>
            <w:pPr>
              <w:ind w:left="120"/>
              <w:spacing w:after="0"/>
              <w:rPr>
                <w:sz w:val="20"/>
                <w:szCs w:val="20"/>
                <w:color w:val="auto"/>
              </w:rPr>
            </w:pPr>
            <w:r>
              <w:rPr>
                <w:rFonts w:ascii="Arial" w:cs="Arial" w:eastAsia="Arial" w:hAnsi="Arial"/>
                <w:sz w:val="4"/>
                <w:szCs w:val="4"/>
                <w:color w:val="auto"/>
              </w:rPr>
              <w:t>​</w:t>
            </w:r>
          </w:p>
        </w:tc>
        <w:tc>
          <w:tcPr>
            <w:tcW w:w="560" w:type="dxa"/>
            <w:vAlign w:val="bottom"/>
          </w:tcPr>
          <w:p>
            <w:pPr>
              <w:ind w:left="440"/>
              <w:spacing w:after="0"/>
              <w:rPr>
                <w:sz w:val="20"/>
                <w:szCs w:val="20"/>
                <w:color w:val="auto"/>
              </w:rPr>
            </w:pPr>
            <w:r>
              <w:rPr>
                <w:rFonts w:ascii="Arial" w:cs="Arial" w:eastAsia="Arial" w:hAnsi="Arial"/>
                <w:sz w:val="4"/>
                <w:szCs w:val="4"/>
                <w:color w:val="auto"/>
              </w:rPr>
              <w:t>​</w:t>
            </w:r>
          </w:p>
        </w:tc>
        <w:tc>
          <w:tcPr>
            <w:tcW w:w="38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ind w:left="260"/>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360" w:type="dxa"/>
            <w:vAlign w:val="bottom"/>
          </w:tcPr>
          <w:p>
            <w:pPr>
              <w:ind w:left="100"/>
              <w:spacing w:after="0"/>
              <w:rPr>
                <w:sz w:val="20"/>
                <w:szCs w:val="20"/>
                <w:color w:val="auto"/>
              </w:rPr>
            </w:pPr>
            <w:r>
              <w:rPr>
                <w:rFonts w:ascii="Arial" w:cs="Arial" w:eastAsia="Arial" w:hAnsi="Arial"/>
                <w:sz w:val="4"/>
                <w:szCs w:val="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-948690</wp:posOffset>
            </wp:positionV>
            <wp:extent cx="60350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-716915</wp:posOffset>
            </wp:positionV>
            <wp:extent cx="60350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-485775</wp:posOffset>
            </wp:positionV>
            <wp:extent cx="60350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-254000</wp:posOffset>
            </wp:positionV>
            <wp:extent cx="60350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-22860</wp:posOffset>
            </wp:positionV>
            <wp:extent cx="60350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type w:val="continuous"/>
        </w:sectPr>
      </w:pP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80" w:type="dxa"/>
            <w:vAlign w:val="bottom"/>
          </w:tcPr>
          <w:p>
            <w:pPr>
              <w:spacing w:after="0"/>
              <w:rPr>
                <w:sz w:val="20"/>
                <w:szCs w:val="20"/>
                <w:color w:val="auto"/>
              </w:rPr>
            </w:pPr>
            <w:r>
              <w:rPr>
                <w:rFonts w:ascii="Arial" w:cs="Arial" w:eastAsia="Arial" w:hAnsi="Arial"/>
                <w:sz w:val="4"/>
                <w:szCs w:val="4"/>
                <w:color w:val="auto"/>
              </w:rPr>
              <w:t>​</w:t>
            </w:r>
          </w:p>
        </w:tc>
        <w:tc>
          <w:tcPr>
            <w:tcW w:w="4300" w:type="dxa"/>
            <w:vAlign w:val="bottom"/>
          </w:tcPr>
          <w:p>
            <w:pPr>
              <w:ind w:left="80"/>
              <w:spacing w:after="0"/>
              <w:rPr>
                <w:sz w:val="20"/>
                <w:szCs w:val="20"/>
                <w:color w:val="auto"/>
              </w:rPr>
            </w:pPr>
            <w:r>
              <w:rPr>
                <w:rFonts w:ascii="Arial" w:cs="Arial" w:eastAsia="Arial" w:hAnsi="Arial"/>
                <w:sz w:val="14"/>
                <w:szCs w:val="14"/>
                <w:color w:val="auto"/>
              </w:rPr>
              <w:t>All current executive officers, directors, and director nominees, as</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60" w:type="dxa"/>
            <w:vAlign w:val="bottom"/>
          </w:tcPr>
          <w:p>
            <w:pPr>
              <w:ind w:left="10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55"/>
              <w:spacing w:after="0"/>
              <w:rPr>
                <w:sz w:val="20"/>
                <w:szCs w:val="20"/>
                <w:color w:val="auto"/>
              </w:rPr>
            </w:pPr>
            <w:r>
              <w:rPr>
                <w:rFonts w:ascii="Arial" w:cs="Arial" w:eastAsia="Arial" w:hAnsi="Arial"/>
                <w:sz w:val="14"/>
                <w:szCs w:val="14"/>
                <w:color w:val="auto"/>
              </w:rPr>
              <w:t>3,677,790</w:t>
            </w:r>
            <w:r>
              <w:rPr>
                <w:rFonts w:ascii="Arial" w:cs="Arial" w:eastAsia="Arial" w:hAnsi="Arial"/>
                <w:sz w:val="3"/>
                <w:szCs w:val="3"/>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600" w:type="dxa"/>
            <w:vAlign w:val="bottom"/>
          </w:tcPr>
          <w:p>
            <w:pPr>
              <w:jc w:val="right"/>
              <w:ind w:right="55"/>
              <w:spacing w:after="0"/>
              <w:rPr>
                <w:sz w:val="20"/>
                <w:szCs w:val="20"/>
                <w:color w:val="auto"/>
              </w:rPr>
            </w:pPr>
            <w:r>
              <w:rPr>
                <w:rFonts w:ascii="Arial" w:cs="Arial" w:eastAsia="Arial" w:hAnsi="Arial"/>
                <w:sz w:val="14"/>
                <w:szCs w:val="14"/>
                <w:color w:val="auto"/>
              </w:rPr>
              <w:t>5.5%</w:t>
            </w:r>
            <w:r>
              <w:rPr>
                <w:rFonts w:ascii="Arial" w:cs="Arial" w:eastAsia="Arial" w:hAnsi="Arial"/>
                <w:sz w:val="3"/>
                <w:szCs w:val="3"/>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880" w:type="dxa"/>
            <w:vAlign w:val="bottom"/>
          </w:tcPr>
          <w:p>
            <w:pPr>
              <w:jc w:val="right"/>
              <w:ind w:right="55"/>
              <w:spacing w:after="0"/>
              <w:rPr>
                <w:sz w:val="20"/>
                <w:szCs w:val="20"/>
                <w:color w:val="auto"/>
              </w:rPr>
            </w:pPr>
            <w:r>
              <w:rPr>
                <w:rFonts w:ascii="Arial" w:cs="Arial" w:eastAsia="Arial" w:hAnsi="Arial"/>
                <w:sz w:val="14"/>
                <w:szCs w:val="14"/>
                <w:color w:val="auto"/>
              </w:rPr>
              <w:t>4,444,127</w:t>
            </w:r>
            <w:r>
              <w:rPr>
                <w:rFonts w:ascii="Arial" w:cs="Arial" w:eastAsia="Arial" w:hAnsi="Arial"/>
                <w:sz w:val="3"/>
                <w:szCs w:val="3"/>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660" w:type="dxa"/>
            <w:vAlign w:val="bottom"/>
          </w:tcPr>
          <w:p>
            <w:pPr>
              <w:jc w:val="right"/>
              <w:ind w:right="75"/>
              <w:spacing w:after="0"/>
              <w:rPr>
                <w:sz w:val="20"/>
                <w:szCs w:val="20"/>
                <w:color w:val="auto"/>
              </w:rPr>
            </w:pPr>
            <w:r>
              <w:rPr>
                <w:rFonts w:ascii="Arial" w:cs="Arial" w:eastAsia="Arial" w:hAnsi="Arial"/>
                <w:sz w:val="14"/>
                <w:szCs w:val="14"/>
                <w:color w:val="auto"/>
              </w:rPr>
              <w:t>78.6%</w:t>
            </w:r>
            <w:r>
              <w:rPr>
                <w:rFonts w:ascii="Arial" w:cs="Arial" w:eastAsia="Arial" w:hAnsi="Arial"/>
                <w:sz w:val="3"/>
                <w:szCs w:val="3"/>
                <w:color w:val="auto"/>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620" w:type="dxa"/>
            <w:vAlign w:val="bottom"/>
          </w:tcPr>
          <w:p>
            <w:pPr>
              <w:jc w:val="right"/>
              <w:ind w:right="55"/>
              <w:spacing w:after="0"/>
              <w:rPr>
                <w:sz w:val="20"/>
                <w:szCs w:val="20"/>
                <w:color w:val="auto"/>
              </w:rPr>
            </w:pPr>
            <w:r>
              <w:rPr>
                <w:rFonts w:ascii="Arial" w:cs="Arial" w:eastAsia="Arial" w:hAnsi="Arial"/>
                <w:sz w:val="14"/>
                <w:szCs w:val="14"/>
                <w:color w:val="auto"/>
              </w:rPr>
              <w:t>11.4%</w:t>
            </w:r>
            <w:r>
              <w:rPr>
                <w:rFonts w:ascii="Arial" w:cs="Arial" w:eastAsia="Arial" w:hAnsi="Arial"/>
                <w:sz w:val="3"/>
                <w:szCs w:val="3"/>
                <w:color w:val="auto"/>
              </w:rPr>
              <w:t>​</w:t>
            </w:r>
          </w:p>
        </w:tc>
      </w:tr>
      <w:tr>
        <w:trPr>
          <w:trHeight w:val="203"/>
        </w:trPr>
        <w:tc>
          <w:tcPr>
            <w:tcW w:w="8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tcPr>
          <w:p>
            <w:pPr>
              <w:ind w:left="260"/>
              <w:spacing w:after="0" w:line="202" w:lineRule="exact"/>
              <w:rPr>
                <w:sz w:val="20"/>
                <w:szCs w:val="20"/>
                <w:color w:val="auto"/>
              </w:rPr>
            </w:pPr>
            <w:r>
              <w:rPr>
                <w:rFonts w:ascii="Arial" w:cs="Arial" w:eastAsia="Arial" w:hAnsi="Arial"/>
                <w:sz w:val="14"/>
                <w:szCs w:val="14"/>
                <w:color w:val="auto"/>
              </w:rPr>
              <w:t>a group, 19 persons</w:t>
            </w:r>
            <w:r>
              <w:rPr>
                <w:rFonts w:ascii="Arial" w:cs="Arial" w:eastAsia="Arial" w:hAnsi="Arial"/>
                <w:sz w:val="23"/>
                <w:szCs w:val="23"/>
                <w:color w:val="auto"/>
                <w:vertAlign w:val="superscript"/>
              </w:rPr>
              <w:t>(14)</w:t>
            </w: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r>
      <w:tr>
        <w:trPr>
          <w:trHeight w:val="265"/>
        </w:trPr>
        <w:tc>
          <w:tcPr>
            <w:tcW w:w="80" w:type="dxa"/>
            <w:vAlign w:val="bottom"/>
          </w:tcPr>
          <w:p>
            <w:pPr>
              <w:spacing w:after="0"/>
              <w:rPr>
                <w:sz w:val="20"/>
                <w:szCs w:val="20"/>
                <w:color w:val="auto"/>
              </w:rPr>
            </w:pPr>
            <w:r>
              <w:rPr>
                <w:rFonts w:ascii="Arial" w:cs="Arial" w:eastAsia="Arial" w:hAnsi="Arial"/>
                <w:sz w:val="4"/>
                <w:szCs w:val="4"/>
                <w:color w:val="auto"/>
              </w:rPr>
              <w:t>​</w:t>
            </w:r>
          </w:p>
        </w:tc>
        <w:tc>
          <w:tcPr>
            <w:tcW w:w="4300" w:type="dxa"/>
            <w:vAlign w:val="bottom"/>
          </w:tcPr>
          <w:p>
            <w:pPr>
              <w:ind w:left="80"/>
              <w:spacing w:after="0"/>
              <w:rPr>
                <w:sz w:val="20"/>
                <w:szCs w:val="20"/>
                <w:color w:val="auto"/>
              </w:rPr>
            </w:pPr>
            <w:r>
              <w:rPr>
                <w:rFonts w:ascii="Arial" w:cs="Arial" w:eastAsia="Arial" w:hAnsi="Arial"/>
                <w:sz w:val="14"/>
                <w:szCs w:val="14"/>
                <w:color w:val="auto"/>
              </w:rPr>
              <w:t> </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60" w:type="dxa"/>
            <w:vAlign w:val="bottom"/>
          </w:tcPr>
          <w:p>
            <w:pPr>
              <w:ind w:left="10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55"/>
              <w:spacing w:after="0"/>
              <w:rPr>
                <w:sz w:val="20"/>
                <w:szCs w:val="20"/>
                <w:color w:val="auto"/>
              </w:rPr>
            </w:pPr>
            <w:r>
              <w:rPr>
                <w:rFonts w:ascii="Arial" w:cs="Arial" w:eastAsia="Arial" w:hAnsi="Arial"/>
                <w:sz w:val="4"/>
                <w:szCs w:val="4"/>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600" w:type="dxa"/>
            <w:vAlign w:val="bottom"/>
          </w:tcPr>
          <w:p>
            <w:pPr>
              <w:jc w:val="right"/>
              <w:ind w:right="55"/>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880" w:type="dxa"/>
            <w:vAlign w:val="bottom"/>
          </w:tcPr>
          <w:p>
            <w:pPr>
              <w:jc w:val="right"/>
              <w:ind w:right="55"/>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660" w:type="dxa"/>
            <w:vAlign w:val="bottom"/>
          </w:tcPr>
          <w:p>
            <w:pPr>
              <w:jc w:val="right"/>
              <w:ind w:right="75"/>
              <w:spacing w:after="0"/>
              <w:rPr>
                <w:sz w:val="20"/>
                <w:szCs w:val="20"/>
                <w:color w:val="auto"/>
              </w:rPr>
            </w:pPr>
            <w:r>
              <w:rPr>
                <w:rFonts w:ascii="Arial" w:cs="Arial" w:eastAsia="Arial" w:hAnsi="Arial"/>
                <w:sz w:val="4"/>
                <w:szCs w:val="4"/>
                <w:color w:val="auto"/>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620" w:type="dxa"/>
            <w:vAlign w:val="bottom"/>
          </w:tcPr>
          <w:p>
            <w:pPr>
              <w:jc w:val="right"/>
              <w:ind w:right="55"/>
              <w:spacing w:after="0"/>
              <w:rPr>
                <w:sz w:val="20"/>
                <w:szCs w:val="20"/>
                <w:color w:val="auto"/>
              </w:rPr>
            </w:pPr>
            <w:r>
              <w:rPr>
                <w:rFonts w:ascii="Arial" w:cs="Arial" w:eastAsia="Arial" w:hAnsi="Arial"/>
                <w:sz w:val="4"/>
                <w:szCs w:val="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50165</wp:posOffset>
            </wp:positionV>
            <wp:extent cx="6035040" cy="2400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5040" cy="240030"/>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type w:val="continuous"/>
        </w:sectPr>
      </w:pPr>
    </w:p>
    <w:p>
      <w:pPr>
        <w:spacing w:after="0" w:line="121"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4000" w:type="dxa"/>
            <w:vAlign w:val="bottom"/>
          </w:tcPr>
          <w:p>
            <w:pPr>
              <w:spacing w:after="0"/>
              <w:rPr>
                <w:sz w:val="20"/>
                <w:szCs w:val="20"/>
                <w:color w:val="auto"/>
              </w:rPr>
            </w:pPr>
            <w:r>
              <w:rPr>
                <w:rFonts w:ascii="Arial" w:cs="Arial" w:eastAsia="Arial" w:hAnsi="Arial"/>
                <w:sz w:val="14"/>
                <w:szCs w:val="14"/>
                <w:b w:val="1"/>
                <w:bCs w:val="1"/>
                <w:color w:val="auto"/>
              </w:rPr>
              <w:t>Over 5% Stockholders</w:t>
            </w:r>
          </w:p>
        </w:tc>
        <w:tc>
          <w:tcPr>
            <w:tcW w:w="400" w:type="dxa"/>
            <w:vAlign w:val="bottom"/>
          </w:tcPr>
          <w:p>
            <w:pPr>
              <w:ind w:left="280"/>
              <w:spacing w:after="0"/>
              <w:rPr>
                <w:sz w:val="20"/>
                <w:szCs w:val="20"/>
                <w:color w:val="auto"/>
              </w:rPr>
            </w:pPr>
            <w:r>
              <w:rPr>
                <w:rFonts w:ascii="Arial" w:cs="Arial" w:eastAsia="Arial" w:hAnsi="Arial"/>
                <w:sz w:val="4"/>
                <w:szCs w:val="4"/>
                <w:color w:val="auto"/>
              </w:rPr>
              <w:t>​</w:t>
            </w:r>
          </w:p>
        </w:tc>
        <w:tc>
          <w:tcPr>
            <w:tcW w:w="260" w:type="dxa"/>
            <w:vAlign w:val="bottom"/>
          </w:tcPr>
          <w:p>
            <w:pPr>
              <w:ind w:left="10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37"/>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640" w:type="dxa"/>
            <w:vAlign w:val="bottom"/>
          </w:tcPr>
          <w:p>
            <w:pPr>
              <w:jc w:val="right"/>
              <w:ind w:right="37"/>
              <w:spacing w:after="0"/>
              <w:rPr>
                <w:sz w:val="20"/>
                <w:szCs w:val="20"/>
                <w:color w:val="auto"/>
              </w:rPr>
            </w:pPr>
            <w:r>
              <w:rPr>
                <w:rFonts w:ascii="Arial" w:cs="Arial" w:eastAsia="Arial" w:hAnsi="Arial"/>
                <w:sz w:val="4"/>
                <w:szCs w:val="4"/>
                <w:color w:val="auto"/>
              </w:rPr>
              <w:t>​</w:t>
            </w:r>
          </w:p>
        </w:tc>
        <w:tc>
          <w:tcPr>
            <w:tcW w:w="560" w:type="dxa"/>
            <w:vAlign w:val="bottom"/>
          </w:tcPr>
          <w:p>
            <w:pPr>
              <w:ind w:left="120"/>
              <w:spacing w:after="0"/>
              <w:rPr>
                <w:sz w:val="20"/>
                <w:szCs w:val="20"/>
                <w:color w:val="auto"/>
              </w:rPr>
            </w:pPr>
            <w:r>
              <w:rPr>
                <w:rFonts w:ascii="Arial" w:cs="Arial" w:eastAsia="Arial" w:hAnsi="Arial"/>
                <w:sz w:val="4"/>
                <w:szCs w:val="4"/>
                <w:color w:val="auto"/>
              </w:rPr>
              <w:t>​</w:t>
            </w:r>
          </w:p>
        </w:tc>
        <w:tc>
          <w:tcPr>
            <w:tcW w:w="560" w:type="dxa"/>
            <w:vAlign w:val="bottom"/>
          </w:tcPr>
          <w:p>
            <w:pPr>
              <w:ind w:left="440"/>
              <w:spacing w:after="0"/>
              <w:rPr>
                <w:sz w:val="20"/>
                <w:szCs w:val="20"/>
                <w:color w:val="auto"/>
              </w:rPr>
            </w:pPr>
            <w:r>
              <w:rPr>
                <w:rFonts w:ascii="Arial" w:cs="Arial" w:eastAsia="Arial" w:hAnsi="Arial"/>
                <w:sz w:val="4"/>
                <w:szCs w:val="4"/>
                <w:color w:val="auto"/>
              </w:rPr>
              <w:t>​</w:t>
            </w:r>
          </w:p>
        </w:tc>
        <w:tc>
          <w:tcPr>
            <w:tcW w:w="38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jc w:val="right"/>
              <w:ind w:right="75"/>
              <w:spacing w:after="0"/>
              <w:rPr>
                <w:sz w:val="20"/>
                <w:szCs w:val="20"/>
                <w:color w:val="auto"/>
              </w:rPr>
            </w:pPr>
            <w:r>
              <w:rPr>
                <w:rFonts w:ascii="Arial" w:cs="Arial" w:eastAsia="Arial" w:hAnsi="Arial"/>
                <w:sz w:val="4"/>
                <w:szCs w:val="4"/>
                <w:color w:val="auto"/>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520" w:type="dxa"/>
            <w:vAlign w:val="bottom"/>
          </w:tcPr>
          <w:p>
            <w:pPr>
              <w:jc w:val="right"/>
              <w:spacing w:after="0"/>
              <w:rPr>
                <w:sz w:val="20"/>
                <w:szCs w:val="20"/>
                <w:color w:val="auto"/>
              </w:rPr>
            </w:pPr>
            <w:r>
              <w:rPr>
                <w:rFonts w:ascii="Arial" w:cs="Arial" w:eastAsia="Arial" w:hAnsi="Arial"/>
                <w:sz w:val="4"/>
                <w:szCs w:val="4"/>
                <w:color w:val="auto"/>
              </w:rPr>
              <w:t>​</w:t>
            </w:r>
          </w:p>
        </w:tc>
      </w:tr>
      <w:tr>
        <w:trPr>
          <w:trHeight w:val="553"/>
        </w:trPr>
        <w:tc>
          <w:tcPr>
            <w:tcW w:w="4000" w:type="dxa"/>
            <w:vAlign w:val="bottom"/>
          </w:tcPr>
          <w:p>
            <w:pPr>
              <w:spacing w:after="0"/>
              <w:rPr>
                <w:sz w:val="20"/>
                <w:szCs w:val="20"/>
                <w:color w:val="auto"/>
              </w:rPr>
            </w:pPr>
            <w:r>
              <w:rPr>
                <w:rFonts w:ascii="Arial" w:cs="Arial" w:eastAsia="Arial" w:hAnsi="Arial"/>
                <w:sz w:val="14"/>
                <w:szCs w:val="14"/>
                <w:color w:val="auto"/>
              </w:rPr>
              <w:t>Entities affiliated with Bain Capital Ventures</w:t>
            </w:r>
            <w:r>
              <w:rPr>
                <w:rFonts w:ascii="Arial" w:cs="Arial" w:eastAsia="Arial" w:hAnsi="Arial"/>
                <w:sz w:val="23"/>
                <w:szCs w:val="23"/>
                <w:color w:val="auto"/>
                <w:vertAlign w:val="superscript"/>
              </w:rPr>
              <w:t>(15)</w:t>
            </w:r>
          </w:p>
        </w:tc>
        <w:tc>
          <w:tcPr>
            <w:tcW w:w="400" w:type="dxa"/>
            <w:vAlign w:val="bottom"/>
          </w:tcPr>
          <w:p>
            <w:pPr>
              <w:ind w:left="280"/>
              <w:spacing w:after="0"/>
              <w:rPr>
                <w:sz w:val="20"/>
                <w:szCs w:val="20"/>
                <w:color w:val="auto"/>
              </w:rPr>
            </w:pPr>
            <w:r>
              <w:rPr>
                <w:rFonts w:ascii="Arial" w:cs="Arial" w:eastAsia="Arial" w:hAnsi="Arial"/>
                <w:sz w:val="4"/>
                <w:szCs w:val="4"/>
                <w:color w:val="auto"/>
              </w:rPr>
              <w:t>​</w:t>
            </w:r>
          </w:p>
        </w:tc>
        <w:tc>
          <w:tcPr>
            <w:tcW w:w="260" w:type="dxa"/>
            <w:vAlign w:val="bottom"/>
          </w:tcPr>
          <w:p>
            <w:pPr>
              <w:ind w:left="10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37"/>
              <w:spacing w:after="0"/>
              <w:rPr>
                <w:sz w:val="20"/>
                <w:szCs w:val="20"/>
                <w:color w:val="auto"/>
              </w:rPr>
            </w:pPr>
            <w:r>
              <w:rPr>
                <w:rFonts w:ascii="Arial" w:cs="Arial" w:eastAsia="Arial" w:hAnsi="Arial"/>
                <w:sz w:val="14"/>
                <w:szCs w:val="14"/>
                <w:color w:val="auto"/>
              </w:rPr>
              <w:t>8,176,418</w:t>
            </w:r>
            <w:r>
              <w:rPr>
                <w:rFonts w:ascii="Arial" w:cs="Arial" w:eastAsia="Arial" w:hAnsi="Arial"/>
                <w:sz w:val="3"/>
                <w:szCs w:val="3"/>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640" w:type="dxa"/>
            <w:vAlign w:val="bottom"/>
          </w:tcPr>
          <w:p>
            <w:pPr>
              <w:jc w:val="right"/>
              <w:ind w:right="37"/>
              <w:spacing w:after="0"/>
              <w:rPr>
                <w:sz w:val="20"/>
                <w:szCs w:val="20"/>
                <w:color w:val="auto"/>
              </w:rPr>
            </w:pPr>
            <w:r>
              <w:rPr>
                <w:rFonts w:ascii="Arial" w:cs="Arial" w:eastAsia="Arial" w:hAnsi="Arial"/>
                <w:sz w:val="14"/>
                <w:szCs w:val="14"/>
                <w:color w:val="auto"/>
              </w:rPr>
              <w:t>12.8%</w:t>
            </w:r>
            <w:r>
              <w:rPr>
                <w:rFonts w:ascii="Arial" w:cs="Arial" w:eastAsia="Arial" w:hAnsi="Arial"/>
                <w:sz w:val="3"/>
                <w:szCs w:val="3"/>
                <w:color w:val="auto"/>
              </w:rPr>
              <w:t>​</w:t>
            </w:r>
          </w:p>
        </w:tc>
        <w:tc>
          <w:tcPr>
            <w:tcW w:w="560" w:type="dxa"/>
            <w:vAlign w:val="bottom"/>
          </w:tcPr>
          <w:p>
            <w:pPr>
              <w:ind w:left="120"/>
              <w:spacing w:after="0"/>
              <w:rPr>
                <w:sz w:val="20"/>
                <w:szCs w:val="20"/>
                <w:color w:val="auto"/>
              </w:rPr>
            </w:pPr>
            <w:r>
              <w:rPr>
                <w:rFonts w:ascii="Arial" w:cs="Arial" w:eastAsia="Arial" w:hAnsi="Arial"/>
                <w:sz w:val="4"/>
                <w:szCs w:val="4"/>
                <w:color w:val="auto"/>
              </w:rPr>
              <w:t>​</w:t>
            </w:r>
          </w:p>
        </w:tc>
        <w:tc>
          <w:tcPr>
            <w:tcW w:w="560" w:type="dxa"/>
            <w:vAlign w:val="bottom"/>
          </w:tcPr>
          <w:p>
            <w:pPr>
              <w:ind w:left="440"/>
              <w:spacing w:after="0"/>
              <w:rPr>
                <w:sz w:val="20"/>
                <w:szCs w:val="20"/>
                <w:color w:val="auto"/>
              </w:rPr>
            </w:pPr>
            <w:r>
              <w:rPr>
                <w:rFonts w:ascii="Arial" w:cs="Arial" w:eastAsia="Arial" w:hAnsi="Arial"/>
                <w:sz w:val="4"/>
                <w:szCs w:val="4"/>
                <w:color w:val="auto"/>
              </w:rPr>
              <w:t>​</w:t>
            </w:r>
          </w:p>
        </w:tc>
        <w:tc>
          <w:tcPr>
            <w:tcW w:w="38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jc w:val="right"/>
              <w:ind w:right="75"/>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12.8%</w:t>
            </w:r>
            <w:r>
              <w:rPr>
                <w:rFonts w:ascii="Arial" w:cs="Arial" w:eastAsia="Arial" w:hAnsi="Arial"/>
                <w:sz w:val="3"/>
                <w:szCs w:val="3"/>
                <w:color w:val="auto"/>
              </w:rPr>
              <w:t>​</w:t>
            </w:r>
          </w:p>
        </w:tc>
      </w:tr>
      <w:tr>
        <w:trPr>
          <w:trHeight w:val="378"/>
        </w:trPr>
        <w:tc>
          <w:tcPr>
            <w:tcW w:w="4000" w:type="dxa"/>
            <w:vAlign w:val="bottom"/>
          </w:tcPr>
          <w:p>
            <w:pPr>
              <w:spacing w:after="0"/>
              <w:rPr>
                <w:sz w:val="20"/>
                <w:szCs w:val="20"/>
                <w:color w:val="auto"/>
              </w:rPr>
            </w:pPr>
            <w:r>
              <w:rPr>
                <w:rFonts w:ascii="Arial" w:cs="Arial" w:eastAsia="Arial" w:hAnsi="Arial"/>
                <w:sz w:val="14"/>
                <w:szCs w:val="14"/>
                <w:color w:val="auto"/>
              </w:rPr>
              <w:t>Entities affiliated with Highland Capital</w:t>
            </w:r>
            <w:r>
              <w:rPr>
                <w:rFonts w:ascii="Arial" w:cs="Arial" w:eastAsia="Arial" w:hAnsi="Arial"/>
                <w:sz w:val="23"/>
                <w:szCs w:val="23"/>
                <w:color w:val="auto"/>
                <w:vertAlign w:val="superscript"/>
              </w:rPr>
              <w:t>(16)</w:t>
            </w:r>
          </w:p>
        </w:tc>
        <w:tc>
          <w:tcPr>
            <w:tcW w:w="400" w:type="dxa"/>
            <w:vAlign w:val="bottom"/>
          </w:tcPr>
          <w:p>
            <w:pPr>
              <w:ind w:left="280"/>
              <w:spacing w:after="0"/>
              <w:rPr>
                <w:sz w:val="20"/>
                <w:szCs w:val="20"/>
                <w:color w:val="auto"/>
              </w:rPr>
            </w:pPr>
            <w:r>
              <w:rPr>
                <w:rFonts w:ascii="Arial" w:cs="Arial" w:eastAsia="Arial" w:hAnsi="Arial"/>
                <w:sz w:val="4"/>
                <w:szCs w:val="4"/>
                <w:color w:val="auto"/>
              </w:rPr>
              <w:t>​</w:t>
            </w:r>
          </w:p>
        </w:tc>
        <w:tc>
          <w:tcPr>
            <w:tcW w:w="260" w:type="dxa"/>
            <w:vAlign w:val="bottom"/>
          </w:tcPr>
          <w:p>
            <w:pPr>
              <w:ind w:left="10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37"/>
              <w:spacing w:after="0"/>
              <w:rPr>
                <w:sz w:val="20"/>
                <w:szCs w:val="20"/>
                <w:color w:val="auto"/>
              </w:rPr>
            </w:pPr>
            <w:r>
              <w:rPr>
                <w:rFonts w:ascii="Arial" w:cs="Arial" w:eastAsia="Arial" w:hAnsi="Arial"/>
                <w:sz w:val="14"/>
                <w:szCs w:val="14"/>
                <w:color w:val="auto"/>
              </w:rPr>
              <w:t>5,104,393</w:t>
            </w:r>
            <w:r>
              <w:rPr>
                <w:rFonts w:ascii="Arial" w:cs="Arial" w:eastAsia="Arial" w:hAnsi="Arial"/>
                <w:sz w:val="3"/>
                <w:szCs w:val="3"/>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640" w:type="dxa"/>
            <w:vAlign w:val="bottom"/>
          </w:tcPr>
          <w:p>
            <w:pPr>
              <w:jc w:val="right"/>
              <w:ind w:right="37"/>
              <w:spacing w:after="0"/>
              <w:rPr>
                <w:sz w:val="20"/>
                <w:szCs w:val="20"/>
                <w:color w:val="auto"/>
              </w:rPr>
            </w:pPr>
            <w:r>
              <w:rPr>
                <w:rFonts w:ascii="Arial" w:cs="Arial" w:eastAsia="Arial" w:hAnsi="Arial"/>
                <w:sz w:val="14"/>
                <w:szCs w:val="14"/>
                <w:color w:val="auto"/>
              </w:rPr>
              <w:t>8.0%</w:t>
            </w:r>
            <w:r>
              <w:rPr>
                <w:rFonts w:ascii="Arial" w:cs="Arial" w:eastAsia="Arial" w:hAnsi="Arial"/>
                <w:sz w:val="3"/>
                <w:szCs w:val="3"/>
                <w:color w:val="auto"/>
              </w:rPr>
              <w:t>​</w:t>
            </w:r>
          </w:p>
        </w:tc>
        <w:tc>
          <w:tcPr>
            <w:tcW w:w="560" w:type="dxa"/>
            <w:vAlign w:val="bottom"/>
          </w:tcPr>
          <w:p>
            <w:pPr>
              <w:ind w:left="120"/>
              <w:spacing w:after="0"/>
              <w:rPr>
                <w:sz w:val="20"/>
                <w:szCs w:val="20"/>
                <w:color w:val="auto"/>
              </w:rPr>
            </w:pPr>
            <w:r>
              <w:rPr>
                <w:rFonts w:ascii="Arial" w:cs="Arial" w:eastAsia="Arial" w:hAnsi="Arial"/>
                <w:sz w:val="4"/>
                <w:szCs w:val="4"/>
                <w:color w:val="auto"/>
              </w:rPr>
              <w:t>​</w:t>
            </w:r>
          </w:p>
        </w:tc>
        <w:tc>
          <w:tcPr>
            <w:tcW w:w="560" w:type="dxa"/>
            <w:vAlign w:val="bottom"/>
          </w:tcPr>
          <w:p>
            <w:pPr>
              <w:ind w:left="440"/>
              <w:spacing w:after="0"/>
              <w:rPr>
                <w:sz w:val="20"/>
                <w:szCs w:val="20"/>
                <w:color w:val="auto"/>
              </w:rPr>
            </w:pPr>
            <w:r>
              <w:rPr>
                <w:rFonts w:ascii="Arial" w:cs="Arial" w:eastAsia="Arial" w:hAnsi="Arial"/>
                <w:sz w:val="4"/>
                <w:szCs w:val="4"/>
                <w:color w:val="auto"/>
              </w:rPr>
              <w:t>​</w:t>
            </w:r>
          </w:p>
        </w:tc>
        <w:tc>
          <w:tcPr>
            <w:tcW w:w="38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jc w:val="right"/>
              <w:ind w:right="75"/>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8.0%</w:t>
            </w:r>
            <w:r>
              <w:rPr>
                <w:rFonts w:ascii="Arial" w:cs="Arial" w:eastAsia="Arial" w:hAnsi="Arial"/>
                <w:sz w:val="3"/>
                <w:szCs w:val="3"/>
                <w:color w:val="auto"/>
              </w:rPr>
              <w:t>​</w:t>
            </w:r>
          </w:p>
        </w:tc>
      </w:tr>
      <w:tr>
        <w:trPr>
          <w:trHeight w:val="351"/>
        </w:trPr>
        <w:tc>
          <w:tcPr>
            <w:tcW w:w="4000" w:type="dxa"/>
            <w:vAlign w:val="bottom"/>
          </w:tcPr>
          <w:p>
            <w:pPr>
              <w:spacing w:after="0"/>
              <w:rPr>
                <w:sz w:val="20"/>
                <w:szCs w:val="20"/>
                <w:color w:val="auto"/>
              </w:rPr>
            </w:pPr>
            <w:r>
              <w:rPr>
                <w:rFonts w:ascii="Arial" w:cs="Arial" w:eastAsia="Arial" w:hAnsi="Arial"/>
                <w:sz w:val="14"/>
                <w:szCs w:val="14"/>
                <w:color w:val="auto"/>
              </w:rPr>
              <w:t>Entities affiliated with Divisar Capital Management, LLC</w:t>
            </w:r>
            <w:r>
              <w:rPr>
                <w:rFonts w:ascii="Arial" w:cs="Arial" w:eastAsia="Arial" w:hAnsi="Arial"/>
                <w:sz w:val="23"/>
                <w:szCs w:val="23"/>
                <w:color w:val="auto"/>
                <w:vertAlign w:val="superscript"/>
              </w:rPr>
              <w:t>(17)</w:t>
            </w:r>
          </w:p>
        </w:tc>
        <w:tc>
          <w:tcPr>
            <w:tcW w:w="400" w:type="dxa"/>
            <w:vAlign w:val="bottom"/>
          </w:tcPr>
          <w:p>
            <w:pPr>
              <w:ind w:left="280"/>
              <w:spacing w:after="0"/>
              <w:rPr>
                <w:sz w:val="20"/>
                <w:szCs w:val="20"/>
                <w:color w:val="auto"/>
              </w:rPr>
            </w:pPr>
            <w:r>
              <w:rPr>
                <w:rFonts w:ascii="Arial" w:cs="Arial" w:eastAsia="Arial" w:hAnsi="Arial"/>
                <w:sz w:val="4"/>
                <w:szCs w:val="4"/>
                <w:color w:val="auto"/>
              </w:rPr>
              <w:t>​</w:t>
            </w:r>
          </w:p>
        </w:tc>
        <w:tc>
          <w:tcPr>
            <w:tcW w:w="260" w:type="dxa"/>
            <w:vAlign w:val="bottom"/>
          </w:tcPr>
          <w:p>
            <w:pPr>
              <w:ind w:left="10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37"/>
              <w:spacing w:after="0"/>
              <w:rPr>
                <w:sz w:val="20"/>
                <w:szCs w:val="20"/>
                <w:color w:val="auto"/>
              </w:rPr>
            </w:pPr>
            <w:r>
              <w:rPr>
                <w:rFonts w:ascii="Arial" w:cs="Arial" w:eastAsia="Arial" w:hAnsi="Arial"/>
                <w:sz w:val="14"/>
                <w:szCs w:val="14"/>
                <w:color w:val="auto"/>
              </w:rPr>
              <w:t>4,096,103</w:t>
            </w:r>
            <w:r>
              <w:rPr>
                <w:rFonts w:ascii="Arial" w:cs="Arial" w:eastAsia="Arial" w:hAnsi="Arial"/>
                <w:sz w:val="3"/>
                <w:szCs w:val="3"/>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640" w:type="dxa"/>
            <w:vAlign w:val="bottom"/>
          </w:tcPr>
          <w:p>
            <w:pPr>
              <w:jc w:val="right"/>
              <w:ind w:right="37"/>
              <w:spacing w:after="0"/>
              <w:rPr>
                <w:sz w:val="20"/>
                <w:szCs w:val="20"/>
                <w:color w:val="auto"/>
              </w:rPr>
            </w:pPr>
            <w:r>
              <w:rPr>
                <w:rFonts w:ascii="Arial" w:cs="Arial" w:eastAsia="Arial" w:hAnsi="Arial"/>
                <w:sz w:val="14"/>
                <w:szCs w:val="14"/>
                <w:color w:val="auto"/>
              </w:rPr>
              <w:t>6.4%</w:t>
            </w:r>
            <w:r>
              <w:rPr>
                <w:rFonts w:ascii="Arial" w:cs="Arial" w:eastAsia="Arial" w:hAnsi="Arial"/>
                <w:sz w:val="3"/>
                <w:szCs w:val="3"/>
                <w:color w:val="auto"/>
              </w:rPr>
              <w:t>​</w:t>
            </w:r>
          </w:p>
        </w:tc>
        <w:tc>
          <w:tcPr>
            <w:tcW w:w="560" w:type="dxa"/>
            <w:vAlign w:val="bottom"/>
          </w:tcPr>
          <w:p>
            <w:pPr>
              <w:ind w:left="120"/>
              <w:spacing w:after="0"/>
              <w:rPr>
                <w:sz w:val="20"/>
                <w:szCs w:val="20"/>
                <w:color w:val="auto"/>
              </w:rPr>
            </w:pPr>
            <w:r>
              <w:rPr>
                <w:rFonts w:ascii="Arial" w:cs="Arial" w:eastAsia="Arial" w:hAnsi="Arial"/>
                <w:sz w:val="4"/>
                <w:szCs w:val="4"/>
                <w:color w:val="auto"/>
              </w:rPr>
              <w:t>​</w:t>
            </w:r>
          </w:p>
        </w:tc>
        <w:tc>
          <w:tcPr>
            <w:tcW w:w="560" w:type="dxa"/>
            <w:vAlign w:val="bottom"/>
          </w:tcPr>
          <w:p>
            <w:pPr>
              <w:ind w:left="440"/>
              <w:spacing w:after="0"/>
              <w:rPr>
                <w:sz w:val="20"/>
                <w:szCs w:val="20"/>
                <w:color w:val="auto"/>
              </w:rPr>
            </w:pPr>
            <w:r>
              <w:rPr>
                <w:rFonts w:ascii="Arial" w:cs="Arial" w:eastAsia="Arial" w:hAnsi="Arial"/>
                <w:sz w:val="4"/>
                <w:szCs w:val="4"/>
                <w:color w:val="auto"/>
              </w:rPr>
              <w:t>​</w:t>
            </w:r>
          </w:p>
        </w:tc>
        <w:tc>
          <w:tcPr>
            <w:tcW w:w="38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jc w:val="right"/>
              <w:ind w:right="75"/>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6.4%</w:t>
            </w:r>
            <w:r>
              <w:rPr>
                <w:rFonts w:ascii="Arial" w:cs="Arial" w:eastAsia="Arial" w:hAnsi="Arial"/>
                <w:sz w:val="3"/>
                <w:szCs w:val="3"/>
                <w:color w:val="auto"/>
              </w:rPr>
              <w:t>​</w:t>
            </w:r>
          </w:p>
        </w:tc>
      </w:tr>
      <w:tr>
        <w:trPr>
          <w:trHeight w:val="365"/>
        </w:trPr>
        <w:tc>
          <w:tcPr>
            <w:tcW w:w="4000" w:type="dxa"/>
            <w:vAlign w:val="bottom"/>
          </w:tcPr>
          <w:p>
            <w:pPr>
              <w:spacing w:after="0"/>
              <w:rPr>
                <w:sz w:val="20"/>
                <w:szCs w:val="20"/>
                <w:color w:val="auto"/>
              </w:rPr>
            </w:pPr>
            <w:r>
              <w:rPr>
                <w:rFonts w:ascii="Arial" w:cs="Arial" w:eastAsia="Arial" w:hAnsi="Arial"/>
                <w:sz w:val="14"/>
                <w:szCs w:val="14"/>
                <w:color w:val="auto"/>
              </w:rPr>
              <w:t>Entities affiliated with Technology Crossover Ventures</w:t>
            </w:r>
            <w:r>
              <w:rPr>
                <w:rFonts w:ascii="Arial" w:cs="Arial" w:eastAsia="Arial" w:hAnsi="Arial"/>
                <w:sz w:val="23"/>
                <w:szCs w:val="23"/>
                <w:color w:val="auto"/>
                <w:vertAlign w:val="superscript"/>
              </w:rPr>
              <w:t>(18)</w:t>
            </w:r>
          </w:p>
        </w:tc>
        <w:tc>
          <w:tcPr>
            <w:tcW w:w="400" w:type="dxa"/>
            <w:vAlign w:val="bottom"/>
          </w:tcPr>
          <w:p>
            <w:pPr>
              <w:ind w:left="280"/>
              <w:spacing w:after="0"/>
              <w:rPr>
                <w:sz w:val="20"/>
                <w:szCs w:val="20"/>
                <w:color w:val="auto"/>
              </w:rPr>
            </w:pPr>
            <w:r>
              <w:rPr>
                <w:rFonts w:ascii="Arial" w:cs="Arial" w:eastAsia="Arial" w:hAnsi="Arial"/>
                <w:sz w:val="4"/>
                <w:szCs w:val="4"/>
                <w:color w:val="auto"/>
              </w:rPr>
              <w:t>​</w:t>
            </w:r>
          </w:p>
        </w:tc>
        <w:tc>
          <w:tcPr>
            <w:tcW w:w="260" w:type="dxa"/>
            <w:vAlign w:val="bottom"/>
          </w:tcPr>
          <w:p>
            <w:pPr>
              <w:ind w:left="10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37"/>
              <w:spacing w:after="0"/>
              <w:rPr>
                <w:sz w:val="20"/>
                <w:szCs w:val="20"/>
                <w:color w:val="auto"/>
              </w:rPr>
            </w:pPr>
            <w:r>
              <w:rPr>
                <w:rFonts w:ascii="Arial" w:cs="Arial" w:eastAsia="Arial" w:hAnsi="Arial"/>
                <w:sz w:val="14"/>
                <w:szCs w:val="14"/>
                <w:color w:val="auto"/>
              </w:rPr>
              <w:t>3,949,669</w:t>
            </w:r>
            <w:r>
              <w:rPr>
                <w:rFonts w:ascii="Arial" w:cs="Arial" w:eastAsia="Arial" w:hAnsi="Arial"/>
                <w:sz w:val="3"/>
                <w:szCs w:val="3"/>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640" w:type="dxa"/>
            <w:vAlign w:val="bottom"/>
          </w:tcPr>
          <w:p>
            <w:pPr>
              <w:jc w:val="right"/>
              <w:ind w:right="37"/>
              <w:spacing w:after="0"/>
              <w:rPr>
                <w:sz w:val="20"/>
                <w:szCs w:val="20"/>
                <w:color w:val="auto"/>
              </w:rPr>
            </w:pPr>
            <w:r>
              <w:rPr>
                <w:rFonts w:ascii="Arial" w:cs="Arial" w:eastAsia="Arial" w:hAnsi="Arial"/>
                <w:sz w:val="14"/>
                <w:szCs w:val="14"/>
                <w:color w:val="auto"/>
              </w:rPr>
              <w:t>6.2%</w:t>
            </w:r>
            <w:r>
              <w:rPr>
                <w:rFonts w:ascii="Arial" w:cs="Arial" w:eastAsia="Arial" w:hAnsi="Arial"/>
                <w:sz w:val="3"/>
                <w:szCs w:val="3"/>
                <w:color w:val="auto"/>
              </w:rPr>
              <w:t>​</w:t>
            </w:r>
          </w:p>
        </w:tc>
        <w:tc>
          <w:tcPr>
            <w:tcW w:w="560" w:type="dxa"/>
            <w:vAlign w:val="bottom"/>
          </w:tcPr>
          <w:p>
            <w:pPr>
              <w:ind w:left="120"/>
              <w:spacing w:after="0"/>
              <w:rPr>
                <w:sz w:val="20"/>
                <w:szCs w:val="20"/>
                <w:color w:val="auto"/>
              </w:rPr>
            </w:pPr>
            <w:r>
              <w:rPr>
                <w:rFonts w:ascii="Arial" w:cs="Arial" w:eastAsia="Arial" w:hAnsi="Arial"/>
                <w:sz w:val="4"/>
                <w:szCs w:val="4"/>
                <w:color w:val="auto"/>
              </w:rPr>
              <w:t>​</w:t>
            </w:r>
          </w:p>
        </w:tc>
        <w:tc>
          <w:tcPr>
            <w:tcW w:w="560" w:type="dxa"/>
            <w:vAlign w:val="bottom"/>
          </w:tcPr>
          <w:p>
            <w:pPr>
              <w:ind w:left="440"/>
              <w:spacing w:after="0"/>
              <w:rPr>
                <w:sz w:val="20"/>
                <w:szCs w:val="20"/>
                <w:color w:val="auto"/>
              </w:rPr>
            </w:pPr>
            <w:r>
              <w:rPr>
                <w:rFonts w:ascii="Arial" w:cs="Arial" w:eastAsia="Arial" w:hAnsi="Arial"/>
                <w:sz w:val="4"/>
                <w:szCs w:val="4"/>
                <w:color w:val="auto"/>
              </w:rPr>
              <w:t>​</w:t>
            </w:r>
          </w:p>
        </w:tc>
        <w:tc>
          <w:tcPr>
            <w:tcW w:w="38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jc w:val="right"/>
              <w:ind w:right="75"/>
              <w:spacing w:after="0"/>
              <w:rPr>
                <w:sz w:val="20"/>
                <w:szCs w:val="20"/>
                <w:color w:val="auto"/>
              </w:rPr>
            </w:pPr>
            <w:r>
              <w:rPr>
                <w:rFonts w:ascii="Arial" w:cs="Arial" w:eastAsia="Arial" w:hAnsi="Arial"/>
                <w:sz w:val="14"/>
                <w:szCs w:val="14"/>
                <w:color w:val="auto"/>
              </w:rPr>
              <w:t>—</w:t>
            </w:r>
            <w:r>
              <w:rPr>
                <w:rFonts w:ascii="Arial" w:cs="Arial" w:eastAsia="Arial" w:hAnsi="Arial"/>
                <w:sz w:val="7"/>
                <w:szCs w:val="7"/>
                <w:color w:val="auto"/>
                <w:vertAlign w:val="superscript"/>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6.2%</w:t>
            </w:r>
            <w:r>
              <w:rPr>
                <w:rFonts w:ascii="Arial" w:cs="Arial" w:eastAsia="Arial" w:hAnsi="Arial"/>
                <w:sz w:val="3"/>
                <w:szCs w:val="3"/>
                <w:color w:val="auto"/>
              </w:rPr>
              <w:t>​</w:t>
            </w:r>
          </w:p>
        </w:tc>
      </w:tr>
      <w:tr>
        <w:trPr>
          <w:trHeight w:val="378"/>
        </w:trPr>
        <w:tc>
          <w:tcPr>
            <w:tcW w:w="4000" w:type="dxa"/>
            <w:vAlign w:val="bottom"/>
          </w:tcPr>
          <w:p>
            <w:pPr>
              <w:spacing w:after="0"/>
              <w:rPr>
                <w:sz w:val="20"/>
                <w:szCs w:val="20"/>
                <w:color w:val="auto"/>
              </w:rPr>
            </w:pPr>
            <w:r>
              <w:rPr>
                <w:rFonts w:ascii="Arial" w:cs="Arial" w:eastAsia="Arial" w:hAnsi="Arial"/>
                <w:sz w:val="14"/>
                <w:szCs w:val="14"/>
                <w:color w:val="auto"/>
              </w:rPr>
              <w:t>Ares Corporate Opportunities Fund V, L.P.</w:t>
            </w:r>
            <w:r>
              <w:rPr>
                <w:rFonts w:ascii="Arial" w:cs="Arial" w:eastAsia="Arial" w:hAnsi="Arial"/>
                <w:sz w:val="23"/>
                <w:szCs w:val="23"/>
                <w:color w:val="auto"/>
                <w:vertAlign w:val="superscript"/>
              </w:rPr>
              <w:t>(19)</w:t>
            </w:r>
          </w:p>
        </w:tc>
        <w:tc>
          <w:tcPr>
            <w:tcW w:w="400" w:type="dxa"/>
            <w:vAlign w:val="bottom"/>
          </w:tcPr>
          <w:p>
            <w:pPr>
              <w:ind w:left="280"/>
              <w:spacing w:after="0"/>
              <w:rPr>
                <w:sz w:val="20"/>
                <w:szCs w:val="20"/>
                <w:color w:val="auto"/>
              </w:rPr>
            </w:pPr>
            <w:r>
              <w:rPr>
                <w:rFonts w:ascii="Arial" w:cs="Arial" w:eastAsia="Arial" w:hAnsi="Arial"/>
                <w:sz w:val="4"/>
                <w:szCs w:val="4"/>
                <w:color w:val="auto"/>
              </w:rPr>
              <w:t>​</w:t>
            </w:r>
          </w:p>
        </w:tc>
        <w:tc>
          <w:tcPr>
            <w:tcW w:w="260" w:type="dxa"/>
            <w:vAlign w:val="bottom"/>
          </w:tcPr>
          <w:p>
            <w:pPr>
              <w:ind w:left="10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37"/>
              <w:spacing w:after="0"/>
              <w:rPr>
                <w:sz w:val="20"/>
                <w:szCs w:val="20"/>
                <w:color w:val="auto"/>
              </w:rPr>
            </w:pPr>
            <w:r>
              <w:rPr>
                <w:rFonts w:ascii="Arial" w:cs="Arial" w:eastAsia="Arial" w:hAnsi="Arial"/>
                <w:sz w:val="14"/>
                <w:szCs w:val="14"/>
                <w:color w:val="auto"/>
              </w:rPr>
              <w:t>3,387,678</w:t>
            </w:r>
            <w:r>
              <w:rPr>
                <w:rFonts w:ascii="Arial" w:cs="Arial" w:eastAsia="Arial" w:hAnsi="Arial"/>
                <w:sz w:val="3"/>
                <w:szCs w:val="3"/>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640" w:type="dxa"/>
            <w:vAlign w:val="bottom"/>
          </w:tcPr>
          <w:p>
            <w:pPr>
              <w:jc w:val="right"/>
              <w:ind w:right="37"/>
              <w:spacing w:after="0"/>
              <w:rPr>
                <w:sz w:val="20"/>
                <w:szCs w:val="20"/>
                <w:color w:val="auto"/>
              </w:rPr>
            </w:pPr>
            <w:r>
              <w:rPr>
                <w:rFonts w:ascii="Arial" w:cs="Arial" w:eastAsia="Arial" w:hAnsi="Arial"/>
                <w:sz w:val="14"/>
                <w:szCs w:val="14"/>
                <w:color w:val="auto"/>
              </w:rPr>
              <w:t>5.3%</w:t>
            </w:r>
            <w:r>
              <w:rPr>
                <w:rFonts w:ascii="Arial" w:cs="Arial" w:eastAsia="Arial" w:hAnsi="Arial"/>
                <w:sz w:val="3"/>
                <w:szCs w:val="3"/>
                <w:color w:val="auto"/>
              </w:rPr>
              <w:t>​</w:t>
            </w:r>
          </w:p>
        </w:tc>
        <w:tc>
          <w:tcPr>
            <w:tcW w:w="560" w:type="dxa"/>
            <w:vAlign w:val="bottom"/>
          </w:tcPr>
          <w:p>
            <w:pPr>
              <w:ind w:left="120"/>
              <w:spacing w:after="0"/>
              <w:rPr>
                <w:sz w:val="20"/>
                <w:szCs w:val="20"/>
                <w:color w:val="auto"/>
              </w:rPr>
            </w:pPr>
            <w:r>
              <w:rPr>
                <w:rFonts w:ascii="Arial" w:cs="Arial" w:eastAsia="Arial" w:hAnsi="Arial"/>
                <w:sz w:val="4"/>
                <w:szCs w:val="4"/>
                <w:color w:val="auto"/>
              </w:rPr>
              <w:t>​</w:t>
            </w:r>
          </w:p>
        </w:tc>
        <w:tc>
          <w:tcPr>
            <w:tcW w:w="560" w:type="dxa"/>
            <w:vAlign w:val="bottom"/>
          </w:tcPr>
          <w:p>
            <w:pPr>
              <w:ind w:left="440"/>
              <w:spacing w:after="0"/>
              <w:rPr>
                <w:sz w:val="20"/>
                <w:szCs w:val="20"/>
                <w:color w:val="auto"/>
              </w:rPr>
            </w:pPr>
            <w:r>
              <w:rPr>
                <w:rFonts w:ascii="Arial" w:cs="Arial" w:eastAsia="Arial" w:hAnsi="Arial"/>
                <w:sz w:val="4"/>
                <w:szCs w:val="4"/>
                <w:color w:val="auto"/>
              </w:rPr>
              <w:t>​</w:t>
            </w:r>
          </w:p>
        </w:tc>
        <w:tc>
          <w:tcPr>
            <w:tcW w:w="380" w:type="dxa"/>
            <w:vAlign w:val="bottom"/>
          </w:tcPr>
          <w:p>
            <w:pPr>
              <w:ind w:left="120"/>
              <w:spacing w:after="0"/>
              <w:rPr>
                <w:sz w:val="20"/>
                <w:szCs w:val="20"/>
                <w:color w:val="auto"/>
              </w:rPr>
            </w:pPr>
            <w:r>
              <w:rPr>
                <w:rFonts w:ascii="Arial" w:cs="Arial" w:eastAsia="Arial" w:hAnsi="Arial"/>
                <w:sz w:val="4"/>
                <w:szCs w:val="4"/>
                <w:color w:val="auto"/>
              </w:rPr>
              <w:t>​</w:t>
            </w:r>
          </w:p>
        </w:tc>
        <w:tc>
          <w:tcPr>
            <w:tcW w:w="540" w:type="dxa"/>
            <w:vAlign w:val="bottom"/>
          </w:tcPr>
          <w:p>
            <w:pPr>
              <w:jc w:val="right"/>
              <w:ind w:right="75"/>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4"/>
                <w:szCs w:val="4"/>
                <w:color w:val="auto"/>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5.3%</w:t>
            </w:r>
            <w:r>
              <w:rPr>
                <w:rFonts w:ascii="Arial" w:cs="Arial" w:eastAsia="Arial" w:hAnsi="Arial"/>
                <w:sz w:val="3"/>
                <w:szCs w:val="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-956945</wp:posOffset>
            </wp:positionV>
            <wp:extent cx="60350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-725170</wp:posOffset>
            </wp:positionV>
            <wp:extent cx="60350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-494030</wp:posOffset>
            </wp:positionV>
            <wp:extent cx="603504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-262255</wp:posOffset>
            </wp:positionV>
            <wp:extent cx="60350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-56515</wp:posOffset>
            </wp:positionV>
            <wp:extent cx="60350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type w:val="continuous"/>
        </w:sectPr>
      </w:pPr>
    </w:p>
    <w:p>
      <w:pPr>
        <w:spacing w:after="0" w:line="174"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*Represents beneficial ownership of less than 1%.</w:t>
      </w:r>
    </w:p>
    <w:p>
      <w:pPr>
        <w:spacing w:after="0" w:line="55" w:lineRule="exact"/>
        <w:rPr>
          <w:sz w:val="20"/>
          <w:szCs w:val="20"/>
          <w:color w:val="auto"/>
        </w:rPr>
      </w:pPr>
    </w:p>
    <w:p>
      <w:pPr>
        <w:ind w:left="380" w:right="300" w:hanging="359"/>
        <w:spacing w:after="0" w:line="257"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Calculated as % of Class A or Class B common stock as of May 18, 2023 plus any shares of Class A or Class B common stock underlying options to purchase common stock that are currently exercisable or would be exercisable and RSUs that will vest within 60 days of May 18, 2023.</w:t>
      </w:r>
    </w:p>
    <w:p>
      <w:pPr>
        <w:spacing w:after="0" w:line="22" w:lineRule="exact"/>
        <w:rPr>
          <w:rFonts w:ascii="Arial" w:cs="Arial" w:eastAsia="Arial" w:hAnsi="Arial"/>
          <w:sz w:val="14"/>
          <w:szCs w:val="14"/>
          <w:color w:val="auto"/>
        </w:rPr>
      </w:pPr>
    </w:p>
    <w:p>
      <w:pPr>
        <w:ind w:left="380" w:right="100" w:hanging="359"/>
        <w:spacing w:after="0" w:line="252"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(i) 154,369 shares of Class A common stock held by Ms. Hyman; (ii) 97,916 RSUs relating to Class A common stock that will vest within 60 days of May 18, 2023; (iii) 1,129,272 shares of Class B common stock held by Ms. Hyman; (iv) 123,108 shares of Class B common stock held by Ms. Hyman’s spouse; and (v) 2,565,466 shares of Class B common stock underlying options to purchase common stock that are currently exercisable or would be exercisable within 60 days of May 18, 2023.</w:t>
      </w:r>
    </w:p>
    <w:p>
      <w:pPr>
        <w:spacing w:after="0" w:line="25" w:lineRule="exact"/>
        <w:rPr>
          <w:rFonts w:ascii="Arial" w:cs="Arial" w:eastAsia="Arial" w:hAnsi="Arial"/>
          <w:sz w:val="14"/>
          <w:szCs w:val="14"/>
          <w:color w:val="auto"/>
        </w:rPr>
      </w:pPr>
    </w:p>
    <w:p>
      <w:pPr>
        <w:ind w:left="380" w:hanging="359"/>
        <w:spacing w:after="0" w:line="257"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Consists of: (i) 212,460 shares of Class A common stock held by Ms. Salinas; (ii) 604,811 shares of Class A common stock underlying options to purchase common stock that are currently exercisable or would be exercisable within 60 days of May 18, 2023; and (iii) 66,666 RSUs relating to Class A common stock that will vest within 60 days of May 18, 2023.</w:t>
      </w:r>
    </w:p>
    <w:p>
      <w:pPr>
        <w:spacing w:after="0" w:line="22" w:lineRule="exact"/>
        <w:rPr>
          <w:rFonts w:ascii="Arial" w:cs="Arial" w:eastAsia="Arial" w:hAnsi="Arial"/>
          <w:sz w:val="14"/>
          <w:szCs w:val="14"/>
          <w:color w:val="auto"/>
        </w:rPr>
      </w:pPr>
    </w:p>
    <w:p>
      <w:pPr>
        <w:jc w:val="both"/>
        <w:ind w:left="380" w:hanging="359"/>
        <w:spacing w:after="0" w:line="257"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Consists of: (i) 194,464 shares of Class A common stock held by Mr. Steinberg; (ii) 128,591 shares of Class A common stock underlying options to purchase common stock that are currently exercisable or would be exercisable within 60 days of May 18, 2023; and (iii) 25,000 RSUs relating to Class A common stock that will vest within 60 days of May 18, 2023.</w:t>
      </w:r>
    </w:p>
    <w:p>
      <w:pPr>
        <w:spacing w:after="0" w:line="22" w:lineRule="exact"/>
        <w:rPr>
          <w:rFonts w:ascii="Arial" w:cs="Arial" w:eastAsia="Arial" w:hAnsi="Arial"/>
          <w:sz w:val="14"/>
          <w:szCs w:val="14"/>
          <w:color w:val="auto"/>
        </w:rPr>
      </w:pPr>
    </w:p>
    <w:p>
      <w:pPr>
        <w:ind w:left="380" w:right="120" w:hanging="359"/>
        <w:spacing w:after="0" w:line="273"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Consists of: (i) 43,158 shares of Class A common stock held by Mr. Bixby and (ii) 14,758 RSUs relating to Class A common stock that will vest within 60 days of May 18, 2023.</w:t>
      </w:r>
    </w:p>
    <w:p>
      <w:pPr>
        <w:spacing w:after="0" w:line="11" w:lineRule="exact"/>
        <w:rPr>
          <w:rFonts w:ascii="Arial" w:cs="Arial" w:eastAsia="Arial" w:hAnsi="Arial"/>
          <w:sz w:val="14"/>
          <w:szCs w:val="14"/>
          <w:color w:val="auto"/>
        </w:rPr>
      </w:pPr>
    </w:p>
    <w:p>
      <w:pPr>
        <w:ind w:left="380" w:right="280" w:hanging="359"/>
        <w:spacing w:after="0" w:line="273"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Consists of: (i) 626,281 shares of Class B common stock held by Ms. Fleiss and (ii) 14,758 RSUs relating to Class A common stock that will vest within 60 days of May 18, 2023.</w:t>
      </w:r>
    </w:p>
    <w:p>
      <w:pPr>
        <w:spacing w:after="0" w:line="11" w:lineRule="exact"/>
        <w:rPr>
          <w:rFonts w:ascii="Arial" w:cs="Arial" w:eastAsia="Arial" w:hAnsi="Arial"/>
          <w:sz w:val="14"/>
          <w:szCs w:val="14"/>
          <w:color w:val="auto"/>
        </w:rPr>
      </w:pPr>
    </w:p>
    <w:p>
      <w:pPr>
        <w:ind w:left="380" w:right="240" w:hanging="359"/>
        <w:spacing w:after="0" w:line="252"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Consists of 14,758 RSUs relating to Class A common stock that will vest within 60 days of May 18, 2023. Does not include the shares of Class A common stock held by the Bain Capital Ventures Entities. Mr. Friend is a Managing Director of BCVI. As a result, by virtue of the relationships described in footnote (15), Mr. Friend may be deemed to share beneficial ownership of such securities held by the Bain Capital Ventures Entities. The address of Mr. Friend is c/o Bain Capital Ventures, 200 Clarendon Street, Boston, MA 02116.</w:t>
      </w:r>
    </w:p>
    <w:p>
      <w:pPr>
        <w:spacing w:after="0" w:line="25" w:lineRule="exact"/>
        <w:rPr>
          <w:rFonts w:ascii="Arial" w:cs="Arial" w:eastAsia="Arial" w:hAnsi="Arial"/>
          <w:sz w:val="14"/>
          <w:szCs w:val="14"/>
          <w:color w:val="auto"/>
        </w:rPr>
      </w:pPr>
    </w:p>
    <w:p>
      <w:pPr>
        <w:ind w:left="380" w:right="40" w:hanging="359"/>
        <w:spacing w:after="0" w:line="273"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Consists of: (i) 24,080 shares of Class A common stock held by Ms. Harris and (ii) 14,758 RSUs relating to Class A common stock that will vest within 60 days of May 18, 2023.</w:t>
      </w:r>
    </w:p>
    <w:p>
      <w:pPr>
        <w:sectPr>
          <w:pgSz w:w="11900" w:h="16838" w:orient="portrait"/>
          <w:cols w:equalWidth="0" w:num="1">
            <w:col w:w="9520"/>
          </w:cols>
          <w:pgMar w:left="1180" w:top="265" w:right="1199" w:bottom="1440" w:gutter="0" w:footer="0" w:header="0"/>
          <w:type w:val="continuous"/>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167005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0" w:lineRule="exact"/>
        <w:rPr>
          <w:sz w:val="20"/>
          <w:szCs w:val="20"/>
          <w:color w:val="auto"/>
        </w:rPr>
      </w:pPr>
    </w:p>
    <w:p>
      <w:pPr>
        <w:ind w:left="380" w:right="180" w:hanging="359"/>
        <w:spacing w:after="0" w:line="252"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(i) 528,062 shares of Class A common stock held by Ms. Kaplan; (ii) 12,469 shares of Class A common stock held by SK Limited Partnership over which Ms. Kaplan may be deemed to have voting and dispositive power; (iii) 55,167 shares of Class A common stock underlying options to purchase common stock that are currently exercisable or would be exercisable within 60 days of May 18, 2023; and (iv) 14,758 RSUs relating to Class A common stock that will vest within 60 days of May 18, 2023.</w:t>
      </w:r>
    </w:p>
    <w:p>
      <w:pPr>
        <w:spacing w:after="0" w:line="25" w:lineRule="exact"/>
        <w:rPr>
          <w:rFonts w:ascii="Arial" w:cs="Arial" w:eastAsia="Arial" w:hAnsi="Arial"/>
          <w:sz w:val="14"/>
          <w:szCs w:val="14"/>
          <w:color w:val="auto"/>
        </w:rPr>
      </w:pPr>
    </w:p>
    <w:p>
      <w:pPr>
        <w:ind w:left="380" w:right="100" w:hanging="359"/>
        <w:spacing w:after="0" w:line="252"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14,758 RSUs relating to Class A common stock that will vest within 60 days of May 18, 2023. Does not include the shares of Class A common stock held by the Highland Capital Entities. Mr. Nova is General Partner at Highland Capital Partners. As a result, by virtue of the relationships described in footnote (16), Mr. Nova may be deemed to share beneficial ownership of such securities held by the Highland Capital Entities. The address of Mr. Nova is c/o Highland Capital Partners, One Broadway, 16th Floor, Cambridge, MA 02142.</w:t>
      </w:r>
    </w:p>
    <w:p>
      <w:pPr>
        <w:spacing w:after="0" w:line="25" w:lineRule="exact"/>
        <w:rPr>
          <w:rFonts w:ascii="Arial" w:cs="Arial" w:eastAsia="Arial" w:hAnsi="Arial"/>
          <w:sz w:val="14"/>
          <w:szCs w:val="14"/>
          <w:color w:val="auto"/>
        </w:rPr>
      </w:pPr>
    </w:p>
    <w:p>
      <w:pPr>
        <w:ind w:left="380" w:right="260" w:hanging="359"/>
        <w:spacing w:after="0" w:line="273"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(i) 27,520 shares of Class A common stock held by Ms. Paltrow and (ii) 14,758 RSUs relating to Class A common stock that will vest within 60 days of May 18, 2023.</w:t>
      </w:r>
    </w:p>
    <w:p>
      <w:pPr>
        <w:spacing w:after="0" w:line="11" w:lineRule="exact"/>
        <w:rPr>
          <w:rFonts w:ascii="Arial" w:cs="Arial" w:eastAsia="Arial" w:hAnsi="Arial"/>
          <w:sz w:val="14"/>
          <w:szCs w:val="14"/>
          <w:color w:val="auto"/>
        </w:rPr>
      </w:pPr>
    </w:p>
    <w:p>
      <w:pPr>
        <w:ind w:left="380" w:right="260" w:hanging="359"/>
        <w:spacing w:after="0" w:line="273"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(i) 69,770 shares of Class A common stock held by Ms. Roney; (ii) 14,758 RSUs relating to Class A common stock that will vest within 60 days of May 18, 2023; and (iii) 5,000 shares of Class A common stock held by Ms. Roney’s spouse.</w:t>
      </w:r>
    </w:p>
    <w:p>
      <w:pPr>
        <w:spacing w:after="0" w:line="11" w:lineRule="exact"/>
        <w:rPr>
          <w:rFonts w:ascii="Arial" w:cs="Arial" w:eastAsia="Arial" w:hAnsi="Arial"/>
          <w:sz w:val="14"/>
          <w:szCs w:val="14"/>
          <w:color w:val="auto"/>
        </w:rPr>
      </w:pPr>
    </w:p>
    <w:p>
      <w:pPr>
        <w:ind w:left="380" w:right="100" w:hanging="359"/>
        <w:spacing w:after="0" w:line="273"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(i) 112,558 shares of Class A common stock held by Mr. Roth and (ii) 14,758 RSUs relating to Class A common stock that will vest within 60 days of May 18, 2023.</w:t>
      </w:r>
    </w:p>
    <w:p>
      <w:pPr>
        <w:spacing w:after="0" w:line="11" w:lineRule="exact"/>
        <w:rPr>
          <w:rFonts w:ascii="Arial" w:cs="Arial" w:eastAsia="Arial" w:hAnsi="Arial"/>
          <w:sz w:val="14"/>
          <w:szCs w:val="14"/>
          <w:color w:val="auto"/>
        </w:rPr>
      </w:pPr>
    </w:p>
    <w:p>
      <w:pPr>
        <w:ind w:left="380" w:right="40" w:hanging="359"/>
        <w:spacing w:after="0" w:line="246"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(i) 1,854,448 shares of Class A common stock; (ii) 1,329,307 shares of Class A common stock underlying options to purchase common stock that are currently exercisable or would be exercisable within 60 days of May 18, 2032; (iii) 494,035 RSUs relating to Class A common stock that will vest within 60 days of May 18, 2023; (iv) 1,878,661 shares of Class B common stock; and (v) 2,565,466 shares of Class B common stock underlying options to purchase common stock that are currently exercisable or would be exercisable within 60 days of May 18, 2023. “All current executive officers, directors, and director nominees as a group” includes the beneficial ownership of Sid Thacker, our new Chief Financial Officer, effective May 25, 2023, and does not include the beneficial ownership of Scarlett O’Sullivan, our former Chief Financial Officer.</w:t>
      </w:r>
    </w:p>
    <w:p>
      <w:pPr>
        <w:spacing w:after="0" w:line="197" w:lineRule="exact"/>
        <w:rPr>
          <w:rFonts w:ascii="Arial" w:cs="Arial" w:eastAsia="Arial" w:hAnsi="Arial"/>
          <w:sz w:val="14"/>
          <w:szCs w:val="14"/>
          <w:color w:val="auto"/>
        </w:rPr>
      </w:pPr>
    </w:p>
    <w:p>
      <w:pPr>
        <w:ind w:left="380" w:hanging="359"/>
        <w:spacing w:after="0" w:line="245"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14, 2022. Consists of (i) 7,644,627 shares of Class A common stock over which Bain Capital Venture Fund 2009, L.P. (“BCV Fund 2009”) has shared voting and dispositive power; (ii) 466,750 shares of Class A common stock over which BCIP Venture Associates (“BCIP Venture”) has shared voting and dispositive power; and (iii) 65,041 shares of Class A common stock over which BCIP Venture Associates-B (“BCIP Venture-B”, and together with BCV Fund 2009 and BCIP Venture, the “Bain Capital Ventures Entities”) has shared voting and dispositive power. Bain Capital Venture Investors, LLC (“BCVI”) is the general partner of BCV Fund 2009. Boylston Coinvestors, LLC, a Delaware limited liability company (“Boylston”), is the managing partner of each of BCIP Venture and BCIP Venture-B. The governance, investment strategy, and decision-making process with respect to the investments held by the reporting persons is directed by the Executive Committee of BCVI, which consists of Enrique Salem and Ajay Agarwal. By virtue of the relationships described herein, each of BCVI and Mr. Salem and Mr. Agarwal may be deemed to share voting and dispositive power over the shares held by the Bain Capital Ventures Entities. The principal business address for each of the foregoing is 200 Clarendon Street, Boston, MA 02116.</w:t>
      </w:r>
    </w:p>
    <w:p>
      <w:pPr>
        <w:spacing w:after="0" w:line="30" w:lineRule="exact"/>
        <w:rPr>
          <w:rFonts w:ascii="Arial" w:cs="Arial" w:eastAsia="Arial" w:hAnsi="Arial"/>
          <w:sz w:val="14"/>
          <w:szCs w:val="14"/>
          <w:color w:val="auto"/>
        </w:rPr>
      </w:pPr>
    </w:p>
    <w:p>
      <w:pPr>
        <w:ind w:left="380" w:right="60" w:hanging="359"/>
        <w:spacing w:after="0" w:line="243"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10, 2022 filed by Highland Capital Partners VIII Limited Partnership (“Highland VIII”), Highland Capital Partners VIII-B Limited Partnership (“Highland VIII-B”), Highland Capital Partners VIII-C Limited Partnership (“Highland VIII-C”), Highland Management Partners VIII Limited Partnership (“HMP VIII LP”), Highland Management Partners VIII Limited (“HMP VIII Ltd”), Highland Leaders Fund I, L.P. (“HLF I”), Highland Leaders Fund I GP, L.P. (“HLF I GP LP”), and Highland Leaders Fund I GP, LLC (“HLF I GP LLC” and together with Highland VIII, Highland VIII-B, Highland VIII-C, HMP VIII LP, HMP VIII Ltd, HLF I, and HLF I GP LP, the “Highland Capital Entities”) and Daniel Nova. Consists of (i) 3,088,560 shares of Class A common stock over which Highland VIII has shared voting and dispositive power; (ii) 47,885 shares of Class A common stock over which VIII-B has shared voting and dispositive power; (iii) 1,119,970 shares of Class A common stock over which Highland VIII-C has shared voting and dispositive power; and (iv) 847,978 shares of Class A common stock over which HLF I has shared voting and dispositive power. HMP VIII Ltd is the sole general partner of HMP VIII LP, which is the sole general partner of each of Highland VIII, Highland VIII-B, and Highland VIII-C. Each of HMP VIII Ltd and HMP VIII LP may be deemed to have voting, investment, and dispositive power with respect to these securities. Robert Davis, Daniel Nova (a member of the Company’s Board of Directors), Paul Maeder, and Corey Mulloy are the directors of HMP VIII Ltd and may be deemed to share voting, investment, and dispositive power with respect to these securities. HLF I GP LLC is the sole general partner of HLF I GP LP, which is the sole general partner of HLF I. Each of HLF I GP LLC and HLF I GP LP may be deemed to have voting, investment, and dispositive power with respect to these securities. Robert Davis, Daniel Nova (a member of the Company’s Board of Directors), Paul Maeder, Corey Mulloy, and Craig Driscoll are the managing members of HLF I GP LLC and may be deemed to share voting, investment, and dispositive power with respect to these securities. Each of the foregoing disclaims beneficial ownership except to the extent of their respective pecuniary interest therein. The principal business address for each of the foregoing in this paragraph is One Broadway, 14th Floor, Cambridge, MA 02142.</w:t>
      </w:r>
    </w:p>
    <w:p>
      <w:pPr>
        <w:spacing w:after="0" w:line="35" w:lineRule="exact"/>
        <w:rPr>
          <w:rFonts w:ascii="Arial" w:cs="Arial" w:eastAsia="Arial" w:hAnsi="Arial"/>
          <w:sz w:val="14"/>
          <w:szCs w:val="14"/>
          <w:color w:val="auto"/>
        </w:rPr>
      </w:pPr>
    </w:p>
    <w:p>
      <w:pPr>
        <w:ind w:left="380" w:right="160" w:hanging="359"/>
        <w:spacing w:after="0" w:line="245"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14, 2023. Consists of (i) 4,096,103 shares of Class A common stock over which Steven Baughman has shared voting and dispositive power; (ii) 4,096,103 shares of Class A common stock over which Divisar Capital Management LLC has shared voting and dispositive power, and (iii) 3,814,464 shares of Class A common stock over which Divisar Partners QP, L.P. has shared voting and dispositive power. Divisar Capital Management, LLC, which serves as the general partner and investment manager to each of Divisar Partners QP, L.P. and Divisar Partners, L.P. (collectively, the “Divisar Funds”), may be deemed to be the beneficial owner of all shares of Class A common stock held by the Divisar Funds. Mr. Baughman, as the Chief Executive Officer of Divisar Capital Management, LLC, with the power to exercise investment and voting discretion, may be deemed to be the beneficial owner of all shares of Class A common stock held by the Divisar Funds. Each of the Divisar Funds expressly disclaims beneficial ownership over any of the securities. The address of each of the foregoing is 275 Sacramento Street, 8th Floor, San Francisco, CA 94111.</w:t>
      </w:r>
    </w:p>
    <w:p>
      <w:pPr>
        <w:spacing w:after="0" w:line="32" w:lineRule="exact"/>
        <w:rPr>
          <w:rFonts w:ascii="Arial" w:cs="Arial" w:eastAsia="Arial" w:hAnsi="Arial"/>
          <w:sz w:val="14"/>
          <w:szCs w:val="14"/>
          <w:color w:val="auto"/>
        </w:rPr>
      </w:pPr>
    </w:p>
    <w:p>
      <w:pPr>
        <w:ind w:left="380" w:right="20" w:hanging="359"/>
        <w:spacing w:after="0" w:line="244"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8, 2022. Technology Crossover Management VIII, Ltd. (“Management VIII”) has sole voting and dispositive power over 3,949,669 shares of Class A common stock; Technology Crossover Management VIII, L.P. (“TCM VIII”) has sole voting and dispositive power over 3,749,123 shares of Class A common stock; TCV VIII, L.P. (“TCV VIII”) has sole voting and dispositive power with respect to 2,815,128 shares of Class A common stock; TCV VIII (A), L.P. (“TCV VIII (A)”) has sole voting and dispositive power with respect to 759,152 shares of Class A common stock; TCV VIII (B), L.P. (“TCV VIII (B)”) has sole voting and dispositive power with respect to 174,843 shares of Class A common stock; and TCV Member Fund, L.P. (“Member Fund”) has sole voting and dispositive power with respect to 200,546 shares of Class A common stock. Management VIII, as the ultimate general partner of the TCV Entities, may be deemed to have the sole power to dispose or direct the disposition of the shares held by the TCV Entities and have the sole power to direct the vote of such shares of Class A common stock. TCM VIII, as the direct general partner of TCV VIII, TCV VIII (A), and TCV VIII (B) (collectively, the “TCV VIII Funds”), may also be deemed to have sole power to dispose or direct the disposition of the shares of Class A common stock held by the TCV VIII Funds and have the sole power to direct the vote of such shares of Class A common stock. Each of the foregoing disclaims beneficial ownership except to the extent of their respective pecuniary interest therein. The address of each of the foregoing is c/o TCV, 250 Middlefield Road, Menlo Park, CA 94025.</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159385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0" w:lineRule="exact"/>
        <w:rPr>
          <w:sz w:val="20"/>
          <w:szCs w:val="20"/>
          <w:color w:val="auto"/>
        </w:rPr>
      </w:pPr>
    </w:p>
    <w:p>
      <w:pPr>
        <w:ind w:left="380" w:hanging="359"/>
        <w:spacing w:after="0" w:line="242"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14, 2022. Each of Ares Corporate Opportunities Fund V, L.P. (“ACOF V”); ACOF Investment Management LLC (“ACOF Investment Management”); Ares Management LLC; Ares Management Holdings L.P. (“Ares Management Holdings”); Ares Holdco LLC (“Ares Holdco”); Ares Management Corporation (“Ares Management”); Ares Management GP LLC (“Ares Management GP”); Ares Voting LLC (“Ares Voting”); and Ares Partners Holdco LLC (“Ares Partners”) has shared voting and dispositive power with respect to 3,387,678 shares of Class A common stock. The shares are held of record by ACOF V. The manager of ACOF V is ACOF Investment Management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Pursuant to Ares Management’s Certificate of Incorporation in effect as of the date of this Schedule 13G,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J Arougheti, Ryan Berry, R. Kipp deVeer, David B. Kaplan, Antony P. Ressler, and Bennett Rosenthal (collectively, the “Board Members”).</w:t>
      </w:r>
    </w:p>
    <w:p>
      <w:pPr>
        <w:spacing w:after="0" w:line="5" w:lineRule="exact"/>
        <w:rPr>
          <w:rFonts w:ascii="Arial" w:cs="Arial" w:eastAsia="Arial" w:hAnsi="Arial"/>
          <w:sz w:val="14"/>
          <w:szCs w:val="14"/>
          <w:color w:val="auto"/>
        </w:rPr>
      </w:pPr>
    </w:p>
    <w:p>
      <w:pPr>
        <w:ind w:left="380" w:right="280"/>
        <w:spacing w:after="0" w:line="258" w:lineRule="auto"/>
        <w:rPr>
          <w:rFonts w:ascii="Arial" w:cs="Arial" w:eastAsia="Arial" w:hAnsi="Arial"/>
          <w:sz w:val="14"/>
          <w:szCs w:val="14"/>
          <w:color w:val="auto"/>
        </w:rPr>
      </w:pPr>
      <w:r>
        <w:rPr>
          <w:rFonts w:ascii="Arial" w:cs="Arial" w:eastAsia="Arial" w:hAnsi="Arial"/>
          <w:sz w:val="14"/>
          <w:szCs w:val="14"/>
          <w:color w:val="auto"/>
        </w:rPr>
        <w:t>Mr. Ressler generally has veto authority over decisions by the Board Members. The address of each of the foregoing is 2000 Avenue of the Stars, 12th Floor, Los Angeles, California 90067.</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Delinquent Section 16(a) Reports</w:t>
      </w:r>
    </w:p>
    <w:p>
      <w:pPr>
        <w:spacing w:after="0" w:line="228" w:lineRule="exact"/>
        <w:rPr>
          <w:sz w:val="20"/>
          <w:szCs w:val="20"/>
          <w:color w:val="auto"/>
        </w:rPr>
      </w:pPr>
    </w:p>
    <w:p>
      <w:pPr>
        <w:ind w:left="20" w:right="580"/>
        <w:spacing w:after="0" w:line="260" w:lineRule="auto"/>
        <w:rPr>
          <w:sz w:val="20"/>
          <w:szCs w:val="20"/>
          <w:color w:val="auto"/>
        </w:rPr>
      </w:pPr>
      <w:r>
        <w:rPr>
          <w:rFonts w:ascii="Arial" w:cs="Arial" w:eastAsia="Arial" w:hAnsi="Arial"/>
          <w:sz w:val="18"/>
          <w:szCs w:val="18"/>
          <w:color w:val="auto"/>
        </w:rPr>
        <w:t>Section 16(a) of the Exchange Act requires our executive officers, directors, and 10% stockholders to file certain reports with respect to beneficial ownership of our equity securities.</w:t>
      </w:r>
    </w:p>
    <w:p>
      <w:pPr>
        <w:spacing w:after="0" w:line="132"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To our knowledge, based solely on a review of copies of reports provided to us, or written representations that no reports were required, we believe that during fiscal year 2022, all Section 16 reports that were required to be filed were filed on a timely basis.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5" w:right="121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Additional Information</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Stockholder Proposals</w:t>
      </w:r>
    </w:p>
    <w:p>
      <w:pPr>
        <w:spacing w:after="0" w:line="215" w:lineRule="exact"/>
        <w:rPr>
          <w:sz w:val="20"/>
          <w:szCs w:val="20"/>
          <w:color w:val="auto"/>
        </w:rPr>
      </w:pPr>
    </w:p>
    <w:p>
      <w:pPr>
        <w:ind w:left="20" w:right="360"/>
        <w:spacing w:after="0" w:line="243" w:lineRule="auto"/>
        <w:rPr>
          <w:sz w:val="20"/>
          <w:szCs w:val="20"/>
          <w:color w:val="auto"/>
        </w:rPr>
      </w:pPr>
      <w:r>
        <w:rPr>
          <w:rFonts w:ascii="Arial" w:cs="Arial" w:eastAsia="Arial" w:hAnsi="Arial"/>
          <w:sz w:val="18"/>
          <w:szCs w:val="18"/>
          <w:color w:val="auto"/>
        </w:rPr>
        <w:t>Stockholders who would like to have a proposal considered for inclusion in the proxy materials for our 2024 Annual Meeting of Stockholders pursuant to Rule 14a-8 must submit the proposal in writing to our Secretary at Rent the Runway, Inc.,10 Jay Street, Brooklyn, NY 11201, by no later than January 26, 2024 and otherwise comply with the SEC’s requirements for stockholder proposals.</w:t>
      </w:r>
    </w:p>
    <w:p>
      <w:pPr>
        <w:spacing w:after="0" w:line="147"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Stockholders who would like to bring a proposal before our 2024 Annual Meeting of Stockholders, or to nominate directors for election, in accordance with the advance notice provisions of our Amended Bylaws, must give timely written notice to our Secretary. To be considered timely, the notice must be delivered to our headquarters at least 90 days, but not more than 120 days before the one-year anniversary of the previous year’s Annual Meeting of Stockholders. That means that to be timely, a notice must be received no later than April 13, 2024 nor earlier than March 14, 2024 (assuming the meeting is held not more than 30 days before or more than 60 days after July 12, 2024). The notice must comply with the requirements set forth in our Amended Bylaws.</w:t>
      </w:r>
    </w:p>
    <w:p>
      <w:pPr>
        <w:spacing w:after="0" w:line="164" w:lineRule="exact"/>
        <w:rPr>
          <w:sz w:val="20"/>
          <w:szCs w:val="20"/>
          <w:color w:val="auto"/>
        </w:rPr>
      </w:pPr>
    </w:p>
    <w:p>
      <w:pPr>
        <w:ind w:left="20" w:right="280"/>
        <w:spacing w:after="0" w:line="247" w:lineRule="auto"/>
        <w:rPr>
          <w:sz w:val="20"/>
          <w:szCs w:val="20"/>
          <w:color w:val="auto"/>
        </w:rPr>
      </w:pPr>
      <w:r>
        <w:rPr>
          <w:rFonts w:ascii="Arial" w:cs="Arial" w:eastAsia="Arial" w:hAnsi="Arial"/>
          <w:sz w:val="18"/>
          <w:szCs w:val="18"/>
          <w:color w:val="auto"/>
        </w:rPr>
        <w:t>In addition to satisfying the foregoing requirements under the Amended Bylaws, to comply with the universal proxy rules, stockholders who intend to solicit proxies in support of director nominees other than the Company’s nominees must provide notice that sets forth the information required by Rule 14a-19 under the Exchange Act.</w:t>
      </w:r>
    </w:p>
    <w:p>
      <w:pPr>
        <w:spacing w:after="0" w:line="144" w:lineRule="exact"/>
        <w:rPr>
          <w:sz w:val="20"/>
          <w:szCs w:val="20"/>
          <w:color w:val="auto"/>
        </w:rPr>
      </w:pPr>
    </w:p>
    <w:p>
      <w:pPr>
        <w:ind w:left="20" w:right="140"/>
        <w:spacing w:after="0" w:line="260"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Information Requests</w:t>
      </w:r>
    </w:p>
    <w:p>
      <w:pPr>
        <w:spacing w:after="0" w:line="228" w:lineRule="exact"/>
        <w:rPr>
          <w:sz w:val="20"/>
          <w:szCs w:val="20"/>
          <w:color w:val="auto"/>
        </w:rPr>
      </w:pPr>
    </w:p>
    <w:p>
      <w:pPr>
        <w:ind w:left="20" w:right="60"/>
        <w:spacing w:after="0" w:line="243" w:lineRule="auto"/>
        <w:rPr>
          <w:sz w:val="20"/>
          <w:szCs w:val="20"/>
          <w:color w:val="auto"/>
        </w:rPr>
      </w:pPr>
      <w:r>
        <w:rPr>
          <w:rFonts w:ascii="Arial" w:cs="Arial" w:eastAsia="Arial" w:hAnsi="Arial"/>
          <w:sz w:val="18"/>
          <w:szCs w:val="18"/>
          <w:color w:val="auto"/>
        </w:rPr>
        <w:t>Our Annual Reports on Form 10-K and Quarterly Reports on Form 10-Q are available on the SEC’s website, http://www.sec.gov, or on our website, investors.renttherunway.com. Copies of our Annual Report on Form 10-K for the fiscal year ended January 31, 2023 may also be obtained for free by emailing investors@renttherunway.com. No other information on our website is incorporated by reference in or considered to be part of this Proxy Statement.</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Other Business</w:t>
      </w:r>
    </w:p>
    <w:p>
      <w:pPr>
        <w:spacing w:after="0" w:line="215" w:lineRule="exact"/>
        <w:rPr>
          <w:sz w:val="20"/>
          <w:szCs w:val="20"/>
          <w:color w:val="auto"/>
        </w:rPr>
      </w:pPr>
    </w:p>
    <w:p>
      <w:pPr>
        <w:ind w:left="20" w:right="140"/>
        <w:spacing w:after="0" w:line="247" w:lineRule="auto"/>
        <w:rPr>
          <w:sz w:val="20"/>
          <w:szCs w:val="20"/>
          <w:color w:val="auto"/>
        </w:rPr>
      </w:pPr>
      <w:r>
        <w:rPr>
          <w:rFonts w:ascii="Arial" w:cs="Arial" w:eastAsia="Arial" w:hAnsi="Arial"/>
          <w:sz w:val="18"/>
          <w:szCs w:val="18"/>
          <w:color w:val="auto"/>
        </w:rPr>
        <w:t>We do not know of any other business that may be presented at the Annual Meeting. If any other matters are properly presented at the Annual Meeting, the persons named on the proxy card will have discretion to vote on the matters in accordance with their best judgment.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159385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5" w:right="121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Forward-Looking Statements</w:t>
      </w:r>
    </w:p>
    <w:p>
      <w:pPr>
        <w:spacing w:after="0" w:line="215" w:lineRule="exact"/>
        <w:rPr>
          <w:sz w:val="20"/>
          <w:szCs w:val="20"/>
          <w:color w:val="auto"/>
        </w:rPr>
      </w:pPr>
    </w:p>
    <w:p>
      <w:pPr>
        <w:ind w:left="20" w:right="40"/>
        <w:spacing w:after="0" w:line="238" w:lineRule="auto"/>
        <w:rPr>
          <w:sz w:val="20"/>
          <w:szCs w:val="20"/>
          <w:color w:val="auto"/>
        </w:rPr>
      </w:pPr>
      <w:r>
        <w:rPr>
          <w:rFonts w:ascii="Arial" w:cs="Arial" w:eastAsia="Arial" w:hAnsi="Arial"/>
          <w:sz w:val="18"/>
          <w:szCs w:val="18"/>
          <w:color w:val="auto"/>
        </w:rPr>
        <w:t>This proxy statement contains forward-looking statements within the meaning of the Private Securities Litigation Reform Act of 1995. All statements contained in this proxy statement that do not relate to matters of historical fact should be considered forward-looking statements. These statements include, but are not limited to, statements regarding our strategy and the environmental impact of our business and business objectives.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w:t>
      </w:r>
    </w:p>
    <w:p>
      <w:pPr>
        <w:spacing w:after="0" w:line="151" w:lineRule="exact"/>
        <w:rPr>
          <w:sz w:val="20"/>
          <w:szCs w:val="20"/>
          <w:color w:val="auto"/>
        </w:rPr>
      </w:pPr>
    </w:p>
    <w:p>
      <w:pPr>
        <w:ind w:left="20"/>
        <w:spacing w:after="0" w:line="236"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proxy statement may not occur and actual results could differ materially from those anticipated or implied in the forward-looking statements. These risks and uncertainties include our ability to manage our growth effectively; the highly competitive and rapidly changing nature of the global fashion industry; our ability to cost-effectively grow our customer base; any failure to retain customers; risks related to the COVID-19 pandemic and other future pandemics or public health crises; risks related to shipping, logistics and our supply chain; our ability to accurately forecast customer demand, manage our offerings effectively and plan for future expenses; risks arising from the restructuring of our operations; our reliance on the effective operation of proprietary technology systems and software as well as those of third-party vendors and service providers; our ability to remediate our material weaknesses in our internal control over financial reporting; laws and regulations applicable to our business; failure by us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for elements of the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and risks related to our Class A capital stock and ownership structure.</w:t>
      </w:r>
    </w:p>
    <w:p>
      <w:pPr>
        <w:spacing w:after="0" w:line="165" w:lineRule="exact"/>
        <w:rPr>
          <w:sz w:val="20"/>
          <w:szCs w:val="20"/>
          <w:color w:val="auto"/>
        </w:rPr>
      </w:pPr>
    </w:p>
    <w:p>
      <w:pPr>
        <w:ind w:left="20" w:right="280"/>
        <w:spacing w:after="0" w:line="241" w:lineRule="auto"/>
        <w:rPr>
          <w:sz w:val="20"/>
          <w:szCs w:val="20"/>
          <w:color w:val="auto"/>
        </w:rPr>
      </w:pPr>
      <w:r>
        <w:rPr>
          <w:rFonts w:ascii="Arial" w:cs="Arial" w:eastAsia="Arial" w:hAnsi="Arial"/>
          <w:sz w:val="18"/>
          <w:szCs w:val="18"/>
          <w:color w:val="auto"/>
        </w:rPr>
        <w:t>Additional information regarding these and other risks and uncertainties that could cause actual results to differ materially from the Company's expectations is included in our Annual Report on Form 10-K for the year ended January 31, 2023, as may be updated from time to time in our filings with the Securities and Exchange Commission. Except as required by law, we do not undertake any obligation to publicly update or revise any forward-looking statement, whether as a result of new information, future developments, or otherwise.</w:t>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5" w:right="119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A</w:t>
      </w:r>
    </w:p>
    <w:p>
      <w:pPr>
        <w:spacing w:after="0" w:line="232" w:lineRule="exact"/>
        <w:rPr>
          <w:sz w:val="20"/>
          <w:szCs w:val="20"/>
          <w:color w:val="auto"/>
        </w:rPr>
      </w:pPr>
    </w:p>
    <w:p>
      <w:pPr>
        <w:ind w:left="20"/>
        <w:spacing w:after="0" w:line="237" w:lineRule="auto"/>
        <w:rPr>
          <w:sz w:val="20"/>
          <w:szCs w:val="20"/>
          <w:color w:val="auto"/>
        </w:rPr>
      </w:pPr>
      <w:r>
        <w:rPr>
          <w:rFonts w:ascii="Arial" w:cs="Arial" w:eastAsia="Arial" w:hAnsi="Arial"/>
          <w:sz w:val="18"/>
          <w:szCs w:val="18"/>
          <w:color w:val="auto"/>
        </w:rPr>
        <w:t>This proxy statement contains the non-GAAP financial measures, Adjusted EBITDA, and Adjusted EBITDA margin. In addition to our results determined in accordance with GAAP, we believe that Adjusted EBITDA and Adjusted EBITDA margin are useful in evaluating our performance. Adjusted EBITDA is a key performance measure used by management to assess our operating performance and the operating leverage of our business prior to capital expenditures. These non-GAAP financial metrics are not meant to be considered as an indicator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proxy statement.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55" w:lineRule="exact"/>
        <w:rPr>
          <w:sz w:val="20"/>
          <w:szCs w:val="20"/>
          <w:color w:val="auto"/>
        </w:rPr>
      </w:pPr>
    </w:p>
    <w:p>
      <w:pPr>
        <w:ind w:left="20"/>
        <w:spacing w:after="0" w:line="252" w:lineRule="auto"/>
        <w:rPr>
          <w:sz w:val="20"/>
          <w:szCs w:val="20"/>
          <w:color w:val="auto"/>
        </w:rPr>
      </w:pPr>
      <w:r>
        <w:rPr>
          <w:rFonts w:ascii="Arial" w:cs="Arial" w:eastAsia="Arial" w:hAnsi="Arial"/>
          <w:sz w:val="17"/>
          <w:szCs w:val="17"/>
          <w:color w:val="auto"/>
        </w:rPr>
        <w:t>We define Adjusted EBITDA as net loss, adjusted to exclude interest expense, rental product depreciation, other depreciation and amortization, share-based compensation expense, write-off of liquidated rental product assets, certain non-recurring or one-time costs (see below footnotes to reconciliation table), restructuring charges, loss on asset impairment related to restructuring, income taxes, warrant liability revaluation gains / losses, debt extinguishment gains</w:t>
      </w:r>
    </w:p>
    <w:p>
      <w:pPr>
        <w:spacing w:after="0" w:line="1" w:lineRule="exact"/>
        <w:rPr>
          <w:sz w:val="20"/>
          <w:szCs w:val="20"/>
          <w:color w:val="auto"/>
        </w:rPr>
      </w:pPr>
    </w:p>
    <w:p>
      <w:pPr>
        <w:ind w:left="20" w:right="60" w:firstLine="1"/>
        <w:spacing w:after="0" w:line="246" w:lineRule="auto"/>
        <w:tabs>
          <w:tab w:leader="none" w:pos="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losses, other income and expense, and other gains / losses. Adjusted EBITDA margin is defined as Adjusted EBITDA calculated as a percentage of total revenue.</w:t>
      </w:r>
    </w:p>
    <w:p>
      <w:pPr>
        <w:spacing w:after="0" w:line="158" w:lineRule="exact"/>
        <w:rPr>
          <w:sz w:val="20"/>
          <w:szCs w:val="20"/>
          <w:color w:val="auto"/>
        </w:rPr>
      </w:pPr>
    </w:p>
    <w:p>
      <w:pPr>
        <w:ind w:left="20" w:right="140"/>
        <w:spacing w:after="0" w:line="243" w:lineRule="auto"/>
        <w:rPr>
          <w:sz w:val="20"/>
          <w:szCs w:val="20"/>
          <w:color w:val="auto"/>
        </w:rPr>
      </w:pPr>
      <w:r>
        <w:rPr>
          <w:rFonts w:ascii="Arial" w:cs="Arial" w:eastAsia="Arial" w:hAnsi="Arial"/>
          <w:sz w:val="18"/>
          <w:szCs w:val="18"/>
          <w:color w:val="auto"/>
        </w:rPr>
        <w:t>The reconciliation of the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151130</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5" w:right="121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2" w:lineRule="exact"/>
        <w:rPr>
          <w:sz w:val="20"/>
          <w:szCs w:val="20"/>
          <w:color w:val="auto"/>
        </w:rPr>
      </w:pPr>
    </w:p>
    <w:p>
      <w:pPr>
        <w:ind w:left="20" w:right="480"/>
        <w:spacing w:after="0" w:line="260" w:lineRule="auto"/>
        <w:rPr>
          <w:sz w:val="20"/>
          <w:szCs w:val="20"/>
          <w:color w:val="auto"/>
        </w:rPr>
      </w:pPr>
      <w:r>
        <w:rPr>
          <w:rFonts w:ascii="Arial" w:cs="Arial" w:eastAsia="Arial" w:hAnsi="Arial"/>
          <w:sz w:val="18"/>
          <w:szCs w:val="18"/>
          <w:color w:val="auto"/>
        </w:rPr>
        <w:t>The following table presents a reconciliation of net loss, the most comparable GAAP financial measure, to Adjusted EBITDA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6103620" cy="8229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03620" cy="822960"/>
                    </a:xfrm>
                    <a:prstGeom prst="rect">
                      <a:avLst/>
                    </a:prstGeom>
                    <a:noFill/>
                  </pic:spPr>
                </pic:pic>
              </a:graphicData>
            </a:graphic>
          </wp:anchor>
        </w:drawing>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00" w:type="dxa"/>
            <w:vAlign w:val="bottom"/>
          </w:tcPr>
          <w:p>
            <w:pPr>
              <w:spacing w:after="0"/>
              <w:rPr>
                <w:sz w:val="20"/>
                <w:szCs w:val="20"/>
                <w:color w:val="auto"/>
              </w:rPr>
            </w:pPr>
            <w:r>
              <w:rPr>
                <w:rFonts w:ascii="Arial" w:cs="Arial" w:eastAsia="Arial" w:hAnsi="Arial"/>
                <w:sz w:val="4"/>
                <w:szCs w:val="4"/>
                <w:color w:val="auto"/>
              </w:rPr>
              <w:t>​</w:t>
            </w:r>
          </w:p>
        </w:tc>
        <w:tc>
          <w:tcPr>
            <w:tcW w:w="4960" w:type="dxa"/>
            <w:vAlign w:val="bottom"/>
          </w:tcPr>
          <w:p>
            <w:pPr>
              <w:spacing w:after="0"/>
              <w:rPr>
                <w:sz w:val="17"/>
                <w:szCs w:val="17"/>
                <w:color w:val="auto"/>
              </w:rPr>
            </w:pPr>
          </w:p>
        </w:tc>
        <w:tc>
          <w:tcPr>
            <w:tcW w:w="2540" w:type="dxa"/>
            <w:vAlign w:val="bottom"/>
          </w:tcPr>
          <w:p>
            <w:pPr>
              <w:ind w:left="2440"/>
              <w:spacing w:after="0"/>
              <w:rPr>
                <w:sz w:val="20"/>
                <w:szCs w:val="20"/>
                <w:color w:val="auto"/>
              </w:rPr>
            </w:pPr>
            <w:r>
              <w:rPr>
                <w:rFonts w:ascii="Arial" w:cs="Arial" w:eastAsia="Arial" w:hAnsi="Arial"/>
                <w:sz w:val="4"/>
                <w:szCs w:val="4"/>
                <w:color w:val="auto"/>
              </w:rPr>
              <w:t>​</w:t>
            </w:r>
          </w:p>
        </w:tc>
        <w:tc>
          <w:tcPr>
            <w:tcW w:w="60" w:type="dxa"/>
            <w:vAlign w:val="bottom"/>
          </w:tcPr>
          <w:p>
            <w:pPr>
              <w:ind w:left="20"/>
              <w:spacing w:after="0"/>
              <w:rPr>
                <w:sz w:val="20"/>
                <w:szCs w:val="20"/>
                <w:color w:val="auto"/>
              </w:rPr>
            </w:pPr>
            <w:r>
              <w:rPr>
                <w:rFonts w:ascii="Arial" w:cs="Arial" w:eastAsia="Arial" w:hAnsi="Arial"/>
                <w:sz w:val="4"/>
                <w:szCs w:val="4"/>
                <w:color w:val="auto"/>
              </w:rPr>
              <w:t>​</w:t>
            </w:r>
          </w:p>
        </w:tc>
        <w:tc>
          <w:tcPr>
            <w:tcW w:w="180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Years Ended January 31,</w:t>
            </w:r>
          </w:p>
        </w:tc>
        <w:tc>
          <w:tcPr>
            <w:tcW w:w="160" w:type="dxa"/>
            <w:vAlign w:val="bottom"/>
          </w:tcPr>
          <w:p>
            <w:pPr>
              <w:jc w:val="right"/>
              <w:ind w:right="82"/>
              <w:spacing w:after="0"/>
              <w:rPr>
                <w:sz w:val="20"/>
                <w:szCs w:val="20"/>
                <w:color w:val="auto"/>
              </w:rPr>
            </w:pPr>
            <w:r>
              <w:rPr>
                <w:rFonts w:ascii="Arial" w:cs="Arial" w:eastAsia="Arial" w:hAnsi="Arial"/>
                <w:sz w:val="4"/>
                <w:szCs w:val="4"/>
                <w:color w:val="auto"/>
              </w:rPr>
              <w:t>​</w:t>
            </w:r>
          </w:p>
        </w:tc>
      </w:tr>
      <w:tr>
        <w:trPr>
          <w:trHeight w:val="206"/>
        </w:trPr>
        <w:tc>
          <w:tcPr>
            <w:tcW w:w="100" w:type="dxa"/>
            <w:vAlign w:val="bottom"/>
          </w:tcPr>
          <w:p>
            <w:pPr>
              <w:spacing w:after="0"/>
              <w:rPr>
                <w:sz w:val="17"/>
                <w:szCs w:val="17"/>
                <w:color w:val="auto"/>
              </w:rPr>
            </w:pPr>
          </w:p>
        </w:tc>
        <w:tc>
          <w:tcPr>
            <w:tcW w:w="4960" w:type="dxa"/>
            <w:vAlign w:val="bottom"/>
            <w:tcBorders>
              <w:bottom w:val="single" w:sz="8" w:color="E4C0D9"/>
            </w:tcBorders>
          </w:tcPr>
          <w:p>
            <w:pPr>
              <w:spacing w:after="0"/>
              <w:rPr>
                <w:sz w:val="17"/>
                <w:szCs w:val="17"/>
                <w:color w:val="auto"/>
              </w:rPr>
            </w:pPr>
          </w:p>
        </w:tc>
        <w:tc>
          <w:tcPr>
            <w:tcW w:w="2540" w:type="dxa"/>
            <w:vAlign w:val="bottom"/>
            <w:tcBorders>
              <w:bottom w:val="single" w:sz="8" w:color="E4C0D9"/>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219"/>
        </w:trPr>
        <w:tc>
          <w:tcPr>
            <w:tcW w:w="100" w:type="dxa"/>
            <w:vAlign w:val="bottom"/>
          </w:tcPr>
          <w:p>
            <w:pPr>
              <w:spacing w:after="0"/>
              <w:rPr>
                <w:sz w:val="20"/>
                <w:szCs w:val="20"/>
                <w:color w:val="auto"/>
              </w:rPr>
            </w:pPr>
            <w:r>
              <w:rPr>
                <w:rFonts w:ascii="Arial" w:cs="Arial" w:eastAsia="Arial" w:hAnsi="Arial"/>
                <w:sz w:val="4"/>
                <w:szCs w:val="4"/>
                <w:color w:val="auto"/>
              </w:rPr>
              <w:t>​</w:t>
            </w:r>
          </w:p>
        </w:tc>
        <w:tc>
          <w:tcPr>
            <w:tcW w:w="4960" w:type="dxa"/>
            <w:vAlign w:val="bottom"/>
            <w:shd w:val="clear" w:color="auto" w:fill="E4C0D9"/>
          </w:tcPr>
          <w:p>
            <w:pPr>
              <w:spacing w:after="0"/>
              <w:rPr>
                <w:sz w:val="19"/>
                <w:szCs w:val="19"/>
                <w:color w:val="auto"/>
              </w:rPr>
            </w:pPr>
          </w:p>
        </w:tc>
        <w:tc>
          <w:tcPr>
            <w:tcW w:w="2540" w:type="dxa"/>
            <w:vAlign w:val="bottom"/>
            <w:shd w:val="clear" w:color="auto" w:fill="E4C0D9"/>
          </w:tcPr>
          <w:p>
            <w:pPr>
              <w:ind w:left="2440"/>
              <w:spacing w:after="0"/>
              <w:rPr>
                <w:sz w:val="20"/>
                <w:szCs w:val="20"/>
                <w:color w:val="auto"/>
              </w:rPr>
            </w:pPr>
            <w:r>
              <w:rPr>
                <w:rFonts w:ascii="Arial" w:cs="Arial" w:eastAsia="Arial" w:hAnsi="Arial"/>
                <w:sz w:val="4"/>
                <w:szCs w:val="4"/>
                <w:color w:val="auto"/>
              </w:rPr>
              <w:t>​</w:t>
            </w:r>
          </w:p>
        </w:tc>
        <w:tc>
          <w:tcPr>
            <w:tcW w:w="60" w:type="dxa"/>
            <w:vAlign w:val="bottom"/>
            <w:shd w:val="clear" w:color="auto" w:fill="E4C0D9"/>
          </w:tcPr>
          <w:p>
            <w:pPr>
              <w:ind w:left="20"/>
              <w:spacing w:after="0"/>
              <w:rPr>
                <w:sz w:val="20"/>
                <w:szCs w:val="20"/>
                <w:color w:val="auto"/>
              </w:rPr>
            </w:pPr>
            <w:r>
              <w:rPr>
                <w:rFonts w:ascii="Arial" w:cs="Arial" w:eastAsia="Arial" w:hAnsi="Arial"/>
                <w:sz w:val="4"/>
                <w:szCs w:val="4"/>
                <w:color w:val="auto"/>
              </w:rPr>
              <w:t>​</w:t>
            </w:r>
          </w:p>
        </w:tc>
        <w:tc>
          <w:tcPr>
            <w:tcW w:w="460" w:type="dxa"/>
            <w:vAlign w:val="bottom"/>
            <w:shd w:val="clear" w:color="auto" w:fill="E4C0D9"/>
          </w:tcPr>
          <w:p>
            <w:pPr>
              <w:ind w:left="60"/>
              <w:spacing w:after="0"/>
              <w:rPr>
                <w:sz w:val="20"/>
                <w:szCs w:val="20"/>
                <w:color w:val="auto"/>
              </w:rPr>
            </w:pPr>
            <w:r>
              <w:rPr>
                <w:rFonts w:ascii="Arial" w:cs="Arial" w:eastAsia="Arial" w:hAnsi="Arial"/>
                <w:sz w:val="14"/>
                <w:szCs w:val="14"/>
                <w:b w:val="1"/>
                <w:bCs w:val="1"/>
                <w:color w:val="auto"/>
              </w:rPr>
              <w:t>2023</w:t>
            </w:r>
          </w:p>
        </w:tc>
        <w:tc>
          <w:tcPr>
            <w:tcW w:w="440" w:type="dxa"/>
            <w:vAlign w:val="bottom"/>
            <w:shd w:val="clear" w:color="auto" w:fill="E4C0D9"/>
          </w:tcPr>
          <w:p>
            <w:pPr>
              <w:jc w:val="right"/>
              <w:spacing w:after="0"/>
              <w:rPr>
                <w:sz w:val="20"/>
                <w:szCs w:val="20"/>
                <w:color w:val="auto"/>
              </w:rPr>
            </w:pPr>
            <w:r>
              <w:rPr>
                <w:rFonts w:ascii="Arial" w:cs="Arial" w:eastAsia="Arial" w:hAnsi="Arial"/>
                <w:sz w:val="4"/>
                <w:szCs w:val="4"/>
                <w:color w:val="auto"/>
              </w:rPr>
              <w:t>​</w:t>
            </w:r>
          </w:p>
        </w:tc>
        <w:tc>
          <w:tcPr>
            <w:tcW w:w="120" w:type="dxa"/>
            <w:vAlign w:val="bottom"/>
            <w:shd w:val="clear" w:color="auto" w:fill="E4C0D9"/>
          </w:tcPr>
          <w:p>
            <w:pPr>
              <w:jc w:val="center"/>
              <w:spacing w:after="0"/>
              <w:rPr>
                <w:sz w:val="20"/>
                <w:szCs w:val="20"/>
                <w:color w:val="auto"/>
              </w:rPr>
            </w:pPr>
            <w:r>
              <w:rPr>
                <w:rFonts w:ascii="Arial" w:cs="Arial" w:eastAsia="Arial" w:hAnsi="Arial"/>
                <w:sz w:val="2"/>
                <w:szCs w:val="2"/>
                <w:color w:val="auto"/>
                <w:w w:val="4294942296"/>
              </w:rPr>
              <w:t>​</w:t>
            </w:r>
          </w:p>
        </w:tc>
        <w:tc>
          <w:tcPr>
            <w:tcW w:w="460" w:type="dxa"/>
            <w:vAlign w:val="bottom"/>
            <w:shd w:val="clear" w:color="auto" w:fill="E4C0D9"/>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320" w:type="dxa"/>
            <w:vAlign w:val="bottom"/>
            <w:shd w:val="clear" w:color="auto" w:fill="E4C0D9"/>
          </w:tcPr>
          <w:p>
            <w:pPr>
              <w:spacing w:after="0"/>
              <w:rPr>
                <w:sz w:val="19"/>
                <w:szCs w:val="19"/>
                <w:color w:val="auto"/>
              </w:rPr>
            </w:pPr>
          </w:p>
        </w:tc>
        <w:tc>
          <w:tcPr>
            <w:tcW w:w="160" w:type="dxa"/>
            <w:vAlign w:val="bottom"/>
            <w:shd w:val="clear" w:color="auto" w:fill="E4C0D9"/>
          </w:tcPr>
          <w:p>
            <w:pPr>
              <w:jc w:val="right"/>
              <w:ind w:right="82"/>
              <w:spacing w:after="0"/>
              <w:rPr>
                <w:sz w:val="20"/>
                <w:szCs w:val="20"/>
                <w:color w:val="auto"/>
              </w:rPr>
            </w:pPr>
            <w:r>
              <w:rPr>
                <w:rFonts w:ascii="Arial" w:cs="Arial" w:eastAsia="Arial" w:hAnsi="Arial"/>
                <w:sz w:val="4"/>
                <w:szCs w:val="4"/>
                <w:color w:val="auto"/>
              </w:rPr>
              <w:t>​</w:t>
            </w:r>
          </w:p>
        </w:tc>
      </w:tr>
      <w:tr>
        <w:trPr>
          <w:trHeight w:val="206"/>
        </w:trPr>
        <w:tc>
          <w:tcPr>
            <w:tcW w:w="100" w:type="dxa"/>
            <w:vAlign w:val="bottom"/>
            <w:tcBorders>
              <w:bottom w:val="single" w:sz="8" w:color="auto"/>
            </w:tcBorders>
          </w:tcPr>
          <w:p>
            <w:pPr>
              <w:spacing w:after="0"/>
              <w:rPr>
                <w:sz w:val="17"/>
                <w:szCs w:val="17"/>
                <w:color w:val="auto"/>
              </w:rPr>
            </w:pPr>
          </w:p>
        </w:tc>
        <w:tc>
          <w:tcPr>
            <w:tcW w:w="4960" w:type="dxa"/>
            <w:vAlign w:val="bottom"/>
            <w:tcBorders>
              <w:bottom w:val="single" w:sz="8" w:color="auto"/>
            </w:tcBorders>
            <w:shd w:val="clear" w:color="auto" w:fill="E4C0D9"/>
          </w:tcPr>
          <w:p>
            <w:pPr>
              <w:spacing w:after="0"/>
              <w:rPr>
                <w:sz w:val="17"/>
                <w:szCs w:val="17"/>
                <w:color w:val="auto"/>
              </w:rPr>
            </w:pPr>
          </w:p>
        </w:tc>
        <w:tc>
          <w:tcPr>
            <w:tcW w:w="2540" w:type="dxa"/>
            <w:vAlign w:val="bottom"/>
            <w:tcBorders>
              <w:bottom w:val="single" w:sz="8" w:color="auto"/>
            </w:tcBorders>
            <w:shd w:val="clear" w:color="auto" w:fill="E4C0D9"/>
          </w:tcPr>
          <w:p>
            <w:pPr>
              <w:spacing w:after="0"/>
              <w:rPr>
                <w:sz w:val="17"/>
                <w:szCs w:val="17"/>
                <w:color w:val="auto"/>
              </w:rPr>
            </w:pPr>
          </w:p>
        </w:tc>
        <w:tc>
          <w:tcPr>
            <w:tcW w:w="60" w:type="dxa"/>
            <w:vAlign w:val="bottom"/>
            <w:tcBorders>
              <w:bottom w:val="single" w:sz="8" w:color="auto"/>
            </w:tcBorders>
            <w:shd w:val="clear" w:color="auto" w:fill="E4C0D9"/>
          </w:tcPr>
          <w:p>
            <w:pPr>
              <w:spacing w:after="0"/>
              <w:rPr>
                <w:sz w:val="17"/>
                <w:szCs w:val="17"/>
                <w:color w:val="auto"/>
              </w:rPr>
            </w:pPr>
          </w:p>
        </w:tc>
        <w:tc>
          <w:tcPr>
            <w:tcW w:w="460" w:type="dxa"/>
            <w:vAlign w:val="bottom"/>
            <w:tcBorders>
              <w:bottom w:val="single" w:sz="8" w:color="auto"/>
            </w:tcBorders>
            <w:shd w:val="clear" w:color="auto" w:fill="E4C0D9"/>
          </w:tcPr>
          <w:p>
            <w:pPr>
              <w:spacing w:after="0"/>
              <w:rPr>
                <w:sz w:val="17"/>
                <w:szCs w:val="17"/>
                <w:color w:val="auto"/>
              </w:rPr>
            </w:pPr>
          </w:p>
        </w:tc>
        <w:tc>
          <w:tcPr>
            <w:tcW w:w="1020" w:type="dxa"/>
            <w:vAlign w:val="bottom"/>
            <w:tcBorders>
              <w:bottom w:val="single" w:sz="8" w:color="auto"/>
            </w:tcBorders>
            <w:gridSpan w:val="3"/>
            <w:shd w:val="clear" w:color="auto" w:fill="E4C0D9"/>
          </w:tcPr>
          <w:p>
            <w:pPr>
              <w:spacing w:after="0"/>
              <w:rPr>
                <w:sz w:val="17"/>
                <w:szCs w:val="17"/>
                <w:color w:val="auto"/>
              </w:rPr>
            </w:pPr>
          </w:p>
        </w:tc>
        <w:tc>
          <w:tcPr>
            <w:tcW w:w="320" w:type="dxa"/>
            <w:vAlign w:val="bottom"/>
            <w:tcBorders>
              <w:bottom w:val="single" w:sz="8" w:color="auto"/>
            </w:tcBorders>
            <w:shd w:val="clear" w:color="auto" w:fill="E4C0D9"/>
          </w:tcPr>
          <w:p>
            <w:pPr>
              <w:spacing w:after="0"/>
              <w:rPr>
                <w:sz w:val="17"/>
                <w:szCs w:val="17"/>
                <w:color w:val="auto"/>
              </w:rPr>
            </w:pPr>
          </w:p>
        </w:tc>
        <w:tc>
          <w:tcPr>
            <w:tcW w:w="160" w:type="dxa"/>
            <w:vAlign w:val="bottom"/>
            <w:tcBorders>
              <w:bottom w:val="single" w:sz="8" w:color="auto"/>
            </w:tcBorders>
            <w:shd w:val="clear" w:color="auto" w:fill="E4C0D9"/>
          </w:tcPr>
          <w:p>
            <w:pPr>
              <w:spacing w:after="0"/>
              <w:rPr>
                <w:sz w:val="17"/>
                <w:szCs w:val="17"/>
                <w:color w:val="auto"/>
              </w:rPr>
            </w:pPr>
          </w:p>
        </w:tc>
      </w:tr>
      <w:tr>
        <w:trPr>
          <w:trHeight w:val="220"/>
        </w:trPr>
        <w:tc>
          <w:tcPr>
            <w:tcW w:w="100" w:type="dxa"/>
            <w:vAlign w:val="bottom"/>
          </w:tcPr>
          <w:p>
            <w:pPr>
              <w:spacing w:after="0"/>
              <w:rPr>
                <w:sz w:val="20"/>
                <w:szCs w:val="20"/>
                <w:color w:val="auto"/>
              </w:rPr>
            </w:pPr>
            <w:r>
              <w:rPr>
                <w:rFonts w:ascii="Arial" w:cs="Arial" w:eastAsia="Arial" w:hAnsi="Arial"/>
                <w:sz w:val="4"/>
                <w:szCs w:val="4"/>
                <w:color w:val="auto"/>
              </w:rPr>
              <w:t>​</w:t>
            </w:r>
          </w:p>
        </w:tc>
        <w:tc>
          <w:tcPr>
            <w:tcW w:w="4960" w:type="dxa"/>
            <w:vAlign w:val="bottom"/>
          </w:tcPr>
          <w:p>
            <w:pPr>
              <w:spacing w:after="0"/>
              <w:rPr>
                <w:sz w:val="19"/>
                <w:szCs w:val="19"/>
                <w:color w:val="auto"/>
              </w:rPr>
            </w:pPr>
          </w:p>
        </w:tc>
        <w:tc>
          <w:tcPr>
            <w:tcW w:w="2540" w:type="dxa"/>
            <w:vAlign w:val="bottom"/>
          </w:tcPr>
          <w:p>
            <w:pPr>
              <w:ind w:left="2440"/>
              <w:spacing w:after="0"/>
              <w:rPr>
                <w:sz w:val="20"/>
                <w:szCs w:val="20"/>
                <w:color w:val="auto"/>
              </w:rPr>
            </w:pPr>
            <w:r>
              <w:rPr>
                <w:rFonts w:ascii="Arial" w:cs="Arial" w:eastAsia="Arial" w:hAnsi="Arial"/>
                <w:sz w:val="4"/>
                <w:szCs w:val="4"/>
                <w:color w:val="auto"/>
              </w:rPr>
              <w:t>​</w:t>
            </w:r>
          </w:p>
        </w:tc>
        <w:tc>
          <w:tcPr>
            <w:tcW w:w="60" w:type="dxa"/>
            <w:vAlign w:val="bottom"/>
          </w:tcPr>
          <w:p>
            <w:pPr>
              <w:ind w:left="20"/>
              <w:spacing w:after="0"/>
              <w:rPr>
                <w:sz w:val="20"/>
                <w:szCs w:val="20"/>
                <w:color w:val="auto"/>
              </w:rPr>
            </w:pPr>
            <w:r>
              <w:rPr>
                <w:rFonts w:ascii="Arial" w:cs="Arial" w:eastAsia="Arial" w:hAnsi="Arial"/>
                <w:sz w:val="4"/>
                <w:szCs w:val="4"/>
                <w:color w:val="auto"/>
              </w:rPr>
              <w:t>​</w:t>
            </w:r>
          </w:p>
        </w:tc>
        <w:tc>
          <w:tcPr>
            <w:tcW w:w="460" w:type="dxa"/>
            <w:vAlign w:val="bottom"/>
          </w:tcPr>
          <w:p>
            <w:pPr>
              <w:spacing w:after="0"/>
              <w:rPr>
                <w:sz w:val="19"/>
                <w:szCs w:val="19"/>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9"/>
                <w:szCs w:val="19"/>
                <w:color w:val="auto"/>
              </w:rPr>
            </w:pPr>
          </w:p>
        </w:tc>
        <w:tc>
          <w:tcPr>
            <w:tcW w:w="160" w:type="dxa"/>
            <w:vAlign w:val="bottom"/>
          </w:tcPr>
          <w:p>
            <w:pPr>
              <w:jc w:val="right"/>
              <w:ind w:right="82"/>
              <w:spacing w:after="0"/>
              <w:rPr>
                <w:sz w:val="20"/>
                <w:szCs w:val="20"/>
                <w:color w:val="auto"/>
              </w:rPr>
            </w:pPr>
            <w:r>
              <w:rPr>
                <w:rFonts w:ascii="Arial" w:cs="Arial" w:eastAsia="Arial" w:hAnsi="Arial"/>
                <w:sz w:val="4"/>
                <w:szCs w:val="4"/>
                <w:color w:val="auto"/>
              </w:rPr>
              <w:t>​</w:t>
            </w:r>
          </w:p>
        </w:tc>
      </w:tr>
      <w:tr>
        <w:trPr>
          <w:trHeight w:val="518"/>
        </w:trPr>
        <w:tc>
          <w:tcPr>
            <w:tcW w:w="100" w:type="dxa"/>
            <w:vAlign w:val="bottom"/>
          </w:tcPr>
          <w:p>
            <w:pPr>
              <w:spacing w:after="0"/>
              <w:rPr>
                <w:sz w:val="20"/>
                <w:szCs w:val="20"/>
                <w:color w:val="auto"/>
              </w:rPr>
            </w:pPr>
            <w:r>
              <w:rPr>
                <w:rFonts w:ascii="Arial" w:cs="Arial" w:eastAsia="Arial" w:hAnsi="Arial"/>
                <w:sz w:val="4"/>
                <w:szCs w:val="4"/>
                <w:color w:val="auto"/>
              </w:rPr>
              <w:t>​</w:t>
            </w:r>
          </w:p>
        </w:tc>
        <w:tc>
          <w:tcPr>
            <w:tcW w:w="4960" w:type="dxa"/>
            <w:vAlign w:val="bottom"/>
          </w:tcPr>
          <w:p>
            <w:pPr>
              <w:ind w:left="60"/>
              <w:spacing w:after="0"/>
              <w:rPr>
                <w:sz w:val="20"/>
                <w:szCs w:val="20"/>
                <w:color w:val="auto"/>
              </w:rPr>
            </w:pPr>
            <w:r>
              <w:rPr>
                <w:rFonts w:ascii="Arial" w:cs="Arial" w:eastAsia="Arial" w:hAnsi="Arial"/>
                <w:sz w:val="14"/>
                <w:szCs w:val="14"/>
                <w:color w:val="auto"/>
              </w:rPr>
              <w:t>Net loss</w:t>
            </w:r>
          </w:p>
        </w:tc>
        <w:tc>
          <w:tcPr>
            <w:tcW w:w="2540" w:type="dxa"/>
            <w:vAlign w:val="bottom"/>
          </w:tcPr>
          <w:p>
            <w:pPr>
              <w:ind w:left="2440"/>
              <w:spacing w:after="0"/>
              <w:rPr>
                <w:sz w:val="20"/>
                <w:szCs w:val="20"/>
                <w:color w:val="auto"/>
              </w:rPr>
            </w:pPr>
            <w:r>
              <w:rPr>
                <w:rFonts w:ascii="Arial" w:cs="Arial" w:eastAsia="Arial" w:hAnsi="Arial"/>
                <w:sz w:val="4"/>
                <w:szCs w:val="4"/>
                <w:color w:val="auto"/>
              </w:rPr>
              <w:t>​</w:t>
            </w:r>
          </w:p>
        </w:tc>
        <w:tc>
          <w:tcPr>
            <w:tcW w:w="60" w:type="dxa"/>
            <w:vAlign w:val="bottom"/>
          </w:tcPr>
          <w:p>
            <w:pPr>
              <w:ind w:left="20"/>
              <w:spacing w:after="0"/>
              <w:rPr>
                <w:sz w:val="20"/>
                <w:szCs w:val="20"/>
                <w:color w:val="auto"/>
              </w:rPr>
            </w:pPr>
            <w:r>
              <w:rPr>
                <w:rFonts w:ascii="Arial" w:cs="Arial" w:eastAsia="Arial" w:hAnsi="Arial"/>
                <w:sz w:val="4"/>
                <w:szCs w:val="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$(138.7)</w:t>
            </w:r>
            <w:r>
              <w:rPr>
                <w:rFonts w:ascii="Arial" w:cs="Arial" w:eastAsia="Arial" w:hAnsi="Arial"/>
                <w:sz w:val="3"/>
                <w:szCs w:val="3"/>
                <w:color w:val="auto"/>
              </w:rPr>
              <w:t>​</w:t>
            </w:r>
          </w:p>
        </w:tc>
        <w:tc>
          <w:tcPr>
            <w:tcW w:w="120" w:type="dxa"/>
            <w:vAlign w:val="bottom"/>
          </w:tcPr>
          <w:p>
            <w:pPr>
              <w:jc w:val="center"/>
              <w:spacing w:after="0"/>
              <w:rPr>
                <w:sz w:val="20"/>
                <w:szCs w:val="20"/>
                <w:color w:val="auto"/>
              </w:rPr>
            </w:pPr>
            <w:r>
              <w:rPr>
                <w:rFonts w:ascii="Arial" w:cs="Arial" w:eastAsia="Arial" w:hAnsi="Arial"/>
                <w:sz w:val="2"/>
                <w:szCs w:val="2"/>
                <w:color w:val="auto"/>
                <w:w w:val="4294942296"/>
              </w:rPr>
              <w:t>​</w:t>
            </w:r>
          </w:p>
        </w:tc>
        <w:tc>
          <w:tcPr>
            <w:tcW w:w="940" w:type="dxa"/>
            <w:vAlign w:val="bottom"/>
            <w:gridSpan w:val="3"/>
          </w:tcPr>
          <w:p>
            <w:pPr>
              <w:jc w:val="right"/>
              <w:ind w:right="82"/>
              <w:spacing w:after="0"/>
              <w:rPr>
                <w:sz w:val="20"/>
                <w:szCs w:val="20"/>
                <w:color w:val="auto"/>
              </w:rPr>
            </w:pPr>
            <w:r>
              <w:rPr>
                <w:rFonts w:ascii="Arial" w:cs="Arial" w:eastAsia="Arial" w:hAnsi="Arial"/>
                <w:sz w:val="14"/>
                <w:szCs w:val="14"/>
                <w:color w:val="auto"/>
              </w:rPr>
              <w:t>$(211.8)</w:t>
            </w:r>
            <w:r>
              <w:rPr>
                <w:rFonts w:ascii="Arial" w:cs="Arial" w:eastAsia="Arial" w:hAnsi="Arial"/>
                <w:sz w:val="3"/>
                <w:szCs w:val="3"/>
                <w:color w:val="auto"/>
              </w:rPr>
              <w:t>​</w:t>
            </w:r>
          </w:p>
        </w:tc>
      </w:tr>
      <w:tr>
        <w:trPr>
          <w:trHeight w:val="107"/>
        </w:trPr>
        <w:tc>
          <w:tcPr>
            <w:tcW w:w="100" w:type="dxa"/>
            <w:vAlign w:val="bottom"/>
            <w:tcBorders>
              <w:bottom w:val="single" w:sz="8" w:color="auto"/>
            </w:tcBorders>
          </w:tcPr>
          <w:p>
            <w:pPr>
              <w:spacing w:after="0"/>
              <w:rPr>
                <w:sz w:val="9"/>
                <w:szCs w:val="9"/>
                <w:color w:val="auto"/>
              </w:rPr>
            </w:pPr>
          </w:p>
        </w:tc>
        <w:tc>
          <w:tcPr>
            <w:tcW w:w="496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r>
      <w:tr>
        <w:trPr>
          <w:trHeight w:val="424"/>
        </w:trPr>
        <w:tc>
          <w:tcPr>
            <w:tcW w:w="100" w:type="dxa"/>
            <w:vAlign w:val="bottom"/>
            <w:tcBorders>
              <w:bottom w:val="single" w:sz="8" w:color="auto"/>
            </w:tcBorders>
          </w:tcPr>
          <w:p>
            <w:pPr>
              <w:spacing w:after="0"/>
              <w:rPr>
                <w:sz w:val="20"/>
                <w:szCs w:val="20"/>
                <w:color w:val="auto"/>
              </w:rPr>
            </w:pPr>
            <w:r>
              <w:rPr>
                <w:rFonts w:ascii="Arial" w:cs="Arial" w:eastAsia="Arial" w:hAnsi="Arial"/>
                <w:sz w:val="4"/>
                <w:szCs w:val="4"/>
                <w:color w:val="auto"/>
              </w:rPr>
              <w:t>​</w:t>
            </w:r>
          </w:p>
        </w:tc>
        <w:tc>
          <w:tcPr>
            <w:tcW w:w="4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Interest (income) / expense, net</w:t>
            </w:r>
            <w:r>
              <w:rPr>
                <w:rFonts w:ascii="Arial" w:cs="Arial" w:eastAsia="Arial" w:hAnsi="Arial"/>
                <w:sz w:val="23"/>
                <w:szCs w:val="23"/>
                <w:color w:val="auto"/>
                <w:vertAlign w:val="superscript"/>
              </w:rPr>
              <w:t>(1)</w:t>
            </w:r>
          </w:p>
        </w:tc>
        <w:tc>
          <w:tcPr>
            <w:tcW w:w="2540" w:type="dxa"/>
            <w:vAlign w:val="bottom"/>
            <w:tcBorders>
              <w:bottom w:val="single" w:sz="8" w:color="auto"/>
            </w:tcBorders>
          </w:tcPr>
          <w:p>
            <w:pPr>
              <w:ind w:left="2440"/>
              <w:spacing w:after="0"/>
              <w:rPr>
                <w:sz w:val="20"/>
                <w:szCs w:val="20"/>
                <w:color w:val="auto"/>
              </w:rPr>
            </w:pPr>
            <w:r>
              <w:rPr>
                <w:rFonts w:ascii="Arial" w:cs="Arial" w:eastAsia="Arial" w:hAnsi="Arial"/>
                <w:sz w:val="4"/>
                <w:szCs w:val="4"/>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4"/>
                <w:szCs w:val="4"/>
                <w:color w:val="auto"/>
              </w:rPr>
              <w:t>​</w:t>
            </w: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w:t>
            </w:r>
            <w:r>
              <w:rPr>
                <w:rFonts w:ascii="Arial" w:cs="Arial" w:eastAsia="Arial" w:hAnsi="Arial"/>
                <w:sz w:val="3"/>
                <w:szCs w:val="3"/>
                <w:color w:val="auto"/>
              </w:rPr>
              <w:t>​</w:t>
            </w: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2"/>
                <w:szCs w:val="2"/>
                <w:color w:val="auto"/>
                <w:w w:val="4294942296"/>
              </w:rPr>
              <w:t>​</w:t>
            </w:r>
          </w:p>
        </w:tc>
        <w:tc>
          <w:tcPr>
            <w:tcW w:w="4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color w:val="auto"/>
              </w:rPr>
              <w:t>53.0</w:t>
            </w:r>
            <w:r>
              <w:rPr>
                <w:rFonts w:ascii="Arial" w:cs="Arial" w:eastAsia="Arial" w:hAnsi="Arial"/>
                <w:sz w:val="3"/>
                <w:szCs w:val="3"/>
                <w:color w:val="auto"/>
              </w:rPr>
              <w:t>​</w:t>
            </w:r>
          </w:p>
        </w:tc>
      </w:tr>
      <w:tr>
        <w:trPr>
          <w:trHeight w:val="294"/>
        </w:trPr>
        <w:tc>
          <w:tcPr>
            <w:tcW w:w="100" w:type="dxa"/>
            <w:vAlign w:val="bottom"/>
          </w:tcPr>
          <w:p>
            <w:pPr>
              <w:spacing w:after="0"/>
              <w:rPr>
                <w:sz w:val="20"/>
                <w:szCs w:val="20"/>
                <w:color w:val="auto"/>
              </w:rPr>
            </w:pPr>
            <w:r>
              <w:rPr>
                <w:rFonts w:ascii="Arial" w:cs="Arial" w:eastAsia="Arial" w:hAnsi="Arial"/>
                <w:sz w:val="4"/>
                <w:szCs w:val="4"/>
                <w:color w:val="auto"/>
              </w:rPr>
              <w:t>​</w:t>
            </w:r>
          </w:p>
        </w:tc>
        <w:tc>
          <w:tcPr>
            <w:tcW w:w="4960" w:type="dxa"/>
            <w:vAlign w:val="bottom"/>
          </w:tcPr>
          <w:p>
            <w:pPr>
              <w:ind w:left="60"/>
              <w:spacing w:after="0"/>
              <w:rPr>
                <w:sz w:val="20"/>
                <w:szCs w:val="20"/>
                <w:color w:val="auto"/>
              </w:rPr>
            </w:pPr>
            <w:r>
              <w:rPr>
                <w:rFonts w:ascii="Arial" w:cs="Arial" w:eastAsia="Arial" w:hAnsi="Arial"/>
                <w:sz w:val="14"/>
                <w:szCs w:val="14"/>
                <w:color w:val="auto"/>
              </w:rPr>
              <w:t>Rental product depreciation</w:t>
            </w:r>
          </w:p>
        </w:tc>
        <w:tc>
          <w:tcPr>
            <w:tcW w:w="2540" w:type="dxa"/>
            <w:vAlign w:val="bottom"/>
          </w:tcPr>
          <w:p>
            <w:pPr>
              <w:ind w:left="2440"/>
              <w:spacing w:after="0"/>
              <w:rPr>
                <w:sz w:val="20"/>
                <w:szCs w:val="20"/>
                <w:color w:val="auto"/>
              </w:rPr>
            </w:pPr>
            <w:r>
              <w:rPr>
                <w:rFonts w:ascii="Arial" w:cs="Arial" w:eastAsia="Arial" w:hAnsi="Arial"/>
                <w:sz w:val="4"/>
                <w:szCs w:val="4"/>
                <w:color w:val="auto"/>
              </w:rPr>
              <w:t>​</w:t>
            </w:r>
          </w:p>
        </w:tc>
        <w:tc>
          <w:tcPr>
            <w:tcW w:w="60" w:type="dxa"/>
            <w:vAlign w:val="bottom"/>
          </w:tcPr>
          <w:p>
            <w:pPr>
              <w:ind w:left="20"/>
              <w:spacing w:after="0"/>
              <w:rPr>
                <w:sz w:val="20"/>
                <w:szCs w:val="20"/>
                <w:color w:val="auto"/>
              </w:rPr>
            </w:pPr>
            <w:r>
              <w:rPr>
                <w:rFonts w:ascii="Arial" w:cs="Arial" w:eastAsia="Arial" w:hAnsi="Arial"/>
                <w:sz w:val="4"/>
                <w:szCs w:val="4"/>
                <w:color w:val="auto"/>
              </w:rPr>
              <w:t>​</w:t>
            </w:r>
          </w:p>
        </w:tc>
        <w:tc>
          <w:tcPr>
            <w:tcW w:w="4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52.9</w:t>
            </w:r>
            <w:r>
              <w:rPr>
                <w:rFonts w:ascii="Arial" w:cs="Arial" w:eastAsia="Arial" w:hAnsi="Arial"/>
                <w:sz w:val="3"/>
                <w:szCs w:val="3"/>
                <w:color w:val="auto"/>
              </w:rPr>
              <w:t>​</w:t>
            </w:r>
          </w:p>
        </w:tc>
        <w:tc>
          <w:tcPr>
            <w:tcW w:w="120" w:type="dxa"/>
            <w:vAlign w:val="bottom"/>
          </w:tcPr>
          <w:p>
            <w:pPr>
              <w:jc w:val="center"/>
              <w:spacing w:after="0"/>
              <w:rPr>
                <w:sz w:val="20"/>
                <w:szCs w:val="20"/>
                <w:color w:val="auto"/>
              </w:rPr>
            </w:pPr>
            <w:r>
              <w:rPr>
                <w:rFonts w:ascii="Arial" w:cs="Arial" w:eastAsia="Arial" w:hAnsi="Arial"/>
                <w:sz w:val="2"/>
                <w:szCs w:val="2"/>
                <w:color w:val="auto"/>
                <w:w w:val="4294942296"/>
              </w:rPr>
              <w:t>​</w:t>
            </w:r>
          </w:p>
        </w:tc>
        <w:tc>
          <w:tcPr>
            <w:tcW w:w="460" w:type="dxa"/>
            <w:vAlign w:val="bottom"/>
          </w:tcPr>
          <w:p>
            <w:pPr>
              <w:spacing w:after="0"/>
              <w:rPr>
                <w:sz w:val="24"/>
                <w:szCs w:val="24"/>
                <w:color w:val="auto"/>
              </w:rPr>
            </w:pPr>
          </w:p>
        </w:tc>
        <w:tc>
          <w:tcPr>
            <w:tcW w:w="480" w:type="dxa"/>
            <w:vAlign w:val="bottom"/>
            <w:gridSpan w:val="2"/>
          </w:tcPr>
          <w:p>
            <w:pPr>
              <w:jc w:val="right"/>
              <w:ind w:right="82"/>
              <w:spacing w:after="0"/>
              <w:rPr>
                <w:sz w:val="20"/>
                <w:szCs w:val="20"/>
                <w:color w:val="auto"/>
              </w:rPr>
            </w:pPr>
            <w:r>
              <w:rPr>
                <w:rFonts w:ascii="Arial" w:cs="Arial" w:eastAsia="Arial" w:hAnsi="Arial"/>
                <w:sz w:val="14"/>
                <w:szCs w:val="14"/>
                <w:color w:val="auto"/>
              </w:rPr>
              <w:t>50.3</w:t>
            </w:r>
            <w:r>
              <w:rPr>
                <w:rFonts w:ascii="Arial" w:cs="Arial" w:eastAsia="Arial" w:hAnsi="Arial"/>
                <w:sz w:val="3"/>
                <w:szCs w:val="3"/>
                <w:color w:val="auto"/>
              </w:rPr>
              <w:t>​</w:t>
            </w:r>
          </w:p>
        </w:tc>
      </w:tr>
      <w:tr>
        <w:trPr>
          <w:trHeight w:val="120"/>
        </w:trPr>
        <w:tc>
          <w:tcPr>
            <w:tcW w:w="100" w:type="dxa"/>
            <w:vAlign w:val="bottom"/>
            <w:tcBorders>
              <w:bottom w:val="single" w:sz="8" w:color="auto"/>
            </w:tcBorders>
          </w:tcPr>
          <w:p>
            <w:pPr>
              <w:spacing w:after="0"/>
              <w:rPr>
                <w:sz w:val="10"/>
                <w:szCs w:val="10"/>
                <w:color w:val="auto"/>
              </w:rPr>
            </w:pPr>
          </w:p>
        </w:tc>
        <w:tc>
          <w:tcPr>
            <w:tcW w:w="496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2"/>
          </w:tcPr>
          <w:p>
            <w:pPr>
              <w:spacing w:after="0"/>
              <w:rPr>
                <w:sz w:val="10"/>
                <w:szCs w:val="10"/>
                <w:color w:val="auto"/>
              </w:rPr>
            </w:pPr>
          </w:p>
        </w:tc>
      </w:tr>
      <w:tr>
        <w:trPr>
          <w:trHeight w:val="412"/>
        </w:trPr>
        <w:tc>
          <w:tcPr>
            <w:tcW w:w="100" w:type="dxa"/>
            <w:vAlign w:val="bottom"/>
            <w:tcBorders>
              <w:bottom w:val="single" w:sz="8" w:color="auto"/>
            </w:tcBorders>
          </w:tcPr>
          <w:p>
            <w:pPr>
              <w:spacing w:after="0"/>
              <w:rPr>
                <w:sz w:val="20"/>
                <w:szCs w:val="20"/>
                <w:color w:val="auto"/>
              </w:rPr>
            </w:pPr>
            <w:r>
              <w:rPr>
                <w:rFonts w:ascii="Arial" w:cs="Arial" w:eastAsia="Arial" w:hAnsi="Arial"/>
                <w:sz w:val="4"/>
                <w:szCs w:val="4"/>
                <w:color w:val="auto"/>
              </w:rPr>
              <w:t>​</w:t>
            </w:r>
          </w:p>
        </w:tc>
        <w:tc>
          <w:tcPr>
            <w:tcW w:w="4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Other depreciation and amortization</w:t>
            </w:r>
            <w:r>
              <w:rPr>
                <w:rFonts w:ascii="Arial" w:cs="Arial" w:eastAsia="Arial" w:hAnsi="Arial"/>
                <w:sz w:val="23"/>
                <w:szCs w:val="23"/>
                <w:color w:val="auto"/>
                <w:vertAlign w:val="superscript"/>
              </w:rPr>
              <w:t>(2)</w:t>
            </w:r>
          </w:p>
        </w:tc>
        <w:tc>
          <w:tcPr>
            <w:tcW w:w="2540" w:type="dxa"/>
            <w:vAlign w:val="bottom"/>
            <w:tcBorders>
              <w:bottom w:val="single" w:sz="8" w:color="auto"/>
            </w:tcBorders>
          </w:tcPr>
          <w:p>
            <w:pPr>
              <w:ind w:left="2440"/>
              <w:spacing w:after="0"/>
              <w:rPr>
                <w:sz w:val="20"/>
                <w:szCs w:val="20"/>
                <w:color w:val="auto"/>
              </w:rPr>
            </w:pPr>
            <w:r>
              <w:rPr>
                <w:rFonts w:ascii="Arial" w:cs="Arial" w:eastAsia="Arial" w:hAnsi="Arial"/>
                <w:sz w:val="4"/>
                <w:szCs w:val="4"/>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4"/>
                <w:szCs w:val="4"/>
                <w:color w:val="auto"/>
              </w:rPr>
              <w:t>​</w:t>
            </w: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r>
              <w:rPr>
                <w:rFonts w:ascii="Arial" w:cs="Arial" w:eastAsia="Arial" w:hAnsi="Arial"/>
                <w:sz w:val="3"/>
                <w:szCs w:val="3"/>
                <w:color w:val="auto"/>
              </w:rPr>
              <w:t>​</w:t>
            </w: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2"/>
                <w:szCs w:val="2"/>
                <w:color w:val="auto"/>
                <w:w w:val="4294942296"/>
              </w:rPr>
              <w:t>​</w:t>
            </w:r>
          </w:p>
        </w:tc>
        <w:tc>
          <w:tcPr>
            <w:tcW w:w="4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color w:val="auto"/>
              </w:rPr>
              <w:t>19.4</w:t>
            </w:r>
            <w:r>
              <w:rPr>
                <w:rFonts w:ascii="Arial" w:cs="Arial" w:eastAsia="Arial" w:hAnsi="Arial"/>
                <w:sz w:val="3"/>
                <w:szCs w:val="3"/>
                <w:color w:val="auto"/>
              </w:rPr>
              <w:t>​</w:t>
            </w:r>
          </w:p>
        </w:tc>
      </w:tr>
      <w:tr>
        <w:trPr>
          <w:trHeight w:val="422"/>
        </w:trPr>
        <w:tc>
          <w:tcPr>
            <w:tcW w:w="100" w:type="dxa"/>
            <w:vAlign w:val="bottom"/>
          </w:tcPr>
          <w:p>
            <w:pPr>
              <w:spacing w:after="0"/>
              <w:rPr>
                <w:sz w:val="20"/>
                <w:szCs w:val="20"/>
                <w:color w:val="auto"/>
              </w:rPr>
            </w:pPr>
            <w:r>
              <w:rPr>
                <w:rFonts w:ascii="Arial" w:cs="Arial" w:eastAsia="Arial" w:hAnsi="Arial"/>
                <w:sz w:val="4"/>
                <w:szCs w:val="4"/>
                <w:color w:val="auto"/>
              </w:rPr>
              <w:t>​</w:t>
            </w:r>
          </w:p>
        </w:tc>
        <w:tc>
          <w:tcPr>
            <w:tcW w:w="4960" w:type="dxa"/>
            <w:vAlign w:val="bottom"/>
          </w:tcPr>
          <w:p>
            <w:pPr>
              <w:ind w:left="60"/>
              <w:spacing w:after="0"/>
              <w:rPr>
                <w:sz w:val="20"/>
                <w:szCs w:val="20"/>
                <w:color w:val="auto"/>
              </w:rPr>
            </w:pPr>
            <w:r>
              <w:rPr>
                <w:rFonts w:ascii="Arial" w:cs="Arial" w:eastAsia="Arial" w:hAnsi="Arial"/>
                <w:sz w:val="14"/>
                <w:szCs w:val="14"/>
                <w:color w:val="auto"/>
              </w:rPr>
              <w:t>Share-based compensation</w:t>
            </w:r>
            <w:r>
              <w:rPr>
                <w:rFonts w:ascii="Arial" w:cs="Arial" w:eastAsia="Arial" w:hAnsi="Arial"/>
                <w:sz w:val="23"/>
                <w:szCs w:val="23"/>
                <w:color w:val="auto"/>
                <w:vertAlign w:val="superscript"/>
              </w:rPr>
              <w:t>(3)</w:t>
            </w:r>
          </w:p>
        </w:tc>
        <w:tc>
          <w:tcPr>
            <w:tcW w:w="2540" w:type="dxa"/>
            <w:vAlign w:val="bottom"/>
          </w:tcPr>
          <w:p>
            <w:pPr>
              <w:ind w:left="2440"/>
              <w:spacing w:after="0"/>
              <w:rPr>
                <w:sz w:val="20"/>
                <w:szCs w:val="20"/>
                <w:color w:val="auto"/>
              </w:rPr>
            </w:pPr>
            <w:r>
              <w:rPr>
                <w:rFonts w:ascii="Arial" w:cs="Arial" w:eastAsia="Arial" w:hAnsi="Arial"/>
                <w:sz w:val="4"/>
                <w:szCs w:val="4"/>
                <w:color w:val="auto"/>
              </w:rPr>
              <w:t>​</w:t>
            </w:r>
          </w:p>
        </w:tc>
        <w:tc>
          <w:tcPr>
            <w:tcW w:w="60" w:type="dxa"/>
            <w:vAlign w:val="bottom"/>
          </w:tcPr>
          <w:p>
            <w:pPr>
              <w:ind w:left="20"/>
              <w:spacing w:after="0"/>
              <w:rPr>
                <w:sz w:val="20"/>
                <w:szCs w:val="20"/>
                <w:color w:val="auto"/>
              </w:rPr>
            </w:pPr>
            <w:r>
              <w:rPr>
                <w:rFonts w:ascii="Arial" w:cs="Arial" w:eastAsia="Arial" w:hAnsi="Arial"/>
                <w:sz w:val="4"/>
                <w:szCs w:val="4"/>
                <w:color w:val="auto"/>
              </w:rPr>
              <w:t>​</w:t>
            </w:r>
          </w:p>
        </w:tc>
        <w:tc>
          <w:tcPr>
            <w:tcW w:w="4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25.4</w:t>
            </w:r>
            <w:r>
              <w:rPr>
                <w:rFonts w:ascii="Arial" w:cs="Arial" w:eastAsia="Arial" w:hAnsi="Arial"/>
                <w:sz w:val="3"/>
                <w:szCs w:val="3"/>
                <w:color w:val="auto"/>
              </w:rPr>
              <w:t>​</w:t>
            </w:r>
          </w:p>
        </w:tc>
        <w:tc>
          <w:tcPr>
            <w:tcW w:w="120" w:type="dxa"/>
            <w:vAlign w:val="bottom"/>
          </w:tcPr>
          <w:p>
            <w:pPr>
              <w:jc w:val="center"/>
              <w:spacing w:after="0"/>
              <w:rPr>
                <w:sz w:val="20"/>
                <w:szCs w:val="20"/>
                <w:color w:val="auto"/>
              </w:rPr>
            </w:pPr>
            <w:r>
              <w:rPr>
                <w:rFonts w:ascii="Arial" w:cs="Arial" w:eastAsia="Arial" w:hAnsi="Arial"/>
                <w:sz w:val="2"/>
                <w:szCs w:val="2"/>
                <w:color w:val="auto"/>
                <w:w w:val="4294942296"/>
              </w:rPr>
              <w:t>​</w:t>
            </w:r>
          </w:p>
        </w:tc>
        <w:tc>
          <w:tcPr>
            <w:tcW w:w="460" w:type="dxa"/>
            <w:vAlign w:val="bottom"/>
          </w:tcPr>
          <w:p>
            <w:pPr>
              <w:spacing w:after="0"/>
              <w:rPr>
                <w:sz w:val="24"/>
                <w:szCs w:val="24"/>
                <w:color w:val="auto"/>
              </w:rPr>
            </w:pPr>
          </w:p>
        </w:tc>
        <w:tc>
          <w:tcPr>
            <w:tcW w:w="480" w:type="dxa"/>
            <w:vAlign w:val="bottom"/>
            <w:gridSpan w:val="2"/>
          </w:tcPr>
          <w:p>
            <w:pPr>
              <w:jc w:val="right"/>
              <w:ind w:right="82"/>
              <w:spacing w:after="0"/>
              <w:rPr>
                <w:sz w:val="20"/>
                <w:szCs w:val="20"/>
                <w:color w:val="auto"/>
              </w:rPr>
            </w:pPr>
            <w:r>
              <w:rPr>
                <w:rFonts w:ascii="Arial" w:cs="Arial" w:eastAsia="Arial" w:hAnsi="Arial"/>
                <w:sz w:val="14"/>
                <w:szCs w:val="14"/>
                <w:color w:val="auto"/>
              </w:rPr>
              <w:t>26.6</w:t>
            </w:r>
            <w:r>
              <w:rPr>
                <w:rFonts w:ascii="Arial" w:cs="Arial" w:eastAsia="Arial" w:hAnsi="Arial"/>
                <w:sz w:val="3"/>
                <w:szCs w:val="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2540</wp:posOffset>
            </wp:positionV>
            <wp:extent cx="61036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ectPr>
          <w:pgSz w:w="11900" w:h="16838" w:orient="portrait"/>
          <w:cols w:equalWidth="0" w:num="1">
            <w:col w:w="9640"/>
          </w:cols>
          <w:pgMar w:left="1180" w:top="265" w:right="1079" w:bottom="1440" w:gutter="0" w:footer="0" w:header="0"/>
        </w:sectPr>
      </w:pPr>
    </w:p>
    <w:p>
      <w:pPr>
        <w:spacing w:after="0" w:line="117" w:lineRule="exact"/>
        <w:rPr>
          <w:sz w:val="20"/>
          <w:szCs w:val="20"/>
          <w:color w:val="auto"/>
        </w:rPr>
      </w:pPr>
    </w:p>
    <w:tbl>
      <w:tblPr>
        <w:tblLayout w:type="fixed"/>
        <w:tblInd w:w="180" w:type="dxa"/>
        <w:tblCellMar>
          <w:top w:w="0" w:type="dxa"/>
          <w:left w:w="0" w:type="dxa"/>
          <w:bottom w:w="0" w:type="dxa"/>
          <w:right w:w="0" w:type="dxa"/>
        </w:tblCellMar>
      </w:tblPr>
      <w:tr>
        <w:trPr>
          <w:trHeight w:val="315"/>
        </w:trPr>
        <w:tc>
          <w:tcPr>
            <w:tcW w:w="4660" w:type="dxa"/>
            <w:vAlign w:val="bottom"/>
          </w:tcPr>
          <w:p>
            <w:pPr>
              <w:spacing w:after="0"/>
              <w:rPr>
                <w:sz w:val="20"/>
                <w:szCs w:val="20"/>
                <w:color w:val="auto"/>
              </w:rPr>
            </w:pPr>
            <w:r>
              <w:rPr>
                <w:rFonts w:ascii="Arial" w:cs="Arial" w:eastAsia="Arial" w:hAnsi="Arial"/>
                <w:sz w:val="14"/>
                <w:szCs w:val="14"/>
                <w:color w:val="auto"/>
              </w:rPr>
              <w:t>Write-off of liquidated assets</w:t>
            </w:r>
            <w:r>
              <w:rPr>
                <w:rFonts w:ascii="Arial" w:cs="Arial" w:eastAsia="Arial" w:hAnsi="Arial"/>
                <w:sz w:val="23"/>
                <w:szCs w:val="23"/>
                <w:color w:val="auto"/>
                <w:vertAlign w:val="superscript"/>
              </w:rPr>
              <w:t>(4)</w:t>
            </w:r>
          </w:p>
        </w:tc>
        <w:tc>
          <w:tcPr>
            <w:tcW w:w="2740" w:type="dxa"/>
            <w:vAlign w:val="bottom"/>
          </w:tcPr>
          <w:p>
            <w:pPr>
              <w:ind w:left="2680"/>
              <w:spacing w:after="0"/>
              <w:rPr>
                <w:sz w:val="20"/>
                <w:szCs w:val="20"/>
                <w:color w:val="auto"/>
              </w:rPr>
            </w:pPr>
            <w:r>
              <w:rPr>
                <w:rFonts w:ascii="Arial" w:cs="Arial" w:eastAsia="Arial" w:hAnsi="Arial"/>
                <w:sz w:val="4"/>
                <w:szCs w:val="4"/>
                <w:color w:val="auto"/>
              </w:rPr>
              <w:t>​</w:t>
            </w:r>
          </w:p>
        </w:tc>
        <w:tc>
          <w:tcPr>
            <w:tcW w:w="400" w:type="dxa"/>
            <w:vAlign w:val="bottom"/>
          </w:tcPr>
          <w:p>
            <w:pPr>
              <w:ind w:left="60"/>
              <w:spacing w:after="0"/>
              <w:rPr>
                <w:sz w:val="20"/>
                <w:szCs w:val="20"/>
                <w:color w:val="auto"/>
              </w:rPr>
            </w:pPr>
            <w:r>
              <w:rPr>
                <w:rFonts w:ascii="Arial" w:cs="Arial" w:eastAsia="Arial" w:hAnsi="Arial"/>
                <w:sz w:val="4"/>
                <w:szCs w:val="4"/>
                <w:color w:val="auto"/>
              </w:rPr>
              <w:t>​</w:t>
            </w:r>
          </w:p>
        </w:tc>
        <w:tc>
          <w:tcPr>
            <w:tcW w:w="600" w:type="dxa"/>
            <w:vAlign w:val="bottom"/>
          </w:tcPr>
          <w:p>
            <w:pPr>
              <w:ind w:left="360"/>
              <w:spacing w:after="0"/>
              <w:rPr>
                <w:sz w:val="20"/>
                <w:szCs w:val="20"/>
                <w:color w:val="auto"/>
              </w:rPr>
            </w:pPr>
            <w:r>
              <w:rPr>
                <w:rFonts w:ascii="Arial" w:cs="Arial" w:eastAsia="Arial" w:hAnsi="Arial"/>
                <w:sz w:val="14"/>
                <w:szCs w:val="14"/>
                <w:color w:val="auto"/>
              </w:rPr>
              <w:t>5.8</w:t>
            </w:r>
            <w:r>
              <w:rPr>
                <w:rFonts w:ascii="Arial" w:cs="Arial" w:eastAsia="Arial" w:hAnsi="Arial"/>
                <w:sz w:val="3"/>
                <w:szCs w:val="3"/>
                <w:color w:val="auto"/>
              </w:rPr>
              <w:t>​</w:t>
            </w:r>
          </w:p>
        </w:tc>
        <w:tc>
          <w:tcPr>
            <w:tcW w:w="400" w:type="dxa"/>
            <w:vAlign w:val="bottom"/>
          </w:tcPr>
          <w:p>
            <w:pPr>
              <w:ind w:left="60"/>
              <w:spacing w:after="0"/>
              <w:rPr>
                <w:sz w:val="20"/>
                <w:szCs w:val="20"/>
                <w:color w:val="auto"/>
              </w:rPr>
            </w:pPr>
            <w:r>
              <w:rPr>
                <w:rFonts w:ascii="Arial" w:cs="Arial" w:eastAsia="Arial" w:hAnsi="Arial"/>
                <w:sz w:val="4"/>
                <w:szCs w:val="4"/>
                <w:color w:val="auto"/>
              </w:rPr>
              <w:t>​</w:t>
            </w:r>
          </w:p>
        </w:tc>
        <w:tc>
          <w:tcPr>
            <w:tcW w:w="560" w:type="dxa"/>
            <w:vAlign w:val="bottom"/>
          </w:tcPr>
          <w:p>
            <w:pPr>
              <w:ind w:left="340"/>
              <w:spacing w:after="0"/>
              <w:rPr>
                <w:sz w:val="20"/>
                <w:szCs w:val="20"/>
                <w:color w:val="auto"/>
              </w:rPr>
            </w:pPr>
            <w:r>
              <w:rPr>
                <w:rFonts w:ascii="Arial" w:cs="Arial" w:eastAsia="Arial" w:hAnsi="Arial"/>
                <w:sz w:val="14"/>
                <w:szCs w:val="14"/>
                <w:color w:val="auto"/>
              </w:rPr>
              <w:t>4.8</w:t>
            </w:r>
            <w:r>
              <w:rPr>
                <w:rFonts w:ascii="Arial" w:cs="Arial" w:eastAsia="Arial" w:hAnsi="Arial"/>
                <w:sz w:val="3"/>
                <w:szCs w:val="3"/>
                <w:color w:val="auto"/>
              </w:rPr>
              <w:t>​</w:t>
            </w:r>
          </w:p>
        </w:tc>
      </w:tr>
      <w:tr>
        <w:trPr>
          <w:trHeight w:val="446"/>
        </w:trPr>
        <w:tc>
          <w:tcPr>
            <w:tcW w:w="4660" w:type="dxa"/>
            <w:vAlign w:val="bottom"/>
          </w:tcPr>
          <w:p>
            <w:pPr>
              <w:spacing w:after="0"/>
              <w:rPr>
                <w:sz w:val="20"/>
                <w:szCs w:val="20"/>
                <w:color w:val="auto"/>
              </w:rPr>
            </w:pPr>
            <w:r>
              <w:rPr>
                <w:rFonts w:ascii="Arial" w:cs="Arial" w:eastAsia="Arial" w:hAnsi="Arial"/>
                <w:sz w:val="14"/>
                <w:szCs w:val="14"/>
                <w:color w:val="auto"/>
              </w:rPr>
              <w:t>Non-recurring adjustments</w:t>
            </w:r>
            <w:r>
              <w:rPr>
                <w:rFonts w:ascii="Arial" w:cs="Arial" w:eastAsia="Arial" w:hAnsi="Arial"/>
                <w:sz w:val="23"/>
                <w:szCs w:val="23"/>
                <w:color w:val="auto"/>
                <w:vertAlign w:val="superscript"/>
              </w:rPr>
              <w:t>(5)</w:t>
            </w:r>
          </w:p>
        </w:tc>
        <w:tc>
          <w:tcPr>
            <w:tcW w:w="2740" w:type="dxa"/>
            <w:vAlign w:val="bottom"/>
          </w:tcPr>
          <w:p>
            <w:pPr>
              <w:ind w:left="2680"/>
              <w:spacing w:after="0"/>
              <w:rPr>
                <w:sz w:val="20"/>
                <w:szCs w:val="20"/>
                <w:color w:val="auto"/>
              </w:rPr>
            </w:pPr>
            <w:r>
              <w:rPr>
                <w:rFonts w:ascii="Arial" w:cs="Arial" w:eastAsia="Arial" w:hAnsi="Arial"/>
                <w:sz w:val="4"/>
                <w:szCs w:val="4"/>
                <w:color w:val="auto"/>
              </w:rPr>
              <w:t>​</w:t>
            </w:r>
          </w:p>
        </w:tc>
        <w:tc>
          <w:tcPr>
            <w:tcW w:w="400" w:type="dxa"/>
            <w:vAlign w:val="bottom"/>
          </w:tcPr>
          <w:p>
            <w:pPr>
              <w:ind w:left="60"/>
              <w:spacing w:after="0"/>
              <w:rPr>
                <w:sz w:val="20"/>
                <w:szCs w:val="20"/>
                <w:color w:val="auto"/>
              </w:rPr>
            </w:pPr>
            <w:r>
              <w:rPr>
                <w:rFonts w:ascii="Arial" w:cs="Arial" w:eastAsia="Arial" w:hAnsi="Arial"/>
                <w:sz w:val="4"/>
                <w:szCs w:val="4"/>
                <w:color w:val="auto"/>
              </w:rPr>
              <w:t>​</w:t>
            </w:r>
          </w:p>
        </w:tc>
        <w:tc>
          <w:tcPr>
            <w:tcW w:w="600" w:type="dxa"/>
            <w:vAlign w:val="bottom"/>
          </w:tcPr>
          <w:p>
            <w:pPr>
              <w:ind w:left="360"/>
              <w:spacing w:after="0"/>
              <w:rPr>
                <w:sz w:val="20"/>
                <w:szCs w:val="20"/>
                <w:color w:val="auto"/>
              </w:rPr>
            </w:pPr>
            <w:r>
              <w:rPr>
                <w:rFonts w:ascii="Arial" w:cs="Arial" w:eastAsia="Arial" w:hAnsi="Arial"/>
                <w:sz w:val="14"/>
                <w:szCs w:val="14"/>
                <w:color w:val="auto"/>
              </w:rPr>
              <w:t>1.3</w:t>
            </w:r>
            <w:r>
              <w:rPr>
                <w:rFonts w:ascii="Arial" w:cs="Arial" w:eastAsia="Arial" w:hAnsi="Arial"/>
                <w:sz w:val="3"/>
                <w:szCs w:val="3"/>
                <w:color w:val="auto"/>
              </w:rPr>
              <w:t>​</w:t>
            </w:r>
          </w:p>
        </w:tc>
        <w:tc>
          <w:tcPr>
            <w:tcW w:w="400" w:type="dxa"/>
            <w:vAlign w:val="bottom"/>
          </w:tcPr>
          <w:p>
            <w:pPr>
              <w:ind w:left="60"/>
              <w:spacing w:after="0"/>
              <w:rPr>
                <w:sz w:val="20"/>
                <w:szCs w:val="20"/>
                <w:color w:val="auto"/>
              </w:rPr>
            </w:pPr>
            <w:r>
              <w:rPr>
                <w:rFonts w:ascii="Arial" w:cs="Arial" w:eastAsia="Arial" w:hAnsi="Arial"/>
                <w:sz w:val="4"/>
                <w:szCs w:val="4"/>
                <w:color w:val="auto"/>
              </w:rPr>
              <w:t>​</w:t>
            </w:r>
          </w:p>
        </w:tc>
        <w:tc>
          <w:tcPr>
            <w:tcW w:w="560" w:type="dxa"/>
            <w:vAlign w:val="bottom"/>
          </w:tcPr>
          <w:p>
            <w:pPr>
              <w:ind w:left="340"/>
              <w:spacing w:after="0"/>
              <w:rPr>
                <w:sz w:val="20"/>
                <w:szCs w:val="20"/>
                <w:color w:val="auto"/>
              </w:rPr>
            </w:pPr>
            <w:r>
              <w:rPr>
                <w:rFonts w:ascii="Arial" w:cs="Arial" w:eastAsia="Arial" w:hAnsi="Arial"/>
                <w:sz w:val="14"/>
                <w:szCs w:val="14"/>
                <w:color w:val="auto"/>
              </w:rPr>
              <w:t>5.3</w:t>
            </w:r>
            <w:r>
              <w:rPr>
                <w:rFonts w:ascii="Arial" w:cs="Arial" w:eastAsia="Arial" w:hAnsi="Arial"/>
                <w:sz w:val="3"/>
                <w:szCs w:val="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-280035</wp:posOffset>
            </wp:positionV>
            <wp:extent cx="6103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0362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-5715</wp:posOffset>
            </wp:positionV>
            <wp:extent cx="61036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ectPr>
          <w:pgSz w:w="11900" w:h="16838" w:orient="portrait"/>
          <w:cols w:equalWidth="0" w:num="1">
            <w:col w:w="9640"/>
          </w:cols>
          <w:pgMar w:left="1180" w:top="265" w:right="1079" w:bottom="1440" w:gutter="0" w:footer="0" w:header="0"/>
          <w:type w:val="continuous"/>
        </w:sectPr>
      </w:pPr>
    </w:p>
    <w:p>
      <w:pPr>
        <w:spacing w:after="0" w:line="115" w:lineRule="exact"/>
        <w:rPr>
          <w:sz w:val="20"/>
          <w:szCs w:val="20"/>
          <w:color w:val="auto"/>
        </w:rPr>
      </w:pPr>
    </w:p>
    <w:p>
      <w:pPr>
        <w:ind w:left="20"/>
        <w:spacing w:after="0"/>
        <w:tabs>
          <w:tab w:leader="none" w:pos="160" w:val="left"/>
          <w:tab w:leader="none" w:pos="7500" w:val="left"/>
          <w:tab w:leader="none" w:pos="7620" w:val="left"/>
          <w:tab w:leader="none" w:pos="8320" w:val="left"/>
          <w:tab w:leader="none" w:pos="94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14"/>
          <w:szCs w:val="14"/>
          <w:color w:val="auto"/>
        </w:rPr>
        <w:t>Non-ordinary course legal fees</w:t>
      </w:r>
      <w:r>
        <w:rPr>
          <w:rFonts w:ascii="Arial" w:cs="Arial" w:eastAsia="Arial" w:hAnsi="Arial"/>
          <w:sz w:val="23"/>
          <w:szCs w:val="23"/>
          <w:color w:val="auto"/>
          <w:vertAlign w:val="superscript"/>
        </w:rPr>
        <w:t>(6)</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4"/>
          <w:szCs w:val="14"/>
          <w:color w:val="auto"/>
        </w:rPr>
        <w:t>0.1</w:t>
      </w:r>
      <w:r>
        <w:rPr>
          <w:rFonts w:ascii="Arial" w:cs="Arial" w:eastAsia="Arial" w:hAnsi="Arial"/>
          <w:sz w:val="3"/>
          <w:szCs w:val="3"/>
          <w:color w:val="auto"/>
        </w:rPr>
        <w:t>​      ​</w:t>
      </w:r>
      <w:r>
        <w:rPr>
          <w:sz w:val="20"/>
          <w:szCs w:val="20"/>
          <w:color w:val="auto"/>
        </w:rPr>
        <w:tab/>
      </w:r>
      <w:r>
        <w:rPr>
          <w:rFonts w:ascii="Arial" w:cs="Arial" w:eastAsia="Arial" w:hAnsi="Arial"/>
          <w:sz w:val="14"/>
          <w:szCs w:val="14"/>
          <w:color w:val="auto"/>
        </w:rPr>
        <w:t>0</w:t>
      </w: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26035</wp:posOffset>
            </wp:positionV>
            <wp:extent cx="61036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ectPr>
          <w:pgSz w:w="11900" w:h="16838" w:orient="portrait"/>
          <w:cols w:equalWidth="0" w:num="1">
            <w:col w:w="9640"/>
          </w:cols>
          <w:pgMar w:left="1180" w:top="265" w:right="1079" w:bottom="1440" w:gutter="0" w:footer="0" w:header="0"/>
          <w:type w:val="continuous"/>
        </w:sectPr>
      </w:pPr>
    </w:p>
    <w:p>
      <w:pPr>
        <w:spacing w:after="0" w:line="168" w:lineRule="exact"/>
        <w:rPr>
          <w:sz w:val="20"/>
          <w:szCs w:val="20"/>
          <w:color w:val="auto"/>
        </w:rPr>
      </w:pPr>
    </w:p>
    <w:tbl>
      <w:tblPr>
        <w:tblLayout w:type="fixed"/>
        <w:tblInd w:w="180" w:type="dxa"/>
        <w:tblCellMar>
          <w:top w:w="0" w:type="dxa"/>
          <w:left w:w="0" w:type="dxa"/>
          <w:bottom w:w="0" w:type="dxa"/>
          <w:right w:w="0" w:type="dxa"/>
        </w:tblCellMar>
      </w:tblPr>
      <w:tr>
        <w:trPr>
          <w:trHeight w:val="315"/>
        </w:trPr>
        <w:tc>
          <w:tcPr>
            <w:tcW w:w="5300" w:type="dxa"/>
            <w:vAlign w:val="bottom"/>
          </w:tcPr>
          <w:p>
            <w:pPr>
              <w:spacing w:after="0"/>
              <w:rPr>
                <w:sz w:val="20"/>
                <w:szCs w:val="20"/>
                <w:color w:val="auto"/>
              </w:rPr>
            </w:pPr>
            <w:r>
              <w:rPr>
                <w:rFonts w:ascii="Arial" w:cs="Arial" w:eastAsia="Arial" w:hAnsi="Arial"/>
                <w:sz w:val="14"/>
                <w:szCs w:val="14"/>
                <w:color w:val="auto"/>
              </w:rPr>
              <w:t>Restructuring charges</w:t>
            </w:r>
            <w:r>
              <w:rPr>
                <w:rFonts w:ascii="Arial" w:cs="Arial" w:eastAsia="Arial" w:hAnsi="Arial"/>
                <w:sz w:val="23"/>
                <w:szCs w:val="23"/>
                <w:color w:val="auto"/>
                <w:vertAlign w:val="superscript"/>
              </w:rPr>
              <w:t>(7)</w:t>
            </w:r>
          </w:p>
        </w:tc>
        <w:tc>
          <w:tcPr>
            <w:tcW w:w="2100" w:type="dxa"/>
            <w:vAlign w:val="bottom"/>
          </w:tcPr>
          <w:p>
            <w:pPr>
              <w:ind w:left="2040"/>
              <w:spacing w:after="0"/>
              <w:rPr>
                <w:sz w:val="20"/>
                <w:szCs w:val="20"/>
                <w:color w:val="auto"/>
              </w:rPr>
            </w:pPr>
            <w:r>
              <w:rPr>
                <w:rFonts w:ascii="Arial" w:cs="Arial" w:eastAsia="Arial" w:hAnsi="Arial"/>
                <w:sz w:val="4"/>
                <w:szCs w:val="4"/>
                <w:color w:val="auto"/>
              </w:rPr>
              <w:t>​</w:t>
            </w:r>
          </w:p>
        </w:tc>
        <w:tc>
          <w:tcPr>
            <w:tcW w:w="400" w:type="dxa"/>
            <w:vAlign w:val="bottom"/>
          </w:tcPr>
          <w:p>
            <w:pPr>
              <w:ind w:left="60"/>
              <w:spacing w:after="0"/>
              <w:rPr>
                <w:sz w:val="20"/>
                <w:szCs w:val="20"/>
                <w:color w:val="auto"/>
              </w:rPr>
            </w:pPr>
            <w:r>
              <w:rPr>
                <w:rFonts w:ascii="Arial" w:cs="Arial" w:eastAsia="Arial" w:hAnsi="Arial"/>
                <w:sz w:val="4"/>
                <w:szCs w:val="4"/>
                <w:color w:val="auto"/>
              </w:rPr>
              <w:t>​</w:t>
            </w:r>
          </w:p>
        </w:tc>
        <w:tc>
          <w:tcPr>
            <w:tcW w:w="600" w:type="dxa"/>
            <w:vAlign w:val="bottom"/>
          </w:tcPr>
          <w:p>
            <w:pPr>
              <w:ind w:left="360"/>
              <w:spacing w:after="0"/>
              <w:rPr>
                <w:sz w:val="20"/>
                <w:szCs w:val="20"/>
                <w:color w:val="auto"/>
              </w:rPr>
            </w:pPr>
            <w:r>
              <w:rPr>
                <w:rFonts w:ascii="Arial" w:cs="Arial" w:eastAsia="Arial" w:hAnsi="Arial"/>
                <w:sz w:val="14"/>
                <w:szCs w:val="14"/>
                <w:color w:val="auto"/>
              </w:rPr>
              <w:t>2.4</w:t>
            </w:r>
            <w:r>
              <w:rPr>
                <w:rFonts w:ascii="Arial" w:cs="Arial" w:eastAsia="Arial" w:hAnsi="Arial"/>
                <w:sz w:val="3"/>
                <w:szCs w:val="3"/>
                <w:color w:val="auto"/>
              </w:rPr>
              <w:t>​</w:t>
            </w:r>
          </w:p>
        </w:tc>
        <w:tc>
          <w:tcPr>
            <w:tcW w:w="460" w:type="dxa"/>
            <w:vAlign w:val="bottom"/>
          </w:tcPr>
          <w:p>
            <w:pPr>
              <w:ind w:left="60"/>
              <w:spacing w:after="0"/>
              <w:rPr>
                <w:sz w:val="20"/>
                <w:szCs w:val="20"/>
                <w:color w:val="auto"/>
              </w:rPr>
            </w:pPr>
            <w:r>
              <w:rPr>
                <w:rFonts w:ascii="Arial" w:cs="Arial" w:eastAsia="Arial" w:hAnsi="Arial"/>
                <w:sz w:val="4"/>
                <w:szCs w:val="4"/>
                <w:color w:val="auto"/>
              </w:rPr>
              <w:t>​</w:t>
            </w:r>
          </w:p>
        </w:tc>
        <w:tc>
          <w:tcPr>
            <w:tcW w:w="500" w:type="dxa"/>
            <w:vAlign w:val="bottom"/>
          </w:tcPr>
          <w:p>
            <w:pPr>
              <w:ind w:left="400"/>
              <w:spacing w:after="0"/>
              <w:rPr>
                <w:sz w:val="20"/>
                <w:szCs w:val="20"/>
                <w:color w:val="auto"/>
              </w:rPr>
            </w:pPr>
            <w:r>
              <w:rPr>
                <w:rFonts w:ascii="Arial" w:cs="Arial" w:eastAsia="Arial" w:hAnsi="Arial"/>
                <w:sz w:val="14"/>
                <w:szCs w:val="14"/>
                <w:color w:val="auto"/>
              </w:rPr>
              <w:t>0</w:t>
            </w:r>
            <w:r>
              <w:rPr>
                <w:rFonts w:ascii="Arial" w:cs="Arial" w:eastAsia="Arial" w:hAnsi="Arial"/>
                <w:sz w:val="3"/>
                <w:szCs w:val="3"/>
                <w:color w:val="auto"/>
              </w:rPr>
              <w:t>​</w:t>
            </w:r>
          </w:p>
        </w:tc>
      </w:tr>
      <w:tr>
        <w:trPr>
          <w:trHeight w:val="432"/>
        </w:trPr>
        <w:tc>
          <w:tcPr>
            <w:tcW w:w="5300" w:type="dxa"/>
            <w:vAlign w:val="bottom"/>
          </w:tcPr>
          <w:p>
            <w:pPr>
              <w:spacing w:after="0"/>
              <w:rPr>
                <w:sz w:val="20"/>
                <w:szCs w:val="20"/>
                <w:color w:val="auto"/>
              </w:rPr>
            </w:pPr>
            <w:r>
              <w:rPr>
                <w:rFonts w:ascii="Arial" w:cs="Arial" w:eastAsia="Arial" w:hAnsi="Arial"/>
                <w:sz w:val="14"/>
                <w:szCs w:val="14"/>
                <w:color w:val="auto"/>
              </w:rPr>
              <w:t>Loss on asset impairment related to restructuring</w:t>
            </w:r>
            <w:r>
              <w:rPr>
                <w:rFonts w:ascii="Arial" w:cs="Arial" w:eastAsia="Arial" w:hAnsi="Arial"/>
                <w:sz w:val="23"/>
                <w:szCs w:val="23"/>
                <w:color w:val="auto"/>
                <w:vertAlign w:val="superscript"/>
              </w:rPr>
              <w:t>(8)</w:t>
            </w:r>
          </w:p>
        </w:tc>
        <w:tc>
          <w:tcPr>
            <w:tcW w:w="2100" w:type="dxa"/>
            <w:vAlign w:val="bottom"/>
          </w:tcPr>
          <w:p>
            <w:pPr>
              <w:ind w:left="2040"/>
              <w:spacing w:after="0"/>
              <w:rPr>
                <w:sz w:val="20"/>
                <w:szCs w:val="20"/>
                <w:color w:val="auto"/>
              </w:rPr>
            </w:pPr>
            <w:r>
              <w:rPr>
                <w:rFonts w:ascii="Arial" w:cs="Arial" w:eastAsia="Arial" w:hAnsi="Arial"/>
                <w:sz w:val="4"/>
                <w:szCs w:val="4"/>
                <w:color w:val="auto"/>
              </w:rPr>
              <w:t>​</w:t>
            </w:r>
          </w:p>
        </w:tc>
        <w:tc>
          <w:tcPr>
            <w:tcW w:w="400" w:type="dxa"/>
            <w:vAlign w:val="bottom"/>
          </w:tcPr>
          <w:p>
            <w:pPr>
              <w:ind w:left="60"/>
              <w:spacing w:after="0"/>
              <w:rPr>
                <w:sz w:val="20"/>
                <w:szCs w:val="20"/>
                <w:color w:val="auto"/>
              </w:rPr>
            </w:pPr>
            <w:r>
              <w:rPr>
                <w:rFonts w:ascii="Arial" w:cs="Arial" w:eastAsia="Arial" w:hAnsi="Arial"/>
                <w:sz w:val="4"/>
                <w:szCs w:val="4"/>
                <w:color w:val="auto"/>
              </w:rPr>
              <w:t>​</w:t>
            </w:r>
          </w:p>
        </w:tc>
        <w:tc>
          <w:tcPr>
            <w:tcW w:w="600" w:type="dxa"/>
            <w:vAlign w:val="bottom"/>
          </w:tcPr>
          <w:p>
            <w:pPr>
              <w:ind w:left="360"/>
              <w:spacing w:after="0"/>
              <w:rPr>
                <w:sz w:val="20"/>
                <w:szCs w:val="20"/>
                <w:color w:val="auto"/>
              </w:rPr>
            </w:pPr>
            <w:r>
              <w:rPr>
                <w:rFonts w:ascii="Arial" w:cs="Arial" w:eastAsia="Arial" w:hAnsi="Arial"/>
                <w:sz w:val="14"/>
                <w:szCs w:val="14"/>
                <w:color w:val="auto"/>
              </w:rPr>
              <w:t>5.3</w:t>
            </w:r>
            <w:r>
              <w:rPr>
                <w:rFonts w:ascii="Arial" w:cs="Arial" w:eastAsia="Arial" w:hAnsi="Arial"/>
                <w:sz w:val="3"/>
                <w:szCs w:val="3"/>
                <w:color w:val="auto"/>
              </w:rPr>
              <w:t>​</w:t>
            </w:r>
          </w:p>
        </w:tc>
        <w:tc>
          <w:tcPr>
            <w:tcW w:w="460" w:type="dxa"/>
            <w:vAlign w:val="bottom"/>
          </w:tcPr>
          <w:p>
            <w:pPr>
              <w:ind w:left="60"/>
              <w:spacing w:after="0"/>
              <w:rPr>
                <w:sz w:val="20"/>
                <w:szCs w:val="20"/>
                <w:color w:val="auto"/>
              </w:rPr>
            </w:pPr>
            <w:r>
              <w:rPr>
                <w:rFonts w:ascii="Arial" w:cs="Arial" w:eastAsia="Arial" w:hAnsi="Arial"/>
                <w:sz w:val="4"/>
                <w:szCs w:val="4"/>
                <w:color w:val="auto"/>
              </w:rPr>
              <w:t>​</w:t>
            </w:r>
          </w:p>
        </w:tc>
        <w:tc>
          <w:tcPr>
            <w:tcW w:w="500" w:type="dxa"/>
            <w:vAlign w:val="bottom"/>
          </w:tcPr>
          <w:p>
            <w:pPr>
              <w:ind w:left="400"/>
              <w:spacing w:after="0"/>
              <w:rPr>
                <w:sz w:val="20"/>
                <w:szCs w:val="20"/>
                <w:color w:val="auto"/>
              </w:rPr>
            </w:pPr>
            <w:r>
              <w:rPr>
                <w:rFonts w:ascii="Arial" w:cs="Arial" w:eastAsia="Arial" w:hAnsi="Arial"/>
                <w:sz w:val="14"/>
                <w:szCs w:val="14"/>
                <w:color w:val="auto"/>
              </w:rPr>
              <w:t>0</w:t>
            </w:r>
            <w:r>
              <w:rPr>
                <w:rFonts w:ascii="Arial" w:cs="Arial" w:eastAsia="Arial" w:hAnsi="Arial"/>
                <w:sz w:val="3"/>
                <w:szCs w:val="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-271145</wp:posOffset>
            </wp:positionV>
            <wp:extent cx="61036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0362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2540</wp:posOffset>
            </wp:positionV>
            <wp:extent cx="6103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03620" cy="8890"/>
                    </a:xfrm>
                    <a:prstGeom prst="rect">
                      <a:avLst/>
                    </a:prstGeom>
                    <a:noFill/>
                  </pic:spPr>
                </pic:pic>
              </a:graphicData>
            </a:graphic>
          </wp:anchor>
        </w:drawing>
      </w:r>
    </w:p>
    <w:p>
      <w:pPr>
        <w:sectPr>
          <w:pgSz w:w="11900" w:h="16838" w:orient="portrait"/>
          <w:cols w:equalWidth="0" w:num="1">
            <w:col w:w="9640"/>
          </w:cols>
          <w:pgMar w:left="1180" w:top="265" w:right="1079" w:bottom="1440" w:gutter="0" w:footer="0" w:header="0"/>
          <w:type w:val="continuous"/>
        </w:sectPr>
      </w:pP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5400" w:type="dxa"/>
            <w:vAlign w:val="bottom"/>
          </w:tcPr>
          <w:p>
            <w:pPr>
              <w:ind w:left="160"/>
              <w:spacing w:after="0"/>
              <w:rPr>
                <w:sz w:val="20"/>
                <w:szCs w:val="20"/>
                <w:color w:val="auto"/>
              </w:rPr>
            </w:pPr>
            <w:r>
              <w:rPr>
                <w:rFonts w:ascii="Arial" w:cs="Arial" w:eastAsia="Arial" w:hAnsi="Arial"/>
                <w:sz w:val="14"/>
                <w:szCs w:val="14"/>
                <w:color w:val="auto"/>
              </w:rPr>
              <w:t>Income tax (benefit) / expense</w:t>
            </w:r>
          </w:p>
        </w:tc>
        <w:tc>
          <w:tcPr>
            <w:tcW w:w="2160" w:type="dxa"/>
            <w:vAlign w:val="bottom"/>
          </w:tcPr>
          <w:p>
            <w:pPr>
              <w:ind w:left="2100"/>
              <w:spacing w:after="0"/>
              <w:rPr>
                <w:sz w:val="20"/>
                <w:szCs w:val="20"/>
                <w:color w:val="auto"/>
              </w:rPr>
            </w:pPr>
            <w:r>
              <w:rPr>
                <w:rFonts w:ascii="Arial" w:cs="Arial" w:eastAsia="Arial" w:hAnsi="Arial"/>
                <w:sz w:val="4"/>
                <w:szCs w:val="4"/>
                <w:color w:val="auto"/>
              </w:rPr>
              <w:t>​</w:t>
            </w:r>
          </w:p>
        </w:tc>
        <w:tc>
          <w:tcPr>
            <w:tcW w:w="320" w:type="dxa"/>
            <w:vAlign w:val="bottom"/>
          </w:tcPr>
          <w:p>
            <w:pPr>
              <w:ind w:left="60"/>
              <w:spacing w:after="0"/>
              <w:rPr>
                <w:sz w:val="20"/>
                <w:szCs w:val="20"/>
                <w:color w:val="auto"/>
              </w:rPr>
            </w:pPr>
            <w:r>
              <w:rPr>
                <w:rFonts w:ascii="Arial" w:cs="Arial" w:eastAsia="Arial" w:hAnsi="Arial"/>
                <w:sz w:val="4"/>
                <w:szCs w:val="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(0.2)</w:t>
            </w:r>
            <w:r>
              <w:rPr>
                <w:rFonts w:ascii="Arial" w:cs="Arial" w:eastAsia="Arial" w:hAnsi="Arial"/>
                <w:sz w:val="3"/>
                <w:szCs w:val="3"/>
                <w:color w:val="auto"/>
              </w:rPr>
              <w:t>​</w:t>
            </w:r>
          </w:p>
        </w:tc>
        <w:tc>
          <w:tcPr>
            <w:tcW w:w="280" w:type="dxa"/>
            <w:vAlign w:val="bottom"/>
          </w:tcPr>
          <w:p>
            <w:pPr>
              <w:ind w:left="60"/>
              <w:spacing w:after="0"/>
              <w:rPr>
                <w:sz w:val="20"/>
                <w:szCs w:val="20"/>
                <w:color w:val="auto"/>
              </w:rPr>
            </w:pPr>
            <w:r>
              <w:rPr>
                <w:rFonts w:ascii="Arial" w:cs="Arial" w:eastAsia="Arial" w:hAnsi="Arial"/>
                <w:sz w:val="4"/>
                <w:szCs w:val="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(0.3)</w:t>
            </w:r>
            <w:r>
              <w:rPr>
                <w:rFonts w:ascii="Arial" w:cs="Arial" w:eastAsia="Arial" w:hAnsi="Arial"/>
                <w:sz w:val="3"/>
                <w:szCs w:val="3"/>
                <w:color w:val="auto"/>
              </w:rPr>
              <w:t>​</w:t>
            </w:r>
          </w:p>
        </w:tc>
      </w:tr>
      <w:tr>
        <w:trPr>
          <w:trHeight w:val="106"/>
        </w:trPr>
        <w:tc>
          <w:tcPr>
            <w:tcW w:w="540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424"/>
        </w:trPr>
        <w:tc>
          <w:tcPr>
            <w:tcW w:w="54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(Gain) / loss on warrant liability revaluation, net</w:t>
            </w:r>
            <w:r>
              <w:rPr>
                <w:rFonts w:ascii="Arial" w:cs="Arial" w:eastAsia="Arial" w:hAnsi="Arial"/>
                <w:sz w:val="23"/>
                <w:szCs w:val="23"/>
                <w:color w:val="auto"/>
                <w:vertAlign w:val="superscript"/>
              </w:rPr>
              <w:t>(9)</w:t>
            </w:r>
          </w:p>
        </w:tc>
        <w:tc>
          <w:tcPr>
            <w:tcW w:w="2160" w:type="dxa"/>
            <w:vAlign w:val="bottom"/>
            <w:tcBorders>
              <w:bottom w:val="single" w:sz="8" w:color="auto"/>
            </w:tcBorders>
          </w:tcPr>
          <w:p>
            <w:pPr>
              <w:ind w:left="2100"/>
              <w:spacing w:after="0"/>
              <w:rPr>
                <w:sz w:val="20"/>
                <w:szCs w:val="20"/>
                <w:color w:val="auto"/>
              </w:rPr>
            </w:pPr>
            <w:r>
              <w:rPr>
                <w:rFonts w:ascii="Arial" w:cs="Arial" w:eastAsia="Arial" w:hAnsi="Arial"/>
                <w:sz w:val="4"/>
                <w:szCs w:val="4"/>
                <w:color w:val="auto"/>
              </w:rPr>
              <w:t>​</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r>
              <w:rPr>
                <w:rFonts w:ascii="Arial" w:cs="Arial" w:eastAsia="Arial" w:hAnsi="Arial"/>
                <w:sz w:val="7"/>
                <w:szCs w:val="7"/>
                <w:color w:val="auto"/>
                <w:vertAlign w:val="superscript"/>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24.9</w:t>
            </w:r>
            <w:r>
              <w:rPr>
                <w:rFonts w:ascii="Arial" w:cs="Arial" w:eastAsia="Arial" w:hAnsi="Arial"/>
                <w:sz w:val="3"/>
                <w:szCs w:val="3"/>
                <w:color w:val="auto"/>
              </w:rPr>
              <w:t>​</w:t>
            </w:r>
          </w:p>
        </w:tc>
      </w:tr>
      <w:tr>
        <w:trPr>
          <w:trHeight w:val="412"/>
        </w:trPr>
        <w:tc>
          <w:tcPr>
            <w:tcW w:w="54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(Gain) / loss on debt extinguishment, net</w:t>
            </w:r>
            <w:r>
              <w:rPr>
                <w:rFonts w:ascii="Arial" w:cs="Arial" w:eastAsia="Arial" w:hAnsi="Arial"/>
                <w:sz w:val="23"/>
                <w:szCs w:val="23"/>
                <w:color w:val="auto"/>
                <w:vertAlign w:val="superscript"/>
              </w:rPr>
              <w:t>(10)</w:t>
            </w:r>
          </w:p>
        </w:tc>
        <w:tc>
          <w:tcPr>
            <w:tcW w:w="2160" w:type="dxa"/>
            <w:vAlign w:val="bottom"/>
            <w:tcBorders>
              <w:bottom w:val="single" w:sz="8" w:color="auto"/>
            </w:tcBorders>
          </w:tcPr>
          <w:p>
            <w:pPr>
              <w:ind w:left="2100"/>
              <w:spacing w:after="0"/>
              <w:rPr>
                <w:sz w:val="20"/>
                <w:szCs w:val="20"/>
                <w:color w:val="auto"/>
              </w:rPr>
            </w:pPr>
            <w:r>
              <w:rPr>
                <w:rFonts w:ascii="Arial" w:cs="Arial" w:eastAsia="Arial" w:hAnsi="Arial"/>
                <w:sz w:val="4"/>
                <w:szCs w:val="4"/>
                <w:color w:val="auto"/>
              </w:rPr>
              <w:t>​</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8"/>
                <w:szCs w:val="28"/>
                <w:color w:val="auto"/>
                <w:vertAlign w:val="subscript"/>
              </w:rPr>
              <w:t>0</w:t>
            </w:r>
            <w:r>
              <w:rPr>
                <w:rFonts w:ascii="Arial" w:cs="Arial" w:eastAsia="Arial" w:hAnsi="Arial"/>
                <w:sz w:val="4"/>
                <w:szCs w:val="4"/>
                <w:color w:val="auto"/>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w:t>
            </w:r>
            <w:r>
              <w:rPr>
                <w:rFonts w:ascii="Arial" w:cs="Arial" w:eastAsia="Arial" w:hAnsi="Arial"/>
                <w:sz w:val="3"/>
                <w:szCs w:val="3"/>
                <w:color w:val="auto"/>
              </w:rPr>
              <w:t>​</w:t>
            </w:r>
          </w:p>
        </w:tc>
      </w:tr>
      <w:tr>
        <w:trPr>
          <w:trHeight w:val="414"/>
        </w:trPr>
        <w:tc>
          <w:tcPr>
            <w:tcW w:w="54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Other (income) / expense, net</w:t>
            </w:r>
            <w:r>
              <w:rPr>
                <w:rFonts w:ascii="Arial" w:cs="Arial" w:eastAsia="Arial" w:hAnsi="Arial"/>
                <w:sz w:val="23"/>
                <w:szCs w:val="23"/>
                <w:color w:val="auto"/>
                <w:vertAlign w:val="superscript"/>
              </w:rPr>
              <w:t>(11)</w:t>
            </w:r>
          </w:p>
        </w:tc>
        <w:tc>
          <w:tcPr>
            <w:tcW w:w="2160" w:type="dxa"/>
            <w:vAlign w:val="bottom"/>
            <w:tcBorders>
              <w:bottom w:val="single" w:sz="8" w:color="auto"/>
            </w:tcBorders>
          </w:tcPr>
          <w:p>
            <w:pPr>
              <w:ind w:left="2100"/>
              <w:spacing w:after="0"/>
              <w:rPr>
                <w:sz w:val="20"/>
                <w:szCs w:val="20"/>
                <w:color w:val="auto"/>
              </w:rPr>
            </w:pPr>
            <w:r>
              <w:rPr>
                <w:rFonts w:ascii="Arial" w:cs="Arial" w:eastAsia="Arial" w:hAnsi="Arial"/>
                <w:sz w:val="4"/>
                <w:szCs w:val="4"/>
                <w:color w:val="auto"/>
              </w:rPr>
              <w:t>​</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r>
              <w:rPr>
                <w:rFonts w:ascii="Arial" w:cs="Arial" w:eastAsia="Arial" w:hAnsi="Arial"/>
                <w:sz w:val="3"/>
                <w:szCs w:val="3"/>
                <w:color w:val="auto"/>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w:t>
            </w:r>
            <w:r>
              <w:rPr>
                <w:rFonts w:ascii="Arial" w:cs="Arial" w:eastAsia="Arial" w:hAnsi="Arial"/>
                <w:sz w:val="3"/>
                <w:szCs w:val="3"/>
                <w:color w:val="auto"/>
              </w:rPr>
              <w:t>​</w:t>
            </w:r>
          </w:p>
        </w:tc>
      </w:tr>
      <w:tr>
        <w:trPr>
          <w:trHeight w:val="424"/>
        </w:trPr>
        <w:tc>
          <w:tcPr>
            <w:tcW w:w="54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Other (gains) / losses</w:t>
            </w:r>
            <w:r>
              <w:rPr>
                <w:rFonts w:ascii="Arial" w:cs="Arial" w:eastAsia="Arial" w:hAnsi="Arial"/>
                <w:sz w:val="23"/>
                <w:szCs w:val="23"/>
                <w:color w:val="auto"/>
                <w:vertAlign w:val="superscript"/>
              </w:rPr>
              <w:t>(12)</w:t>
            </w:r>
          </w:p>
        </w:tc>
        <w:tc>
          <w:tcPr>
            <w:tcW w:w="2160" w:type="dxa"/>
            <w:vAlign w:val="bottom"/>
            <w:tcBorders>
              <w:bottom w:val="single" w:sz="8" w:color="auto"/>
            </w:tcBorders>
          </w:tcPr>
          <w:p>
            <w:pPr>
              <w:ind w:left="2100"/>
              <w:spacing w:after="0"/>
              <w:rPr>
                <w:sz w:val="20"/>
                <w:szCs w:val="20"/>
                <w:color w:val="auto"/>
              </w:rPr>
            </w:pPr>
            <w:r>
              <w:rPr>
                <w:rFonts w:ascii="Arial" w:cs="Arial" w:eastAsia="Arial" w:hAnsi="Arial"/>
                <w:sz w:val="4"/>
                <w:szCs w:val="4"/>
                <w:color w:val="auto"/>
              </w:rPr>
              <w:t>​</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r>
              <w:rPr>
                <w:rFonts w:ascii="Arial" w:cs="Arial" w:eastAsia="Arial" w:hAnsi="Arial"/>
                <w:sz w:val="3"/>
                <w:szCs w:val="3"/>
                <w:color w:val="auto"/>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r>
              <w:rPr>
                <w:rFonts w:ascii="Arial" w:cs="Arial" w:eastAsia="Arial" w:hAnsi="Arial"/>
                <w:sz w:val="3"/>
                <w:szCs w:val="3"/>
                <w:color w:val="auto"/>
              </w:rPr>
              <w:t>​</w:t>
            </w:r>
          </w:p>
        </w:tc>
      </w:tr>
      <w:tr>
        <w:trPr>
          <w:trHeight w:val="307"/>
        </w:trPr>
        <w:tc>
          <w:tcPr>
            <w:tcW w:w="5400" w:type="dxa"/>
            <w:vAlign w:val="bottom"/>
          </w:tcPr>
          <w:p>
            <w:pPr>
              <w:ind w:left="160"/>
              <w:spacing w:after="0"/>
              <w:rPr>
                <w:sz w:val="20"/>
                <w:szCs w:val="20"/>
                <w:color w:val="auto"/>
              </w:rPr>
            </w:pPr>
            <w:r>
              <w:rPr>
                <w:rFonts w:ascii="Arial" w:cs="Arial" w:eastAsia="Arial" w:hAnsi="Arial"/>
                <w:sz w:val="14"/>
                <w:szCs w:val="14"/>
                <w:color w:val="auto"/>
              </w:rPr>
              <w:t>Adjusted EBITDA</w:t>
            </w:r>
          </w:p>
        </w:tc>
        <w:tc>
          <w:tcPr>
            <w:tcW w:w="2160" w:type="dxa"/>
            <w:vAlign w:val="bottom"/>
          </w:tcPr>
          <w:p>
            <w:pPr>
              <w:ind w:left="2100"/>
              <w:spacing w:after="0"/>
              <w:rPr>
                <w:sz w:val="20"/>
                <w:szCs w:val="20"/>
                <w:color w:val="auto"/>
              </w:rPr>
            </w:pPr>
            <w:r>
              <w:rPr>
                <w:rFonts w:ascii="Arial" w:cs="Arial" w:eastAsia="Arial" w:hAnsi="Arial"/>
                <w:sz w:val="4"/>
                <w:szCs w:val="4"/>
                <w:color w:val="auto"/>
              </w:rPr>
              <w:t>​</w:t>
            </w:r>
          </w:p>
        </w:tc>
        <w:tc>
          <w:tcPr>
            <w:tcW w:w="320" w:type="dxa"/>
            <w:vAlign w:val="bottom"/>
          </w:tcPr>
          <w:p>
            <w:pPr>
              <w:ind w:left="60"/>
              <w:spacing w:after="0"/>
              <w:rPr>
                <w:sz w:val="20"/>
                <w:szCs w:val="20"/>
                <w:color w:val="auto"/>
              </w:rPr>
            </w:pPr>
            <w:r>
              <w:rPr>
                <w:rFonts w:ascii="Arial" w:cs="Arial" w:eastAsia="Arial" w:hAnsi="Arial"/>
                <w:sz w:val="4"/>
                <w:szCs w:val="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$6.7</w:t>
            </w:r>
            <w:r>
              <w:rPr>
                <w:rFonts w:ascii="Arial" w:cs="Arial" w:eastAsia="Arial" w:hAnsi="Arial"/>
                <w:sz w:val="3"/>
                <w:szCs w:val="3"/>
                <w:color w:val="auto"/>
              </w:rPr>
              <w:t>​</w:t>
            </w:r>
          </w:p>
        </w:tc>
        <w:tc>
          <w:tcPr>
            <w:tcW w:w="280" w:type="dxa"/>
            <w:vAlign w:val="bottom"/>
          </w:tcPr>
          <w:p>
            <w:pPr>
              <w:ind w:left="60"/>
              <w:spacing w:after="0"/>
              <w:rPr>
                <w:sz w:val="20"/>
                <w:szCs w:val="20"/>
                <w:color w:val="auto"/>
              </w:rPr>
            </w:pPr>
            <w:r>
              <w:rPr>
                <w:rFonts w:ascii="Arial" w:cs="Arial" w:eastAsia="Arial" w:hAnsi="Arial"/>
                <w:sz w:val="4"/>
                <w:szCs w:val="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$(19.2)</w:t>
            </w:r>
            <w:r>
              <w:rPr>
                <w:rFonts w:ascii="Arial" w:cs="Arial" w:eastAsia="Arial" w:hAnsi="Arial"/>
                <w:sz w:val="3"/>
                <w:szCs w:val="3"/>
                <w:color w:val="auto"/>
              </w:rPr>
              <w:t>​</w:t>
            </w:r>
          </w:p>
        </w:tc>
      </w:tr>
      <w:tr>
        <w:trPr>
          <w:trHeight w:val="120"/>
        </w:trPr>
        <w:tc>
          <w:tcPr>
            <w:tcW w:w="540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r>
      <w:tr>
        <w:trPr>
          <w:trHeight w:val="345"/>
        </w:trPr>
        <w:tc>
          <w:tcPr>
            <w:tcW w:w="54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Adjusted EBITDA Margin</w:t>
            </w:r>
            <w:r>
              <w:rPr>
                <w:rFonts w:ascii="Arial" w:cs="Arial" w:eastAsia="Arial" w:hAnsi="Arial"/>
                <w:sz w:val="23"/>
                <w:szCs w:val="23"/>
                <w:color w:val="auto"/>
                <w:vertAlign w:val="superscript"/>
              </w:rPr>
              <w:t>(13)</w:t>
            </w:r>
          </w:p>
        </w:tc>
        <w:tc>
          <w:tcPr>
            <w:tcW w:w="2160" w:type="dxa"/>
            <w:vAlign w:val="bottom"/>
            <w:tcBorders>
              <w:bottom w:val="single" w:sz="8" w:color="auto"/>
            </w:tcBorders>
          </w:tcPr>
          <w:p>
            <w:pPr>
              <w:ind w:left="2100"/>
              <w:spacing w:after="0"/>
              <w:rPr>
                <w:sz w:val="20"/>
                <w:szCs w:val="20"/>
                <w:color w:val="auto"/>
              </w:rPr>
            </w:pPr>
            <w:r>
              <w:rPr>
                <w:rFonts w:ascii="Arial" w:cs="Arial" w:eastAsia="Arial" w:hAnsi="Arial"/>
                <w:sz w:val="4"/>
                <w:szCs w:val="4"/>
                <w:color w:val="auto"/>
              </w:rPr>
              <w:t>​</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r>
              <w:rPr>
                <w:rFonts w:ascii="Arial" w:cs="Arial" w:eastAsia="Arial" w:hAnsi="Arial"/>
                <w:sz w:val="3"/>
                <w:szCs w:val="3"/>
                <w:color w:val="auto"/>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 %</w:t>
            </w:r>
            <w:r>
              <w:rPr>
                <w:rFonts w:ascii="Arial" w:cs="Arial" w:eastAsia="Arial" w:hAnsi="Arial"/>
                <w:sz w:val="3"/>
                <w:szCs w:val="3"/>
                <w:color w:val="auto"/>
              </w:rPr>
              <w:t>​</w:t>
            </w:r>
          </w:p>
        </w:tc>
      </w:tr>
    </w:tbl>
    <w:p>
      <w:pPr>
        <w:spacing w:after="0" w:line="170" w:lineRule="exact"/>
        <w:rPr>
          <w:sz w:val="20"/>
          <w:szCs w:val="20"/>
          <w:color w:val="auto"/>
        </w:rPr>
      </w:pPr>
    </w:p>
    <w:p>
      <w:pPr>
        <w:ind w:left="380" w:right="340" w:hanging="359"/>
        <w:spacing w:after="0" w:line="273" w:lineRule="auto"/>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debt discount amortization of $4.3 million in the year ended January 31, 2023, $5.9 million in the year ended January 31, 2022, and $5.0 million in the year ended January 31, 2021.</w:t>
      </w:r>
    </w:p>
    <w:p>
      <w:pPr>
        <w:spacing w:after="0" w:line="11" w:lineRule="exact"/>
        <w:rPr>
          <w:rFonts w:ascii="Arial" w:cs="Arial" w:eastAsia="Arial" w:hAnsi="Arial"/>
          <w:sz w:val="14"/>
          <w:szCs w:val="14"/>
          <w:color w:val="auto"/>
        </w:rPr>
      </w:pPr>
    </w:p>
    <w:p>
      <w:pPr>
        <w:ind w:left="380" w:hanging="359"/>
        <w:spacing w:after="0"/>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Reflects non-rental product depreciation and capitalized software amortization.</w:t>
      </w:r>
    </w:p>
    <w:p>
      <w:pPr>
        <w:spacing w:after="0" w:line="55" w:lineRule="exact"/>
        <w:rPr>
          <w:rFonts w:ascii="Arial" w:cs="Arial" w:eastAsia="Arial" w:hAnsi="Arial"/>
          <w:sz w:val="14"/>
          <w:szCs w:val="14"/>
          <w:color w:val="auto"/>
        </w:rPr>
      </w:pPr>
    </w:p>
    <w:p>
      <w:pPr>
        <w:ind w:left="380" w:right="340" w:hanging="359"/>
        <w:spacing w:after="0" w:line="273" w:lineRule="auto"/>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Reflects the non-cash expense for share-based compensation. The year ended January 31, 2022 includes $14.4 million of costs incurred for one-time IPO-related RSU vesting events.</w:t>
      </w:r>
    </w:p>
    <w:p>
      <w:pPr>
        <w:spacing w:after="0" w:line="11" w:lineRule="exact"/>
        <w:rPr>
          <w:rFonts w:ascii="Arial" w:cs="Arial" w:eastAsia="Arial" w:hAnsi="Arial"/>
          <w:sz w:val="14"/>
          <w:szCs w:val="14"/>
          <w:color w:val="auto"/>
        </w:rPr>
      </w:pPr>
    </w:p>
    <w:p>
      <w:pPr>
        <w:ind w:left="380" w:hanging="359"/>
        <w:spacing w:after="0"/>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Reflects the write-off of the remaining book value of liquidated rental product that had previously been held for sale.</w:t>
      </w:r>
    </w:p>
    <w:p>
      <w:pPr>
        <w:spacing w:after="0" w:line="55" w:lineRule="exact"/>
        <w:rPr>
          <w:rFonts w:ascii="Arial" w:cs="Arial" w:eastAsia="Arial" w:hAnsi="Arial"/>
          <w:sz w:val="14"/>
          <w:szCs w:val="14"/>
          <w:color w:val="auto"/>
        </w:rPr>
      </w:pPr>
    </w:p>
    <w:p>
      <w:pPr>
        <w:ind w:left="380" w:right="160" w:hanging="359"/>
        <w:spacing w:after="0" w:line="273" w:lineRule="auto"/>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Non-recurring adjustments for the year ended January 31, 2023 includes $1.3 million of costs related to public company SOX readiness and for the year ended January 31, 2022 includes $5.2 million of costs primarily associated with public readiness preparation.</w:t>
      </w:r>
    </w:p>
    <w:p>
      <w:pPr>
        <w:spacing w:after="0" w:line="11" w:lineRule="exact"/>
        <w:rPr>
          <w:rFonts w:ascii="Arial" w:cs="Arial" w:eastAsia="Arial" w:hAnsi="Arial"/>
          <w:sz w:val="14"/>
          <w:szCs w:val="14"/>
          <w:color w:val="auto"/>
        </w:rPr>
      </w:pPr>
    </w:p>
    <w:p>
      <w:pPr>
        <w:ind w:left="380" w:hanging="359"/>
        <w:spacing w:after="0"/>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Non-ordinary course legal fees for the year ended January 31, 2023 includes $0.1 million of costs related to a class action lawsuit.</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Reflects restructuring charges for severance and related costs in connection with the September 2022 restructuring plan.</w:t>
      </w:r>
    </w:p>
    <w:p>
      <w:pPr>
        <w:spacing w:after="0" w:line="55" w:lineRule="exact"/>
        <w:rPr>
          <w:rFonts w:ascii="Arial" w:cs="Arial" w:eastAsia="Arial" w:hAnsi="Arial"/>
          <w:sz w:val="14"/>
          <w:szCs w:val="14"/>
          <w:color w:val="auto"/>
        </w:rPr>
      </w:pPr>
    </w:p>
    <w:p>
      <w:pPr>
        <w:ind w:left="380" w:right="760" w:hanging="359"/>
        <w:spacing w:after="0" w:line="273" w:lineRule="auto"/>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Reflects the asset impairment charges related to discontinuing warehouse operations projects in connection with the September 2022 restructuring plan.</w:t>
      </w:r>
    </w:p>
    <w:p>
      <w:pPr>
        <w:spacing w:after="0" w:line="11" w:lineRule="exact"/>
        <w:rPr>
          <w:rFonts w:ascii="Arial" w:cs="Arial" w:eastAsia="Arial" w:hAnsi="Arial"/>
          <w:sz w:val="14"/>
          <w:szCs w:val="14"/>
          <w:color w:val="auto"/>
        </w:rPr>
      </w:pPr>
    </w:p>
    <w:p>
      <w:pPr>
        <w:ind w:left="380" w:right="280" w:hanging="359"/>
        <w:spacing w:after="0" w:line="273" w:lineRule="auto"/>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Reflects the expense associated with revaluing prior liability classified lender warrants to the respective fair value at period end, or prior to conversion. As of January 31, 2023, all outstanding warrants are equity classified and therefore do not require remeasurement going forward.</w:t>
      </w:r>
    </w:p>
    <w:p>
      <w:pPr>
        <w:spacing w:after="0" w:line="11" w:lineRule="exact"/>
        <w:rPr>
          <w:rFonts w:ascii="Arial" w:cs="Arial" w:eastAsia="Arial" w:hAnsi="Arial"/>
          <w:sz w:val="14"/>
          <w:szCs w:val="14"/>
          <w:color w:val="auto"/>
        </w:rPr>
      </w:pPr>
    </w:p>
    <w:p>
      <w:pPr>
        <w:ind w:left="380" w:hanging="359"/>
        <w:spacing w:after="0"/>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debt extinguishment costs related to debt paydown in the periods presented.</w:t>
      </w:r>
    </w:p>
    <w:p>
      <w:pPr>
        <w:spacing w:after="0" w:line="55" w:lineRule="exact"/>
        <w:rPr>
          <w:rFonts w:ascii="Arial" w:cs="Arial" w:eastAsia="Arial" w:hAnsi="Arial"/>
          <w:sz w:val="14"/>
          <w:szCs w:val="14"/>
          <w:color w:val="auto"/>
        </w:rPr>
      </w:pPr>
    </w:p>
    <w:p>
      <w:pPr>
        <w:ind w:left="380" w:right="120" w:hanging="359"/>
        <w:spacing w:after="0" w:line="273" w:lineRule="auto"/>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Primarily includes $1.4 million of monetized tax credits for the year ended January 31, 2023 and $4.0 million of insurance claim proceeds for the year ended January 31, 2022.</w:t>
      </w:r>
    </w:p>
    <w:p>
      <w:pPr>
        <w:spacing w:after="0" w:line="11" w:lineRule="exact"/>
        <w:rPr>
          <w:rFonts w:ascii="Arial" w:cs="Arial" w:eastAsia="Arial" w:hAnsi="Arial"/>
          <w:sz w:val="14"/>
          <w:szCs w:val="14"/>
          <w:color w:val="auto"/>
        </w:rPr>
      </w:pPr>
    </w:p>
    <w:p>
      <w:pPr>
        <w:ind w:left="380" w:right="200" w:hanging="359"/>
        <w:spacing w:after="0" w:line="273" w:lineRule="auto"/>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costs associated with the write-off of non-rental product asset disposals, operating lease termination and foreign exchange (see “Note 5 - Leases – Lessee Accounting” in the Notes to the Consolidated Financial Statements).</w:t>
      </w:r>
    </w:p>
    <w:p>
      <w:pPr>
        <w:spacing w:after="0" w:line="11" w:lineRule="exact"/>
        <w:rPr>
          <w:rFonts w:ascii="Arial" w:cs="Arial" w:eastAsia="Arial" w:hAnsi="Arial"/>
          <w:sz w:val="14"/>
          <w:szCs w:val="14"/>
          <w:color w:val="auto"/>
        </w:rPr>
      </w:pPr>
    </w:p>
    <w:p>
      <w:pPr>
        <w:ind w:left="380" w:hanging="359"/>
        <w:spacing w:after="0"/>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Adjusted EBITDA Margin calculated as Adjusted EBITDA as a percentage of revenue.</w:t>
      </w:r>
    </w:p>
    <w:p>
      <w:pPr>
        <w:sectPr>
          <w:pgSz w:w="11900" w:h="16838" w:orient="portrait"/>
          <w:cols w:equalWidth="0" w:num="1">
            <w:col w:w="9640"/>
          </w:cols>
          <w:pgMar w:left="1180" w:top="265" w:right="1079" w:bottom="1440" w:gutter="0" w:footer="0" w:header="0"/>
          <w:type w:val="continuous"/>
        </w:sectPr>
      </w:pPr>
    </w:p>
    <w:p>
      <w:pPr>
        <w:spacing w:after="0" w:line="317"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167005</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640"/>
          </w:cols>
          <w:pgMar w:left="1180" w:top="265" w:right="107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92075</wp:posOffset>
            </wp:positionV>
            <wp:extent cx="6292215" cy="8143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134620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EE"/>
        </w:rPr>
        <w:t>TABLE OF CONTENTS</w:t>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lvl w:ilvl="1">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lvl w:ilvl="1">
      <w:lvlJc w:val="left"/>
      <w:lvlText w:val="•"/>
      <w:numFmt w:val="bullet"/>
      <w:start w:val="1"/>
    </w:lvl>
  </w:abstractNum>
  <w:abstractNum w:abstractNumId="4">
    <w:nsid w:val="75A2A8D4"/>
    <w:multiLevelType w:val="hybridMultilevel"/>
    <w:lvl w:ilvl="0">
      <w:lvlJc w:val="left"/>
      <w:lvlText w:val="2"/>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lowerRoman"/>
      <w:start w:val="3"/>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lowerRoman"/>
      <w:start w:val="1"/>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lowerLetter"/>
      <w:start w:val="4"/>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4"/>
    </w:lvl>
  </w:abstractNum>
  <w:abstractNum w:abstractNumId="28">
    <w:nsid w:val="5072367"/>
    <w:multiLevelType w:val="hybridMultilevel"/>
    <w:lvl w:ilvl="0">
      <w:lvlJc w:val="left"/>
      <w:lvlText w:val="(%1)"/>
      <w:numFmt w:val="lowerRoman"/>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 "/>
      <w:numFmt w:val="bullet"/>
      <w:start w:val="1"/>
    </w:lvl>
  </w:abstractNum>
  <w:abstractNum w:abstractNumId="35">
    <w:nsid w:val="51EAD36B"/>
    <w:multiLevelType w:val="hybridMultilevel"/>
    <w:lvl w:ilvl="0">
      <w:lvlJc w:val="left"/>
      <w:lvlText w:val="(%1)"/>
      <w:numFmt w:val="decimal"/>
      <w:start w:val="4"/>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9"/>
    </w:lvl>
  </w:abstractNum>
  <w:abstractNum w:abstractNumId="40">
    <w:nsid w:val="70A64E2A"/>
    <w:multiLevelType w:val="hybridMultilevel"/>
    <w:lvl w:ilvl="0">
      <w:lvlJc w:val="left"/>
      <w:lvlText w:val="(%1)"/>
      <w:numFmt w:val="decimal"/>
      <w:start w:val="19"/>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2023-05-25T14:26:41Z</dcterms:created>
  <dcterms:modified xsi:type="dcterms:W3CDTF">2023-05-25T14:26:41Z</dcterms:modified>
</cp:coreProperties>
</file>