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53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365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Roney Carley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r>
        <w:trPr>
          <w:trHeight w:val="192"/>
        </w:trPr>
        <w:tc>
          <w:tcPr>
            <w:tcW w:w="2000" w:type="dxa"/>
            <w:vAlign w:val="bottom"/>
            <w:gridSpan w:val="3"/>
          </w:tcPr>
          <w:p>
            <w:pPr>
              <w:ind w:left="80"/>
              <w:spacing w:after="0" w:line="192" w:lineRule="exact"/>
              <w:rPr>
                <w:sz w:val="20"/>
                <w:szCs w:val="20"/>
                <w:color w:val="auto"/>
              </w:rPr>
            </w:pPr>
            <w:r>
              <w:rPr>
                <w:rFonts w:ascii="Arial" w:cs="Arial" w:eastAsia="Arial" w:hAnsi="Arial"/>
                <w:sz w:val="18"/>
                <w:szCs w:val="18"/>
                <w:color w:val="0000FF"/>
              </w:rPr>
              <w:t>07/14/2023</w:t>
            </w:r>
          </w:p>
        </w:tc>
        <w:tc>
          <w:tcPr>
            <w:tcW w:w="1840" w:type="dxa"/>
            <w:vAlign w:val="bottom"/>
          </w:tcPr>
          <w:p>
            <w:pPr>
              <w:spacing w:after="0"/>
              <w:rPr>
                <w:sz w:val="16"/>
                <w:szCs w:val="16"/>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color w:val="auto"/>
              </w:rPr>
              <w:t>Line)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2"/>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29,516</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jc w:val="right"/>
              <w:ind w:right="279"/>
              <w:spacing w:after="0"/>
              <w:rPr>
                <w:sz w:val="20"/>
                <w:szCs w:val="20"/>
                <w:color w:val="auto"/>
              </w:rPr>
            </w:pPr>
            <w:r>
              <w:rPr>
                <w:rFonts w:ascii="Arial" w:cs="Arial" w:eastAsia="Arial" w:hAnsi="Arial"/>
                <w:sz w:val="18"/>
                <w:szCs w:val="18"/>
                <w:color w:val="0000FF"/>
              </w:rPr>
              <w:t>114,044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right="279"/>
              <w:spacing w:after="0"/>
              <w:rPr>
                <w:sz w:val="20"/>
                <w:szCs w:val="20"/>
                <w:color w:val="auto"/>
              </w:rPr>
            </w:pPr>
            <w:r>
              <w:rPr>
                <w:rFonts w:ascii="Arial" w:cs="Arial" w:eastAsia="Arial" w:hAnsi="Arial"/>
                <w:sz w:val="18"/>
                <w:szCs w:val="18"/>
                <w:color w:val="0000FF"/>
              </w:rPr>
              <w:t>5,000</w:t>
            </w:r>
            <w:r>
              <w:rPr>
                <w:rFonts w:ascii="Arial" w:cs="Arial" w:eastAsia="Arial" w:hAnsi="Arial"/>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restricted stock units ("RSUs"), each of which represents a contingent right to receive one share of the Issuers Class A Common Stock. This award was granted as the Reporting Persons annual equity award pursuant to the Companys Non-Employee Director Compensation Program. The RSUs will vest on the earlier of 1) the one year anniversary of the grant date or 2) the date of the Companys next Annual Meeting of Stockholders, subject to the Reporting Person's continuous service as a member of the Board of Directors on such date.</w:t>
      </w:r>
    </w:p>
    <w:p>
      <w:pPr>
        <w:spacing w:after="0" w:line="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4 is amended to include shares indirectly held by the Reporting Person that were omitted from the original Form 4, filed on July 14,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Carley</w:t>
      </w:r>
      <w:r>
        <w:rPr>
          <w:sz w:val="20"/>
          <w:szCs w:val="20"/>
          <w:color w:val="auto"/>
        </w:rPr>
        <w:tab/>
      </w:r>
      <w:r>
        <w:rPr>
          <w:rFonts w:ascii="Arial" w:cs="Arial" w:eastAsia="Arial" w:hAnsi="Arial"/>
          <w:sz w:val="15"/>
          <w:szCs w:val="15"/>
          <w:color w:val="0000FF"/>
        </w:rPr>
        <w:t>08/04/2023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Roney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91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4243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2023-08-04T16:24:46Z</dcterms:created>
  <dcterms:modified xsi:type="dcterms:W3CDTF">2023-08-04T16:24:46Z</dcterms:modified>
</cp:coreProperties>
</file>