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13,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Jennifer Y. Hyman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Rent the Runway,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 Jay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Brooklyn, New York 11201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Rent the Runway,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333-260027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Hyman: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 Filed October 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71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rates and maturity dates of the credit agreements under which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intend to use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proceeds of this offering to repay certain amounts. Refer to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Instruction 4 to Item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504 of Regulation S-K.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Brands and Products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ROI, page 92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comment 2 but do not concur with your view that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would not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7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find the fiscal year 2020 comparable factors to be meaningful, or that they could be</w:t>
      </w:r>
    </w:p>
    <w:p>
      <w:pPr>
        <w:ind w:left="5900" w:right="19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misleading. As requested in our prior comment, please revise to include comparable factors for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2020.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Jennifer Y. Hyman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Rent the Runway,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13,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adequacy of their disclosures, notwithstanding any review, comments, action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absence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Blaise Rhodes at 202-551-3774 or Linda Cvrkel at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202-551-3813 if you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Taylor Beech at 202-551-4515 or Jacqueline Kaufman at 202-551-3797 with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LastNameJennifer Y. Hyman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NameRent the Runway, Inc.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13, 2021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079" w:firstLine="8"/>
        <w:spacing w:after="0" w:line="235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 D. Jaffe,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2021-11-24T23:06:56Z</dcterms:created>
  <dcterms:modified xsi:type="dcterms:W3CDTF">2021-11-24T23:06:56Z</dcterms:modified>
</cp:coreProperties>
</file>