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(Rule 13d-102)</w:t>
      </w:r>
    </w:p>
    <w:p>
      <w:pPr>
        <w:spacing w:after="0" w:line="206" w:lineRule="exact"/>
        <w:rPr>
          <w:sz w:val="24"/>
          <w:szCs w:val="24"/>
          <w:color w:val="auto"/>
        </w:rPr>
      </w:pPr>
    </w:p>
    <w:p>
      <w:pPr>
        <w:jc w:val="center"/>
        <w:ind w:left="500" w:right="264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 240.13d-1(b), (c) and (d) and Amendments Thereto Filed Pursuant to § 240.13d-2</w:t>
      </w:r>
    </w:p>
    <w:p>
      <w:pPr>
        <w:spacing w:after="0" w:line="17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Rent The Runway,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76010Y103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19" w:lineRule="exact"/>
        <w:rPr>
          <w:sz w:val="24"/>
          <w:szCs w:val="24"/>
          <w:color w:val="auto"/>
        </w:rPr>
      </w:pPr>
    </w:p>
    <w:p>
      <w:pPr>
        <w:ind w:left="42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6"/>
          <w:szCs w:val="16"/>
          <w:color w:val="auto"/>
        </w:rPr>
        <w:t>Rule 13d-1(d)</w:t>
      </w:r>
    </w:p>
    <w:p>
      <w:pPr>
        <w:spacing w:after="0" w:line="284" w:lineRule="exact"/>
        <w:rPr>
          <w:sz w:val="24"/>
          <w:szCs w:val="24"/>
          <w:color w:val="auto"/>
        </w:rPr>
      </w:pPr>
    </w:p>
    <w:p>
      <w:pPr>
        <w:ind w:left="42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spacing w:after="0"/>
        <w:tabs>
          <w:tab w:leader="none" w:pos="522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76010Y103</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1 of 4</w:t>
      </w:r>
    </w:p>
    <w:p>
      <w:pPr>
        <w:spacing w:after="0" w:line="266" w:lineRule="exact"/>
        <w:rPr>
          <w:sz w:val="20"/>
          <w:szCs w:val="20"/>
          <w:color w:val="auto"/>
        </w:rPr>
      </w:pPr>
    </w:p>
    <w:p>
      <w:pPr>
        <w:ind w:left="600" w:hanging="357"/>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858000" cy="5374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5374640"/>
                    </a:xfrm>
                    <a:prstGeom prst="rect">
                      <a:avLst/>
                    </a:prstGeom>
                    <a:noFill/>
                  </pic:spPr>
                </pic:pic>
              </a:graphicData>
            </a:graphic>
          </wp:anchor>
        </w:drawing>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Jennifer Y. Hyman</w:t>
      </w:r>
    </w:p>
    <w:p>
      <w:pPr>
        <w:spacing w:after="0" w:line="36" w:lineRule="exact"/>
        <w:rPr>
          <w:sz w:val="20"/>
          <w:szCs w:val="20"/>
          <w:color w:val="auto"/>
        </w:rPr>
      </w:pPr>
    </w:p>
    <w:p>
      <w:pPr>
        <w:ind w:left="600" w:hanging="357"/>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9" w:lineRule="exact"/>
        <w:rPr>
          <w:sz w:val="20"/>
          <w:szCs w:val="20"/>
          <w:color w:val="auto"/>
        </w:rPr>
      </w:pPr>
    </w:p>
    <w:p>
      <w:pPr>
        <w:ind w:left="60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12" w:lineRule="exact"/>
        <w:rPr>
          <w:sz w:val="20"/>
          <w:szCs w:val="20"/>
          <w:color w:val="auto"/>
        </w:rPr>
      </w:pPr>
    </w:p>
    <w:p>
      <w:pPr>
        <w:ind w:left="600" w:hanging="357"/>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00" w:hanging="357"/>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United States</w:t>
      </w:r>
    </w:p>
    <w:p>
      <w:pPr>
        <w:spacing w:after="0" w:line="36"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tcBorders>
          </w:tcPr>
          <w:p>
            <w:pPr>
              <w:spacing w:after="0"/>
              <w:rPr>
                <w:sz w:val="21"/>
                <w:szCs w:val="21"/>
                <w:color w:val="auto"/>
              </w:rPr>
            </w:pPr>
          </w:p>
        </w:tc>
        <w:tc>
          <w:tcPr>
            <w:tcW w:w="9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3,322,758</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34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340" w:type="dxa"/>
            <w:vAlign w:val="bottom"/>
            <w:vMerge w:val="restart"/>
          </w:tcPr>
          <w:p>
            <w:pPr>
              <w:ind w:left="140"/>
              <w:spacing w:after="0"/>
              <w:rPr>
                <w:sz w:val="20"/>
                <w:szCs w:val="20"/>
                <w:color w:val="auto"/>
              </w:rPr>
            </w:pPr>
            <w:r>
              <w:rPr>
                <w:rFonts w:ascii="Arial" w:cs="Arial" w:eastAsia="Arial" w:hAnsi="Arial"/>
                <w:sz w:val="18"/>
                <w:szCs w:val="18"/>
                <w:color w:val="auto"/>
              </w:rPr>
              <w:t>123,108</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20"/>
                <w:szCs w:val="20"/>
                <w:color w:val="auto"/>
              </w:rPr>
            </w:pPr>
          </w:p>
        </w:tc>
        <w:tc>
          <w:tcPr>
            <w:tcW w:w="93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34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40" w:type="dxa"/>
            <w:vAlign w:val="bottom"/>
          </w:tcPr>
          <w:p>
            <w:pPr>
              <w:spacing w:after="0"/>
              <w:rPr>
                <w:sz w:val="18"/>
                <w:szCs w:val="18"/>
                <w:color w:val="auto"/>
              </w:rPr>
            </w:pPr>
          </w:p>
        </w:tc>
        <w:tc>
          <w:tcPr>
            <w:tcW w:w="9340" w:type="dxa"/>
            <w:vAlign w:val="bottom"/>
          </w:tcPr>
          <w:p>
            <w:pPr>
              <w:ind w:left="140"/>
              <w:spacing w:after="0"/>
              <w:rPr>
                <w:sz w:val="20"/>
                <w:szCs w:val="20"/>
                <w:color w:val="auto"/>
              </w:rPr>
            </w:pPr>
            <w:r>
              <w:rPr>
                <w:rFonts w:ascii="Arial" w:cs="Arial" w:eastAsia="Arial" w:hAnsi="Arial"/>
                <w:sz w:val="18"/>
                <w:szCs w:val="18"/>
                <w:color w:val="auto"/>
              </w:rPr>
              <w:t>3,322,758</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34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123,108</w:t>
      </w:r>
    </w:p>
    <w:p>
      <w:pPr>
        <w:spacing w:after="0" w:line="36" w:lineRule="exact"/>
        <w:rPr>
          <w:sz w:val="20"/>
          <w:szCs w:val="20"/>
          <w:color w:val="auto"/>
        </w:rPr>
      </w:pPr>
    </w:p>
    <w:p>
      <w:pPr>
        <w:ind w:left="580" w:hanging="337"/>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3,445,866</w:t>
      </w:r>
    </w:p>
    <w:p>
      <w:pPr>
        <w:spacing w:after="0" w:line="36" w:lineRule="exact"/>
        <w:rPr>
          <w:sz w:val="20"/>
          <w:szCs w:val="20"/>
          <w:color w:val="auto"/>
        </w:rPr>
      </w:pPr>
    </w:p>
    <w:p>
      <w:pPr>
        <w:ind w:left="600" w:right="5500" w:hanging="447"/>
        <w:spacing w:after="0" w:line="406"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Not Applicable</w:t>
      </w:r>
    </w:p>
    <w:p>
      <w:pPr>
        <w:spacing w:after="0" w:line="1" w:lineRule="exact"/>
        <w:rPr>
          <w:rFonts w:ascii="Arial" w:cs="Arial" w:eastAsia="Arial" w:hAnsi="Arial"/>
          <w:sz w:val="18"/>
          <w:szCs w:val="18"/>
          <w:color w:val="auto"/>
        </w:rPr>
      </w:pPr>
    </w:p>
    <w:p>
      <w:pPr>
        <w:ind w:left="600" w:right="6760" w:hanging="447"/>
        <w:spacing w:after="0" w:line="406"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5.4%</w:t>
      </w:r>
    </w:p>
    <w:p>
      <w:pPr>
        <w:spacing w:after="0" w:line="1" w:lineRule="exact"/>
        <w:rPr>
          <w:rFonts w:ascii="Arial" w:cs="Arial" w:eastAsia="Arial" w:hAnsi="Arial"/>
          <w:sz w:val="18"/>
          <w:szCs w:val="18"/>
          <w:color w:val="auto"/>
        </w:rPr>
      </w:pPr>
    </w:p>
    <w:p>
      <w:pPr>
        <w:ind w:left="600" w:hanging="447"/>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IN</w:t>
      </w:r>
    </w:p>
    <w:p>
      <w:pPr>
        <w:sectPr>
          <w:pgSz w:w="11900" w:h="16838" w:orient="portrait"/>
          <w:cols w:equalWidth="0" w:num="1">
            <w:col w:w="11020"/>
          </w:cols>
          <w:pgMar w:left="440" w:top="274" w:right="439" w:bottom="1440" w:gutter="0" w:footer="0" w:header="0"/>
        </w:sectPr>
      </w:pPr>
    </w:p>
    <w:bookmarkStart w:id="2" w:name="page3"/>
    <w:bookmarkEnd w:id="2"/>
    <w:p>
      <w:pPr>
        <w:spacing w:after="0"/>
        <w:tabs>
          <w:tab w:leader="none" w:pos="522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76010Y103</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2 of 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(a) Name of Issuer:</w:t>
      </w:r>
    </w:p>
    <w:p>
      <w:pPr>
        <w:spacing w:after="0" w:line="12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Rent The Runway, Inc. (the “Issuer”).</w:t>
      </w:r>
    </w:p>
    <w:p>
      <w:pPr>
        <w:spacing w:after="0" w:line="370" w:lineRule="exact"/>
        <w:rPr>
          <w:sz w:val="20"/>
          <w:szCs w:val="20"/>
          <w:color w:val="auto"/>
        </w:rPr>
      </w:pPr>
    </w:p>
    <w:p>
      <w:pPr>
        <w:ind w:left="1820" w:right="6200" w:hanging="1392"/>
        <w:spacing w:after="0" w:line="488" w:lineRule="auto"/>
        <w:tabs>
          <w:tab w:leader="none" w:pos="977"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Address of Issuer’s Principal Executive Offices: </w:t>
      </w:r>
      <w:r>
        <w:rPr>
          <w:rFonts w:ascii="Arial" w:cs="Arial" w:eastAsia="Arial" w:hAnsi="Arial"/>
          <w:sz w:val="16"/>
          <w:szCs w:val="16"/>
          <w:color w:val="auto"/>
        </w:rPr>
        <w:t>10 Jay Street, Brooklyn, New York 11201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(a) Name of Person Filing:</w:t>
      </w:r>
    </w:p>
    <w:p>
      <w:pPr>
        <w:spacing w:after="0" w:line="12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This statement is filed on behalf of Jennifer Y. Hyman (the “Reporting Person”).</w:t>
      </w:r>
    </w:p>
    <w:p>
      <w:pPr>
        <w:spacing w:after="0" w:line="127" w:lineRule="exact"/>
        <w:rPr>
          <w:sz w:val="20"/>
          <w:szCs w:val="20"/>
          <w:color w:val="auto"/>
        </w:rPr>
      </w:pPr>
    </w:p>
    <w:p>
      <w:pPr>
        <w:ind w:left="960" w:hanging="532"/>
        <w:spacing w:after="0"/>
        <w:tabs>
          <w:tab w:leader="none" w:pos="9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Address or Principal Business Office:</w:t>
      </w:r>
    </w:p>
    <w:p>
      <w:pPr>
        <w:spacing w:after="0" w:line="121" w:lineRule="exact"/>
        <w:rPr>
          <w:sz w:val="20"/>
          <w:szCs w:val="20"/>
          <w:color w:val="auto"/>
        </w:rPr>
      </w:pPr>
    </w:p>
    <w:p>
      <w:pPr>
        <w:ind w:left="1420" w:right="500" w:firstLine="383"/>
        <w:spacing w:after="0" w:line="277" w:lineRule="auto"/>
        <w:rPr>
          <w:sz w:val="20"/>
          <w:szCs w:val="20"/>
          <w:color w:val="auto"/>
        </w:rPr>
      </w:pPr>
      <w:r>
        <w:rPr>
          <w:rFonts w:ascii="Arial" w:cs="Arial" w:eastAsia="Arial" w:hAnsi="Arial"/>
          <w:sz w:val="18"/>
          <w:szCs w:val="18"/>
          <w:color w:val="auto"/>
        </w:rPr>
        <w:t>The principal business address of the Reporting Person is c/o Rent The Runway, Inc., 10 Jay Street, Brooklyn, New York 11201.</w:t>
      </w:r>
    </w:p>
    <w:p>
      <w:pPr>
        <w:spacing w:after="0" w:line="72" w:lineRule="exact"/>
        <w:rPr>
          <w:sz w:val="20"/>
          <w:szCs w:val="20"/>
          <w:color w:val="auto"/>
        </w:rPr>
      </w:pPr>
    </w:p>
    <w:p>
      <w:pPr>
        <w:ind w:left="960" w:hanging="532"/>
        <w:spacing w:after="0"/>
        <w:tabs>
          <w:tab w:leader="none" w:pos="9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of each Reporting Person is:</w:t>
      </w:r>
    </w:p>
    <w:p>
      <w:pPr>
        <w:spacing w:after="0" w:line="12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The Reporting Person is a citizen of the United States.</w:t>
      </w:r>
    </w:p>
    <w:p>
      <w:pPr>
        <w:spacing w:after="0" w:line="127" w:lineRule="exact"/>
        <w:rPr>
          <w:sz w:val="20"/>
          <w:szCs w:val="20"/>
          <w:color w:val="auto"/>
        </w:rPr>
      </w:pPr>
    </w:p>
    <w:p>
      <w:pPr>
        <w:ind w:left="960" w:hanging="532"/>
        <w:spacing w:after="0"/>
        <w:tabs>
          <w:tab w:leader="none" w:pos="9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12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Class A common stock, par value $0.001 per share (“Class A Common Stock”).</w:t>
      </w:r>
    </w:p>
    <w:p>
      <w:pPr>
        <w:spacing w:after="0" w:line="127" w:lineRule="exact"/>
        <w:rPr>
          <w:sz w:val="20"/>
          <w:szCs w:val="20"/>
          <w:color w:val="auto"/>
        </w:rPr>
      </w:pPr>
    </w:p>
    <w:p>
      <w:pPr>
        <w:ind w:left="1820" w:right="8360" w:hanging="1392"/>
        <w:spacing w:after="0" w:line="488" w:lineRule="auto"/>
        <w:tabs>
          <w:tab w:leader="none" w:pos="977"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CUSIP Number: </w:t>
      </w:r>
      <w:r>
        <w:rPr>
          <w:rFonts w:ascii="Arial" w:cs="Arial" w:eastAsia="Arial" w:hAnsi="Arial"/>
          <w:sz w:val="16"/>
          <w:szCs w:val="16"/>
          <w:color w:val="auto"/>
        </w:rPr>
        <w:t>76010Y103</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(a-c)</w:t>
      </w:r>
    </w:p>
    <w:p>
      <w:pPr>
        <w:spacing w:after="0" w:line="121" w:lineRule="exact"/>
        <w:rPr>
          <w:sz w:val="20"/>
          <w:szCs w:val="20"/>
          <w:color w:val="auto"/>
        </w:rPr>
      </w:pPr>
    </w:p>
    <w:p>
      <w:pPr>
        <w:ind w:left="980" w:right="840" w:firstLine="401"/>
        <w:spacing w:after="0" w:line="342" w:lineRule="auto"/>
        <w:rPr>
          <w:sz w:val="20"/>
          <w:szCs w:val="20"/>
          <w:color w:val="auto"/>
        </w:rPr>
      </w:pPr>
      <w:r>
        <w:rPr>
          <w:rFonts w:ascii="Arial" w:cs="Arial" w:eastAsia="Arial" w:hAnsi="Arial"/>
          <w:sz w:val="16"/>
          <w:szCs w:val="16"/>
          <w:color w:val="auto"/>
        </w:rPr>
        <w:t>The ownership information presented below represents beneficial ownership of Class A Common Stock of the Issuer as of December 31, 2021, based upon 60,098,892 shares of Class A Common Stock outstanding as of December 31, 2021.</w:t>
      </w:r>
    </w:p>
    <w:p>
      <w:pPr>
        <w:sectPr>
          <w:pgSz w:w="11900" w:h="16838" w:orient="portrait"/>
          <w:cols w:equalWidth="0" w:num="1">
            <w:col w:w="11020"/>
          </w:cols>
          <w:pgMar w:left="440" w:top="274"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CUSIP No. 76010Y103</w:t>
            </w:r>
          </w:p>
        </w:tc>
        <w:tc>
          <w:tcPr>
            <w:tcW w:w="3640" w:type="dxa"/>
            <w:vAlign w:val="bottom"/>
            <w:gridSpan w:val="2"/>
          </w:tcPr>
          <w:p>
            <w:pPr>
              <w:jc w:val="right"/>
              <w:ind w:right="622"/>
              <w:spacing w:after="0"/>
              <w:rPr>
                <w:sz w:val="20"/>
                <w:szCs w:val="20"/>
                <w:color w:val="auto"/>
              </w:rPr>
            </w:pPr>
            <w:r>
              <w:rPr>
                <w:rFonts w:ascii="Arial" w:cs="Arial" w:eastAsia="Arial" w:hAnsi="Arial"/>
                <w:sz w:val="18"/>
                <w:szCs w:val="18"/>
                <w:color w:val="auto"/>
              </w:rPr>
              <w:t>SCHEDULE 13G</w:t>
            </w: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jc w:val="center"/>
              <w:ind w:left="4"/>
              <w:spacing w:after="0"/>
              <w:rPr>
                <w:sz w:val="20"/>
                <w:szCs w:val="20"/>
                <w:color w:val="auto"/>
              </w:rPr>
            </w:pPr>
            <w:r>
              <w:rPr>
                <w:rFonts w:ascii="Arial" w:cs="Arial" w:eastAsia="Arial" w:hAnsi="Arial"/>
                <w:sz w:val="18"/>
                <w:szCs w:val="18"/>
                <w:color w:val="auto"/>
                <w:w w:val="89"/>
              </w:rPr>
              <w:t>Page 3 of 4</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Sole</w:t>
            </w:r>
          </w:p>
        </w:tc>
        <w:tc>
          <w:tcPr>
            <w:tcW w:w="900" w:type="dxa"/>
            <w:vAlign w:val="bottom"/>
          </w:tcPr>
          <w:p>
            <w:pPr>
              <w:jc w:val="center"/>
              <w:ind w:left="24"/>
              <w:spacing w:after="0"/>
              <w:rPr>
                <w:sz w:val="20"/>
                <w:szCs w:val="20"/>
                <w:color w:val="auto"/>
              </w:rPr>
            </w:pPr>
            <w:r>
              <w:rPr>
                <w:rFonts w:ascii="Arial" w:cs="Arial" w:eastAsia="Arial" w:hAnsi="Arial"/>
                <w:sz w:val="14"/>
                <w:szCs w:val="14"/>
                <w:b w:val="1"/>
                <w:bCs w:val="1"/>
                <w:color w:val="auto"/>
                <w:w w:val="92"/>
              </w:rPr>
              <w:t>Shared</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 to</w:t>
            </w:r>
          </w:p>
        </w:tc>
        <w:tc>
          <w:tcPr>
            <w:tcW w:w="90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89"/>
              </w:rPr>
              <w:t>power to</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dispose or</w:t>
            </w:r>
          </w:p>
        </w:tc>
        <w:tc>
          <w:tcPr>
            <w:tcW w:w="900" w:type="dxa"/>
            <w:vAlign w:val="bottom"/>
          </w:tcPr>
          <w:p>
            <w:pPr>
              <w:jc w:val="center"/>
              <w:ind w:left="44"/>
              <w:spacing w:after="0" w:line="149" w:lineRule="exact"/>
              <w:rPr>
                <w:sz w:val="20"/>
                <w:szCs w:val="20"/>
                <w:color w:val="auto"/>
              </w:rPr>
            </w:pPr>
            <w:r>
              <w:rPr>
                <w:rFonts w:ascii="Arial" w:cs="Arial" w:eastAsia="Arial" w:hAnsi="Arial"/>
                <w:sz w:val="14"/>
                <w:szCs w:val="14"/>
                <w:b w:val="1"/>
                <w:bCs w:val="1"/>
                <w:color w:val="auto"/>
                <w:w w:val="87"/>
              </w:rPr>
              <w:t>dispose or</w:t>
            </w: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2720" w:type="dxa"/>
            <w:vAlign w:val="bottom"/>
            <w:vMerge w:val="restart"/>
          </w:tcPr>
          <w:p>
            <w:pPr>
              <w:jc w:val="center"/>
              <w:ind w:left="1621"/>
              <w:spacing w:after="0"/>
              <w:rPr>
                <w:sz w:val="20"/>
                <w:szCs w:val="20"/>
                <w:color w:val="auto"/>
              </w:rPr>
            </w:pPr>
            <w:r>
              <w:rPr>
                <w:rFonts w:ascii="Arial" w:cs="Arial" w:eastAsia="Arial" w:hAnsi="Arial"/>
                <w:sz w:val="14"/>
                <w:szCs w:val="14"/>
                <w:b w:val="1"/>
                <w:bCs w:val="1"/>
                <w:color w:val="auto"/>
                <w:w w:val="94"/>
              </w:rPr>
              <w:t>Amount</w:t>
            </w:r>
          </w:p>
        </w:tc>
        <w:tc>
          <w:tcPr>
            <w:tcW w:w="92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Sole power</w:t>
            </w:r>
          </w:p>
        </w:tc>
        <w:tc>
          <w:tcPr>
            <w:tcW w:w="11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Shared power</w:t>
            </w: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to direct</w:t>
            </w:r>
          </w:p>
        </w:tc>
        <w:tc>
          <w:tcPr>
            <w:tcW w:w="900" w:type="dxa"/>
            <w:vAlign w:val="bottom"/>
          </w:tcPr>
          <w:p>
            <w:pPr>
              <w:jc w:val="center"/>
              <w:ind w:left="24"/>
              <w:spacing w:after="0" w:line="158" w:lineRule="exact"/>
              <w:rPr>
                <w:sz w:val="20"/>
                <w:szCs w:val="20"/>
                <w:color w:val="auto"/>
              </w:rPr>
            </w:pPr>
            <w:r>
              <w:rPr>
                <w:rFonts w:ascii="Arial" w:cs="Arial" w:eastAsia="Arial" w:hAnsi="Arial"/>
                <w:sz w:val="14"/>
                <w:szCs w:val="14"/>
                <w:b w:val="1"/>
                <w:bCs w:val="1"/>
                <w:color w:val="auto"/>
                <w:w w:val="94"/>
              </w:rPr>
              <w:t>to direct</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Percent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vote or</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to vote or to</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the</w:t>
            </w:r>
          </w:p>
        </w:tc>
        <w:tc>
          <w:tcPr>
            <w:tcW w:w="90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5"/>
              </w:rPr>
              <w:t>the</w:t>
            </w:r>
          </w:p>
        </w:tc>
        <w:tc>
          <w:tcPr>
            <w:tcW w:w="0" w:type="dxa"/>
            <w:vAlign w:val="bottom"/>
          </w:tcPr>
          <w:p>
            <w:pPr>
              <w:spacing w:after="0"/>
              <w:rPr>
                <w:sz w:val="1"/>
                <w:szCs w:val="1"/>
                <w:color w:val="auto"/>
              </w:rPr>
            </w:pPr>
          </w:p>
        </w:tc>
      </w:tr>
      <w:tr>
        <w:trPr>
          <w:trHeight w:val="148"/>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Reporting Person</w:t>
            </w:r>
          </w:p>
        </w:tc>
        <w:tc>
          <w:tcPr>
            <w:tcW w:w="2720" w:type="dxa"/>
            <w:vAlign w:val="bottom"/>
          </w:tcPr>
          <w:p>
            <w:pPr>
              <w:jc w:val="center"/>
              <w:ind w:left="1621"/>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92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 direct</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direct the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disposition</w:t>
            </w:r>
          </w:p>
        </w:tc>
        <w:tc>
          <w:tcPr>
            <w:tcW w:w="90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0"/>
              </w:rPr>
              <w:t>disposition</w:t>
            </w:r>
          </w:p>
        </w:tc>
        <w:tc>
          <w:tcPr>
            <w:tcW w:w="0" w:type="dxa"/>
            <w:vAlign w:val="bottom"/>
          </w:tcPr>
          <w:p>
            <w:pPr>
              <w:spacing w:after="0"/>
              <w:rPr>
                <w:sz w:val="1"/>
                <w:szCs w:val="1"/>
                <w:color w:val="auto"/>
              </w:rPr>
            </w:pPr>
          </w:p>
        </w:tc>
      </w:tr>
      <w:tr>
        <w:trPr>
          <w:trHeight w:val="175"/>
        </w:trPr>
        <w:tc>
          <w:tcPr>
            <w:tcW w:w="3340" w:type="dxa"/>
            <w:vAlign w:val="bottom"/>
            <w:vMerge w:val="continue"/>
          </w:tcPr>
          <w:p>
            <w:pPr>
              <w:spacing w:after="0"/>
              <w:rPr>
                <w:sz w:val="15"/>
                <w:szCs w:val="15"/>
                <w:color w:val="auto"/>
              </w:rPr>
            </w:pPr>
          </w:p>
        </w:tc>
        <w:tc>
          <w:tcPr>
            <w:tcW w:w="2720" w:type="dxa"/>
            <w:vAlign w:val="bottom"/>
          </w:tcPr>
          <w:p>
            <w:pPr>
              <w:jc w:val="center"/>
              <w:ind w:left="1601"/>
              <w:spacing w:after="0"/>
              <w:rPr>
                <w:sz w:val="20"/>
                <w:szCs w:val="20"/>
                <w:color w:val="auto"/>
              </w:rPr>
            </w:pPr>
            <w:r>
              <w:rPr>
                <w:rFonts w:ascii="Arial" w:cs="Arial" w:eastAsia="Arial" w:hAnsi="Arial"/>
                <w:sz w:val="14"/>
                <w:szCs w:val="14"/>
                <w:b w:val="1"/>
                <w:bCs w:val="1"/>
                <w:color w:val="auto"/>
                <w:w w:val="90"/>
              </w:rPr>
              <w:t>owned</w:t>
            </w: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of class: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the vote: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vote: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of:</w:t>
            </w:r>
          </w:p>
        </w:tc>
        <w:tc>
          <w:tcPr>
            <w:tcW w:w="900" w:type="dxa"/>
            <w:vAlign w:val="bottom"/>
          </w:tcPr>
          <w:p>
            <w:pPr>
              <w:jc w:val="center"/>
              <w:ind w:left="24"/>
              <w:spacing w:after="0"/>
              <w:rPr>
                <w:sz w:val="20"/>
                <w:szCs w:val="20"/>
                <w:color w:val="auto"/>
              </w:rPr>
            </w:pPr>
            <w:r>
              <w:rPr>
                <w:rFonts w:ascii="Arial" w:cs="Arial" w:eastAsia="Arial" w:hAnsi="Arial"/>
                <w:sz w:val="14"/>
                <w:szCs w:val="14"/>
                <w:b w:val="1"/>
                <w:bCs w:val="1"/>
                <w:color w:val="auto"/>
                <w:w w:val="89"/>
              </w:rPr>
              <w:t>of:</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Jennifer Y. Hyman</w:t>
            </w:r>
          </w:p>
        </w:tc>
        <w:tc>
          <w:tcPr>
            <w:tcW w:w="27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3,445,866</w:t>
            </w: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5.4%</w:t>
            </w: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3,322,758</w:t>
            </w:r>
          </w:p>
        </w:tc>
        <w:tc>
          <w:tcPr>
            <w:tcW w:w="114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123,108</w:t>
            </w: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3,322,758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123,108</w:t>
            </w: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980" w:right="20" w:firstLine="401"/>
        <w:spacing w:after="0" w:line="275" w:lineRule="auto"/>
        <w:rPr>
          <w:sz w:val="20"/>
          <w:szCs w:val="20"/>
          <w:color w:val="auto"/>
        </w:rPr>
      </w:pPr>
      <w:r>
        <w:rPr>
          <w:rFonts w:ascii="Arial" w:cs="Arial" w:eastAsia="Arial" w:hAnsi="Arial"/>
          <w:sz w:val="17"/>
          <w:szCs w:val="17"/>
          <w:color w:val="auto"/>
        </w:rPr>
        <w:t>The Reporting Person is the beneficial owner of 3,445,866 shares of Class A Common Stock, which consist of (i) 1,033,555 shares of Class A Common Stock underlying the shares of Class B Common Stock of the Issuer held of record by the Reporting Person that are convertible prior to March 1, 2022; (ii) 123,108 shares of Class A Common Stock underlying the shares of Class B Common Stock of the Issuer held of record by the Reporting Person’s spouse that are convertible prior to March 1, 2022; and (iii) 2,289,203 shares of Class A Common Stock underlying stock options that are exercisable prior to March 1, 2022.</w:t>
      </w:r>
    </w:p>
    <w:p>
      <w:pPr>
        <w:spacing w:after="0" w:line="3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right="58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4" w:right="439" w:bottom="1440" w:gutter="0" w:footer="0" w:header="0"/>
        </w:sectPr>
      </w:pPr>
    </w:p>
    <w:bookmarkStart w:id="4" w:name="page5"/>
    <w:bookmarkEnd w:id="4"/>
    <w:p>
      <w:pPr>
        <w:spacing w:after="0"/>
        <w:tabs>
          <w:tab w:leader="none" w:pos="496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76010Y103</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4 of 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February 11,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Jennifer Y. Hyman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4"/>
      <w:numFmt w:val="bullet"/>
      <w:start w:val="1"/>
    </w:lvl>
  </w:abstractNum>
  <w:abstractNum w:abstractNumId="6">
    <w:nsid w:val="4DB127F8"/>
    <w:multiLevelType w:val="hybridMultilevel"/>
    <w:lvl w:ilvl="0">
      <w:lvlJc w:val="left"/>
      <w:lvlText w:val="9"/>
      <w:numFmt w:val="bullet"/>
      <w:start w:val="1"/>
    </w:lvl>
  </w:abstractNum>
  <w:abstractNum w:abstractNumId="7">
    <w:nsid w:val="216231B"/>
    <w:multiLevelType w:val="hybridMultilevel"/>
    <w:lvl w:ilvl="0">
      <w:lvlJc w:val="left"/>
      <w:lvlText w:val="%1"/>
      <w:numFmt w:val="decimal"/>
      <w:start w:val="10"/>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2"/>
    </w:lvl>
  </w:abstractNum>
  <w:abstractNum w:abstractNumId="10">
    <w:nsid w:val="66EF438D"/>
    <w:multiLevelType w:val="hybridMultilevel"/>
    <w:lvl w:ilvl="0">
      <w:lvlJc w:val="left"/>
      <w:lvlText w:val="(%1)"/>
      <w:numFmt w:val="lowerLetter"/>
      <w:start w:val="3"/>
    </w:lvl>
  </w:abstractNum>
  <w:abstractNum w:abstractNumId="11">
    <w:nsid w:val="140E0F76"/>
    <w:multiLevelType w:val="hybridMultilevel"/>
    <w:lvl w:ilvl="0">
      <w:lvlJc w:val="left"/>
      <w:lvlText w:val="(%1)"/>
      <w:numFmt w:val="lowerLetter"/>
      <w:start w:val="4"/>
    </w:lvl>
  </w:abstractNum>
  <w:abstractNum w:abstractNumId="12">
    <w:nsid w:val="3352255A"/>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2022-02-14T06:04:48Z</dcterms:created>
  <dcterms:modified xsi:type="dcterms:W3CDTF">2022-02-14T06:04:48Z</dcterms:modified>
</cp:coreProperties>
</file>