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506730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479425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45720</wp:posOffset>
            </wp:positionV>
            <wp:extent cx="24390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70485</wp:posOffset>
            </wp:positionV>
            <wp:extent cx="24390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53340</wp:posOffset>
            </wp:positionV>
            <wp:extent cx="24390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45085</wp:posOffset>
            </wp:positionV>
            <wp:extent cx="24390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225"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52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001-40958</w:t>
            </w:r>
          </w:p>
        </w:tc>
        <w:tc>
          <w:tcPr>
            <w:tcW w:w="720" w:type="dxa"/>
            <w:vAlign w:val="bottom"/>
          </w:tcPr>
          <w:p>
            <w:pPr>
              <w:spacing w:after="0"/>
              <w:rPr>
                <w:sz w:val="16"/>
                <w:szCs w:val="16"/>
                <w:color w:val="auto"/>
              </w:rPr>
            </w:pP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80-0376379</w:t>
            </w:r>
          </w:p>
        </w:tc>
      </w:tr>
      <w:tr>
        <w:trPr>
          <w:trHeight w:val="140"/>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700" w:type="dxa"/>
            <w:vAlign w:val="bottom"/>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860" w:type="dxa"/>
            <w:vAlign w:val="bottom"/>
          </w:tcPr>
          <w:p>
            <w:pPr>
              <w:jc w:val="center"/>
              <w:ind w:right="49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680" w:type="dxa"/>
            <w:vAlign w:val="bottom"/>
          </w:tcPr>
          <w:p>
            <w:pPr>
              <w:spacing w:after="0"/>
              <w:rPr>
                <w:sz w:val="12"/>
                <w:szCs w:val="12"/>
                <w:color w:val="auto"/>
              </w:rPr>
            </w:pPr>
          </w:p>
        </w:tc>
        <w:tc>
          <w:tcPr>
            <w:tcW w:w="4560" w:type="dxa"/>
            <w:vAlign w:val="bottom"/>
            <w:gridSpan w:val="2"/>
          </w:tcPr>
          <w:p>
            <w:pPr>
              <w:ind w:left="158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31"/>
        </w:trPr>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Rent the Runway, Inc.</w:t>
            </w:r>
          </w:p>
        </w:tc>
        <w:tc>
          <w:tcPr>
            <w:tcW w:w="1700" w:type="dxa"/>
            <w:vAlign w:val="bottom"/>
          </w:tcPr>
          <w:p>
            <w:pPr>
              <w:spacing w:after="0"/>
              <w:rPr>
                <w:sz w:val="24"/>
                <w:szCs w:val="24"/>
                <w:color w:val="auto"/>
              </w:rPr>
            </w:pPr>
          </w:p>
        </w:tc>
      </w:tr>
      <w:tr>
        <w:trPr>
          <w:trHeight w:val="170"/>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10 Jay Street</w:t>
            </w:r>
          </w:p>
        </w:tc>
        <w:tc>
          <w:tcPr>
            <w:tcW w:w="1700" w:type="dxa"/>
            <w:vAlign w:val="bottom"/>
          </w:tcPr>
          <w:p>
            <w:pPr>
              <w:spacing w:after="0"/>
              <w:rPr>
                <w:sz w:val="14"/>
                <w:szCs w:val="14"/>
                <w:color w:val="auto"/>
              </w:rPr>
            </w:pPr>
          </w:p>
        </w:tc>
      </w:tr>
      <w:tr>
        <w:trPr>
          <w:trHeight w:val="157"/>
        </w:trPr>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560" w:type="dxa"/>
            <w:vAlign w:val="bottom"/>
            <w:gridSpan w:val="2"/>
          </w:tcPr>
          <w:p>
            <w:pPr>
              <w:jc w:val="center"/>
              <w:ind w:right="7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Brooklyn, New York 11201</w:t>
            </w:r>
          </w:p>
        </w:tc>
        <w:tc>
          <w:tcPr>
            <w:tcW w:w="1700" w:type="dxa"/>
            <w:vAlign w:val="bottom"/>
          </w:tcPr>
          <w:p>
            <w:pPr>
              <w:spacing w:after="0"/>
              <w:rPr>
                <w:sz w:val="13"/>
                <w:szCs w:val="13"/>
                <w:color w:val="auto"/>
              </w:rPr>
            </w:pP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56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00" w:type="dxa"/>
            <w:vAlign w:val="bottom"/>
          </w:tcPr>
          <w:p>
            <w:pPr>
              <w:spacing w:after="0"/>
              <w:rPr>
                <w:sz w:val="12"/>
                <w:szCs w:val="12"/>
                <w:color w:val="auto"/>
              </w:rPr>
            </w:pPr>
          </w:p>
        </w:tc>
      </w:tr>
      <w:tr>
        <w:trPr>
          <w:trHeight w:val="252"/>
        </w:trPr>
        <w:tc>
          <w:tcPr>
            <w:tcW w:w="1860" w:type="dxa"/>
            <w:vAlign w:val="bottom"/>
          </w:tcPr>
          <w:p>
            <w:pPr>
              <w:spacing w:after="0"/>
              <w:rPr>
                <w:sz w:val="21"/>
                <w:szCs w:val="21"/>
                <w:color w:val="auto"/>
              </w:rPr>
            </w:pPr>
          </w:p>
        </w:tc>
        <w:tc>
          <w:tcPr>
            <w:tcW w:w="5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524-6860</w:t>
            </w:r>
          </w:p>
        </w:tc>
        <w:tc>
          <w:tcPr>
            <w:tcW w:w="1700" w:type="dxa"/>
            <w:vAlign w:val="bottom"/>
          </w:tcPr>
          <w:p>
            <w:pPr>
              <w:spacing w:after="0"/>
              <w:rPr>
                <w:sz w:val="21"/>
                <w:szCs w:val="21"/>
                <w:color w:val="auto"/>
              </w:rPr>
            </w:pPr>
          </w:p>
        </w:tc>
      </w:tr>
      <w:tr>
        <w:trPr>
          <w:trHeight w:val="64"/>
        </w:trPr>
        <w:tc>
          <w:tcPr>
            <w:tcW w:w="18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1700" w:type="dxa"/>
            <w:vAlign w:val="bottom"/>
          </w:tcPr>
          <w:p>
            <w:pPr>
              <w:spacing w:after="0"/>
              <w:rPr>
                <w:sz w:val="5"/>
                <w:szCs w:val="5"/>
                <w:color w:val="auto"/>
              </w:rPr>
            </w:pPr>
          </w:p>
        </w:tc>
      </w:tr>
    </w:tbl>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left="1040" w:hanging="356"/>
        <w:spacing w:after="0"/>
        <w:tabs>
          <w:tab w:leader="none" w:pos="10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3600" w:type="dxa"/>
            <w:vAlign w:val="bottom"/>
          </w:tcPr>
          <w:p>
            <w:pPr>
              <w:spacing w:after="0"/>
              <w:rPr>
                <w:sz w:val="11"/>
                <w:szCs w:val="11"/>
                <w:color w:val="auto"/>
              </w:rPr>
            </w:pPr>
          </w:p>
        </w:tc>
      </w:tr>
      <w:tr>
        <w:trPr>
          <w:trHeight w:val="180"/>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86"/>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RENT</w:t>
            </w:r>
          </w:p>
        </w:tc>
        <w:tc>
          <w:tcPr>
            <w:tcW w:w="140" w:type="dxa"/>
            <w:vAlign w:val="bottom"/>
          </w:tcPr>
          <w:p>
            <w:pPr>
              <w:spacing w:after="0"/>
              <w:rPr>
                <w:sz w:val="16"/>
                <w:szCs w:val="16"/>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w:t>
            </w:r>
          </w:p>
        </w:tc>
      </w:tr>
    </w:tbl>
    <w:p>
      <w:pPr>
        <w:spacing w:after="0" w:line="139" w:lineRule="exact"/>
        <w:rPr>
          <w:sz w:val="24"/>
          <w:szCs w:val="24"/>
          <w:color w:val="auto"/>
        </w:rPr>
      </w:pPr>
    </w:p>
    <w:p>
      <w:pPr>
        <w:ind w:right="5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694690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100965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5.02</w:t>
      </w:r>
      <w:r>
        <w:rPr>
          <w:sz w:val="20"/>
          <w:szCs w:val="20"/>
          <w:color w:val="auto"/>
        </w:rPr>
        <w:tab/>
      </w:r>
      <w:r>
        <w:rPr>
          <w:rFonts w:ascii="Times New Roman" w:cs="Times New Roman" w:eastAsia="Times New Roman" w:hAnsi="Times New Roman"/>
          <w:sz w:val="14"/>
          <w:szCs w:val="14"/>
          <w:b w:val="1"/>
          <w:bCs w:val="1"/>
          <w:color w:val="auto"/>
        </w:rPr>
        <w:t>Departure of Directors or Certain Officers; Election of Directors; Appointment of Certain Officers; Compensatory Arrangements of Certain Officers.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On May 15, 2024 (the “Effective Date”), the Board of Directors (the “Board”) of Rent the Runway, Inc. (the “Company”) approved the Rent the Runway, Inc. Transaction Bonus Plan (the “Bonus Plan”), upon the recommendation of the Compensation Committee of the Board. Under the Bonus Plan, certain key employees of the Company who are designated as participants will be eligible to receive a base transaction bonus (the “Base Transaction Bonus”) and a free cash flow bonus (the “Free Cash Flow Bonus”) to provide additional performance incentives based on cash flow performance of the Company and to encourage the realization of a qualifying Transaction (as defined in the Bonus Plan). The term of the Bonus Plan (the “Term”) commences on the Effective Date and ends on the second anniversary of the Effective Date, following which it will automatically renew for one additional one-year period, and thereafter for successive one-year periods unless otherwise determined by the Compensation Committee of the Board.</w:t>
      </w:r>
    </w:p>
    <w:p>
      <w:pPr>
        <w:spacing w:after="0" w:line="167"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Participants will be eligible to be paid a Base Transaction Bonus in an amount equal to the product of (a) $12,500,000 (the “Base Transaction Bonus Pool”), and (b) such participant’s applicable allocated percentage of the Base Transaction Bonus Pool. Participants will also be eligible to be paid a Free Cash Flow Bonus in an amount equal to the product of (a) 50% of the Company’s free cash flow for the most recent twelve (12) calendar months ended immediately preceding the closing date of a Transaction up to a maximum amount of $12,500,000 (the “Free Cash Flow Bonus Pool”), and (b) such participant’s applicable allocated percentage of the Free Cash Flow Bonus Pool.</w:t>
      </w:r>
    </w:p>
    <w:p>
      <w:pPr>
        <w:spacing w:after="0" w:line="16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Payment of the Base Transaction Bonuses and Free Cash Flow Bonuses are subject to the participant’s continued employment with the Company or one of its subsidiaries through the date on which the Company enters into a binding agreement which results in, or the consummation of which would result in, the occurrence of a Transaction (the “Transaction Agreement Date”); provided, that no bonus under the Bonus Plan will be payable to any participant if the participant’s employment with the Company is terminated by the Company for “cause” or by the participant without “good reason” (each as defined in the Bonus Plan); and, provided further, for any participant designated as a “designated participant”, if such participant’s employment with the Company is terminated by the Company without cause, by such participant for good reason or due to such participant’s death or disability prior to the Transaction Agreement Date, such participant shall remain eligible to receive a prorated Base Transaction Bonus and Free Cash Flow Bonus in accordance with the Bonus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Named Executive Officers Receiving Bonuses under the Bonus Plan</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Pursuant to its authority as administrator of the Bonus Plan, the Compensation Committee has approved bonus allocations under the Bonus Plan providing the Company’s Named Executive Officers with an opportunity to earn bonuses as set forth in the table below:</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2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 Name</w:t>
            </w:r>
          </w:p>
        </w:tc>
        <w:tc>
          <w:tcPr>
            <w:tcW w:w="36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Participant Role</w:t>
            </w:r>
          </w:p>
        </w:tc>
        <w:tc>
          <w:tcPr>
            <w:tcW w:w="2480" w:type="dxa"/>
            <w:vAlign w:val="bottom"/>
            <w:tcBorders>
              <w:top w:val="single" w:sz="8" w:color="auto"/>
              <w:bottom w:val="single" w:sz="8" w:color="auto"/>
              <w:right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Base Transaction Bonus Percentage</w:t>
            </w:r>
          </w:p>
        </w:tc>
        <w:tc>
          <w:tcPr>
            <w:tcW w:w="2480" w:type="dxa"/>
            <w:vAlign w:val="bottom"/>
            <w:tcBorders>
              <w:top w:val="single" w:sz="8" w:color="auto"/>
              <w:bottom w:val="single" w:sz="8" w:color="auto"/>
              <w:right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9"/>
              </w:rPr>
              <w:t>Free Cash Flow Bonus Percentage</w:t>
            </w:r>
          </w:p>
        </w:tc>
      </w:tr>
      <w:tr>
        <w:trPr>
          <w:trHeight w:val="171"/>
        </w:trPr>
        <w:tc>
          <w:tcPr>
            <w:tcW w:w="2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Jenn Hyman</w:t>
            </w: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Chief Executive Officer &amp; President</w:t>
            </w:r>
          </w:p>
        </w:tc>
        <w:tc>
          <w:tcPr>
            <w:tcW w:w="2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49.1 %</w:t>
            </w:r>
          </w:p>
        </w:tc>
        <w:tc>
          <w:tcPr>
            <w:tcW w:w="2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49.1 %</w:t>
            </w:r>
          </w:p>
        </w:tc>
      </w:tr>
      <w:tr>
        <w:trPr>
          <w:trHeight w:val="171"/>
        </w:trPr>
        <w:tc>
          <w:tcPr>
            <w:tcW w:w="22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Sid Thacker</w:t>
            </w:r>
          </w:p>
        </w:tc>
        <w:tc>
          <w:tcPr>
            <w:tcW w:w="36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Chief Financial Officer</w:t>
            </w:r>
          </w:p>
        </w:tc>
        <w:tc>
          <w:tcPr>
            <w:tcW w:w="2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2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10.6 %</w:t>
            </w:r>
          </w:p>
        </w:tc>
      </w:tr>
    </w:tbl>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Bonus Plan does not purport to be complete and is qualified in its entirety by reference to the full text of the Bonus Plan, which is filed as Exhibit 10.1 to this Current Report on Form 8-K and is incorporated herein by reference.</w:t>
      </w:r>
    </w:p>
    <w:p>
      <w:pPr>
        <w:spacing w:after="0" w:line="175"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372745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174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60" w:type="dxa"/>
            <w:vAlign w:val="bottom"/>
          </w:tcPr>
          <w:p>
            <w:pPr>
              <w:spacing w:after="0"/>
              <w:rPr>
                <w:sz w:val="12"/>
                <w:szCs w:val="12"/>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59"/>
        </w:trPr>
        <w:tc>
          <w:tcPr>
            <w:tcW w:w="16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95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color w:val="0000FF"/>
              </w:rPr>
              <w:t>Rent the Runway, Inc. Transaction Bonus Plan</w:t>
            </w:r>
          </w:p>
        </w:tc>
      </w:tr>
      <w:tr>
        <w:trPr>
          <w:trHeight w:val="184"/>
        </w:trPr>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9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r>
      <w:tr>
        <w:trPr>
          <w:trHeight w:val="861"/>
        </w:trPr>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58" w:right="319" w:bottom="1440" w:gutter="0" w:footer="0" w:header="0"/>
        </w:sectPr>
      </w:pPr>
    </w:p>
    <w:bookmarkStart w:id="3" w:name="page4"/>
    <w:bookmarkEnd w:id="3"/>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RENT THE RUNWAY, INC.</w:t>
      </w:r>
    </w:p>
    <w:p>
      <w:pPr>
        <w:spacing w:after="0" w:line="106" w:lineRule="exact"/>
        <w:rPr>
          <w:sz w:val="20"/>
          <w:szCs w:val="20"/>
          <w:color w:val="auto"/>
        </w:rPr>
      </w:pPr>
    </w:p>
    <w:p>
      <w:pPr>
        <w:ind w:left="340"/>
        <w:spacing w:after="0"/>
        <w:tabs>
          <w:tab w:leader="none" w:pos="5540" w:val="left"/>
          <w:tab w:leader="none" w:pos="6160" w:val="left"/>
        </w:tabs>
        <w:rPr>
          <w:sz w:val="20"/>
          <w:szCs w:val="20"/>
          <w:color w:val="auto"/>
        </w:rPr>
      </w:pPr>
      <w:r>
        <w:rPr>
          <w:rFonts w:ascii="Times New Roman" w:cs="Times New Roman" w:eastAsia="Times New Roman" w:hAnsi="Times New Roman"/>
          <w:sz w:val="14"/>
          <w:szCs w:val="14"/>
          <w:color w:val="auto"/>
        </w:rPr>
        <w:t>Date: May 21,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14605</wp:posOffset>
            </wp:positionV>
            <wp:extent cx="324040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0405" cy="6985"/>
                    </a:xfrm>
                    <a:prstGeom prst="rect">
                      <a:avLst/>
                    </a:prstGeom>
                    <a:noFill/>
                  </pic:spPr>
                </pic:pic>
              </a:graphicData>
            </a:graphic>
          </wp:anchor>
        </w:drawing>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700"/>
          </w:cols>
          <w:pgMar w:left="300" w:top="632" w:right="8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2024-05-21T16:14:07Z</dcterms:created>
  <dcterms:modified xsi:type="dcterms:W3CDTF">2024-05-21T16:14:07Z</dcterms:modified>
</cp:coreProperties>
</file>