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Harris Melanie</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55,041</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4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Reflects restricted stock units ("RSUs"), each of which represents a contingent right to receive one share of the Issuer's Common Stock. The RSUs vest as to 25% of the underlying shares on August 1, 2022 and in 12 substantially equal quarterly installments thereafter. The RSUs have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Melanie Harris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180" w:right="61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180" w:right="61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26,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Melanie Harris</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Melanie Harris</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00" w:lineRule="exact"/>
        <w:rPr>
          <w:sz w:val="20"/>
          <w:szCs w:val="20"/>
          <w:color w:val="auto"/>
        </w:rPr>
      </w:pPr>
    </w:p>
    <w:p>
      <w:pPr>
        <w:spacing w:after="0" w:line="255" w:lineRule="exact"/>
        <w:rPr>
          <w:sz w:val="20"/>
          <w:szCs w:val="20"/>
          <w:color w:val="auto"/>
        </w:rPr>
      </w:pPr>
    </w:p>
    <w:p>
      <w:pPr>
        <w:ind w:right="739" w:firstLine="702"/>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7964"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2021-10-26T20:13:56Z</dcterms:created>
  <dcterms:modified xsi:type="dcterms:W3CDTF">2021-10-26T20:13:56Z</dcterms:modified>
</cp:coreProperties>
</file>