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gridSpan w:val="2"/>
          </w:tcPr>
          <w:p>
            <w:pPr>
              <w:jc w:val="right"/>
              <w:ind w:right="200"/>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2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BAIN CAPITAL VENTURE</w:t>
              </w:r>
            </w:hyperlink>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4"/>
            <w:vMerge w:val="continue"/>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INVESTORS, LLC</w:t>
              </w:r>
            </w:hyperlink>
          </w:p>
        </w:tc>
        <w:tc>
          <w:tcPr>
            <w:tcW w:w="4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10/26/2021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200 CLARENDON STREET</w:t>
            </w:r>
          </w:p>
        </w:tc>
      </w:tr>
      <w:tr>
        <w:trPr>
          <w:trHeight w:val="237"/>
        </w:trPr>
        <w:tc>
          <w:tcPr>
            <w:tcW w:w="94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820" w:type="dxa"/>
            <w:vAlign w:val="bottom"/>
          </w:tcPr>
          <w:p>
            <w:pPr>
              <w:ind w:left="120"/>
              <w:spacing w:after="0"/>
              <w:rPr>
                <w:sz w:val="20"/>
                <w:szCs w:val="20"/>
                <w:color w:val="auto"/>
              </w:rPr>
            </w:pPr>
            <w:r>
              <w:rPr>
                <w:rFonts w:ascii="Arial" w:cs="Arial" w:eastAsia="Arial" w:hAnsi="Arial"/>
                <w:sz w:val="20"/>
                <w:szCs w:val="20"/>
                <w:color w:val="0000FF"/>
              </w:rPr>
              <w:t>MA</w:t>
            </w:r>
          </w:p>
        </w:tc>
        <w:tc>
          <w:tcPr>
            <w:tcW w:w="1340" w:type="dxa"/>
            <w:vAlign w:val="bottom"/>
          </w:tcPr>
          <w:p>
            <w:pPr>
              <w:ind w:left="340"/>
              <w:spacing w:after="0"/>
              <w:rPr>
                <w:sz w:val="20"/>
                <w:szCs w:val="20"/>
                <w:color w:val="auto"/>
              </w:rPr>
            </w:pPr>
            <w:r>
              <w:rPr>
                <w:rFonts w:ascii="Arial" w:cs="Arial" w:eastAsia="Arial" w:hAnsi="Arial"/>
                <w:sz w:val="20"/>
                <w:szCs w:val="20"/>
                <w:color w:val="0000FF"/>
              </w:rPr>
              <w:t>02116</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86"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r>
              <w:rPr>
                <w:rFonts w:ascii="Arial" w:cs="Arial" w:eastAsia="Arial" w:hAnsi="Arial"/>
                <w:sz w:val="25"/>
                <w:szCs w:val="25"/>
                <w:color w:val="008000"/>
                <w:vertAlign w:val="superscript"/>
              </w:rPr>
              <w:t>(1)</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800"/>
              <w:spacing w:after="0"/>
              <w:rPr>
                <w:sz w:val="20"/>
                <w:szCs w:val="20"/>
                <w:color w:val="auto"/>
              </w:rPr>
            </w:pPr>
            <w:r>
              <w:rPr>
                <w:rFonts w:ascii="Arial" w:cs="Arial" w:eastAsia="Arial" w:hAnsi="Arial"/>
                <w:sz w:val="20"/>
                <w:szCs w:val="20"/>
                <w:color w:val="0000FF"/>
              </w:rPr>
              <w:t>483,732</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570"/>
              <w:spacing w:after="0"/>
              <w:rPr>
                <w:sz w:val="20"/>
                <w:szCs w:val="20"/>
                <w:color w:val="auto"/>
              </w:rPr>
            </w:pPr>
            <w:r>
              <w:rPr>
                <w:rFonts w:ascii="Arial" w:cs="Arial" w:eastAsia="Arial" w:hAnsi="Arial"/>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(3)(4)(5)(6)</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6"/>
          </w:tcPr>
          <w:p>
            <w:pPr>
              <w:jc w:val="right"/>
              <w:ind w:right="33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5400" w:type="dxa"/>
            <w:vAlign w:val="bottom"/>
            <w:gridSpan w:val="7"/>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2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6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4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6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6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4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2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7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gridSpan w:val="2"/>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2"/>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240" w:type="dxa"/>
            <w:vAlign w:val="bottom"/>
          </w:tcPr>
          <w:p>
            <w:pPr>
              <w:spacing w:after="0"/>
              <w:rPr>
                <w:sz w:val="14"/>
                <w:szCs w:val="14"/>
                <w:color w:val="auto"/>
              </w:rPr>
            </w:pP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86"/>
              </w:rPr>
              <w:t>Seed Series Convertible Preferred</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8000"/>
              </w:rPr>
              <w:t>(2)</w:t>
            </w:r>
          </w:p>
        </w:tc>
        <w:tc>
          <w:tcPr>
            <w:tcW w:w="1680" w:type="dxa"/>
            <w:vAlign w:val="bottom"/>
            <w:vMerge w:val="restart"/>
          </w:tcPr>
          <w:p>
            <w:pPr>
              <w:ind w:left="200"/>
              <w:spacing w:after="0"/>
              <w:rPr>
                <w:sz w:val="20"/>
                <w:szCs w:val="20"/>
                <w:color w:val="auto"/>
              </w:rPr>
            </w:pPr>
            <w:r>
              <w:rPr>
                <w:rFonts w:ascii="Arial" w:cs="Arial" w:eastAsia="Arial" w:hAnsi="Arial"/>
                <w:sz w:val="20"/>
                <w:szCs w:val="20"/>
                <w:color w:val="0000FF"/>
                <w:w w:val="92"/>
              </w:rPr>
              <w:t>Common Stock</w:t>
            </w:r>
            <w:r>
              <w:rPr>
                <w:rFonts w:ascii="Arial" w:cs="Arial" w:eastAsia="Arial" w:hAnsi="Arial"/>
                <w:sz w:val="25"/>
                <w:szCs w:val="25"/>
                <w:color w:val="008000"/>
                <w:w w:val="92"/>
                <w:vertAlign w:val="superscript"/>
              </w:rPr>
              <w:t>(1)</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3,992,000</w:t>
            </w:r>
          </w:p>
        </w:tc>
        <w:tc>
          <w:tcPr>
            <w:tcW w:w="740" w:type="dxa"/>
            <w:vAlign w:val="bottom"/>
            <w:vMerge w:val="restart"/>
          </w:tcPr>
          <w:p>
            <w:pPr>
              <w:jc w:val="right"/>
              <w:ind w:right="110"/>
              <w:spacing w:after="0"/>
              <w:rPr>
                <w:sz w:val="20"/>
                <w:szCs w:val="20"/>
                <w:color w:val="auto"/>
              </w:rPr>
            </w:pPr>
            <w:r>
              <w:rPr>
                <w:rFonts w:ascii="Arial" w:cs="Arial" w:eastAsia="Arial" w:hAnsi="Arial"/>
                <w:sz w:val="13"/>
                <w:szCs w:val="13"/>
                <w:color w:val="008000"/>
              </w:rPr>
              <w:t>(2)</w:t>
            </w:r>
          </w:p>
        </w:tc>
        <w:tc>
          <w:tcPr>
            <w:tcW w:w="2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00" w:type="dxa"/>
            <w:vAlign w:val="bottom"/>
            <w:gridSpan w:val="2"/>
          </w:tcPr>
          <w:p>
            <w:pPr>
              <w:ind w:left="60"/>
              <w:spacing w:after="0"/>
              <w:rPr>
                <w:sz w:val="20"/>
                <w:szCs w:val="20"/>
                <w:color w:val="auto"/>
              </w:rPr>
            </w:pPr>
            <w:r>
              <w:rPr>
                <w:rFonts w:ascii="Arial" w:cs="Arial" w:eastAsia="Arial" w:hAnsi="Arial"/>
                <w:sz w:val="20"/>
                <w:szCs w:val="20"/>
                <w:color w:val="0000FF"/>
                <w:w w:val="92"/>
              </w:rPr>
              <w:t>See footnotes</w:t>
            </w:r>
            <w:r>
              <w:rPr>
                <w:rFonts w:ascii="Arial" w:cs="Arial" w:eastAsia="Arial" w:hAnsi="Arial"/>
                <w:sz w:val="25"/>
                <w:szCs w:val="25"/>
                <w:color w:val="008000"/>
                <w:w w:val="92"/>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80" w:type="dxa"/>
            <w:vAlign w:val="bottom"/>
            <w:vMerge w:val="restart"/>
          </w:tcPr>
          <w:p>
            <w:pPr>
              <w:ind w:left="60"/>
              <w:spacing w:after="0"/>
              <w:rPr>
                <w:sz w:val="20"/>
                <w:szCs w:val="20"/>
                <w:color w:val="auto"/>
              </w:rPr>
            </w:pPr>
            <w:r>
              <w:rPr>
                <w:rFonts w:ascii="Arial" w:cs="Arial" w:eastAsia="Arial" w:hAnsi="Arial"/>
                <w:sz w:val="13"/>
                <w:szCs w:val="13"/>
                <w:color w:val="008000"/>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7"/>
              </w:rPr>
              <w:t>Series A Convertible Preferred</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8000"/>
              </w:rPr>
              <w:t>(2)</w:t>
            </w:r>
          </w:p>
        </w:tc>
        <w:tc>
          <w:tcPr>
            <w:tcW w:w="1680" w:type="dxa"/>
            <w:vAlign w:val="bottom"/>
            <w:vMerge w:val="restart"/>
          </w:tcPr>
          <w:p>
            <w:pPr>
              <w:ind w:left="200"/>
              <w:spacing w:after="0"/>
              <w:rPr>
                <w:sz w:val="20"/>
                <w:szCs w:val="20"/>
                <w:color w:val="auto"/>
              </w:rPr>
            </w:pPr>
            <w:r>
              <w:rPr>
                <w:rFonts w:ascii="Arial" w:cs="Arial" w:eastAsia="Arial" w:hAnsi="Arial"/>
                <w:sz w:val="20"/>
                <w:szCs w:val="20"/>
                <w:color w:val="0000FF"/>
                <w:w w:val="92"/>
              </w:rPr>
              <w:t>Common Stock</w:t>
            </w:r>
            <w:r>
              <w:rPr>
                <w:rFonts w:ascii="Arial" w:cs="Arial" w:eastAsia="Arial" w:hAnsi="Arial"/>
                <w:sz w:val="25"/>
                <w:szCs w:val="25"/>
                <w:color w:val="008000"/>
                <w:w w:val="92"/>
                <w:vertAlign w:val="superscript"/>
              </w:rPr>
              <w:t>(1)</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1,691,175</w:t>
            </w:r>
          </w:p>
        </w:tc>
        <w:tc>
          <w:tcPr>
            <w:tcW w:w="740" w:type="dxa"/>
            <w:vAlign w:val="bottom"/>
            <w:vMerge w:val="restart"/>
          </w:tcPr>
          <w:p>
            <w:pPr>
              <w:jc w:val="right"/>
              <w:ind w:right="110"/>
              <w:spacing w:after="0"/>
              <w:rPr>
                <w:sz w:val="20"/>
                <w:szCs w:val="20"/>
                <w:color w:val="auto"/>
              </w:rPr>
            </w:pPr>
            <w:r>
              <w:rPr>
                <w:rFonts w:ascii="Arial" w:cs="Arial" w:eastAsia="Arial" w:hAnsi="Arial"/>
                <w:sz w:val="13"/>
                <w:szCs w:val="13"/>
                <w:color w:val="008000"/>
              </w:rPr>
              <w:t>(2)</w:t>
            </w:r>
          </w:p>
        </w:tc>
        <w:tc>
          <w:tcPr>
            <w:tcW w:w="2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00" w:type="dxa"/>
            <w:vAlign w:val="bottom"/>
            <w:gridSpan w:val="2"/>
          </w:tcPr>
          <w:p>
            <w:pPr>
              <w:ind w:left="60"/>
              <w:spacing w:after="0"/>
              <w:rPr>
                <w:sz w:val="20"/>
                <w:szCs w:val="20"/>
                <w:color w:val="auto"/>
              </w:rPr>
            </w:pPr>
            <w:r>
              <w:rPr>
                <w:rFonts w:ascii="Arial" w:cs="Arial" w:eastAsia="Arial" w:hAnsi="Arial"/>
                <w:sz w:val="20"/>
                <w:szCs w:val="20"/>
                <w:color w:val="0000FF"/>
                <w:w w:val="92"/>
              </w:rPr>
              <w:t>See footnotes</w:t>
            </w:r>
            <w:r>
              <w:rPr>
                <w:rFonts w:ascii="Arial" w:cs="Arial" w:eastAsia="Arial" w:hAnsi="Arial"/>
                <w:sz w:val="25"/>
                <w:szCs w:val="25"/>
                <w:color w:val="008000"/>
                <w:w w:val="92"/>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80" w:type="dxa"/>
            <w:vAlign w:val="bottom"/>
            <w:vMerge w:val="restart"/>
          </w:tcPr>
          <w:p>
            <w:pPr>
              <w:ind w:left="60"/>
              <w:spacing w:after="0"/>
              <w:rPr>
                <w:sz w:val="20"/>
                <w:szCs w:val="20"/>
                <w:color w:val="auto"/>
              </w:rPr>
            </w:pPr>
            <w:r>
              <w:rPr>
                <w:rFonts w:ascii="Arial" w:cs="Arial" w:eastAsia="Arial" w:hAnsi="Arial"/>
                <w:sz w:val="13"/>
                <w:szCs w:val="13"/>
                <w:color w:val="008000"/>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6"/>
              </w:rPr>
              <w:t>Series C Convertible Preferred</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8000"/>
              </w:rPr>
              <w:t>(2)</w:t>
            </w:r>
          </w:p>
        </w:tc>
        <w:tc>
          <w:tcPr>
            <w:tcW w:w="1680" w:type="dxa"/>
            <w:vAlign w:val="bottom"/>
            <w:vMerge w:val="restart"/>
          </w:tcPr>
          <w:p>
            <w:pPr>
              <w:ind w:left="200"/>
              <w:spacing w:after="0"/>
              <w:rPr>
                <w:sz w:val="20"/>
                <w:szCs w:val="20"/>
                <w:color w:val="auto"/>
              </w:rPr>
            </w:pPr>
            <w:r>
              <w:rPr>
                <w:rFonts w:ascii="Arial" w:cs="Arial" w:eastAsia="Arial" w:hAnsi="Arial"/>
                <w:sz w:val="20"/>
                <w:szCs w:val="20"/>
                <w:color w:val="0000FF"/>
                <w:w w:val="92"/>
              </w:rPr>
              <w:t>Common Stock</w:t>
            </w:r>
            <w:r>
              <w:rPr>
                <w:rFonts w:ascii="Arial" w:cs="Arial" w:eastAsia="Arial" w:hAnsi="Arial"/>
                <w:sz w:val="25"/>
                <w:szCs w:val="25"/>
                <w:color w:val="008000"/>
                <w:w w:val="92"/>
                <w:vertAlign w:val="superscript"/>
              </w:rPr>
              <w:t>(1)</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370,369</w:t>
            </w:r>
          </w:p>
        </w:tc>
        <w:tc>
          <w:tcPr>
            <w:tcW w:w="740" w:type="dxa"/>
            <w:vAlign w:val="bottom"/>
            <w:vMerge w:val="restart"/>
          </w:tcPr>
          <w:p>
            <w:pPr>
              <w:jc w:val="right"/>
              <w:ind w:right="110"/>
              <w:spacing w:after="0"/>
              <w:rPr>
                <w:sz w:val="20"/>
                <w:szCs w:val="20"/>
                <w:color w:val="auto"/>
              </w:rPr>
            </w:pPr>
            <w:r>
              <w:rPr>
                <w:rFonts w:ascii="Arial" w:cs="Arial" w:eastAsia="Arial" w:hAnsi="Arial"/>
                <w:sz w:val="13"/>
                <w:szCs w:val="13"/>
                <w:color w:val="008000"/>
              </w:rPr>
              <w:t>(2)</w:t>
            </w:r>
          </w:p>
        </w:tc>
        <w:tc>
          <w:tcPr>
            <w:tcW w:w="2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00" w:type="dxa"/>
            <w:vAlign w:val="bottom"/>
            <w:gridSpan w:val="2"/>
          </w:tcPr>
          <w:p>
            <w:pPr>
              <w:ind w:left="60"/>
              <w:spacing w:after="0"/>
              <w:rPr>
                <w:sz w:val="20"/>
                <w:szCs w:val="20"/>
                <w:color w:val="auto"/>
              </w:rPr>
            </w:pPr>
            <w:r>
              <w:rPr>
                <w:rFonts w:ascii="Arial" w:cs="Arial" w:eastAsia="Arial" w:hAnsi="Arial"/>
                <w:sz w:val="20"/>
                <w:szCs w:val="20"/>
                <w:color w:val="0000FF"/>
                <w:w w:val="92"/>
              </w:rPr>
              <w:t>See footnotes</w:t>
            </w:r>
            <w:r>
              <w:rPr>
                <w:rFonts w:ascii="Arial" w:cs="Arial" w:eastAsia="Arial" w:hAnsi="Arial"/>
                <w:sz w:val="25"/>
                <w:szCs w:val="25"/>
                <w:color w:val="008000"/>
                <w:w w:val="92"/>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80" w:type="dxa"/>
            <w:vAlign w:val="bottom"/>
            <w:vMerge w:val="restart"/>
          </w:tcPr>
          <w:p>
            <w:pPr>
              <w:ind w:left="60"/>
              <w:spacing w:after="0"/>
              <w:rPr>
                <w:sz w:val="20"/>
                <w:szCs w:val="20"/>
                <w:color w:val="auto"/>
              </w:rPr>
            </w:pPr>
            <w:r>
              <w:rPr>
                <w:rFonts w:ascii="Arial" w:cs="Arial" w:eastAsia="Arial" w:hAnsi="Arial"/>
                <w:sz w:val="13"/>
                <w:szCs w:val="13"/>
                <w:color w:val="008000"/>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6"/>
              </w:rPr>
              <w:t>Series D Convertible Preferred</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8000"/>
              </w:rPr>
              <w:t>(2)</w:t>
            </w:r>
          </w:p>
        </w:tc>
        <w:tc>
          <w:tcPr>
            <w:tcW w:w="1680" w:type="dxa"/>
            <w:vAlign w:val="bottom"/>
            <w:vMerge w:val="restart"/>
          </w:tcPr>
          <w:p>
            <w:pPr>
              <w:ind w:left="200"/>
              <w:spacing w:after="0"/>
              <w:rPr>
                <w:sz w:val="20"/>
                <w:szCs w:val="20"/>
                <w:color w:val="auto"/>
              </w:rPr>
            </w:pPr>
            <w:r>
              <w:rPr>
                <w:rFonts w:ascii="Arial" w:cs="Arial" w:eastAsia="Arial" w:hAnsi="Arial"/>
                <w:sz w:val="20"/>
                <w:szCs w:val="20"/>
                <w:color w:val="0000FF"/>
                <w:w w:val="92"/>
              </w:rPr>
              <w:t>Common Stock</w:t>
            </w:r>
            <w:r>
              <w:rPr>
                <w:rFonts w:ascii="Arial" w:cs="Arial" w:eastAsia="Arial" w:hAnsi="Arial"/>
                <w:sz w:val="25"/>
                <w:szCs w:val="25"/>
                <w:color w:val="008000"/>
                <w:w w:val="92"/>
                <w:vertAlign w:val="superscript"/>
              </w:rPr>
              <w:t>(1)</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395,193</w:t>
            </w:r>
          </w:p>
        </w:tc>
        <w:tc>
          <w:tcPr>
            <w:tcW w:w="740" w:type="dxa"/>
            <w:vAlign w:val="bottom"/>
            <w:vMerge w:val="restart"/>
          </w:tcPr>
          <w:p>
            <w:pPr>
              <w:jc w:val="right"/>
              <w:ind w:right="110"/>
              <w:spacing w:after="0"/>
              <w:rPr>
                <w:sz w:val="20"/>
                <w:szCs w:val="20"/>
                <w:color w:val="auto"/>
              </w:rPr>
            </w:pPr>
            <w:r>
              <w:rPr>
                <w:rFonts w:ascii="Arial" w:cs="Arial" w:eastAsia="Arial" w:hAnsi="Arial"/>
                <w:sz w:val="13"/>
                <w:szCs w:val="13"/>
                <w:color w:val="008000"/>
              </w:rPr>
              <w:t>(2)</w:t>
            </w:r>
          </w:p>
        </w:tc>
        <w:tc>
          <w:tcPr>
            <w:tcW w:w="2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00" w:type="dxa"/>
            <w:vAlign w:val="bottom"/>
            <w:gridSpan w:val="2"/>
          </w:tcPr>
          <w:p>
            <w:pPr>
              <w:ind w:left="60"/>
              <w:spacing w:after="0"/>
              <w:rPr>
                <w:sz w:val="20"/>
                <w:szCs w:val="20"/>
                <w:color w:val="auto"/>
              </w:rPr>
            </w:pPr>
            <w:r>
              <w:rPr>
                <w:rFonts w:ascii="Arial" w:cs="Arial" w:eastAsia="Arial" w:hAnsi="Arial"/>
                <w:sz w:val="20"/>
                <w:szCs w:val="20"/>
                <w:color w:val="0000FF"/>
                <w:w w:val="92"/>
              </w:rPr>
              <w:t>See footnotes</w:t>
            </w:r>
            <w:r>
              <w:rPr>
                <w:rFonts w:ascii="Arial" w:cs="Arial" w:eastAsia="Arial" w:hAnsi="Arial"/>
                <w:sz w:val="25"/>
                <w:szCs w:val="25"/>
                <w:color w:val="008000"/>
                <w:w w:val="92"/>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80" w:type="dxa"/>
            <w:vAlign w:val="bottom"/>
            <w:vMerge w:val="restart"/>
          </w:tcPr>
          <w:p>
            <w:pPr>
              <w:ind w:left="60"/>
              <w:spacing w:after="0"/>
              <w:rPr>
                <w:sz w:val="20"/>
                <w:szCs w:val="20"/>
                <w:color w:val="auto"/>
              </w:rPr>
            </w:pPr>
            <w:r>
              <w:rPr>
                <w:rFonts w:ascii="Arial" w:cs="Arial" w:eastAsia="Arial" w:hAnsi="Arial"/>
                <w:sz w:val="13"/>
                <w:szCs w:val="13"/>
                <w:color w:val="008000"/>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7"/>
              </w:rPr>
              <w:t>Series E Convertible Preferred</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8000"/>
              </w:rPr>
              <w:t>(2)</w:t>
            </w:r>
          </w:p>
        </w:tc>
        <w:tc>
          <w:tcPr>
            <w:tcW w:w="1680" w:type="dxa"/>
            <w:vAlign w:val="bottom"/>
            <w:vMerge w:val="restart"/>
          </w:tcPr>
          <w:p>
            <w:pPr>
              <w:ind w:left="200"/>
              <w:spacing w:after="0"/>
              <w:rPr>
                <w:sz w:val="20"/>
                <w:szCs w:val="20"/>
                <w:color w:val="auto"/>
              </w:rPr>
            </w:pPr>
            <w:r>
              <w:rPr>
                <w:rFonts w:ascii="Arial" w:cs="Arial" w:eastAsia="Arial" w:hAnsi="Arial"/>
                <w:sz w:val="20"/>
                <w:szCs w:val="20"/>
                <w:color w:val="0000FF"/>
                <w:w w:val="92"/>
              </w:rPr>
              <w:t>Common Stock</w:t>
            </w:r>
            <w:r>
              <w:rPr>
                <w:rFonts w:ascii="Arial" w:cs="Arial" w:eastAsia="Arial" w:hAnsi="Arial"/>
                <w:sz w:val="25"/>
                <w:szCs w:val="25"/>
                <w:color w:val="008000"/>
                <w:w w:val="92"/>
                <w:vertAlign w:val="superscript"/>
              </w:rPr>
              <w:t>(1)</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550,469</w:t>
            </w:r>
          </w:p>
        </w:tc>
        <w:tc>
          <w:tcPr>
            <w:tcW w:w="740" w:type="dxa"/>
            <w:vAlign w:val="bottom"/>
            <w:vMerge w:val="restart"/>
          </w:tcPr>
          <w:p>
            <w:pPr>
              <w:jc w:val="right"/>
              <w:ind w:right="110"/>
              <w:spacing w:after="0"/>
              <w:rPr>
                <w:sz w:val="20"/>
                <w:szCs w:val="20"/>
                <w:color w:val="auto"/>
              </w:rPr>
            </w:pPr>
            <w:r>
              <w:rPr>
                <w:rFonts w:ascii="Arial" w:cs="Arial" w:eastAsia="Arial" w:hAnsi="Arial"/>
                <w:sz w:val="13"/>
                <w:szCs w:val="13"/>
                <w:color w:val="008000"/>
              </w:rPr>
              <w:t>(2)</w:t>
            </w:r>
          </w:p>
        </w:tc>
        <w:tc>
          <w:tcPr>
            <w:tcW w:w="2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00" w:type="dxa"/>
            <w:vAlign w:val="bottom"/>
            <w:gridSpan w:val="2"/>
          </w:tcPr>
          <w:p>
            <w:pPr>
              <w:ind w:left="60"/>
              <w:spacing w:after="0"/>
              <w:rPr>
                <w:sz w:val="20"/>
                <w:szCs w:val="20"/>
                <w:color w:val="auto"/>
              </w:rPr>
            </w:pPr>
            <w:r>
              <w:rPr>
                <w:rFonts w:ascii="Arial" w:cs="Arial" w:eastAsia="Arial" w:hAnsi="Arial"/>
                <w:sz w:val="20"/>
                <w:szCs w:val="20"/>
                <w:color w:val="0000FF"/>
                <w:w w:val="92"/>
              </w:rPr>
              <w:t>See footnotes</w:t>
            </w:r>
            <w:r>
              <w:rPr>
                <w:rFonts w:ascii="Arial" w:cs="Arial" w:eastAsia="Arial" w:hAnsi="Arial"/>
                <w:sz w:val="25"/>
                <w:szCs w:val="25"/>
                <w:color w:val="008000"/>
                <w:w w:val="92"/>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80" w:type="dxa"/>
            <w:vAlign w:val="bottom"/>
            <w:vMerge w:val="restart"/>
          </w:tcPr>
          <w:p>
            <w:pPr>
              <w:ind w:left="60"/>
              <w:spacing w:after="0"/>
              <w:rPr>
                <w:sz w:val="20"/>
                <w:szCs w:val="20"/>
                <w:color w:val="auto"/>
              </w:rPr>
            </w:pPr>
            <w:r>
              <w:rPr>
                <w:rFonts w:ascii="Arial" w:cs="Arial" w:eastAsia="Arial" w:hAnsi="Arial"/>
                <w:sz w:val="13"/>
                <w:szCs w:val="13"/>
                <w:color w:val="008000"/>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7"/>
              </w:rPr>
              <w:t>Series F Convertible Preferred</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8000"/>
              </w:rPr>
              <w:t>(2)</w:t>
            </w:r>
          </w:p>
        </w:tc>
        <w:tc>
          <w:tcPr>
            <w:tcW w:w="1680" w:type="dxa"/>
            <w:vAlign w:val="bottom"/>
            <w:vMerge w:val="restart"/>
          </w:tcPr>
          <w:p>
            <w:pPr>
              <w:ind w:left="200"/>
              <w:spacing w:after="0"/>
              <w:rPr>
                <w:sz w:val="20"/>
                <w:szCs w:val="20"/>
                <w:color w:val="auto"/>
              </w:rPr>
            </w:pPr>
            <w:r>
              <w:rPr>
                <w:rFonts w:ascii="Arial" w:cs="Arial" w:eastAsia="Arial" w:hAnsi="Arial"/>
                <w:sz w:val="20"/>
                <w:szCs w:val="20"/>
                <w:color w:val="0000FF"/>
                <w:w w:val="92"/>
              </w:rPr>
              <w:t>Common Stock</w:t>
            </w:r>
            <w:r>
              <w:rPr>
                <w:rFonts w:ascii="Arial" w:cs="Arial" w:eastAsia="Arial" w:hAnsi="Arial"/>
                <w:sz w:val="25"/>
                <w:szCs w:val="25"/>
                <w:color w:val="008000"/>
                <w:w w:val="92"/>
                <w:vertAlign w:val="superscript"/>
              </w:rPr>
              <w:t>(1)</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558,074</w:t>
            </w:r>
          </w:p>
        </w:tc>
        <w:tc>
          <w:tcPr>
            <w:tcW w:w="740" w:type="dxa"/>
            <w:vAlign w:val="bottom"/>
            <w:vMerge w:val="restart"/>
          </w:tcPr>
          <w:p>
            <w:pPr>
              <w:jc w:val="right"/>
              <w:ind w:right="110"/>
              <w:spacing w:after="0"/>
              <w:rPr>
                <w:sz w:val="20"/>
                <w:szCs w:val="20"/>
                <w:color w:val="auto"/>
              </w:rPr>
            </w:pPr>
            <w:r>
              <w:rPr>
                <w:rFonts w:ascii="Arial" w:cs="Arial" w:eastAsia="Arial" w:hAnsi="Arial"/>
                <w:sz w:val="13"/>
                <w:szCs w:val="13"/>
                <w:color w:val="008000"/>
              </w:rPr>
              <w:t>(2)</w:t>
            </w:r>
          </w:p>
        </w:tc>
        <w:tc>
          <w:tcPr>
            <w:tcW w:w="2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00" w:type="dxa"/>
            <w:vAlign w:val="bottom"/>
            <w:gridSpan w:val="2"/>
          </w:tcPr>
          <w:p>
            <w:pPr>
              <w:ind w:left="60"/>
              <w:spacing w:after="0"/>
              <w:rPr>
                <w:sz w:val="20"/>
                <w:szCs w:val="20"/>
                <w:color w:val="auto"/>
              </w:rPr>
            </w:pPr>
            <w:r>
              <w:rPr>
                <w:rFonts w:ascii="Arial" w:cs="Arial" w:eastAsia="Arial" w:hAnsi="Arial"/>
                <w:sz w:val="20"/>
                <w:szCs w:val="20"/>
                <w:color w:val="0000FF"/>
                <w:w w:val="92"/>
              </w:rPr>
              <w:t>See footnotes</w:t>
            </w:r>
            <w:r>
              <w:rPr>
                <w:rFonts w:ascii="Arial" w:cs="Arial" w:eastAsia="Arial" w:hAnsi="Arial"/>
                <w:sz w:val="25"/>
                <w:szCs w:val="25"/>
                <w:color w:val="008000"/>
                <w:w w:val="92"/>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80" w:type="dxa"/>
            <w:vAlign w:val="bottom"/>
            <w:vMerge w:val="restart"/>
          </w:tcPr>
          <w:p>
            <w:pPr>
              <w:ind w:left="60"/>
              <w:spacing w:after="0"/>
              <w:rPr>
                <w:sz w:val="20"/>
                <w:szCs w:val="20"/>
                <w:color w:val="auto"/>
              </w:rPr>
            </w:pPr>
            <w:r>
              <w:rPr>
                <w:rFonts w:ascii="Arial" w:cs="Arial" w:eastAsia="Arial" w:hAnsi="Arial"/>
                <w:sz w:val="13"/>
                <w:szCs w:val="13"/>
                <w:color w:val="008000"/>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6"/>
              </w:rPr>
              <w:t>Series G Convertible Preferred</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8000"/>
              </w:rPr>
              <w:t>(2)</w:t>
            </w:r>
          </w:p>
        </w:tc>
        <w:tc>
          <w:tcPr>
            <w:tcW w:w="1680" w:type="dxa"/>
            <w:vAlign w:val="bottom"/>
            <w:vMerge w:val="restart"/>
          </w:tcPr>
          <w:p>
            <w:pPr>
              <w:ind w:left="200"/>
              <w:spacing w:after="0"/>
              <w:rPr>
                <w:sz w:val="20"/>
                <w:szCs w:val="20"/>
                <w:color w:val="auto"/>
              </w:rPr>
            </w:pPr>
            <w:r>
              <w:rPr>
                <w:rFonts w:ascii="Arial" w:cs="Arial" w:eastAsia="Arial" w:hAnsi="Arial"/>
                <w:sz w:val="20"/>
                <w:szCs w:val="20"/>
                <w:color w:val="0000FF"/>
                <w:w w:val="92"/>
              </w:rPr>
              <w:t>Common Stock</w:t>
            </w:r>
            <w:r>
              <w:rPr>
                <w:rFonts w:ascii="Arial" w:cs="Arial" w:eastAsia="Arial" w:hAnsi="Arial"/>
                <w:sz w:val="25"/>
                <w:szCs w:val="25"/>
                <w:color w:val="008000"/>
                <w:w w:val="92"/>
                <w:vertAlign w:val="superscript"/>
              </w:rPr>
              <w:t>(1)</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135,406</w:t>
            </w:r>
          </w:p>
        </w:tc>
        <w:tc>
          <w:tcPr>
            <w:tcW w:w="740" w:type="dxa"/>
            <w:vAlign w:val="bottom"/>
            <w:vMerge w:val="restart"/>
          </w:tcPr>
          <w:p>
            <w:pPr>
              <w:jc w:val="right"/>
              <w:ind w:right="110"/>
              <w:spacing w:after="0"/>
              <w:rPr>
                <w:sz w:val="20"/>
                <w:szCs w:val="20"/>
                <w:color w:val="auto"/>
              </w:rPr>
            </w:pPr>
            <w:r>
              <w:rPr>
                <w:rFonts w:ascii="Arial" w:cs="Arial" w:eastAsia="Arial" w:hAnsi="Arial"/>
                <w:sz w:val="13"/>
                <w:szCs w:val="13"/>
                <w:color w:val="008000"/>
              </w:rPr>
              <w:t>(2)</w:t>
            </w:r>
          </w:p>
        </w:tc>
        <w:tc>
          <w:tcPr>
            <w:tcW w:w="2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00" w:type="dxa"/>
            <w:vAlign w:val="bottom"/>
            <w:gridSpan w:val="2"/>
          </w:tcPr>
          <w:p>
            <w:pPr>
              <w:ind w:left="60"/>
              <w:spacing w:after="0"/>
              <w:rPr>
                <w:sz w:val="20"/>
                <w:szCs w:val="20"/>
                <w:color w:val="auto"/>
              </w:rPr>
            </w:pPr>
            <w:r>
              <w:rPr>
                <w:rFonts w:ascii="Arial" w:cs="Arial" w:eastAsia="Arial" w:hAnsi="Arial"/>
                <w:sz w:val="20"/>
                <w:szCs w:val="20"/>
                <w:color w:val="0000FF"/>
                <w:w w:val="92"/>
              </w:rPr>
              <w:t>See footnotes</w:t>
            </w:r>
            <w:r>
              <w:rPr>
                <w:rFonts w:ascii="Arial" w:cs="Arial" w:eastAsia="Arial" w:hAnsi="Arial"/>
                <w:sz w:val="25"/>
                <w:szCs w:val="25"/>
                <w:color w:val="008000"/>
                <w:w w:val="92"/>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80" w:type="dxa"/>
            <w:vAlign w:val="bottom"/>
            <w:vMerge w:val="restart"/>
          </w:tcPr>
          <w:p>
            <w:pPr>
              <w:ind w:left="60"/>
              <w:spacing w:after="0"/>
              <w:rPr>
                <w:sz w:val="20"/>
                <w:szCs w:val="20"/>
                <w:color w:val="auto"/>
              </w:rPr>
            </w:pPr>
            <w:r>
              <w:rPr>
                <w:rFonts w:ascii="Arial" w:cs="Arial" w:eastAsia="Arial" w:hAnsi="Arial"/>
                <w:sz w:val="13"/>
                <w:szCs w:val="13"/>
                <w:color w:val="008000"/>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BAIN CAPITAL VENTURE</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INVESTORS, LLC</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200 CLARENDON STREET</w:t>
      </w:r>
    </w:p>
    <w:p>
      <w:pPr>
        <w:spacing w:after="0" w:line="39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BOSTON</w:t>
      </w:r>
      <w:r>
        <w:rPr>
          <w:sz w:val="20"/>
          <w:szCs w:val="20"/>
          <w:color w:val="auto"/>
        </w:rPr>
        <w:tab/>
      </w:r>
      <w:r>
        <w:rPr>
          <w:rFonts w:ascii="Arial" w:cs="Arial" w:eastAsia="Arial" w:hAnsi="Arial"/>
          <w:sz w:val="20"/>
          <w:szCs w:val="20"/>
          <w:color w:val="0000FF"/>
        </w:rPr>
        <w:t>MA</w:t>
      </w:r>
      <w:r>
        <w:rPr>
          <w:sz w:val="20"/>
          <w:szCs w:val="20"/>
          <w:color w:val="auto"/>
        </w:rPr>
        <w:tab/>
      </w:r>
      <w:r>
        <w:rPr>
          <w:rFonts w:ascii="Arial" w:cs="Arial" w:eastAsia="Arial" w:hAnsi="Arial"/>
          <w:sz w:val="17"/>
          <w:szCs w:val="17"/>
          <w:color w:val="0000FF"/>
        </w:rPr>
        <w:t>02116</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Bain Capital Venture Fund 2009, 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460" w:type="dxa"/>
            <w:vAlign w:val="bottom"/>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300"/>
              <w:spacing w:after="0"/>
              <w:rPr>
                <w:sz w:val="20"/>
                <w:szCs w:val="20"/>
                <w:color w:val="auto"/>
              </w:rPr>
            </w:pPr>
            <w:r>
              <w:rPr>
                <w:rFonts w:ascii="Arial" w:cs="Arial" w:eastAsia="Arial" w:hAnsi="Arial"/>
                <w:sz w:val="15"/>
                <w:szCs w:val="15"/>
                <w:color w:val="auto"/>
              </w:rPr>
              <w:t>(State)</w:t>
            </w:r>
          </w:p>
        </w:tc>
        <w:tc>
          <w:tcPr>
            <w:tcW w:w="156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3"/>
          <w:szCs w:val="23"/>
          <w:u w:val="single" w:color="auto"/>
          <w:color w:val="0000EE"/>
        </w:rPr>
      </w:pPr>
      <w:hyperlink r:id="rId14">
        <w:r>
          <w:rPr>
            <w:rFonts w:ascii="Arial" w:cs="Arial" w:eastAsia="Arial" w:hAnsi="Arial"/>
            <w:sz w:val="23"/>
            <w:szCs w:val="23"/>
            <w:u w:val="single" w:color="auto"/>
            <w:color w:val="0000EE"/>
          </w:rPr>
          <w:t>Bain Capital Venture Partners 2009, L.P.</w:t>
        </w:r>
      </w:hyperlink>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20"/>
                <w:szCs w:val="20"/>
                <w:color w:val="0000FF"/>
              </w:rPr>
              <w:t>200 CLARENDON STREET</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BOSTON</w:t>
            </w:r>
          </w:p>
        </w:tc>
        <w:tc>
          <w:tcPr>
            <w:tcW w:w="1500" w:type="dxa"/>
            <w:vAlign w:val="bottom"/>
            <w:gridSpan w:val="2"/>
          </w:tcPr>
          <w:p>
            <w:pPr>
              <w:ind w:left="300"/>
              <w:spacing w:after="0"/>
              <w:rPr>
                <w:sz w:val="20"/>
                <w:szCs w:val="20"/>
                <w:color w:val="auto"/>
              </w:rPr>
            </w:pPr>
            <w:r>
              <w:rPr>
                <w:rFonts w:ascii="Arial" w:cs="Arial" w:eastAsia="Arial" w:hAnsi="Arial"/>
                <w:sz w:val="20"/>
                <w:szCs w:val="20"/>
                <w:color w:val="0000FF"/>
              </w:rPr>
              <w:t>MA</w:t>
            </w:r>
          </w:p>
        </w:tc>
        <w:tc>
          <w:tcPr>
            <w:tcW w:w="1520" w:type="dxa"/>
            <w:vAlign w:val="bottom"/>
          </w:tcPr>
          <w:p>
            <w:pPr>
              <w:ind w:left="18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line="249" w:lineRule="exact"/>
              <w:rPr>
                <w:rFonts w:ascii="Arial" w:cs="Arial" w:eastAsia="Arial" w:hAnsi="Arial"/>
                <w:sz w:val="24"/>
                <w:szCs w:val="24"/>
                <w:color w:val="0000EE"/>
                <w:w w:val="94"/>
              </w:rPr>
            </w:pPr>
            <w:hyperlink r:id="rId15">
              <w:r>
                <w:rPr>
                  <w:rFonts w:ascii="Arial" w:cs="Arial" w:eastAsia="Arial" w:hAnsi="Arial"/>
                  <w:sz w:val="24"/>
                  <w:szCs w:val="24"/>
                  <w:color w:val="0000EE"/>
                  <w:w w:val="94"/>
                </w:rPr>
                <w:t>BCIP Venture Associates</w:t>
              </w:r>
            </w:hyperlink>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20"/>
                <w:szCs w:val="20"/>
                <w:color w:val="0000FF"/>
              </w:rPr>
              <w:t>200 CLARENDON STREET</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BOSTON</w:t>
            </w:r>
          </w:p>
        </w:tc>
        <w:tc>
          <w:tcPr>
            <w:tcW w:w="1500" w:type="dxa"/>
            <w:vAlign w:val="bottom"/>
            <w:gridSpan w:val="2"/>
          </w:tcPr>
          <w:p>
            <w:pPr>
              <w:ind w:left="300"/>
              <w:spacing w:after="0"/>
              <w:rPr>
                <w:sz w:val="20"/>
                <w:szCs w:val="20"/>
                <w:color w:val="auto"/>
              </w:rPr>
            </w:pPr>
            <w:r>
              <w:rPr>
                <w:rFonts w:ascii="Arial" w:cs="Arial" w:eastAsia="Arial" w:hAnsi="Arial"/>
                <w:sz w:val="20"/>
                <w:szCs w:val="20"/>
                <w:color w:val="0000FF"/>
              </w:rPr>
              <w:t>MA</w:t>
            </w:r>
          </w:p>
        </w:tc>
        <w:tc>
          <w:tcPr>
            <w:tcW w:w="1520" w:type="dxa"/>
            <w:vAlign w:val="bottom"/>
          </w:tcPr>
          <w:p>
            <w:pPr>
              <w:ind w:left="18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BCIP VENTURE ASSOCIATES-B</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BOSTON</w:t>
            </w:r>
          </w:p>
        </w:tc>
        <w:tc>
          <w:tcPr>
            <w:tcW w:w="1460" w:type="dxa"/>
            <w:vAlign w:val="bottom"/>
            <w:gridSpan w:val="2"/>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gridSpan w:val="2"/>
          </w:tcPr>
          <w:p>
            <w:pPr>
              <w:spacing w:after="0"/>
              <w:rPr>
                <w:sz w:val="8"/>
                <w:szCs w:val="8"/>
                <w:color w:val="auto"/>
              </w:rPr>
            </w:pPr>
          </w:p>
        </w:tc>
        <w:tc>
          <w:tcPr>
            <w:tcW w:w="24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gridSpan w:val="3"/>
          </w:tcPr>
          <w:p>
            <w:pPr>
              <w:spacing w:after="0" w:line="249" w:lineRule="exact"/>
              <w:rPr>
                <w:rFonts w:ascii="Arial" w:cs="Arial" w:eastAsia="Arial" w:hAnsi="Arial"/>
                <w:sz w:val="24"/>
                <w:szCs w:val="24"/>
                <w:color w:val="0000EE"/>
              </w:rPr>
            </w:pPr>
            <w:hyperlink r:id="rId17">
              <w:r>
                <w:rPr>
                  <w:rFonts w:ascii="Arial" w:cs="Arial" w:eastAsia="Arial" w:hAnsi="Arial"/>
                  <w:sz w:val="24"/>
                  <w:szCs w:val="24"/>
                  <w:color w:val="0000EE"/>
                </w:rPr>
                <w:t>Salem Enrique T</w:t>
              </w:r>
            </w:hyperlink>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BAIN CAPITAL VENTURE INVESTORS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200 CLARENDON STREET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8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20"/>
                <w:szCs w:val="20"/>
                <w:color w:val="0000FF"/>
              </w:rPr>
              <w:t>BOSTON</w:t>
            </w:r>
          </w:p>
        </w:tc>
        <w:tc>
          <w:tcPr>
            <w:tcW w:w="940" w:type="dxa"/>
            <w:vAlign w:val="bottom"/>
          </w:tcPr>
          <w:p>
            <w:pPr>
              <w:ind w:left="2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(City)</w:t>
            </w:r>
          </w:p>
        </w:tc>
        <w:tc>
          <w:tcPr>
            <w:tcW w:w="940" w:type="dxa"/>
            <w:vAlign w:val="bottom"/>
          </w:tcPr>
          <w:p>
            <w:pPr>
              <w:ind w:left="2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spacing w:after="0" w:line="249" w:lineRule="exact"/>
              <w:rPr>
                <w:rFonts w:ascii="Arial" w:cs="Arial" w:eastAsia="Arial" w:hAnsi="Arial"/>
                <w:sz w:val="24"/>
                <w:szCs w:val="24"/>
                <w:color w:val="0000EE"/>
                <w:w w:val="95"/>
              </w:rPr>
            </w:pPr>
            <w:hyperlink r:id="rId18">
              <w:r>
                <w:rPr>
                  <w:rFonts w:ascii="Arial" w:cs="Arial" w:eastAsia="Arial" w:hAnsi="Arial"/>
                  <w:sz w:val="24"/>
                  <w:szCs w:val="24"/>
                  <w:color w:val="0000EE"/>
                  <w:w w:val="95"/>
                </w:rPr>
                <w:t>Agarwal Ajay</w:t>
              </w:r>
            </w:hyperlink>
          </w:p>
        </w:tc>
        <w:tc>
          <w:tcPr>
            <w:tcW w:w="9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(Last)</w:t>
            </w:r>
          </w:p>
        </w:tc>
        <w:tc>
          <w:tcPr>
            <w:tcW w:w="940" w:type="dxa"/>
            <w:vAlign w:val="bottom"/>
          </w:tcPr>
          <w:p>
            <w:pPr>
              <w:ind w:left="2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ectPr>
          <w:pgSz w:w="11900" w:h="16838" w:orient="portrait"/>
          <w:cols w:equalWidth="0" w:num="1">
            <w:col w:w="9959"/>
          </w:cols>
          <w:pgMar w:left="500" w:top="184" w:right="1440" w:bottom="0" w:gutter="0" w:footer="0" w:header="0"/>
        </w:sectPr>
      </w:pPr>
    </w:p>
    <w:bookmarkStart w:id="2" w:name="page3"/>
    <w:bookmarkEnd w:id="2"/>
    <w:p>
      <w:pPr>
        <w:ind w:left="100"/>
        <w:spacing w:after="0"/>
        <w:rPr>
          <w:sz w:val="20"/>
          <w:szCs w:val="20"/>
          <w:color w:val="auto"/>
        </w:rPr>
      </w:pPr>
      <w:r>
        <w:rPr>
          <w:rFonts w:ascii="Arial" w:cs="Arial" w:eastAsia="Arial" w:hAnsi="Arial"/>
          <w:sz w:val="20"/>
          <w:szCs w:val="20"/>
          <w:color w:val="0000FF"/>
        </w:rPr>
        <w:t>C/O BAIN 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-139065</wp:posOffset>
            </wp:positionV>
            <wp:extent cx="2798445" cy="1261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798445" cy="1261110"/>
                    </a:xfrm>
                    <a:prstGeom prst="rect">
                      <a:avLst/>
                    </a:prstGeom>
                    <a:noFill/>
                  </pic:spPr>
                </pic:pic>
              </a:graphicData>
            </a:graphic>
          </wp:anchor>
        </w:drawing>
      </w:r>
    </w:p>
    <w:p>
      <w:pPr>
        <w:spacing w:after="0" w:line="5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200 CLARENDON STREET</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Upon the closing of the Issuer's initial public offering, each share of Common Stock will be reclassified into one share of Class A Common Stock.</w:t>
      </w:r>
    </w:p>
    <w:p>
      <w:pPr>
        <w:spacing w:after="0" w:line="52" w:lineRule="exact"/>
        <w:rPr>
          <w:rFonts w:ascii="Arial" w:cs="Arial" w:eastAsia="Arial" w:hAnsi="Arial"/>
          <w:sz w:val="15"/>
          <w:szCs w:val="15"/>
          <w:color w:val="008000"/>
        </w:rPr>
      </w:pPr>
    </w:p>
    <w:p>
      <w:pPr>
        <w:ind w:right="160" w:firstLine="5"/>
        <w:spacing w:after="0" w:line="288"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Seed Series, Series A, Series C, Series D, Series E, Series F and Series G Convertible Preferred Stock is convertible into Common Stock on a 1-for-1 basis at the holder's election and will automatically convert immediately prior to the closing of the Issuer's initial public offering. These shares have no expiration date.</w:t>
      </w:r>
    </w:p>
    <w:p>
      <w:pPr>
        <w:spacing w:after="0" w:line="3" w:lineRule="exact"/>
        <w:rPr>
          <w:rFonts w:ascii="Arial" w:cs="Arial" w:eastAsia="Arial" w:hAnsi="Arial"/>
          <w:sz w:val="14"/>
          <w:szCs w:val="14"/>
          <w:color w:val="008000"/>
        </w:rPr>
      </w:pPr>
    </w:p>
    <w:p>
      <w:pPr>
        <w:ind w:right="80" w:firstLine="5"/>
        <w:spacing w:after="0" w:line="254"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Bain Capital Venture Investors, LLC ("BCVI") is the general partner of Bain Capital Venture Partners 2009, L.P. ("BCV Partners 2009"), which is the general partner of Bain Capital Venture Fund 2009, L.P. ("BCV Fund 2009"). As a result, BCV Partners 2009 may be deemed to share voting and dispositive power with respect to the securities held by BCV Fund 2009. BCV Partners 2009 disclaims beneficial ownership of such securities except to the extent of its pecuniary interest therein. BCV Fund 2009 holds 426,712 shares of Common Stock, 3,808,891 shares of Seed Series Convertible Preferred Stock, 1,636,386 shares of Series A Convertible Preferred Stock, 326,711 shares of Series C Convertible Preferred Stock, 348,609 shares of Series D Convertible Preferred Stock, 485,582 shares of Series E Convertible Preferred Stock, 492,291 shares of Series F Convertible Preferred Stock and 119,445 shares of Series G Convertible Preferred Stock.</w:t>
      </w:r>
    </w:p>
    <w:p>
      <w:pPr>
        <w:spacing w:after="0" w:line="28" w:lineRule="exact"/>
        <w:rPr>
          <w:rFonts w:ascii="Arial" w:cs="Arial" w:eastAsia="Arial" w:hAnsi="Arial"/>
          <w:sz w:val="14"/>
          <w:szCs w:val="14"/>
          <w:color w:val="008000"/>
        </w:rPr>
      </w:pPr>
    </w:p>
    <w:p>
      <w:pPr>
        <w:ind w:right="20"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BCIP Venture Associates ("BCIP Venture"), whose managing partner is Boylston Coinvestors, LLC ("Boylston"), holds 53,172 shares of Common Stock, 151,354 shares of Seed Series Convertible Preferred Stock, 41,336 shares of Series A Convertible Preferred Stock, 40,712 shares of Series C Convertible Preferred Stock, 43,440 shares of Series D Convertible Preferred Stock, 60,508 shares of Series E Convertible Preferred Stock, 61,344 shares of Series F Convertible Preferred Stock and 14,884 shares of Series G Convertible Preferred Stock.</w:t>
      </w:r>
    </w:p>
    <w:p>
      <w:pPr>
        <w:spacing w:after="0" w:line="36" w:lineRule="exact"/>
        <w:rPr>
          <w:rFonts w:ascii="Arial" w:cs="Arial" w:eastAsia="Arial" w:hAnsi="Arial"/>
          <w:sz w:val="15"/>
          <w:szCs w:val="15"/>
          <w:color w:val="008000"/>
        </w:rPr>
      </w:pPr>
    </w:p>
    <w:p>
      <w:pPr>
        <w:ind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BCIP Venture Associates-B ("BCIP Venture-B" and, together with BCV Fund 2009 and BCIP Venture, the "Bain Capital Venture Entities"), whose managing partner is Boylston, holds 3,848 shares of Common Stock, 31,755 shares of Seed Series Convertible Preferred Stock, 13,453 shares of Series A Convertible Preferred Stock, 2,946 shares of Series C Convertible Preferred Stock, 3,144 shares of Series D Convertible Preferred Stock, 4,379 shares of Series E Convertible Preferred Stock, 4,439 shares of Series F Convertible Preferred Stock and 1,077 shares of Series G Convertible Preferred Stock.</w:t>
      </w:r>
    </w:p>
    <w:p>
      <w:pPr>
        <w:spacing w:after="0" w:line="36" w:lineRule="exact"/>
        <w:rPr>
          <w:rFonts w:ascii="Arial" w:cs="Arial" w:eastAsia="Arial" w:hAnsi="Arial"/>
          <w:sz w:val="15"/>
          <w:szCs w:val="15"/>
          <w:color w:val="008000"/>
        </w:rPr>
      </w:pPr>
    </w:p>
    <w:p>
      <w:pPr>
        <w:ind w:right="40"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governance, investment strategy and decision-making process with respect to the investments held by the Bain Capital Venture Entities is directed by the Executive Committee of BCVI, which consists of Enrique Salem and Ajay Agarwal. As a result, BCVI and Messrs. Salem and Agarwal may be deemed to share voting and dispositive power with respect to the securities held by the Bain Capital Venture Entities. BCVI and Messrs. Salem and Agarwal disclaim beneficial ownership of such securities except to the extent of their pecuniary interest therein.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40"/>
          </w:cols>
          <w:pgMar w:left="520" w:top="130" w:right="539" w:bottom="0" w:gutter="0" w:footer="0" w:header="0"/>
        </w:sectPr>
      </w:pP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388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919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1391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Scott Friend,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472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9347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Bain Capital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2461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2009, L.P.,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838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0083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09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2009,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696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0769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015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401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556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Scott Friend,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472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9347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3886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 2009,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046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18046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Investors,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partner, By: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2044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0204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Friend,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237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1823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BCIP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8333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127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112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3985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Scott Friend,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286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928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BCIP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9349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 By: Boylston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200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8020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680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managing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412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541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Scott Friend,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472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9347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8660" w:space="60"/>
            <w:col w:w="2120"/>
          </w:cols>
          <w:pgMar w:left="520" w:top="130" w:right="539" w:bottom="0" w:gutter="0" w:footer="0" w:header="0"/>
          <w:type w:val="continuous"/>
        </w:sectPr>
      </w:pPr>
    </w:p>
    <w:tbl>
      <w:tblPr>
        <w:tblLayout w:type="fixed"/>
        <w:tblInd w:w="654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20"/>
                <w:szCs w:val="20"/>
                <w:color w:val="0000FF"/>
              </w:rPr>
              <w:t>/s/ Enrique T. Salem</w:t>
            </w:r>
          </w:p>
        </w:tc>
        <w:tc>
          <w:tcPr>
            <w:tcW w:w="900" w:type="dxa"/>
            <w:vAlign w:val="bottom"/>
          </w:tcPr>
          <w:p>
            <w:pPr>
              <w:jc w:val="right"/>
              <w:spacing w:after="0"/>
              <w:rPr>
                <w:sz w:val="20"/>
                <w:szCs w:val="20"/>
                <w:color w:val="auto"/>
              </w:rPr>
            </w:pPr>
            <w:r>
              <w:rPr>
                <w:rFonts w:ascii="Arial" w:cs="Arial" w:eastAsia="Arial" w:hAnsi="Arial"/>
                <w:sz w:val="20"/>
                <w:szCs w:val="20"/>
                <w:color w:val="0000FF"/>
                <w:w w:val="87"/>
              </w:rPr>
              <w:t>10/26/2021</w:t>
            </w:r>
          </w:p>
        </w:tc>
      </w:tr>
      <w:tr>
        <w:trPr>
          <w:trHeight w:val="280"/>
        </w:trPr>
        <w:tc>
          <w:tcPr>
            <w:tcW w:w="15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0000FF"/>
              </w:rPr>
              <w:t>/s/ Ajay Agarwal</w:t>
            </w:r>
          </w:p>
        </w:tc>
        <w:tc>
          <w:tcPr>
            <w:tcW w:w="60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0000FF"/>
                <w:w w:val="87"/>
              </w:rPr>
              <w:t>10/26/2021</w:t>
            </w:r>
          </w:p>
        </w:tc>
      </w:tr>
      <w:tr>
        <w:trPr>
          <w:trHeight w:val="20"/>
        </w:trPr>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8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30" w:right="5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10" Type="http://schemas.openxmlformats.org/officeDocument/2006/relationships/hyperlink" Target="http://www.sec.gov/cgi-bin/browse-edgar?action=getcompany&amp;CIK=0001309469" TargetMode="External"/><Relationship Id="rId11" Type="http://schemas.openxmlformats.org/officeDocument/2006/relationships/hyperlink" Target="http://www.sec.gov/cgi-bin/browse-edgar?action=getcompany&amp;CIK=0001468327" TargetMode="External"/><Relationship Id="rId13" Type="http://schemas.openxmlformats.org/officeDocument/2006/relationships/hyperlink" Target="http://www.sec.gov/cgi-bin/browse-edgar?action=getcompany&amp;CIK=0001512988" TargetMode="External"/><Relationship Id="rId14" Type="http://schemas.openxmlformats.org/officeDocument/2006/relationships/hyperlink" Target="http://www.sec.gov/cgi-bin/browse-edgar?action=getcompany&amp;CIK=0001512989" TargetMode="External"/><Relationship Id="rId15" Type="http://schemas.openxmlformats.org/officeDocument/2006/relationships/hyperlink" Target="http://www.sec.gov/cgi-bin/browse-edgar?action=getcompany&amp;CIK=0001408649" TargetMode="External"/><Relationship Id="rId16" Type="http://schemas.openxmlformats.org/officeDocument/2006/relationships/hyperlink" Target="http://www.sec.gov/cgi-bin/browse-edgar?action=getcompany&amp;CIK=0001408676" TargetMode="External"/><Relationship Id="rId17" Type="http://schemas.openxmlformats.org/officeDocument/2006/relationships/hyperlink" Target="http://www.sec.gov/cgi-bin/browse-edgar?action=getcompany&amp;CIK=0001295402" TargetMode="External"/><Relationship Id="rId18" Type="http://schemas.openxmlformats.org/officeDocument/2006/relationships/hyperlink" Target="http://www.sec.gov/cgi-bin/browse-edgar?action=getcompany&amp;CIK=0001708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2021-10-26T20:24:51Z</dcterms:created>
  <dcterms:modified xsi:type="dcterms:W3CDTF">2021-10-26T20:24:51Z</dcterms:modified>
</cp:coreProperties>
</file>