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5207635</wp:posOffset>
            </wp:positionH>
            <wp:positionV relativeFrom="paragraph">
              <wp:posOffset>-604520</wp:posOffset>
            </wp:positionV>
            <wp:extent cx="57150" cy="61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3920490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18415</wp:posOffset>
            </wp:positionV>
            <wp:extent cx="6998335" cy="5640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64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 w:line="229" w:lineRule="exact"/>
              <w:rPr>
                <w:rFonts w:ascii="Arial" w:cs="Arial" w:eastAsia="Arial" w:hAnsi="Arial"/>
                <w:sz w:val="20"/>
                <w:szCs w:val="20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9"/>
                </w:rPr>
                <w:t>Steinberg Larry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Chief Technology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RENT THE RUNWAY, INC.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10/29/2021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10 JAY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11201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797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23,744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122,162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122,162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10/29/2021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122,162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122,162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 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23,744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23,744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4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237,400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03/24/2031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8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0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237,400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6.76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10/29/2021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237,400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03/24/2031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237,400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-2475865</wp:posOffset>
            </wp:positionV>
            <wp:extent cx="28575" cy="2481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8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Upon the closing of the Issuer's initial public offering, each share of preferred stock automatically converted into shares of the Issuer's common stock on a one-for-one basis for no additional consideration.</w:t>
      </w:r>
    </w:p>
    <w:p>
      <w:pPr>
        <w:spacing w:after="0" w:line="4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16b-7.</w:t>
      </w:r>
    </w:p>
    <w:p>
      <w:pPr>
        <w:spacing w:after="0" w:line="60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vests and becomes exercisable as to 25% of the underlying shares on March 1, 2022 and in 36 substantially equal monthly installments thereafter.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0"/>
              </w:rPr>
              <w:t>/s/ Cara Schembri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in-fact for Larry Steinberg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2159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2021-11-02T20:04:47Z</dcterms:created>
  <dcterms:modified xsi:type="dcterms:W3CDTF">2021-11-02T20:04:47Z</dcterms:modified>
</cp:coreProperties>
</file>