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3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2200" w:val="left"/>
          <w:tab w:leader="none" w:pos="2380" w:val="left"/>
          <w:tab w:leader="none" w:pos="2560" w:val="left"/>
          <w:tab w:leader="none" w:pos="2740" w:val="left"/>
          <w:tab w:leader="none" w:pos="2920" w:val="left"/>
          <w:tab w:leader="none" w:pos="3140" w:val="left"/>
          <w:tab w:leader="none" w:pos="63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tab/>
        <w:t> </w:t>
        <w:tab/>
        <w:t> </w:t>
        <w:tab/>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121285</wp:posOffset>
            </wp:positionV>
            <wp:extent cx="6043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9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396875</wp:posOffset>
            </wp:positionV>
            <wp:extent cx="604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93345</wp:posOffset>
            </wp:positionV>
            <wp:extent cx="3625850" cy="1122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58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May 23,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 am pleased to invite you to attend Rent the Runway, Inc.’s 2024 Annual Meeting of Stockholders to be held on Thursday, July 11, 2024 at 8:30 a.m., Eastern Time. Our Annual Meeting will be a “virtual meeting” of stockholders, which will be conducted exclusively online via live webcast.</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Your vote is very important. Whether you plan to participate in the Annual Meeting or not, please be sure to vote. Voting instructions can be found on page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of the proxy statement.</w:t>
      </w:r>
    </w:p>
    <w:p>
      <w:pPr>
        <w:spacing w:after="0" w:line="11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169735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Jennifer Hyman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 CEO &amp; President</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109220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right="1960"/>
        <w:spacing w:after="0" w:line="294" w:lineRule="auto"/>
        <w:rPr>
          <w:sz w:val="20"/>
          <w:szCs w:val="20"/>
          <w:color w:val="auto"/>
        </w:rPr>
      </w:pPr>
      <w:r>
        <w:rPr>
          <w:rFonts w:ascii="Arial" w:cs="Arial" w:eastAsia="Arial" w:hAnsi="Arial"/>
          <w:sz w:val="64"/>
          <w:szCs w:val="64"/>
          <w:b w:val="1"/>
          <w:bCs w:val="1"/>
          <w:color w:val="auto"/>
        </w:rPr>
        <w:t>Notice of 2024 Annual Meeting of Stockholders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11,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16, 2024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58" w:lineRule="exact"/>
        <w:rPr>
          <w:sz w:val="20"/>
          <w:szCs w:val="20"/>
          <w:color w:val="auto"/>
        </w:rPr>
      </w:pPr>
    </w:p>
    <w:p>
      <w:pPr>
        <w:ind w:left="700" w:right="140" w:hanging="348"/>
        <w:spacing w:after="0" w:line="24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Jennifer Y. Hyman, Beth Kaplan, Emil Michael and Gwyneth Paltrow as Class III Directors to serve until the 2027 Annual Meeting of Stockholders and until their respective successors shall have been duly elected and qualified;</w:t>
      </w:r>
    </w:p>
    <w:p>
      <w:pPr>
        <w:spacing w:after="0" w:line="1" w:lineRule="exact"/>
        <w:rPr>
          <w:rFonts w:ascii="Arial" w:cs="Arial" w:eastAsia="Arial" w:hAnsi="Arial"/>
          <w:sz w:val="18"/>
          <w:szCs w:val="18"/>
          <w:color w:val="auto"/>
        </w:rPr>
      </w:pPr>
    </w:p>
    <w:p>
      <w:pPr>
        <w:ind w:left="700" w:right="100" w:hanging="348"/>
        <w:spacing w:after="0" w:line="23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our independent registered public accounting firm for the fiscal year ending January 31, 2025; and</w:t>
      </w:r>
    </w:p>
    <w:p>
      <w:pPr>
        <w:spacing w:after="0" w:line="1" w:lineRule="exact"/>
        <w:rPr>
          <w:rFonts w:ascii="Arial" w:cs="Arial" w:eastAsia="Arial" w:hAnsi="Arial"/>
          <w:sz w:val="18"/>
          <w:szCs w:val="18"/>
          <w:color w:val="auto"/>
        </w:rPr>
      </w:pPr>
    </w:p>
    <w:p>
      <w:pPr>
        <w:ind w:left="700" w:hanging="34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Annual Meeting.</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at the close of business on May 16, 2024, are entitled to notice of and to vote at the Annual Meeting. A complete list of these stockholders will be available for examination by any stockholder during the 10 days prior to the Annual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 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14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Your vote is important. Whether or not you plan to attend the Annual Meeting, we encourage you to read the accompanying proxy statement and to submit your proxy or voting instructions as soon as possible. Even if you have voted by proxy, you may still vote during the Annual Meeting. Please note, however, that if your shares are held of record by a broker, bank, trustee, or nominee and you wish to vote during the Annual Meeting, you must follow the instructions from such broker, bank, trustee,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117411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rPr>
          <w:sz w:val="20"/>
          <w:szCs w:val="20"/>
          <w:color w:val="auto"/>
        </w:rPr>
      </w:pPr>
      <w:r>
        <w:rPr>
          <w:rFonts w:ascii="Arial" w:cs="Arial" w:eastAsia="Arial" w:hAnsi="Arial"/>
          <w:sz w:val="18"/>
          <w:szCs w:val="18"/>
          <w:color w:val="auto"/>
        </w:rPr>
        <w:t>May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2024 Annual Meeting of Stockholders to be Held on July 11, 2024: </w:t>
      </w:r>
      <w:r>
        <w:rPr>
          <w:rFonts w:ascii="Arial" w:cs="Arial" w:eastAsia="Arial" w:hAnsi="Arial"/>
          <w:sz w:val="18"/>
          <w:szCs w:val="18"/>
          <w:color w:val="auto"/>
        </w:rPr>
        <w:t>The proxy statement and the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93345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Proxy Overview</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About Rent the Runway</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Fiscal Year 2023 Business Highlights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Corporate Governance</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Voting and Meeting Information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Proposal No. 1 - Election of Directors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8</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Information About Board Nominees and Continuing Directors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9</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Nominees to our Board of Directors - Class III Directors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9</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Class I Directors Whose Terms Expire at the 2025 Annual Meeting</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Class II Directors Whose Terms Expire at the 2026 Annual Meeting</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The Board and Corporate Governance</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Board Leadership Structure</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Board Diversity</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Board Oversight of Risk</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Director Independence</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Board Meetings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Board Committees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Code of Conduct</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Compensation Committee Interlocks and Insider Participation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Director Nomination Process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Stockholders Agreement</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17</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Communications with the Board</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18</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Policy for Recovery of Erroneously Awarded Compensation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18</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Director Compensation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19</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Audit Committee Report</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22</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Proposal No. 2 - Ratification of the Appointment of Independent Registered Public Accounting Firm</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540" w:type="dxa"/>
            <w:vAlign w:val="bottom"/>
            <w:tcBorders>
              <w:top w:val="single" w:sz="8" w:color="0000EE"/>
              <w:bottom w:val="single" w:sz="8" w:color="auto"/>
            </w:tcBorders>
          </w:tcPr>
          <w:p>
            <w:pPr>
              <w:spacing w:after="0"/>
              <w:rPr>
                <w:sz w:val="7"/>
                <w:szCs w:val="7"/>
                <w:color w:val="auto"/>
              </w:rPr>
            </w:pPr>
          </w:p>
        </w:tc>
        <w:tc>
          <w:tcPr>
            <w:tcW w:w="1320" w:type="dxa"/>
            <w:vAlign w:val="bottom"/>
            <w:tcBorders>
              <w:top w:val="single" w:sz="8" w:color="0000EE"/>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Fees and Services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Pre-Approval Policies and Procedures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24</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Executive Officers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25</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Executive Compensation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27</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Equity Compensation Plan Information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36</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Certain Relationships and Related Person Transactions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37</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39</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9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540" w:type="dxa"/>
            <w:vAlign w:val="bottom"/>
            <w:tcBorders>
              <w:top w:val="single" w:sz="8" w:color="0000EE"/>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Delinquent Section 16(a) Reports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42</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Additional Information</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Stockholder Proposals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Information Requests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Other Business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7"/>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37"/>
          </w:tcPr>
          <w:p>
            <w:pPr>
              <w:ind w:left="180"/>
              <w:spacing w:after="0"/>
              <w:rPr>
                <w:sz w:val="20"/>
                <w:szCs w:val="20"/>
                <w:color w:val="auto"/>
              </w:rPr>
            </w:pPr>
            <w:r>
              <w:rPr>
                <w:rFonts w:ascii="Arial" w:cs="Arial" w:eastAsia="Arial" w:hAnsi="Arial"/>
                <w:sz w:val="14"/>
                <w:szCs w:val="14"/>
                <w:color w:val="0000EE"/>
              </w:rPr>
              <w:t>Forward-Looking Statements</w:t>
            </w:r>
          </w:p>
        </w:tc>
        <w:tc>
          <w:tcPr>
            <w:tcW w:w="3040" w:type="dxa"/>
            <w:vAlign w:val="bottom"/>
            <w:gridSpan w:val="6"/>
          </w:tcPr>
          <w:p>
            <w:pPr>
              <w:jc w:val="right"/>
              <w:ind w:right="120"/>
              <w:spacing w:after="0"/>
              <w:rPr>
                <w:sz w:val="20"/>
                <w:szCs w:val="20"/>
                <w:color w:val="auto"/>
              </w:rPr>
            </w:pPr>
            <w:r>
              <w:rPr>
                <w:rFonts w:ascii="Arial" w:cs="Arial" w:eastAsia="Arial" w:hAnsi="Arial"/>
                <w:sz w:val="14"/>
                <w:szCs w:val="14"/>
                <w:color w:val="0000EE"/>
              </w:rPr>
              <w:t>44</w:t>
            </w:r>
          </w:p>
        </w:tc>
        <w:tc>
          <w:tcPr>
            <w:tcW w:w="760" w:type="dxa"/>
            <w:vAlign w:val="bottom"/>
          </w:tcPr>
          <w:p>
            <w:pPr>
              <w:spacing w:after="0"/>
              <w:rPr>
                <w:sz w:val="20"/>
                <w:szCs w:val="20"/>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36"/>
        </w:trPr>
        <w:tc>
          <w:tcPr>
            <w:tcW w:w="760" w:type="dxa"/>
            <w:vAlign w:val="bottom"/>
          </w:tcPr>
          <w:p>
            <w:pPr>
              <w:spacing w:after="0"/>
              <w:rPr>
                <w:sz w:val="20"/>
                <w:szCs w:val="20"/>
                <w:color w:val="auto"/>
              </w:rPr>
            </w:pPr>
          </w:p>
        </w:tc>
        <w:tc>
          <w:tcPr>
            <w:tcW w:w="6460" w:type="dxa"/>
            <w:vAlign w:val="bottom"/>
            <w:gridSpan w:val="38"/>
          </w:tcPr>
          <w:p>
            <w:pPr>
              <w:ind w:left="160"/>
              <w:spacing w:after="0"/>
              <w:rPr>
                <w:sz w:val="20"/>
                <w:szCs w:val="20"/>
                <w:color w:val="auto"/>
              </w:rPr>
            </w:pPr>
            <w:r>
              <w:rPr>
                <w:rFonts w:ascii="Arial" w:cs="Arial" w:eastAsia="Arial" w:hAnsi="Arial"/>
                <w:sz w:val="14"/>
                <w:szCs w:val="14"/>
                <w:color w:val="0000EE"/>
              </w:rPr>
              <w:t>Annex A</w:t>
            </w:r>
          </w:p>
        </w:tc>
        <w:tc>
          <w:tcPr>
            <w:tcW w:w="2700" w:type="dxa"/>
            <w:vAlign w:val="bottom"/>
          </w:tcPr>
          <w:p>
            <w:pPr>
              <w:spacing w:after="0"/>
              <w:rPr>
                <w:sz w:val="20"/>
                <w:szCs w:val="20"/>
                <w:color w:val="auto"/>
              </w:rPr>
            </w:pPr>
          </w:p>
        </w:tc>
        <w:tc>
          <w:tcPr>
            <w:tcW w:w="1100" w:type="dxa"/>
            <w:vAlign w:val="bottom"/>
            <w:gridSpan w:val="6"/>
          </w:tcPr>
          <w:p>
            <w:pPr>
              <w:spacing w:after="0"/>
              <w:rPr>
                <w:sz w:val="20"/>
                <w:szCs w:val="20"/>
                <w:color w:val="auto"/>
              </w:rPr>
            </w:pPr>
            <w:r>
              <w:rPr>
                <w:rFonts w:ascii="Arial" w:cs="Arial" w:eastAsia="Arial" w:hAnsi="Arial"/>
                <w:sz w:val="14"/>
                <w:szCs w:val="14"/>
                <w:color w:val="0000EE"/>
              </w:rPr>
              <w:t>A-1</w:t>
            </w: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13"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References in this Proxy Statement to (i)“we,” “us,” “our,” “ours,” “RTR,” “Rent the Runway” and the “Company” refer to Rent the Runway, Inc. and its subsidiary and (ii) “stockholders” refers to holders of our Class A common stock and Class B common stock.</w:t>
      </w:r>
    </w:p>
    <w:p>
      <w:pPr>
        <w:spacing w:after="0" w:line="142"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This proxy statement and the Company’s Annual Report to Stockholders for the fiscal year ended January 31, 2024 (the “2023 Annual Report”) will be released on or about May 23, 2024 to our stockholders on the Record Date. On the same date, we will mail to our stockholders a Notice of Internet Availability of Proxy Materials (the “Internet Notice”) containing instructions on how to access this proxy statement and our 2023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July 11,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16, 2024</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www.virtualshareholdermeeting.com/RENT2024</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94615</wp:posOffset>
            </wp:positionV>
            <wp:extent cx="603504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60" w:type="dxa"/>
            <w:vAlign w:val="bottom"/>
          </w:tcPr>
          <w:p>
            <w:pPr>
              <w:ind w:left="60"/>
              <w:spacing w:after="0"/>
              <w:rPr>
                <w:sz w:val="20"/>
                <w:szCs w:val="20"/>
                <w:color w:val="auto"/>
              </w:rPr>
            </w:pPr>
            <w:r>
              <w:rPr>
                <w:rFonts w:ascii="Arial" w:cs="Arial" w:eastAsia="Arial" w:hAnsi="Arial"/>
                <w:sz w:val="14"/>
                <w:szCs w:val="14"/>
                <w:b w:val="1"/>
                <w:bCs w:val="1"/>
                <w:color w:val="auto"/>
              </w:rPr>
              <w:t>Proposal</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Board Recommendation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Reference Page</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277"/>
        </w:trPr>
        <w:tc>
          <w:tcPr>
            <w:tcW w:w="1140" w:type="dxa"/>
            <w:vAlign w:val="bottom"/>
          </w:tcPr>
          <w:p>
            <w:pPr>
              <w:ind w:left="180"/>
              <w:spacing w:after="0"/>
              <w:rPr>
                <w:sz w:val="20"/>
                <w:szCs w:val="20"/>
                <w:color w:val="auto"/>
              </w:rPr>
            </w:pPr>
            <w:r>
              <w:rPr>
                <w:rFonts w:ascii="Arial" w:cs="Arial" w:eastAsia="Arial" w:hAnsi="Arial"/>
                <w:sz w:val="14"/>
                <w:szCs w:val="14"/>
                <w:color w:val="auto"/>
              </w:rPr>
              <w:t>Proposal 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Arial" w:cs="Arial" w:eastAsia="Arial" w:hAnsi="Arial"/>
                <w:sz w:val="14"/>
                <w:szCs w:val="14"/>
                <w:color w:val="auto"/>
              </w:rPr>
              <w:t>The election of Jennifer Y. Hyman, Beth Kaplan, Emil Michael and</w:t>
            </w:r>
          </w:p>
        </w:tc>
        <w:tc>
          <w:tcPr>
            <w:tcW w:w="8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Arial" w:cs="Arial" w:eastAsia="Arial" w:hAnsi="Arial"/>
                <w:sz w:val="14"/>
                <w:szCs w:val="14"/>
                <w:color w:val="auto"/>
              </w:rPr>
              <w:t>For all nominees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76"/>
              </w:rPr>
              <w:t>8</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60" w:type="dxa"/>
            <w:vAlign w:val="bottom"/>
          </w:tcPr>
          <w:p>
            <w:pPr>
              <w:ind w:left="60"/>
              <w:spacing w:after="0" w:line="155" w:lineRule="exact"/>
              <w:rPr>
                <w:sz w:val="20"/>
                <w:szCs w:val="20"/>
                <w:color w:val="auto"/>
              </w:rPr>
            </w:pPr>
            <w:r>
              <w:rPr>
                <w:rFonts w:ascii="Arial" w:cs="Arial" w:eastAsia="Arial" w:hAnsi="Arial"/>
                <w:sz w:val="14"/>
                <w:szCs w:val="14"/>
                <w:color w:val="auto"/>
              </w:rPr>
              <w:t>Gwyneth Paltrow as Class III Directors to serve until the 2027</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53"/>
        </w:trPr>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60" w:type="dxa"/>
            <w:vAlign w:val="bottom"/>
          </w:tcPr>
          <w:p>
            <w:pPr>
              <w:ind w:left="60"/>
              <w:spacing w:after="0" w:line="153" w:lineRule="exact"/>
              <w:rPr>
                <w:sz w:val="20"/>
                <w:szCs w:val="20"/>
                <w:color w:val="auto"/>
              </w:rPr>
            </w:pPr>
            <w:r>
              <w:rPr>
                <w:rFonts w:ascii="Arial" w:cs="Arial" w:eastAsia="Arial" w:hAnsi="Arial"/>
                <w:sz w:val="14"/>
                <w:szCs w:val="14"/>
                <w:color w:val="auto"/>
              </w:rPr>
              <w:t>Annual Meeting of Stockholders and until their respective</w:t>
            </w: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ind w:left="60"/>
              <w:spacing w:after="0"/>
              <w:rPr>
                <w:sz w:val="20"/>
                <w:szCs w:val="20"/>
                <w:color w:val="auto"/>
              </w:rPr>
            </w:pPr>
            <w:r>
              <w:rPr>
                <w:rFonts w:ascii="Arial" w:cs="Arial" w:eastAsia="Arial" w:hAnsi="Arial"/>
                <w:sz w:val="14"/>
                <w:szCs w:val="14"/>
                <w:color w:val="auto"/>
              </w:rPr>
              <w:t>successors shall have been duly elected and qualified</w:t>
            </w: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263"/>
        </w:trPr>
        <w:tc>
          <w:tcPr>
            <w:tcW w:w="1140" w:type="dxa"/>
            <w:vAlign w:val="bottom"/>
          </w:tcPr>
          <w:p>
            <w:pPr>
              <w:ind w:left="180"/>
              <w:spacing w:after="0"/>
              <w:rPr>
                <w:sz w:val="20"/>
                <w:szCs w:val="20"/>
                <w:color w:val="auto"/>
              </w:rPr>
            </w:pPr>
            <w:r>
              <w:rPr>
                <w:rFonts w:ascii="Arial" w:cs="Arial" w:eastAsia="Arial" w:hAnsi="Arial"/>
                <w:sz w:val="14"/>
                <w:szCs w:val="14"/>
                <w:color w:val="auto"/>
              </w:rPr>
              <w:t>Proposal 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Arial" w:cs="Arial" w:eastAsia="Arial" w:hAnsi="Arial"/>
                <w:sz w:val="14"/>
                <w:szCs w:val="14"/>
                <w:color w:val="auto"/>
              </w:rPr>
              <w:t>The ratification of the appointment of PricewaterhouseCoopers</w:t>
            </w:r>
          </w:p>
        </w:tc>
        <w:tc>
          <w:tcPr>
            <w:tcW w:w="80" w:type="dxa"/>
            <w:vAlign w:val="bottom"/>
          </w:tcPr>
          <w:p>
            <w:pPr>
              <w:spacing w:after="0"/>
              <w:rPr>
                <w:sz w:val="22"/>
                <w:szCs w:val="22"/>
                <w:color w:val="auto"/>
              </w:rPr>
            </w:pPr>
          </w:p>
        </w:tc>
        <w:tc>
          <w:tcPr>
            <w:tcW w:w="1900" w:type="dxa"/>
            <w:vAlign w:val="bottom"/>
          </w:tcPr>
          <w:p>
            <w:pPr>
              <w:ind w:left="160"/>
              <w:spacing w:after="0"/>
              <w:rPr>
                <w:sz w:val="20"/>
                <w:szCs w:val="20"/>
                <w:color w:val="auto"/>
              </w:rPr>
            </w:pPr>
            <w:r>
              <w:rPr>
                <w:rFonts w:ascii="Arial" w:cs="Arial" w:eastAsia="Arial" w:hAnsi="Arial"/>
                <w:sz w:val="14"/>
                <w:szCs w:val="14"/>
                <w:color w:val="auto"/>
              </w:rPr>
              <w:t>For</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0000EE"/>
              </w:rPr>
              <w:t>23</w:t>
            </w:r>
          </w:p>
        </w:tc>
        <w:tc>
          <w:tcPr>
            <w:tcW w:w="220" w:type="dxa"/>
            <w:vAlign w:val="bottom"/>
          </w:tcPr>
          <w:p>
            <w:pPr>
              <w:spacing w:after="0"/>
              <w:rPr>
                <w:sz w:val="22"/>
                <w:szCs w:val="22"/>
                <w:color w:val="auto"/>
              </w:rPr>
            </w:pPr>
          </w:p>
        </w:tc>
      </w:tr>
      <w:tr>
        <w:trPr>
          <w:trHeight w:val="146"/>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60" w:type="dxa"/>
            <w:vAlign w:val="bottom"/>
          </w:tcPr>
          <w:p>
            <w:pPr>
              <w:ind w:left="60"/>
              <w:spacing w:after="0" w:line="147" w:lineRule="exact"/>
              <w:rPr>
                <w:sz w:val="20"/>
                <w:szCs w:val="20"/>
                <w:color w:val="auto"/>
              </w:rPr>
            </w:pPr>
            <w:r>
              <w:rPr>
                <w:rFonts w:ascii="Arial" w:cs="Arial" w:eastAsia="Arial" w:hAnsi="Arial"/>
                <w:sz w:val="14"/>
                <w:szCs w:val="14"/>
                <w:color w:val="auto"/>
              </w:rPr>
              <w:t>LLP as our independent registered public accounting firm for the</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0000EE"/>
            </w:tcBorders>
            <w:gridSpan w:val="2"/>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60" w:type="dxa"/>
            <w:vAlign w:val="bottom"/>
          </w:tcPr>
          <w:p>
            <w:pPr>
              <w:ind w:left="60"/>
              <w:spacing w:after="0"/>
              <w:rPr>
                <w:sz w:val="20"/>
                <w:szCs w:val="20"/>
                <w:color w:val="auto"/>
              </w:rPr>
            </w:pPr>
            <w:r>
              <w:rPr>
                <w:rFonts w:ascii="Arial" w:cs="Arial" w:eastAsia="Arial" w:hAnsi="Arial"/>
                <w:sz w:val="14"/>
                <w:szCs w:val="14"/>
                <w:color w:val="auto"/>
              </w:rPr>
              <w:t>fiscal year ending January 31, 2025</w:t>
            </w: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5"/>
        </w:trPr>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b w:val="1"/>
          <w:bCs w:val="1"/>
          <w:color w:val="auto"/>
        </w:rPr>
        <w:t xml:space="preserve">Important Note Regarding the 2024 Reverse Stock Split: </w:t>
      </w:r>
      <w:r>
        <w:rPr>
          <w:rFonts w:ascii="Arial" w:cs="Arial" w:eastAsia="Arial" w:hAnsi="Arial"/>
          <w:sz w:val="18"/>
          <w:szCs w:val="18"/>
          <w:color w:val="auto"/>
        </w:rPr>
        <w:t>In March 2024, following stockholder approval, we</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a 1-for-20 reverse stock split of our outstanding shares of Class A common stock and Class B common stock (the “Reverse Stock Split”). The Reverse Stock Split became effective on April 2, 2024 and our shares began trading on a post-split basis on April 3, 2024. Accordingly, all share and per share amounts for all periods presented in this Proxy Statement have been retroactively adjusted to reflect the Reverse Stock Split. In addition, all equity awards and warrants outstanding immediately prior to the Reverse Stock Split were proportionately adjusted.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About Rent the Runway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185"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Since our founding in November 2009, we have built the world’s first and largest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173,247 total subscribers (active and paused) as of January 31, 2024. We had 125,954 active subscribers as of January 31, 2024. In fiscal year 2023, 88% of our total revenue was generated by subscribers, compared to 86% in fiscal year 2022.</w:t>
      </w:r>
    </w:p>
    <w:p>
      <w:pPr>
        <w:spacing w:after="0" w:line="143"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Year 2023 Business Highlights</w:t>
      </w:r>
    </w:p>
    <w:p>
      <w:pPr>
        <w:spacing w:after="0" w:line="212" w:lineRule="exact"/>
        <w:rPr>
          <w:sz w:val="20"/>
          <w:szCs w:val="20"/>
          <w:color w:val="auto"/>
        </w:rPr>
      </w:pPr>
    </w:p>
    <w:p>
      <w:pPr>
        <w:ind w:left="20" w:right="620"/>
        <w:spacing w:after="0" w:line="271" w:lineRule="auto"/>
        <w:rPr>
          <w:sz w:val="20"/>
          <w:szCs w:val="20"/>
          <w:color w:val="auto"/>
        </w:rPr>
      </w:pPr>
      <w:r>
        <w:rPr>
          <w:rFonts w:ascii="Arial" w:cs="Arial" w:eastAsia="Arial" w:hAnsi="Arial"/>
          <w:sz w:val="18"/>
          <w:szCs w:val="18"/>
          <w:color w:val="auto"/>
        </w:rPr>
        <w:t>We have achieved the following operating and financial results for the years ended January 31, 2024 and 2023, respectively:</w:t>
      </w:r>
    </w:p>
    <w:p>
      <w:pPr>
        <w:spacing w:after="0" w:line="113" w:lineRule="exact"/>
        <w:rPr>
          <w:sz w:val="20"/>
          <w:szCs w:val="20"/>
          <w:color w:val="auto"/>
        </w:rPr>
      </w:pPr>
    </w:p>
    <w:p>
      <w:pPr>
        <w:ind w:left="740" w:hanging="35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was $298.2 million and $296.4 million, respectively, representing a 0.6% growth year-over-year;</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125,954 and 126,712 ending Active Subscribers (excluding paused subscribers), representing a change of</w:t>
      </w:r>
    </w:p>
    <w:p>
      <w:pPr>
        <w:ind w:left="740"/>
        <w:spacing w:after="0" w:line="234" w:lineRule="auto"/>
        <w:rPr>
          <w:rFonts w:ascii="Arial" w:cs="Arial" w:eastAsia="Arial" w:hAnsi="Arial"/>
          <w:sz w:val="18"/>
          <w:szCs w:val="18"/>
          <w:color w:val="auto"/>
        </w:rPr>
      </w:pPr>
      <w:r>
        <w:rPr>
          <w:rFonts w:ascii="Arial" w:cs="Arial" w:eastAsia="Arial" w:hAnsi="Arial"/>
          <w:sz w:val="18"/>
          <w:szCs w:val="18"/>
          <w:color w:val="auto"/>
        </w:rPr>
        <w:t>(1)% year-over-year;</w:t>
      </w:r>
    </w:p>
    <w:p>
      <w:pPr>
        <w:ind w:left="7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135,211 and 128,586 Average Active Subscribers, representing 5% growth year-over-year;</w:t>
      </w:r>
    </w:p>
    <w:p>
      <w:pPr>
        <w:ind w:left="740" w:right="10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173,247 and 171,998 ending Total Subscribers (including paused subscribers), respectively, representing 1% growth year-over-year;</w:t>
      </w:r>
    </w:p>
    <w:p>
      <w:pPr>
        <w:spacing w:after="0" w:line="1" w:lineRule="exact"/>
        <w:rPr>
          <w:rFonts w:ascii="Arial" w:cs="Arial" w:eastAsia="Arial" w:hAnsi="Arial"/>
          <w:sz w:val="18"/>
          <w:szCs w:val="18"/>
          <w:color w:val="auto"/>
        </w:rPr>
      </w:pPr>
    </w:p>
    <w:p>
      <w:pPr>
        <w:ind w:left="740" w:right="30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was $119.7 million and $120.0 million, respectively, representing a gross margin of 40.1% and 40.5%, respectively;</w:t>
      </w:r>
    </w:p>
    <w:p>
      <w:pPr>
        <w:spacing w:after="0" w:line="1" w:lineRule="exact"/>
        <w:rPr>
          <w:rFonts w:ascii="Arial" w:cs="Arial" w:eastAsia="Arial" w:hAnsi="Arial"/>
          <w:sz w:val="18"/>
          <w:szCs w:val="18"/>
          <w:color w:val="auto"/>
        </w:rPr>
      </w:pPr>
    </w:p>
    <w:p>
      <w:pPr>
        <w:ind w:left="740" w:right="3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was $(113.2) million and $(138.7) million, respectively. Net Loss as a percentage of revenue was (38.0)%, and (46.8)%, respectively, and included $3.1 million and $7.7 million of restructuring and related charges, respectively;</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was $26.9 million and $6.7 million, respectively, representing an Adjusted EBITDA margin of 9.0% and 2.3%, respectively (See Annex A for a reconciliation of Adjusted EBITDA to net income, the most directly comparable financial measure calculated in accordance with GAAP);</w:t>
      </w:r>
    </w:p>
    <w:p>
      <w:pPr>
        <w:spacing w:after="0" w:line="2" w:lineRule="exact"/>
        <w:rPr>
          <w:rFonts w:ascii="Arial" w:cs="Arial" w:eastAsia="Arial" w:hAnsi="Arial"/>
          <w:sz w:val="18"/>
          <w:szCs w:val="18"/>
          <w:color w:val="auto"/>
        </w:rPr>
      </w:pPr>
    </w:p>
    <w:p>
      <w:pPr>
        <w:ind w:left="740" w:right="12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was $(70.3) million and $(92.0) million, respectively;</w:t>
      </w:r>
    </w:p>
    <w:p>
      <w:pPr>
        <w:spacing w:after="0" w:line="1" w:lineRule="exact"/>
        <w:rPr>
          <w:rFonts w:ascii="Arial" w:cs="Arial" w:eastAsia="Arial" w:hAnsi="Arial"/>
          <w:sz w:val="18"/>
          <w:szCs w:val="18"/>
          <w:color w:val="auto"/>
        </w:rPr>
      </w:pPr>
    </w:p>
    <w:p>
      <w:pPr>
        <w:ind w:left="740" w:right="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used in operating activities plus net cash used in investing activities as a percentage of revenue was (23.6)% and (31.0)%, respectively;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Cash Equivalents was $84.0 million and $154.5 million,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Corporate Governance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Highlights</w:t>
      </w:r>
    </w:p>
    <w:p>
      <w:pPr>
        <w:spacing w:after="0" w:line="171" w:lineRule="exact"/>
        <w:rPr>
          <w:sz w:val="20"/>
          <w:szCs w:val="20"/>
          <w:color w:val="auto"/>
        </w:rPr>
      </w:pPr>
    </w:p>
    <w:p>
      <w:pPr>
        <w:jc w:val="both"/>
        <w:ind w:left="20" w:right="460"/>
        <w:spacing w:after="0" w:line="301" w:lineRule="auto"/>
        <w:rPr>
          <w:sz w:val="20"/>
          <w:szCs w:val="20"/>
          <w:color w:val="auto"/>
        </w:rPr>
      </w:pPr>
      <w:r>
        <w:rPr>
          <w:rFonts w:ascii="Arial" w:cs="Arial" w:eastAsia="Arial" w:hAnsi="Arial"/>
          <w:sz w:val="17"/>
          <w:szCs w:val="17"/>
          <w:color w:val="auto"/>
        </w:rPr>
        <w:t>We carefully consider our corporate governance practices and believe that they are appropriately tailored to our business and promote the long-term interests of our stockholders. Our corporate governance practices include:</w:t>
      </w:r>
    </w:p>
    <w:p>
      <w:pPr>
        <w:spacing w:after="0" w:line="104" w:lineRule="exact"/>
        <w:rPr>
          <w:sz w:val="20"/>
          <w:szCs w:val="20"/>
          <w:color w:val="auto"/>
        </w:rPr>
      </w:pPr>
    </w:p>
    <w:p>
      <w:pPr>
        <w:ind w:left="740" w:hanging="35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directors on the Board are independent, except for our CEO</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our committee members are independent</w:t>
      </w: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comprised of sophisticated, engaged directors with diverse relevant expertise</w:t>
      </w: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and committees with an active role in risk management oversight</w:t>
      </w: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code of conduct applicable to directors, officers, and employees</w:t>
      </w: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Periodic Board and committee self-evaluations</w:t>
      </w:r>
    </w:p>
    <w:p>
      <w:pPr>
        <w:ind w:left="74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Periodic reviews of our corporate governance structure, including committee charters, corporate governance guidelines, and code of conduct, to ensure they are appropriate for a company of our stage of development and market size</w:t>
      </w:r>
    </w:p>
    <w:p>
      <w:pPr>
        <w:spacing w:after="0" w:line="2" w:lineRule="exact"/>
        <w:rPr>
          <w:rFonts w:ascii="Arial" w:cs="Arial" w:eastAsia="Arial" w:hAnsi="Arial"/>
          <w:sz w:val="18"/>
          <w:szCs w:val="18"/>
          <w:color w:val="auto"/>
        </w:rPr>
      </w:pPr>
    </w:p>
    <w:p>
      <w:pPr>
        <w:ind w:left="740" w:hanging="359"/>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Policy of no pledging without prior Board approval and no hedging of RTR shares for current employees and directors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180" w:top="263" w:right="1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Voting and Meeting Information</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Annual Meeting of Stockholders on July 11, 2024 at 8:30 a.m., Eastern Time. This proxy statement summarizes information that is intended to assist you in making an informed vote on the proposals described in this proxy statement.</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80"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Stockholders as of the close of business on May 16, 2024, the record date, are entitled to attend and vote at the Annual Meeting. There were approximately 3,566,441 shares of Class A common stock and 155,333 shares of Class B common stock outstanding on May 16, 2024 entitled to vote.</w:t>
      </w:r>
    </w:p>
    <w:p>
      <w:pPr>
        <w:spacing w:after="0" w:line="128" w:lineRule="exact"/>
        <w:rPr>
          <w:sz w:val="20"/>
          <w:szCs w:val="20"/>
          <w:color w:val="auto"/>
        </w:rPr>
      </w:pPr>
    </w:p>
    <w:p>
      <w:pPr>
        <w:ind w:left="20" w:right="500"/>
        <w:spacing w:after="0" w:line="275" w:lineRule="auto"/>
        <w:rPr>
          <w:sz w:val="20"/>
          <w:szCs w:val="20"/>
          <w:color w:val="auto"/>
        </w:rPr>
      </w:pPr>
      <w:r>
        <w:rPr>
          <w:rFonts w:ascii="Arial" w:cs="Arial" w:eastAsia="Arial" w:hAnsi="Arial"/>
          <w:sz w:val="17"/>
          <w:szCs w:val="17"/>
          <w:color w:val="auto"/>
        </w:rPr>
        <w:t>The meeting webcast will begin promptly at 8:30 a.m., Eastern Time, and will be accessible at www.virtualshareholdermeeting.com/RENT2024. We encourage you to access the meeting prior to the start time. Online check-in will begin at 8:15 a.m., Eastern Time, and you should allow ample time for the check-in procedures.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per share do I have?</w:t>
      </w:r>
    </w:p>
    <w:p>
      <w:pPr>
        <w:spacing w:after="0" w:line="180"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 Our Class A and Class B common stock will vote together as a single class on all matters to be voted upon at the Annual Meeting.</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66" w:lineRule="exact"/>
        <w:rPr>
          <w:sz w:val="20"/>
          <w:szCs w:val="20"/>
          <w:color w:val="auto"/>
        </w:rPr>
      </w:pPr>
    </w:p>
    <w:p>
      <w:pPr>
        <w:ind w:left="20" w:right="420"/>
        <w:spacing w:after="0" w:line="253" w:lineRule="auto"/>
        <w:rPr>
          <w:sz w:val="20"/>
          <w:szCs w:val="20"/>
          <w:color w:val="auto"/>
        </w:rPr>
      </w:pPr>
      <w:r>
        <w:rPr>
          <w:rFonts w:ascii="Arial" w:cs="Arial" w:eastAsia="Arial" w:hAnsi="Arial"/>
          <w:sz w:val="18"/>
          <w:szCs w:val="18"/>
          <w:color w:val="auto"/>
        </w:rPr>
        <w:t>If, on May 16, 2024, your Rent the Runway shares were registered directly in your name with our transfer agent, Equiniti Trust Company, LLC, then you are a stockholder of record and you can vote your shares in one of two ways: either by proxy or during the virtual Annual Meeting electronically.</w:t>
      </w:r>
    </w:p>
    <w:p>
      <w:pPr>
        <w:spacing w:after="0" w:line="142"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If, on May 16, 2024,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w:t>
      </w:r>
    </w:p>
    <w:p>
      <w:pPr>
        <w:spacing w:after="0" w:line="128"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Internet and telephone voting also may be offered to stockholders owning shares through certain banks and brokers. If your shares are held in “street name,” you may visit www.proxyvote.com and enter the 16-digit control number included in the Internet Notice or voting instruction card provided to you by your bank or brokerage firm. If you hold your shares in street name and you did not receive a 16-digit control number, you may need to log in to your bank or brokerage firm’s website to access the meeting and vote. Instructions should also be provided on the Internet Notice or voting instruction card provided by your bank or brokerage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82550</wp:posOffset>
            </wp:positionV>
            <wp:extent cx="603504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40" w:type="dxa"/>
            <w:vAlign w:val="bottom"/>
            <w:gridSpan w:val="4"/>
          </w:tcPr>
          <w:p>
            <w:pPr>
              <w:ind w:left="80"/>
              <w:spacing w:after="0"/>
              <w:rPr>
                <w:sz w:val="20"/>
                <w:szCs w:val="20"/>
                <w:color w:val="auto"/>
              </w:rPr>
            </w:pPr>
            <w:r>
              <w:rPr>
                <w:rFonts w:ascii="Arial" w:cs="Arial" w:eastAsia="Arial" w:hAnsi="Arial"/>
                <w:sz w:val="14"/>
                <w:szCs w:val="14"/>
                <w:b w:val="1"/>
                <w:bCs w:val="1"/>
                <w:color w:val="auto"/>
              </w:rPr>
              <w:t>If you choose to vote by proxy, you may do so:</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291"/>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Internet</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proxy card;</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Telephone</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Notice or proxy card; or</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Mail</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Processing, c/o Broadridge, 51 Mercedes Way, Edgewood, NY 11717.</w:t>
            </w:r>
          </w:p>
        </w:tc>
        <w:tc>
          <w:tcPr>
            <w:tcW w:w="180" w:type="dxa"/>
            <w:vAlign w:val="bottom"/>
          </w:tcPr>
          <w:p>
            <w:pPr>
              <w:spacing w:after="0"/>
              <w:rPr>
                <w:sz w:val="16"/>
                <w:szCs w:val="16"/>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180" w:top="26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Annual Meeting?</w:t>
      </w:r>
    </w:p>
    <w:p>
      <w:pPr>
        <w:spacing w:after="0" w:line="180"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Annual Meeting as an in-person meeting, we will hold a live Q&amp;A session, during which we intend to answer questions submitted online during the meeting that are pertinent to the Company and the meeting matters.</w:t>
      </w:r>
    </w:p>
    <w:p>
      <w:pPr>
        <w:spacing w:after="0" w:line="128"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Only stockholders of record as of the record date for the Annual Meeting and their proxy holders who have logged in using a 16-digit control number may submit questions or comments.</w:t>
      </w:r>
    </w:p>
    <w:p>
      <w:pPr>
        <w:spacing w:after="0" w:line="113" w:lineRule="exact"/>
        <w:rPr>
          <w:sz w:val="20"/>
          <w:szCs w:val="20"/>
          <w:color w:val="auto"/>
        </w:rPr>
      </w:pPr>
    </w:p>
    <w:p>
      <w:pPr>
        <w:ind w:left="20" w:right="480"/>
        <w:spacing w:after="0" w:line="301" w:lineRule="auto"/>
        <w:rPr>
          <w:sz w:val="20"/>
          <w:szCs w:val="20"/>
          <w:color w:val="auto"/>
        </w:rPr>
      </w:pPr>
      <w:r>
        <w:rPr>
          <w:rFonts w:ascii="Arial" w:cs="Arial" w:eastAsia="Arial" w:hAnsi="Arial"/>
          <w:sz w:val="17"/>
          <w:szCs w:val="17"/>
          <w:color w:val="auto"/>
        </w:rPr>
        <w:t>You will be able to ask questions by joining the virtual Annual Meeting at www.virtualshareholdermeeting.com/RENT2024 and typing your question in the box in the Annual Meeting portal.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or comment that is relevant to the Annual Meeting or Rent the Runway’s business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our business, repetitious of statements already made, or in furtherance of the speaker’s own personal, political, or business interests. Questions will be addressed in the Q&amp;A portion of the Annual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Annual Meeting?</w:t>
      </w:r>
    </w:p>
    <w:p>
      <w:pPr>
        <w:spacing w:after="0" w:line="166" w:lineRule="exact"/>
        <w:rPr>
          <w:sz w:val="20"/>
          <w:szCs w:val="20"/>
          <w:color w:val="auto"/>
        </w:rPr>
      </w:pPr>
    </w:p>
    <w:p>
      <w:pPr>
        <w:jc w:val="both"/>
        <w:ind w:left="20" w:right="240"/>
        <w:spacing w:after="0" w:line="253"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Annual Meeting log in page. Technical support will be available starting at 8:15 a.m. Eastern Time on July 11, 2024.</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July 10, 2024. If you prefer to vote by mail, you should complete and return the proxy card as soon as possible. You will also be able to vote by attending and voting at the virtual Annual Meeting on July 11, 2024. However, we recommend that you submit your proxy in advance in the event your plans change or you are unable to attend the Annual Meeting.</w:t>
      </w:r>
    </w:p>
    <w:p>
      <w:pPr>
        <w:spacing w:after="0" w:line="136"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66"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right="80"/>
        <w:spacing w:after="0" w:line="238" w:lineRule="auto"/>
        <w:rPr>
          <w:sz w:val="20"/>
          <w:szCs w:val="20"/>
          <w:color w:val="auto"/>
        </w:rPr>
      </w:pPr>
      <w:r>
        <w:rPr>
          <w:rFonts w:ascii="Arial" w:cs="Arial" w:eastAsia="Arial" w:hAnsi="Arial"/>
          <w:sz w:val="18"/>
          <w:szCs w:val="18"/>
          <w:color w:val="auto"/>
        </w:rPr>
        <w:t>If your Rent the Runway shares are held in an account with a broker or other nominee, and you do not instruct your broker or other nominee how to vote your shares, your broker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(Election of Directors) is considered to be “non-routine” under applicable exchange rules, meaning that your broker may not vote your shares on this proposal in the absence of your voting instructions, which would result in a “broker non-vote.” Proposal No. 2 (Ratification of Auditors), however, is considered to be a “routine” matter, meaning that if you do not return voting instructions to your broker by its deadline, your shares may be voted by your broker in its discretion on Proposal No. 2. See “How many votes are required to approve each proposal?” below for more information. Please instruct your broker, bank, trustee, or nominee to ensure that your vote will be counted.</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right="640"/>
        <w:spacing w:after="0" w:line="270" w:lineRule="auto"/>
        <w:rPr>
          <w:sz w:val="20"/>
          <w:szCs w:val="20"/>
          <w:color w:val="auto"/>
        </w:rPr>
      </w:pPr>
      <w:r>
        <w:rPr>
          <w:rFonts w:ascii="Arial" w:cs="Arial" w:eastAsia="Arial" w:hAnsi="Arial"/>
          <w:sz w:val="20"/>
          <w:szCs w:val="20"/>
          <w:b w:val="1"/>
          <w:bCs w:val="1"/>
          <w:color w:val="auto"/>
        </w:rPr>
        <w:t>What is a “vote withheld” and an “abstention” and how will votes withheld and abstentions be treated?</w:t>
      </w:r>
    </w:p>
    <w:p>
      <w:pPr>
        <w:spacing w:after="0" w:line="108"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our auditors,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our auditors.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Annual Meeting. However, if any other matter is properly presented at the meeting, the persons named as proxies will vote your shares using his or her best judgment.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Annual Meeting on July 11, 2024 by:</w:t>
      </w:r>
    </w:p>
    <w:p>
      <w:pPr>
        <w:spacing w:after="0" w:line="128" w:lineRule="exact"/>
        <w:rPr>
          <w:sz w:val="20"/>
          <w:szCs w:val="20"/>
          <w:color w:val="auto"/>
        </w:rPr>
      </w:pPr>
    </w:p>
    <w:p>
      <w:pPr>
        <w:ind w:left="740" w:right="740" w:hanging="359"/>
        <w:spacing w:after="0" w:line="245"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Secretary of the Company prior to the Annual Meeting; or</w:t>
      </w: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w:t>
      </w:r>
    </w:p>
    <w:p>
      <w:pPr>
        <w:spacing w:after="0" w:line="16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Annual Meeting by itself will not revoke your proxy if you do not also vote at the virtual Annual Meeting.</w:t>
      </w:r>
    </w:p>
    <w:p>
      <w:pPr>
        <w:spacing w:after="0" w:line="11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Annual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92075</wp:posOffset>
            </wp:positionV>
            <wp:extent cx="6035040" cy="565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5040" cy="565785"/>
                    </a:xfrm>
                    <a:prstGeom prst="rect">
                      <a:avLst/>
                    </a:prstGeom>
                    <a:noFill/>
                  </pic:spPr>
                </pic:pic>
              </a:graphicData>
            </a:graphic>
          </wp:anchor>
        </w:drawing>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Effect of Votes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Proposal</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20" w:type="dxa"/>
            <w:vAlign w:val="bottom"/>
          </w:tcPr>
          <w:p>
            <w:pPr>
              <w:ind w:left="60"/>
              <w:spacing w:after="0"/>
              <w:rPr>
                <w:sz w:val="20"/>
                <w:szCs w:val="20"/>
                <w:color w:val="auto"/>
              </w:rPr>
            </w:pPr>
            <w:r>
              <w:rPr>
                <w:rFonts w:ascii="Arial" w:cs="Arial" w:eastAsia="Arial" w:hAnsi="Arial"/>
                <w:sz w:val="14"/>
                <w:szCs w:val="14"/>
                <w:b w:val="1"/>
                <w:bCs w:val="1"/>
                <w:color w:val="auto"/>
              </w:rPr>
              <w:t>Vote Required for Approval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Withheld or</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700" w:type="dxa"/>
            <w:vAlign w:val="bottom"/>
          </w:tcPr>
          <w:p>
            <w:pPr>
              <w:ind w:left="40"/>
              <w:spacing w:after="0"/>
              <w:rPr>
                <w:sz w:val="20"/>
                <w:szCs w:val="20"/>
                <w:color w:val="auto"/>
              </w:rPr>
            </w:pPr>
            <w:r>
              <w:rPr>
                <w:rFonts w:ascii="Arial" w:cs="Arial" w:eastAsia="Arial" w:hAnsi="Arial"/>
                <w:sz w:val="14"/>
                <w:szCs w:val="14"/>
                <w:b w:val="1"/>
                <w:bCs w:val="1"/>
                <w:color w:val="auto"/>
              </w:rPr>
              <w:t>Effect of Broker Non-Votes*</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99"/>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ind w:left="40"/>
              <w:spacing w:after="0" w:line="99" w:lineRule="exact"/>
              <w:rPr>
                <w:sz w:val="20"/>
                <w:szCs w:val="20"/>
                <w:color w:val="auto"/>
              </w:rPr>
            </w:pPr>
            <w:r>
              <w:rPr>
                <w:rFonts w:ascii="Arial" w:cs="Arial" w:eastAsia="Arial" w:hAnsi="Arial"/>
                <w:sz w:val="11"/>
                <w:szCs w:val="11"/>
                <w:b w:val="1"/>
                <w:bCs w:val="1"/>
                <w:color w:val="auto"/>
              </w:rPr>
              <w:t>Abstentions, as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96"/>
        </w:trPr>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Arial" w:cs="Arial" w:eastAsia="Arial" w:hAnsi="Arial"/>
                <w:sz w:val="14"/>
                <w:szCs w:val="14"/>
                <w:b w:val="1"/>
                <w:bCs w:val="1"/>
                <w:color w:val="auto"/>
              </w:rPr>
              <w:t>applicable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10"/>
        </w:trPr>
        <w:tc>
          <w:tcPr>
            <w:tcW w:w="1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r>
        <w:trPr>
          <w:trHeight w:val="281"/>
        </w:trPr>
        <w:tc>
          <w:tcPr>
            <w:tcW w:w="1680" w:type="dxa"/>
            <w:vAlign w:val="bottom"/>
          </w:tcPr>
          <w:p>
            <w:pPr>
              <w:ind w:left="180"/>
              <w:spacing w:after="0"/>
              <w:rPr>
                <w:sz w:val="20"/>
                <w:szCs w:val="20"/>
                <w:color w:val="auto"/>
              </w:rPr>
            </w:pPr>
            <w:r>
              <w:rPr>
                <w:rFonts w:ascii="Arial" w:cs="Arial" w:eastAsia="Arial" w:hAnsi="Arial"/>
                <w:sz w:val="14"/>
                <w:szCs w:val="14"/>
                <w:color w:val="auto"/>
              </w:rPr>
              <w:t>1. Election of Directors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Directors are elected by a plurality of the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14"/>
                <w:szCs w:val="14"/>
                <w:color w:val="auto"/>
              </w:rPr>
              <w:t>Votes withheld have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No effect. Brokers may not vote the</w:t>
            </w:r>
          </w:p>
        </w:tc>
        <w:tc>
          <w:tcPr>
            <w:tcW w:w="160" w:type="dxa"/>
            <w:vAlign w:val="bottom"/>
          </w:tcPr>
          <w:p>
            <w:pPr>
              <w:spacing w:after="0"/>
              <w:rPr>
                <w:sz w:val="24"/>
                <w:szCs w:val="24"/>
                <w:color w:val="auto"/>
              </w:rPr>
            </w:pPr>
          </w:p>
        </w:tc>
      </w:tr>
      <w:tr>
        <w:trPr>
          <w:trHeight w:val="171"/>
        </w:trPr>
        <w:tc>
          <w:tcPr>
            <w:tcW w:w="16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20" w:type="dxa"/>
            <w:vAlign w:val="bottom"/>
          </w:tcPr>
          <w:p>
            <w:pPr>
              <w:ind w:left="60"/>
              <w:spacing w:after="0"/>
              <w:rPr>
                <w:sz w:val="20"/>
                <w:szCs w:val="20"/>
                <w:color w:val="auto"/>
              </w:rPr>
            </w:pPr>
            <w:r>
              <w:rPr>
                <w:rFonts w:ascii="Arial" w:cs="Arial" w:eastAsia="Arial" w:hAnsi="Arial"/>
                <w:sz w:val="14"/>
                <w:szCs w:val="14"/>
                <w:color w:val="auto"/>
              </w:rPr>
              <w:t>votes cast. The four director nominees</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ind w:left="40"/>
              <w:spacing w:after="0"/>
              <w:rPr>
                <w:sz w:val="20"/>
                <w:szCs w:val="20"/>
                <w:color w:val="auto"/>
              </w:rPr>
            </w:pPr>
            <w:r>
              <w:rPr>
                <w:rFonts w:ascii="Arial" w:cs="Arial" w:eastAsia="Arial" w:hAnsi="Arial"/>
                <w:sz w:val="14"/>
                <w:szCs w:val="14"/>
                <w:color w:val="auto"/>
              </w:rPr>
              <w:t>effect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700" w:type="dxa"/>
            <w:vAlign w:val="bottom"/>
          </w:tcPr>
          <w:p>
            <w:pPr>
              <w:ind w:left="40"/>
              <w:spacing w:after="0"/>
              <w:rPr>
                <w:sz w:val="20"/>
                <w:szCs w:val="20"/>
                <w:color w:val="auto"/>
              </w:rPr>
            </w:pPr>
            <w:r>
              <w:rPr>
                <w:rFonts w:ascii="Arial" w:cs="Arial" w:eastAsia="Arial" w:hAnsi="Arial"/>
                <w:sz w:val="14"/>
                <w:szCs w:val="14"/>
                <w:color w:val="auto"/>
              </w:rPr>
              <w:t>shares if not instructed by the beneficial</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53"/>
        </w:trPr>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ind w:left="60"/>
              <w:spacing w:after="0" w:line="153" w:lineRule="exact"/>
              <w:rPr>
                <w:sz w:val="20"/>
                <w:szCs w:val="20"/>
                <w:color w:val="auto"/>
              </w:rPr>
            </w:pPr>
            <w:r>
              <w:rPr>
                <w:rFonts w:ascii="Arial" w:cs="Arial" w:eastAsia="Arial" w:hAnsi="Arial"/>
                <w:sz w:val="14"/>
                <w:szCs w:val="14"/>
                <w:color w:val="auto"/>
              </w:rPr>
              <w:t>receiving the highest number of “FOR”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Pr>
          <w:p>
            <w:pPr>
              <w:ind w:left="40"/>
              <w:spacing w:after="0" w:line="153" w:lineRule="exact"/>
              <w:rPr>
                <w:sz w:val="20"/>
                <w:szCs w:val="20"/>
                <w:color w:val="auto"/>
              </w:rPr>
            </w:pPr>
            <w:r>
              <w:rPr>
                <w:rFonts w:ascii="Arial" w:cs="Arial" w:eastAsia="Arial" w:hAnsi="Arial"/>
                <w:sz w:val="14"/>
                <w:szCs w:val="14"/>
                <w:color w:val="auto"/>
              </w:rPr>
              <w:t>owner, as this matter is considered “non-</w:t>
            </w:r>
          </w:p>
        </w:tc>
        <w:tc>
          <w:tcPr>
            <w:tcW w:w="160" w:type="dxa"/>
            <w:vAlign w:val="bottom"/>
          </w:tcPr>
          <w:p>
            <w:pPr>
              <w:spacing w:after="0"/>
              <w:rPr>
                <w:sz w:val="13"/>
                <w:szCs w:val="13"/>
                <w:color w:val="auto"/>
              </w:rPr>
            </w:pPr>
          </w:p>
        </w:tc>
      </w:tr>
      <w:tr>
        <w:trPr>
          <w:trHeight w:val="190"/>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votes will be elected.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routine.”</w:t>
            </w:r>
          </w:p>
        </w:tc>
        <w:tc>
          <w:tcPr>
            <w:tcW w:w="160" w:type="dxa"/>
            <w:vAlign w:val="bottom"/>
          </w:tcPr>
          <w:p>
            <w:pPr>
              <w:spacing w:after="0"/>
              <w:rPr>
                <w:sz w:val="16"/>
                <w:szCs w:val="16"/>
                <w:color w:val="auto"/>
              </w:rPr>
            </w:pPr>
          </w:p>
        </w:tc>
      </w:tr>
      <w:tr>
        <w:trPr>
          <w:trHeight w:val="103"/>
        </w:trPr>
        <w:tc>
          <w:tcPr>
            <w:tcW w:w="1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r>
        <w:trPr>
          <w:trHeight w:val="268"/>
        </w:trPr>
        <w:tc>
          <w:tcPr>
            <w:tcW w:w="1680" w:type="dxa"/>
            <w:vAlign w:val="bottom"/>
          </w:tcPr>
          <w:p>
            <w:pPr>
              <w:ind w:left="180"/>
              <w:spacing w:after="0"/>
              <w:rPr>
                <w:sz w:val="20"/>
                <w:szCs w:val="20"/>
                <w:color w:val="auto"/>
              </w:rPr>
            </w:pPr>
            <w:r>
              <w:rPr>
                <w:rFonts w:ascii="Arial" w:cs="Arial" w:eastAsia="Arial" w:hAnsi="Arial"/>
                <w:sz w:val="14"/>
                <w:szCs w:val="14"/>
                <w:color w:val="auto"/>
              </w:rPr>
              <w:t>2. Ratification of</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Decided by a majority of the votes cast.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14"/>
                <w:szCs w:val="14"/>
                <w:color w:val="auto"/>
              </w:rPr>
              <w:t>Abstentions have no</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No effect. Brokers may vote the shares if</w:t>
            </w:r>
          </w:p>
        </w:tc>
        <w:tc>
          <w:tcPr>
            <w:tcW w:w="160" w:type="dxa"/>
            <w:vAlign w:val="bottom"/>
          </w:tcPr>
          <w:p>
            <w:pPr>
              <w:spacing w:after="0"/>
              <w:rPr>
                <w:sz w:val="23"/>
                <w:szCs w:val="23"/>
                <w:color w:val="auto"/>
              </w:rPr>
            </w:pPr>
          </w:p>
        </w:tc>
      </w:tr>
      <w:tr>
        <w:trPr>
          <w:trHeight w:val="162"/>
        </w:trPr>
        <w:tc>
          <w:tcPr>
            <w:tcW w:w="1680" w:type="dxa"/>
            <w:vAlign w:val="bottom"/>
          </w:tcPr>
          <w:p>
            <w:pPr>
              <w:ind w:left="360"/>
              <w:spacing w:after="0"/>
              <w:rPr>
                <w:sz w:val="20"/>
                <w:szCs w:val="20"/>
                <w:color w:val="auto"/>
              </w:rPr>
            </w:pPr>
            <w:r>
              <w:rPr>
                <w:rFonts w:ascii="Arial" w:cs="Arial" w:eastAsia="Arial" w:hAnsi="Arial"/>
                <w:sz w:val="14"/>
                <w:szCs w:val="14"/>
                <w:color w:val="auto"/>
              </w:rPr>
              <w:t>Auditors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This proposal will be approved if the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ind w:left="40"/>
              <w:spacing w:after="0"/>
              <w:rPr>
                <w:sz w:val="20"/>
                <w:szCs w:val="20"/>
                <w:color w:val="auto"/>
              </w:rPr>
            </w:pPr>
            <w:r>
              <w:rPr>
                <w:rFonts w:ascii="Arial" w:cs="Arial" w:eastAsia="Arial" w:hAnsi="Arial"/>
                <w:sz w:val="14"/>
                <w:szCs w:val="14"/>
                <w:color w:val="auto"/>
              </w:rPr>
              <w:t>effect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not instructed by the beneficial owner, as</w:t>
            </w:r>
          </w:p>
        </w:tc>
        <w:tc>
          <w:tcPr>
            <w:tcW w:w="160" w:type="dxa"/>
            <w:vAlign w:val="bottom"/>
          </w:tcPr>
          <w:p>
            <w:pPr>
              <w:spacing w:after="0"/>
              <w:rPr>
                <w:sz w:val="14"/>
                <w:szCs w:val="14"/>
                <w:color w:val="auto"/>
              </w:rPr>
            </w:pPr>
          </w:p>
        </w:tc>
      </w:tr>
      <w:tr>
        <w:trPr>
          <w:trHeight w:val="162"/>
        </w:trPr>
        <w:tc>
          <w:tcPr>
            <w:tcW w:w="16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20" w:type="dxa"/>
            <w:vAlign w:val="bottom"/>
          </w:tcPr>
          <w:p>
            <w:pPr>
              <w:ind w:left="60"/>
              <w:spacing w:after="0"/>
              <w:rPr>
                <w:sz w:val="20"/>
                <w:szCs w:val="20"/>
                <w:color w:val="auto"/>
              </w:rPr>
            </w:pPr>
            <w:r>
              <w:rPr>
                <w:rFonts w:ascii="Arial" w:cs="Arial" w:eastAsia="Arial" w:hAnsi="Arial"/>
                <w:sz w:val="14"/>
                <w:szCs w:val="14"/>
                <w:color w:val="auto"/>
              </w:rPr>
              <w:t>number of votes cast “FOR” the proposal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700" w:type="dxa"/>
            <w:vAlign w:val="bottom"/>
          </w:tcPr>
          <w:p>
            <w:pPr>
              <w:ind w:left="40"/>
              <w:spacing w:after="0"/>
              <w:rPr>
                <w:sz w:val="20"/>
                <w:szCs w:val="20"/>
                <w:color w:val="auto"/>
              </w:rPr>
            </w:pPr>
            <w:r>
              <w:rPr>
                <w:rFonts w:ascii="Arial" w:cs="Arial" w:eastAsia="Arial" w:hAnsi="Arial"/>
                <w:sz w:val="14"/>
                <w:szCs w:val="14"/>
                <w:color w:val="auto"/>
              </w:rPr>
              <w:t>this matter is considered “routine.”</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exceeds the number of votes cast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Therefore, we would not expect broker</w:t>
            </w:r>
          </w:p>
        </w:tc>
        <w:tc>
          <w:tcPr>
            <w:tcW w:w="160" w:type="dxa"/>
            <w:vAlign w:val="bottom"/>
          </w:tcPr>
          <w:p>
            <w:pPr>
              <w:spacing w:after="0"/>
              <w:rPr>
                <w:sz w:val="14"/>
                <w:szCs w:val="14"/>
                <w:color w:val="auto"/>
              </w:rPr>
            </w:pPr>
          </w:p>
        </w:tc>
      </w:tr>
      <w:tr>
        <w:trPr>
          <w:trHeight w:val="190"/>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“AGAINST” the proposal.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non-votes to result from this proposal.</w:t>
            </w:r>
          </w:p>
        </w:tc>
        <w:tc>
          <w:tcPr>
            <w:tcW w:w="160" w:type="dxa"/>
            <w:vAlign w:val="bottom"/>
          </w:tcPr>
          <w:p>
            <w:pPr>
              <w:spacing w:after="0"/>
              <w:rPr>
                <w:sz w:val="16"/>
                <w:szCs w:val="16"/>
                <w:color w:val="auto"/>
              </w:rPr>
            </w:pPr>
          </w:p>
        </w:tc>
      </w:tr>
      <w:tr>
        <w:trPr>
          <w:trHeight w:val="35"/>
        </w:trPr>
        <w:tc>
          <w:tcPr>
            <w:tcW w:w="1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20" w:right="200"/>
        <w:spacing w:after="0" w:line="263" w:lineRule="auto"/>
        <w:rPr>
          <w:sz w:val="20"/>
          <w:szCs w:val="20"/>
          <w:color w:val="auto"/>
        </w:rPr>
      </w:pPr>
      <w:r>
        <w:rPr>
          <w:rFonts w:ascii="Arial" w:cs="Arial" w:eastAsia="Arial" w:hAnsi="Arial"/>
          <w:sz w:val="14"/>
          <w:szCs w:val="14"/>
          <w:color w:val="auto"/>
        </w:rPr>
        <w:t>*A “broker non-vote” occurs when a beneficial owner of shares held by a broker or nominee does not give voting instructions to his or her broker or other securities intermediary as to how to vote on matters deemed to be “non-routine” and, as a result, the broker, bank, or other securities intermediary may not vote the shares on those matters.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 quorum is the minimum number of shares required to be present at the Annual Meeting for any business to be conducted. The presence at the Annual Meeting, electronically or by proxy, of the holders of a majority in voting power of common stock issued and outstanding and entitled to vote on the record date will constitute a quorum. If a quorum is not present, we will not be able to conduct any business, and the Annual Meeting will be adjourned, or postponed, by the chairperson of the meeting for a later date.</w:t>
      </w:r>
    </w:p>
    <w:p>
      <w:pPr>
        <w:spacing w:after="0" w:line="13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Instructions to “withhold” authority to vote in the election of directors, abstentions, and broker non-votes will be counted as present for determining whether or not a quorum is present.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6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We plan to announce preliminary voting results at the Annual Meeting and will report the final voting results in a current report on Form 8-K within four business days of the Annual Meeting.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pays for the proxy solicitation expenses?</w:t>
      </w:r>
    </w:p>
    <w:p>
      <w:pPr>
        <w:spacing w:after="0" w:line="166"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We are soliciting proxies on behalf of our Board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annual report and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52"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annual report or proxy statement, please send an email to investors@renttherunway.com. We will strive to promptly address your request.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3160"/>
        <w:spacing w:after="0" w:line="277" w:lineRule="auto"/>
        <w:rPr>
          <w:sz w:val="20"/>
          <w:szCs w:val="20"/>
          <w:color w:val="auto"/>
        </w:rPr>
      </w:pPr>
      <w:r>
        <w:rPr>
          <w:rFonts w:ascii="Arial" w:cs="Arial" w:eastAsia="Arial" w:hAnsi="Arial"/>
          <w:sz w:val="64"/>
          <w:szCs w:val="64"/>
          <w:b w:val="1"/>
          <w:bCs w:val="1"/>
          <w:color w:val="auto"/>
        </w:rPr>
        <w:t>Proposal No. 1 Election of Directors</w:t>
      </w:r>
    </w:p>
    <w:p>
      <w:pPr>
        <w:spacing w:after="0" w:line="3"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Our Board of Directors currently consists of 8 directors, who are divided into three classes with staggered three-year terms. The current Class I Directors are Tim Bixby and Jennifer Fleiss; the current Class II Directors are Scott Friend and Mike Roth; and the current Class III Directors are Jennifer Hyman, Beth Kaplan, Emil Michael and Gwyneth Paltrow. At the Annual Meeting, the four Class III directors named above are standing for election, each for a three-year term. The terms of office of directors in Class I and Class II do not expire until the annual meetings of stockholders to be held in 2025 and 2026, respectively.</w:t>
      </w:r>
    </w:p>
    <w:p>
      <w:pPr>
        <w:spacing w:after="0" w:line="138" w:lineRule="exact"/>
        <w:rPr>
          <w:sz w:val="20"/>
          <w:szCs w:val="20"/>
          <w:color w:val="auto"/>
        </w:rPr>
      </w:pPr>
    </w:p>
    <w:p>
      <w:pPr>
        <w:ind w:left="20" w:right="140"/>
        <w:spacing w:after="0"/>
        <w:rPr>
          <w:sz w:val="20"/>
          <w:szCs w:val="20"/>
          <w:color w:val="auto"/>
        </w:rPr>
      </w:pPr>
      <w:r>
        <w:rPr>
          <w:rFonts w:ascii="Arial" w:cs="Arial" w:eastAsia="Arial" w:hAnsi="Arial"/>
          <w:sz w:val="18"/>
          <w:szCs w:val="18"/>
          <w:color w:val="auto"/>
        </w:rPr>
        <w:t>On May 20, 2024, in order to achieve an equal balance of membership among the classes of directors following the Annual Meeting, Emil Michael resigned as a Class III director and was immediately elected by the Board as a Class II director, to be effective as of the conclusion of the Annual Meeting. The resignation and re-election of Mr. Michael was effected solely to rebalance the Board’s classes effective as of the conclusion of the Annual Meeting and, for all other purposes, including committee service and compensation, Mr. Michael’s service on the Board will be deemed to have continued uninterrupted. As a result of the rebalancing, effective at the conclusion of the Annual Meeting, the Board shall consist of two Class I directors, three Class II directors and three Class III directors.</w:t>
      </w:r>
    </w:p>
    <w:p>
      <w:pPr>
        <w:spacing w:after="0" w:line="158" w:lineRule="exact"/>
        <w:rPr>
          <w:sz w:val="20"/>
          <w:szCs w:val="20"/>
          <w:color w:val="auto"/>
        </w:rPr>
      </w:pPr>
    </w:p>
    <w:p>
      <w:pPr>
        <w:ind w:left="20" w:right="360"/>
        <w:spacing w:after="0" w:line="281" w:lineRule="auto"/>
        <w:rPr>
          <w:sz w:val="20"/>
          <w:szCs w:val="20"/>
          <w:color w:val="auto"/>
        </w:rPr>
      </w:pPr>
      <w:r>
        <w:rPr>
          <w:rFonts w:ascii="Arial" w:cs="Arial" w:eastAsia="Arial" w:hAnsi="Arial"/>
          <w:sz w:val="18"/>
          <w:szCs w:val="18"/>
          <w:b w:val="1"/>
          <w:bCs w:val="1"/>
          <w:color w:val="auto"/>
        </w:rPr>
        <w:t>The Board has nominated Jennifer Hyman, Beth Kaplan, Emil Michael, and Gwyneth Paltrow for election as Class III directors at the Annual Meeting.</w:t>
      </w:r>
    </w:p>
    <w:p>
      <w:pPr>
        <w:spacing w:after="0" w:line="96"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Directors are elected by a plurality of the votes cast. The four director nominees receiving the highest number of “FOR” votes will be elected. If elected at the Annual Meeting, the nominees will serve until our 2027 annual meeting of stockholders and until their successors have been elected and qualified or until they resign, die, are disqualified or are removed from the Board of Directors.</w:t>
      </w:r>
    </w:p>
    <w:p>
      <w:pPr>
        <w:spacing w:after="0" w:line="133" w:lineRule="exact"/>
        <w:rPr>
          <w:sz w:val="20"/>
          <w:szCs w:val="20"/>
          <w:color w:val="auto"/>
        </w:rPr>
      </w:pPr>
    </w:p>
    <w:p>
      <w:pPr>
        <w:ind w:left="20" w:right="240"/>
        <w:spacing w:after="0" w:line="255" w:lineRule="auto"/>
        <w:rPr>
          <w:sz w:val="20"/>
          <w:szCs w:val="20"/>
          <w:color w:val="auto"/>
        </w:rPr>
      </w:pPr>
      <w:r>
        <w:rPr>
          <w:rFonts w:ascii="Arial" w:cs="Arial" w:eastAsia="Arial" w:hAnsi="Arial"/>
          <w:sz w:val="17"/>
          <w:szCs w:val="17"/>
          <w:color w:val="auto"/>
        </w:rPr>
        <w:t>In connection with the initial public offering (“IPO”) of our Class A common stock in October 2021, we entered into a Stockholders Agreement (the “Stockholders Agreement”) between the Company and certain stockholders of the Company, including (i) the Founder (as defined below), (ii) the Bain Capital Ventures Entities (as defined below); and</w:t>
      </w:r>
    </w:p>
    <w:p>
      <w:pPr>
        <w:spacing w:after="0" w:line="2" w:lineRule="exact"/>
        <w:rPr>
          <w:sz w:val="20"/>
          <w:szCs w:val="20"/>
          <w:color w:val="auto"/>
        </w:rPr>
      </w:pPr>
    </w:p>
    <w:p>
      <w:pPr>
        <w:ind w:left="20" w:right="80" w:firstLine="1"/>
        <w:spacing w:after="0"/>
        <w:tabs>
          <w:tab w:leader="none" w:pos="3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Highland Entities (as defined below). As a result of the Stockholders Agreement and the aggregate voting power of the parties to the agreement, we expect that the parties to the agreement acting in conjunction will control the election of directors at RTR. For more information, see “The Board and Corporate Governance—Stockholders Agreement.”</w:t>
      </w:r>
    </w:p>
    <w:p>
      <w:pPr>
        <w:spacing w:after="0" w:line="153"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The nominees have consented to serve as director, if elected. We have no reason to believe that any of the nominees will be unable or unwilling to serve as director. If, however, a nominee is unavailable for election, your proxy authorizes us to vote for a replacement nominee if the Board names one.</w:t>
      </w:r>
    </w:p>
    <w:p>
      <w:pPr>
        <w:spacing w:after="0" w:line="159" w:lineRule="exact"/>
        <w:rPr>
          <w:sz w:val="20"/>
          <w:szCs w:val="20"/>
          <w:color w:val="auto"/>
        </w:rPr>
      </w:pPr>
    </w:p>
    <w:p>
      <w:pPr>
        <w:ind w:left="20" w:right="440"/>
        <w:spacing w:after="0" w:line="272" w:lineRule="auto"/>
        <w:rPr>
          <w:sz w:val="20"/>
          <w:szCs w:val="20"/>
          <w:color w:val="auto"/>
        </w:rPr>
      </w:pPr>
      <w:r>
        <w:rPr>
          <w:rFonts w:ascii="Arial" w:cs="Arial" w:eastAsia="Arial" w:hAnsi="Arial"/>
          <w:sz w:val="22"/>
          <w:szCs w:val="22"/>
          <w:b w:val="1"/>
          <w:bCs w:val="1"/>
          <w:color w:val="auto"/>
        </w:rPr>
        <w:t>The Board of Directors recommends a vote “FOR” each of the director nominees named above.</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440"/>
        <w:spacing w:after="0" w:line="262" w:lineRule="auto"/>
        <w:rPr>
          <w:sz w:val="20"/>
          <w:szCs w:val="20"/>
          <w:color w:val="auto"/>
        </w:rPr>
      </w:pPr>
      <w:r>
        <w:rPr>
          <w:rFonts w:ascii="Arial" w:cs="Arial" w:eastAsia="Arial" w:hAnsi="Arial"/>
          <w:sz w:val="65"/>
          <w:szCs w:val="65"/>
          <w:b w:val="1"/>
          <w:bCs w:val="1"/>
          <w:color w:val="auto"/>
        </w:rPr>
        <w:t>Information About Board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10160</wp:posOffset>
            </wp:positionV>
            <wp:extent cx="603504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Age</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Director Since</w:t>
            </w:r>
          </w:p>
        </w:tc>
      </w:tr>
      <w:tr>
        <w:trPr>
          <w:trHeight w:val="446"/>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Class I Directors</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24"/>
                <w:szCs w:val="2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spacing w:after="0"/>
              <w:rPr>
                <w:sz w:val="24"/>
                <w:szCs w:val="24"/>
                <w:color w:val="auto"/>
              </w:rPr>
            </w:pPr>
          </w:p>
        </w:tc>
      </w:tr>
      <w:tr>
        <w:trPr>
          <w:trHeight w:val="54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(1)*†</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59</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February 2021</w:t>
            </w:r>
          </w:p>
        </w:tc>
      </w:tr>
      <w:tr>
        <w:trPr>
          <w:trHeight w:val="446"/>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(3)*</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40</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Co-Founder; 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March 2009</w:t>
            </w:r>
          </w:p>
        </w:tc>
      </w:tr>
      <w:tr>
        <w:trPr>
          <w:trHeight w:val="324"/>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Class II Directors</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24"/>
                <w:szCs w:val="2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spacing w:after="0"/>
              <w:rPr>
                <w:sz w:val="24"/>
                <w:szCs w:val="24"/>
                <w:color w:val="auto"/>
              </w:rPr>
            </w:pPr>
          </w:p>
        </w:tc>
      </w:tr>
      <w:tr>
        <w:trPr>
          <w:trHeight w:val="54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(2)(4)(5)</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58</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July 2009</w:t>
            </w:r>
          </w:p>
        </w:tc>
      </w:tr>
      <w:tr>
        <w:trPr>
          <w:trHeight w:val="44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(2)</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57</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January 2020</w:t>
            </w:r>
          </w:p>
        </w:tc>
      </w:tr>
      <w:tr>
        <w:trPr>
          <w:trHeight w:val="324"/>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Class III Directors</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24"/>
                <w:szCs w:val="2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spacing w:after="0"/>
              <w:rPr>
                <w:sz w:val="24"/>
                <w:szCs w:val="24"/>
                <w:color w:val="auto"/>
              </w:rPr>
            </w:pPr>
          </w:p>
        </w:tc>
      </w:tr>
      <w:tr>
        <w:trPr>
          <w:trHeight w:val="413"/>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Jennifer Y. Hyman</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43</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Co-Founder; President; CEO; Chair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March 2009</w:t>
            </w:r>
          </w:p>
        </w:tc>
      </w:tr>
      <w:tr>
        <w:trPr>
          <w:trHeight w:val="44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28"/>
                <w:szCs w:val="28"/>
                <w:color w:val="auto"/>
                <w:vertAlign w:val="subscript"/>
              </w:rPr>
              <w:t>Beth Kaplan</w:t>
            </w:r>
            <w:r>
              <w:rPr>
                <w:rFonts w:ascii="Arial" w:cs="Arial" w:eastAsia="Arial" w:hAnsi="Arial"/>
                <w:sz w:val="12"/>
                <w:szCs w:val="12"/>
                <w:color w:val="auto"/>
              </w:rPr>
              <w:t>(1)(2)(4)*</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66</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February 2014</w:t>
            </w:r>
          </w:p>
        </w:tc>
      </w:tr>
      <w:tr>
        <w:trPr>
          <w:trHeight w:val="44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28"/>
                <w:szCs w:val="28"/>
                <w:color w:val="auto"/>
                <w:vertAlign w:val="subscript"/>
              </w:rPr>
              <w:t>Emil Michael</w:t>
            </w:r>
            <w:r>
              <w:rPr>
                <w:rFonts w:ascii="Arial" w:cs="Arial" w:eastAsia="Arial" w:hAnsi="Arial"/>
                <w:sz w:val="12"/>
                <w:szCs w:val="12"/>
                <w:color w:val="auto"/>
              </w:rPr>
              <w:t>(1)(3)(4)(6)</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51</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May 2023</w:t>
            </w:r>
          </w:p>
        </w:tc>
      </w:tr>
      <w:tr>
        <w:trPr>
          <w:trHeight w:val="546"/>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880" w:type="dxa"/>
            <w:vAlign w:val="bottom"/>
          </w:tcPr>
          <w:p>
            <w:pPr>
              <w:ind w:left="80"/>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(3)</w:t>
            </w:r>
          </w:p>
        </w:tc>
        <w:tc>
          <w:tcPr>
            <w:tcW w:w="52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100"/>
              <w:spacing w:after="0"/>
              <w:rPr>
                <w:sz w:val="20"/>
                <w:szCs w:val="20"/>
                <w:color w:val="auto"/>
              </w:rPr>
            </w:pPr>
            <w:r>
              <w:rPr>
                <w:rFonts w:ascii="Arial" w:cs="Arial" w:eastAsia="Arial" w:hAnsi="Arial"/>
                <w:sz w:val="14"/>
                <w:szCs w:val="14"/>
                <w:color w:val="auto"/>
              </w:rPr>
              <w:t>51</w:t>
            </w:r>
          </w:p>
        </w:tc>
        <w:tc>
          <w:tcPr>
            <w:tcW w:w="50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120"/>
              <w:spacing w:after="0"/>
              <w:rPr>
                <w:sz w:val="20"/>
                <w:szCs w:val="20"/>
                <w:color w:val="auto"/>
              </w:rPr>
            </w:pPr>
            <w:r>
              <w:rPr>
                <w:rFonts w:ascii="Arial" w:cs="Arial" w:eastAsia="Arial" w:hAnsi="Arial"/>
                <w:sz w:val="14"/>
                <w:szCs w:val="14"/>
                <w:color w:val="auto"/>
              </w:rPr>
              <w:t>May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-41275</wp:posOffset>
            </wp:positionV>
            <wp:extent cx="60350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-281305</wp:posOffset>
            </wp:positionV>
            <wp:extent cx="60350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-563880</wp:posOffset>
            </wp:positionV>
            <wp:extent cx="60350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-847090</wp:posOffset>
            </wp:positionV>
            <wp:extent cx="6035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-1112520</wp:posOffset>
            </wp:positionV>
            <wp:extent cx="60350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-1378585</wp:posOffset>
            </wp:positionV>
            <wp:extent cx="6035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-1661160</wp:posOffset>
            </wp:positionV>
            <wp:extent cx="6035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-1944370</wp:posOffset>
            </wp:positionV>
            <wp:extent cx="6035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-2209800</wp:posOffset>
            </wp:positionV>
            <wp:extent cx="6035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-2493010</wp:posOffset>
            </wp:positionV>
            <wp:extent cx="6035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-2775585</wp:posOffset>
            </wp:positionV>
            <wp:extent cx="60350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-3049905</wp:posOffset>
            </wp:positionV>
            <wp:extent cx="6035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08" w:lineRule="exact"/>
        <w:rPr>
          <w:sz w:val="20"/>
          <w:szCs w:val="20"/>
          <w:color w:val="auto"/>
        </w:rPr>
      </w:pPr>
    </w:p>
    <w:p>
      <w:pPr>
        <w:ind w:left="240" w:hanging="219"/>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82" w:lineRule="exact"/>
        <w:rPr>
          <w:rFonts w:ascii="Arial" w:cs="Arial" w:eastAsia="Arial" w:hAnsi="Arial"/>
          <w:sz w:val="14"/>
          <w:szCs w:val="14"/>
          <w:color w:val="auto"/>
        </w:rPr>
      </w:pPr>
    </w:p>
    <w:p>
      <w:pPr>
        <w:ind w:left="240" w:hanging="219"/>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82" w:lineRule="exact"/>
        <w:rPr>
          <w:rFonts w:ascii="Arial" w:cs="Arial" w:eastAsia="Arial" w:hAnsi="Arial"/>
          <w:sz w:val="14"/>
          <w:szCs w:val="14"/>
          <w:color w:val="auto"/>
        </w:rPr>
      </w:pPr>
    </w:p>
    <w:p>
      <w:pPr>
        <w:ind w:left="240" w:hanging="219"/>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Nominating and ESG Committee.</w:t>
      </w:r>
    </w:p>
    <w:p>
      <w:pPr>
        <w:spacing w:after="0" w:line="82" w:lineRule="exact"/>
        <w:rPr>
          <w:rFonts w:ascii="Arial" w:cs="Arial" w:eastAsia="Arial" w:hAnsi="Arial"/>
          <w:sz w:val="14"/>
          <w:szCs w:val="14"/>
          <w:color w:val="auto"/>
        </w:rPr>
      </w:pPr>
    </w:p>
    <w:p>
      <w:pPr>
        <w:ind w:left="240" w:hanging="219"/>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Finance Committee.</w:t>
      </w:r>
    </w:p>
    <w:p>
      <w:pPr>
        <w:spacing w:after="0" w:line="82" w:lineRule="exact"/>
        <w:rPr>
          <w:rFonts w:ascii="Arial" w:cs="Arial" w:eastAsia="Arial" w:hAnsi="Arial"/>
          <w:sz w:val="14"/>
          <w:szCs w:val="14"/>
          <w:color w:val="auto"/>
        </w:rPr>
      </w:pPr>
    </w:p>
    <w:p>
      <w:pPr>
        <w:ind w:left="240" w:hanging="219"/>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82" w:lineRule="exact"/>
        <w:rPr>
          <w:rFonts w:ascii="Arial" w:cs="Arial" w:eastAsia="Arial" w:hAnsi="Arial"/>
          <w:sz w:val="14"/>
          <w:szCs w:val="14"/>
          <w:color w:val="auto"/>
        </w:rPr>
      </w:pPr>
    </w:p>
    <w:p>
      <w:pPr>
        <w:ind w:left="20" w:right="2320" w:firstLine="1"/>
        <w:spacing w:after="0" w:line="362" w:lineRule="auto"/>
        <w:tabs>
          <w:tab w:leader="none" w:pos="236"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as of the conclusion of the Annual Meeting, Mr. Michael will serve as a Class II director. * Committee chair.</w:t>
      </w:r>
    </w:p>
    <w:p>
      <w:pPr>
        <w:ind w:left="20"/>
        <w:spacing w:after="0"/>
        <w:rPr>
          <w:rFonts w:ascii="Arial" w:cs="Arial" w:eastAsia="Arial" w:hAnsi="Arial"/>
          <w:sz w:val="14"/>
          <w:szCs w:val="14"/>
          <w:color w:val="auto"/>
        </w:rPr>
      </w:pPr>
      <w:r>
        <w:rPr>
          <w:rFonts w:ascii="Arial" w:cs="Arial" w:eastAsia="Arial" w:hAnsi="Arial"/>
          <w:sz w:val="14"/>
          <w:szCs w:val="14"/>
          <w:color w:val="auto"/>
        </w:rPr>
        <w:t>†  Financial expert.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393" w:lineRule="exact"/>
        <w:rPr>
          <w:sz w:val="20"/>
          <w:szCs w:val="20"/>
          <w:color w:val="auto"/>
        </w:rPr>
      </w:pPr>
    </w:p>
    <w:p>
      <w:pPr>
        <w:sectPr>
          <w:pgSz w:w="11900" w:h="16838" w:orient="portrait"/>
          <w:cols w:equalWidth="0" w:num="2">
            <w:col w:w="8680" w:space="720"/>
            <w:col w:w="80"/>
          </w:cols>
          <w:pgMar w:left="1180" w:top="263" w:right="1239" w:bottom="1440" w:gutter="0" w:footer="0" w:header="0"/>
          <w:type w:val="continuous"/>
        </w:sectPr>
      </w:pPr>
    </w:p>
    <w:p>
      <w:pPr>
        <w:spacing w:after="0" w:line="164"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Nominees to our Board of Directors - Class III Directors</w:t>
      </w:r>
    </w:p>
    <w:p>
      <w:pPr>
        <w:spacing w:after="0" w:line="210"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b w:val="1"/>
          <w:bCs w:val="1"/>
          <w:color w:val="auto"/>
        </w:rPr>
        <w:t xml:space="preserve">Jennifer Y. Hyman </w:t>
      </w:r>
      <w:r>
        <w:rPr>
          <w:rFonts w:ascii="Arial" w:cs="Arial" w:eastAsia="Arial" w:hAnsi="Arial"/>
          <w:sz w:val="18"/>
          <w:szCs w:val="18"/>
          <w:color w:val="auto"/>
        </w:rPr>
        <w:t>has served as our Co-Founder since November 2008 and our Chief Executive Officer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our 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38" w:lineRule="auto"/>
        <w:rPr>
          <w:sz w:val="20"/>
          <w:szCs w:val="20"/>
          <w:color w:val="auto"/>
        </w:rPr>
      </w:pPr>
      <w:r>
        <w:rPr>
          <w:rFonts w:ascii="Arial" w:cs="Arial" w:eastAsia="Arial" w:hAnsi="Arial"/>
          <w:sz w:val="18"/>
          <w:szCs w:val="18"/>
          <w:b w:val="1"/>
          <w:bCs w:val="1"/>
          <w:color w:val="auto"/>
        </w:rPr>
        <w:t xml:space="preserve">Beth Kaplan </w:t>
      </w:r>
      <w:r>
        <w:rPr>
          <w:rFonts w:ascii="Arial" w:cs="Arial" w:eastAsia="Arial" w:hAnsi="Arial"/>
          <w:sz w:val="18"/>
          <w:szCs w:val="18"/>
          <w:color w:val="auto"/>
        </w:rPr>
        <w:t>has served as a member of our Board of Directors since February 2014 and formerly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Operating Officer from 2012 to 2015. Ms. Kaplan is the managing member of Axcel Partners, LLC, a venture capital firm investing in early stage and growth companies and is a Venture Partner at Revolution Ventures, an early stage venture capital firm investing in technology-enabled businesses. She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footwear; and private company, Cooper’s Hawk, a full-service restaurant and winery chain. She also served on the board of the Meredith Corporation, a public company, from 2017 to 2021. Ms. Kaplan holds a B.S. in Marketing, Finance, and Economics and an M.B.A. from the Wharton School at the University of Pennsylvania. We believe Ms. Kaplan is qualified to serve on our Board of Directors because of her strategic, operational, and management and directorship experience in public and private companies.</w:t>
      </w:r>
    </w:p>
    <w:p>
      <w:pPr>
        <w:spacing w:after="0" w:line="159" w:lineRule="exact"/>
        <w:rPr>
          <w:sz w:val="20"/>
          <w:szCs w:val="20"/>
          <w:color w:val="auto"/>
        </w:rPr>
      </w:pPr>
    </w:p>
    <w:p>
      <w:pPr>
        <w:ind w:left="20" w:right="120"/>
        <w:spacing w:after="0" w:line="259" w:lineRule="auto"/>
        <w:rPr>
          <w:sz w:val="20"/>
          <w:szCs w:val="20"/>
          <w:color w:val="auto"/>
        </w:rPr>
      </w:pPr>
      <w:r>
        <w:rPr>
          <w:rFonts w:ascii="Arial" w:cs="Arial" w:eastAsia="Arial" w:hAnsi="Arial"/>
          <w:sz w:val="17"/>
          <w:szCs w:val="17"/>
          <w:b w:val="1"/>
          <w:bCs w:val="1"/>
          <w:color w:val="auto"/>
        </w:rPr>
        <w:t xml:space="preserve">Emil Michael </w:t>
      </w:r>
      <w:r>
        <w:rPr>
          <w:rFonts w:ascii="Arial" w:cs="Arial" w:eastAsia="Arial" w:hAnsi="Arial"/>
          <w:sz w:val="17"/>
          <w:szCs w:val="17"/>
          <w:color w:val="auto"/>
        </w:rPr>
        <w:t>has served as a member of our Board of Directors since May 2023. Mr. Michael has been the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and CEO of M8 Enterprises LLC, a solely-owned consulting and advisory business, since January 2018. From</w:t>
      </w:r>
    </w:p>
    <w:p>
      <w:pPr>
        <w:spacing w:after="0" w:line="1" w:lineRule="exact"/>
        <w:rPr>
          <w:sz w:val="20"/>
          <w:szCs w:val="20"/>
          <w:color w:val="auto"/>
        </w:rPr>
      </w:pPr>
    </w:p>
    <w:p>
      <w:pPr>
        <w:ind w:left="20" w:right="60"/>
        <w:spacing w:after="0" w:line="234" w:lineRule="auto"/>
        <w:rPr>
          <w:sz w:val="20"/>
          <w:szCs w:val="20"/>
          <w:color w:val="auto"/>
        </w:rPr>
      </w:pPr>
      <w:r>
        <w:rPr>
          <w:rFonts w:ascii="Arial" w:cs="Arial" w:eastAsia="Arial" w:hAnsi="Arial"/>
          <w:sz w:val="18"/>
          <w:szCs w:val="18"/>
          <w:color w:val="auto"/>
        </w:rPr>
        <w:t>July 2013 to June 2017, Mr. Michael served as the Chief Business Officer of Uber Technologies Inc., a global ride sharing and delivery app. Prior to that, Mr. Michael served as Chief Operating Officer of Klout, a social media analytics company. Before joining Klout, he served as a White House Fellow working for the Secretary of Defense as a Special Assistant. Mr. Michael was also part of the founding team of TellmeNetworks, a speech recognition technology company. He has served on the board of directors of D-Wave Quantum, a publicly-traded quantum computer company, since August 2022 and from October 2020 to August 2022, served as chairman of the board of directors of DPCM Capital, which was a publicly-traded Special Purpose Acquisition Company that acquired D-Wave Quantum.</w:t>
      </w:r>
    </w:p>
    <w:p>
      <w:pPr>
        <w:spacing w:after="0" w:line="5"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Mr. Michael also serves on the board of several privately held companies and as an advisor or investor to a number of start-up companies. Mr. Michael received his B.A. from Harvard University and his J.D. from Stanford Law School. We believe that Mr. Michael is qualified to serve on our Board of Directors because of his deep expertise leading and advising high-growth technology companies, and his extensive corporate strategy and business development acumen.</w:t>
      </w:r>
    </w:p>
    <w:p>
      <w:pPr>
        <w:spacing w:after="0" w:line="140"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b w:val="1"/>
          <w:bCs w:val="1"/>
          <w:color w:val="auto"/>
        </w:rPr>
        <w:t xml:space="preserve">Gwyneth Paltrow </w:t>
      </w:r>
      <w:r>
        <w:rPr>
          <w:rFonts w:ascii="Arial" w:cs="Arial" w:eastAsia="Arial" w:hAnsi="Arial"/>
          <w:sz w:val="18"/>
          <w:szCs w:val="18"/>
          <w:color w:val="auto"/>
        </w:rPr>
        <w:t>has served as a member of our Board of Directors since May 2021. Ms. Paltrow is an entrepreneur,</w:t>
      </w:r>
      <w:r>
        <w:rPr>
          <w:rFonts w:ascii="Arial" w:cs="Arial" w:eastAsia="Arial" w:hAnsi="Arial"/>
          <w:sz w:val="18"/>
          <w:szCs w:val="18"/>
          <w:b w:val="1"/>
          <w:bCs w:val="1"/>
          <w:color w:val="auto"/>
        </w:rPr>
        <w:t xml:space="preserve"> </w:t>
      </w:r>
      <w:r>
        <w:rPr>
          <w:rFonts w:ascii="Arial" w:cs="Arial" w:eastAsia="Arial" w:hAnsi="Arial"/>
          <w:sz w:val="18"/>
          <w:szCs w:val="18"/>
          <w:color w:val="auto"/>
        </w:rPr>
        <w:t>an Oscar- and Emmy-winning actress, and a New York Times-bestselling author. She founded Goop, Inc., or goop—a global lifestyle brand and contextual commerce business—in 2008 and has served as the Chief Executive Officer since 2016, having previously served as the Chief Creative Officer from 2008 to 2016.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Ms. Paltrow serves on the board of directors of Wonder Group, a food delivery service company. We believe Ms. Paltrow is qualified to serve on our Board of Directors because of her entrepreneurial expertise, her deep understanding of consumer marketing, and her experience leading an e-commerce company.</w:t>
      </w:r>
    </w:p>
    <w:p>
      <w:pPr>
        <w:spacing w:after="0" w:line="309" w:lineRule="exact"/>
        <w:rPr>
          <w:sz w:val="20"/>
          <w:szCs w:val="20"/>
          <w:color w:val="auto"/>
        </w:rPr>
      </w:pPr>
    </w:p>
    <w:p>
      <w:pPr>
        <w:ind w:left="20" w:right="1060"/>
        <w:spacing w:after="0" w:line="290" w:lineRule="auto"/>
        <w:rPr>
          <w:sz w:val="20"/>
          <w:szCs w:val="20"/>
          <w:color w:val="auto"/>
        </w:rPr>
      </w:pPr>
      <w:r>
        <w:rPr>
          <w:rFonts w:ascii="Arial" w:cs="Arial" w:eastAsia="Arial" w:hAnsi="Arial"/>
          <w:sz w:val="36"/>
          <w:szCs w:val="36"/>
          <w:b w:val="1"/>
          <w:bCs w:val="1"/>
          <w:color w:val="auto"/>
        </w:rPr>
        <w:t>Class I Directors Whose Terms Expire at the 2025 Annual Meeting</w:t>
      </w:r>
    </w:p>
    <w:p>
      <w:pPr>
        <w:spacing w:after="0" w:line="31" w:lineRule="exact"/>
        <w:rPr>
          <w:sz w:val="20"/>
          <w:szCs w:val="20"/>
          <w:color w:val="auto"/>
        </w:rPr>
      </w:pPr>
    </w:p>
    <w:p>
      <w:pPr>
        <w:ind w:left="20" w:right="600"/>
        <w:spacing w:after="0" w:line="259" w:lineRule="auto"/>
        <w:rPr>
          <w:sz w:val="20"/>
          <w:szCs w:val="20"/>
          <w:color w:val="auto"/>
        </w:rPr>
      </w:pPr>
      <w:r>
        <w:rPr>
          <w:rFonts w:ascii="Arial" w:cs="Arial" w:eastAsia="Arial" w:hAnsi="Arial"/>
          <w:sz w:val="17"/>
          <w:szCs w:val="17"/>
          <w:b w:val="1"/>
          <w:bCs w:val="1"/>
          <w:color w:val="auto"/>
        </w:rPr>
        <w:t xml:space="preserve">Tim Bixby </w:t>
      </w:r>
      <w:r>
        <w:rPr>
          <w:rFonts w:ascii="Arial" w:cs="Arial" w:eastAsia="Arial" w:hAnsi="Arial"/>
          <w:sz w:val="17"/>
          <w:szCs w:val="17"/>
          <w:color w:val="auto"/>
        </w:rPr>
        <w:t>has served as a member of our Board of Directors since February 2021. Mr. Bixby has been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Lemonade, Inc., a consumer insurance provider, since June 2017. From 2016 to 2020,</w:t>
      </w:r>
    </w:p>
    <w:p>
      <w:pPr>
        <w:spacing w:after="0" w:line="1" w:lineRule="exact"/>
        <w:rPr>
          <w:sz w:val="20"/>
          <w:szCs w:val="20"/>
          <w:color w:val="auto"/>
        </w:rPr>
      </w:pPr>
    </w:p>
    <w:p>
      <w:pPr>
        <w:ind w:left="20" w:right="60"/>
        <w:spacing w:after="0" w:line="238" w:lineRule="auto"/>
        <w:rPr>
          <w:sz w:val="20"/>
          <w:szCs w:val="20"/>
          <w:color w:val="auto"/>
        </w:rPr>
      </w:pPr>
      <w:r>
        <w:rPr>
          <w:rFonts w:ascii="Arial" w:cs="Arial" w:eastAsia="Arial" w:hAnsi="Arial"/>
          <w:sz w:val="18"/>
          <w:szCs w:val="18"/>
          <w:color w:val="auto"/>
        </w:rPr>
        <w:t>Mr. Bixby served as a member of the board of advisors of Sightworthy, an on-demand video marketing company. Prior to that, he served as the Chief Financial Officer of Shutterstock, Inc., a digital content licensing marketplace, from 2011 to 2015, and as Chief Financial Officer, President and a Director of LivePerson, Inc. from 1999 to 2011.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Jennifer Fleiss </w:t>
      </w:r>
      <w:r>
        <w:rPr>
          <w:rFonts w:ascii="Arial" w:cs="Arial" w:eastAsia="Arial" w:hAnsi="Arial"/>
          <w:sz w:val="18"/>
          <w:szCs w:val="18"/>
          <w:color w:val="auto"/>
        </w:rPr>
        <w:t>co-founded RTR in November 2008 and has served as a member of our Board of Directors</w:t>
      </w:r>
    </w:p>
    <w:p>
      <w:pPr>
        <w:spacing w:after="0" w:line="14" w:lineRule="exact"/>
        <w:rPr>
          <w:sz w:val="20"/>
          <w:szCs w:val="20"/>
          <w:color w:val="auto"/>
        </w:rPr>
      </w:pPr>
    </w:p>
    <w:p>
      <w:pPr>
        <w:ind w:left="20" w:right="40"/>
        <w:spacing w:after="0" w:line="234" w:lineRule="auto"/>
        <w:rPr>
          <w:sz w:val="20"/>
          <w:szCs w:val="20"/>
          <w:color w:val="auto"/>
        </w:rPr>
      </w:pPr>
      <w:r>
        <w:rPr>
          <w:rFonts w:ascii="Arial" w:cs="Arial" w:eastAsia="Arial" w:hAnsi="Arial"/>
          <w:sz w:val="18"/>
          <w:szCs w:val="18"/>
          <w:color w:val="auto"/>
        </w:rPr>
        <w:t>since March 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and invests and advises early-stage start-ups. Ms. Fleiss has served on the boards of The Lanvin Group, a publicly-traded holding company of several luxury brands, since 2022, Party City, a publicly-traded retail chain of party stores, since 2020; and Shutterfly, Inc., a manufacturer and digital retailer of personalized products and services, since 2019.</w:t>
      </w:r>
    </w:p>
    <w:p>
      <w:pPr>
        <w:spacing w:after="0" w:line="5"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309" w:lineRule="exact"/>
        <w:rPr>
          <w:sz w:val="20"/>
          <w:szCs w:val="20"/>
          <w:color w:val="auto"/>
        </w:rPr>
      </w:pPr>
    </w:p>
    <w:p>
      <w:pPr>
        <w:ind w:left="20" w:right="960"/>
        <w:spacing w:after="0" w:line="290" w:lineRule="auto"/>
        <w:rPr>
          <w:sz w:val="20"/>
          <w:szCs w:val="20"/>
          <w:color w:val="auto"/>
        </w:rPr>
      </w:pPr>
      <w:r>
        <w:rPr>
          <w:rFonts w:ascii="Arial" w:cs="Arial" w:eastAsia="Arial" w:hAnsi="Arial"/>
          <w:sz w:val="36"/>
          <w:szCs w:val="36"/>
          <w:b w:val="1"/>
          <w:bCs w:val="1"/>
          <w:color w:val="auto"/>
        </w:rPr>
        <w:t>Class II Directors Whose Terms Expire at the 2026 Annual Meeting</w:t>
      </w:r>
    </w:p>
    <w:p>
      <w:pPr>
        <w:spacing w:after="0" w:line="3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Scott Friend </w:t>
      </w:r>
      <w:r>
        <w:rPr>
          <w:rFonts w:ascii="Arial" w:cs="Arial" w:eastAsia="Arial" w:hAnsi="Arial"/>
          <w:sz w:val="18"/>
          <w:szCs w:val="18"/>
          <w:color w:val="auto"/>
        </w:rPr>
        <w:t>has served as a member of our Board of Directors since July 2009 and as our lead independent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since October 2021. Mr. Friend has been a partner at Bain Capital Ventures, the venture capital division of Bain Capital, a multi-asset alternative investment firm, since September 2006. Mr. Friend serves on the board of directors of Persado, an AI-generated language platform; Attentive, a mobile marketing platform; Fermat Commerce, a marketing technology software company that creates landing pages from paid social ads; Mirakl, a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Mike Roth </w:t>
      </w:r>
      <w:r>
        <w:rPr>
          <w:rFonts w:ascii="Arial" w:cs="Arial" w:eastAsia="Arial" w:hAnsi="Arial"/>
          <w:sz w:val="18"/>
          <w:szCs w:val="18"/>
          <w:color w:val="auto"/>
        </w:rPr>
        <w:t>has served as a member of our Board of Directors since January 2020. From 1999 to 2019, Mr. Roth served</w:t>
      </w:r>
      <w:r>
        <w:rPr>
          <w:rFonts w:ascii="Arial" w:cs="Arial" w:eastAsia="Arial" w:hAnsi="Arial"/>
          <w:sz w:val="18"/>
          <w:szCs w:val="18"/>
          <w:b w:val="1"/>
          <w:bCs w:val="1"/>
          <w:color w:val="auto"/>
        </w:rPr>
        <w:t xml:space="preserve"> </w:t>
      </w:r>
      <w:r>
        <w:rPr>
          <w:rFonts w:ascii="Arial" w:cs="Arial" w:eastAsia="Arial" w:hAnsi="Arial"/>
          <w:sz w:val="18"/>
          <w:szCs w:val="18"/>
          <w:color w:val="auto"/>
        </w:rPr>
        <w:t>in various capacities at Amazon.com, Inc., an e-commerce and technology company, most recently as Vice President of Global Customer Fulfillment Operations &amp; Transportation. Mr. Roth serves on the board of directors for HelloFresh S.E., a meal kit company; Fleetpride, Inc., the largest truck and trailer parts distributor in the U.S.; and OnTrac,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640"/>
        <w:spacing w:after="0" w:line="286" w:lineRule="auto"/>
        <w:rPr>
          <w:sz w:val="20"/>
          <w:szCs w:val="20"/>
          <w:color w:val="auto"/>
        </w:rPr>
      </w:pPr>
      <w:r>
        <w:rPr>
          <w:rFonts w:ascii="Arial" w:cs="Arial" w:eastAsia="Arial" w:hAnsi="Arial"/>
          <w:sz w:val="65"/>
          <w:szCs w:val="65"/>
          <w:b w:val="1"/>
          <w:bCs w:val="1"/>
          <w:color w:val="auto"/>
        </w:rPr>
        <w:t>The Board and Corporate Governance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Leadership Structure</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Hyman is the chair of our Board of Directors and Scott Friend serves as our lead independent director.</w:t>
      </w:r>
    </w:p>
    <w:p>
      <w:pPr>
        <w:spacing w:after="0" w:line="14"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Our Board of Directors believes that our current leadership structure provides us with effective leadership and is in the best interest of us and our stockholders. Ms. Hyman co-founded and has led our company since its inception. Her strategic vision and in-depth knowledge of our operations, opportunities, and challenges makes her well qualified to serve as both Chair and CEO. In addition, having a lead independent director strengthens the Board’s independence and oversight of our business.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lead independent director, Mr. Friend’s responsibilities include:</w:t>
      </w:r>
    </w:p>
    <w:p>
      <w:pPr>
        <w:spacing w:after="0" w:line="171" w:lineRule="exact"/>
        <w:rPr>
          <w:sz w:val="20"/>
          <w:szCs w:val="20"/>
          <w:color w:val="auto"/>
        </w:rPr>
      </w:pPr>
    </w:p>
    <w:p>
      <w:pPr>
        <w:ind w:left="740" w:right="180" w:hanging="359"/>
        <w:spacing w:after="0" w:line="245"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 is not present, including over executive sessions of the independent directors;</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with management to set board meeting schedules and agendas;</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leading the board evaluation process with the Nominating and ESG Committee; and</w:t>
      </w:r>
    </w:p>
    <w:p>
      <w:pPr>
        <w:ind w:left="740" w:hanging="35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acting as the liaison between the independent directors and the chair of our Board of Directors.</w:t>
      </w:r>
    </w:p>
    <w:p>
      <w:pPr>
        <w:spacing w:after="0" w:line="167"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Our corporate governance guidelines provide the flexibility for our Board to modify our leadership structure in the future in a manner that it believes is in the best interest of the Company. The Board will continue to evaluate our leadership structure periodically and make changes in the future as it deems appropriate.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Diversity</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Nominating and ESG Committee is responsible for reviewing with the Board the appropriate characteristics, skills, and experience required for the Board of Directors as a whole and its individual members. As of the date of this proxy statement, 50% of the members of our Board of Directors identify as women. In its evaluation of director candidates, our Nominating and ESG Committee considers diversity factors such as gender, race, ethnicity, experience, and area of expertise, as well as other individual qualities and attributes that contribute to the total diversity of viewpoints and experience represented on the Board. The Board also considers other factors, including issues of character, integrity, judgment, potential conflicts of interest, and other commitments,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86360</wp:posOffset>
            </wp:positionV>
            <wp:extent cx="603504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248920"/>
                    </a:xfrm>
                    <a:prstGeom prst="rect">
                      <a:avLst/>
                    </a:prstGeom>
                    <a:noFill/>
                  </pic:spPr>
                </pic:pic>
              </a:graphicData>
            </a:graphic>
          </wp:anchor>
        </w:drawing>
      </w:r>
    </w:p>
    <w:p>
      <w:pPr>
        <w:spacing w:after="0" w:line="215" w:lineRule="exact"/>
        <w:rPr>
          <w:sz w:val="20"/>
          <w:szCs w:val="20"/>
          <w:color w:val="auto"/>
        </w:rPr>
      </w:pPr>
    </w:p>
    <w:p>
      <w:pPr>
        <w:ind w:left="20"/>
        <w:spacing w:after="0"/>
        <w:tabs>
          <w:tab w:leader="none" w:pos="160" w:val="left"/>
          <w:tab w:leader="none" w:pos="93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Board Diversity Matrix (as of May 23, 2024)</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83820</wp:posOffset>
            </wp:positionV>
            <wp:extent cx="6035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Arial" w:cs="Arial" w:eastAsia="Arial" w:hAnsi="Arial"/>
                <w:sz w:val="14"/>
                <w:szCs w:val="14"/>
                <w:color w:val="auto"/>
              </w:rPr>
              <w:t>Total Number of Directors</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8</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14"/>
                <w:szCs w:val="14"/>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spacing w:after="0"/>
              <w:rPr>
                <w:sz w:val="14"/>
                <w:szCs w:val="14"/>
                <w:color w:val="auto"/>
              </w:rPr>
            </w:pP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4"/>
                <w:szCs w:val="24"/>
                <w:color w:val="auto"/>
              </w:rPr>
            </w:pP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220"/>
              <w:spacing w:after="0"/>
              <w:rPr>
                <w:sz w:val="20"/>
                <w:szCs w:val="20"/>
                <w:color w:val="auto"/>
              </w:rPr>
            </w:pPr>
            <w:r>
              <w:rPr>
                <w:rFonts w:ascii="Arial" w:cs="Arial" w:eastAsia="Arial" w:hAnsi="Arial"/>
                <w:sz w:val="14"/>
                <w:szCs w:val="14"/>
                <w:color w:val="auto"/>
              </w:rPr>
              <w:t>Female</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260"/>
              <w:spacing w:after="0"/>
              <w:rPr>
                <w:sz w:val="20"/>
                <w:szCs w:val="20"/>
                <w:color w:val="auto"/>
              </w:rPr>
            </w:pPr>
            <w:r>
              <w:rPr>
                <w:rFonts w:ascii="Arial" w:cs="Arial" w:eastAsia="Arial" w:hAnsi="Arial"/>
                <w:sz w:val="14"/>
                <w:szCs w:val="14"/>
                <w:color w:val="auto"/>
              </w:rPr>
              <w:t>Male</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Non-Binary</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9"/>
        </w:trPr>
        <w:tc>
          <w:tcPr>
            <w:tcW w:w="3620" w:type="dxa"/>
            <w:vAlign w:val="bottom"/>
          </w:tcPr>
          <w:p>
            <w:pPr>
              <w:spacing w:after="0"/>
              <w:rPr>
                <w:sz w:val="20"/>
                <w:szCs w:val="20"/>
                <w:color w:val="auto"/>
              </w:rPr>
            </w:pPr>
            <w:r>
              <w:rPr>
                <w:rFonts w:ascii="Arial" w:cs="Arial" w:eastAsia="Arial" w:hAnsi="Arial"/>
                <w:sz w:val="14"/>
                <w:szCs w:val="14"/>
                <w:b w:val="1"/>
                <w:bCs w:val="1"/>
                <w:color w:val="auto"/>
              </w:rPr>
              <w:t>Part I: Gender Identity</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4</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4</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b w:val="1"/>
                <w:bCs w:val="1"/>
                <w:color w:val="auto"/>
              </w:rPr>
              <w:t>Part II: Demographic Background</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4"/>
                <w:szCs w:val="24"/>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spacing w:after="0"/>
              <w:rPr>
                <w:sz w:val="24"/>
                <w:szCs w:val="24"/>
                <w:color w:val="auto"/>
              </w:rPr>
            </w:pP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African American or Black</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Alaskan Native or Native American</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Asian</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Hispanic or Latinx</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9"/>
        </w:trPr>
        <w:tc>
          <w:tcPr>
            <w:tcW w:w="3620" w:type="dxa"/>
            <w:vAlign w:val="bottom"/>
          </w:tcPr>
          <w:p>
            <w:pPr>
              <w:spacing w:after="0"/>
              <w:rPr>
                <w:sz w:val="20"/>
                <w:szCs w:val="20"/>
                <w:color w:val="auto"/>
              </w:rPr>
            </w:pPr>
            <w:r>
              <w:rPr>
                <w:rFonts w:ascii="Arial" w:cs="Arial" w:eastAsia="Arial" w:hAnsi="Arial"/>
                <w:sz w:val="14"/>
                <w:szCs w:val="14"/>
                <w:color w:val="auto"/>
              </w:rPr>
              <w:t>Native Hawaiian or Pacific Islander</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White</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4</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9"/>
        </w:trPr>
        <w:tc>
          <w:tcPr>
            <w:tcW w:w="3620" w:type="dxa"/>
            <w:vAlign w:val="bottom"/>
          </w:tcPr>
          <w:p>
            <w:pPr>
              <w:spacing w:after="0"/>
              <w:rPr>
                <w:sz w:val="20"/>
                <w:szCs w:val="20"/>
                <w:color w:val="auto"/>
              </w:rPr>
            </w:pPr>
            <w:r>
              <w:rPr>
                <w:rFonts w:ascii="Arial" w:cs="Arial" w:eastAsia="Arial" w:hAnsi="Arial"/>
                <w:sz w:val="14"/>
                <w:szCs w:val="14"/>
                <w:color w:val="auto"/>
              </w:rPr>
              <w:t>Two or More Races or Ethnicities</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LGBTQ+</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418"/>
        </w:trPr>
        <w:tc>
          <w:tcPr>
            <w:tcW w:w="3620" w:type="dxa"/>
            <w:vAlign w:val="bottom"/>
          </w:tcPr>
          <w:p>
            <w:pPr>
              <w:spacing w:after="0"/>
              <w:rPr>
                <w:sz w:val="20"/>
                <w:szCs w:val="20"/>
                <w:color w:val="auto"/>
              </w:rPr>
            </w:pPr>
            <w:r>
              <w:rPr>
                <w:rFonts w:ascii="Arial" w:cs="Arial" w:eastAsia="Arial" w:hAnsi="Arial"/>
                <w:sz w:val="14"/>
                <w:szCs w:val="14"/>
                <w:color w:val="auto"/>
              </w:rPr>
              <w:t>Prefer not to disclose</w:t>
            </w:r>
          </w:p>
        </w:tc>
        <w:tc>
          <w:tcPr>
            <w:tcW w:w="1400" w:type="dxa"/>
            <w:vAlign w:val="bottom"/>
          </w:tcPr>
          <w:p>
            <w:pPr>
              <w:ind w:left="134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1</w:t>
            </w:r>
          </w:p>
        </w:tc>
        <w:tc>
          <w:tcPr>
            <w:tcW w:w="28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ind w:left="120"/>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79375</wp:posOffset>
            </wp:positionV>
            <wp:extent cx="6035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-142875</wp:posOffset>
            </wp:positionV>
            <wp:extent cx="6035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-408305</wp:posOffset>
            </wp:positionV>
            <wp:extent cx="6035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-674370</wp:posOffset>
            </wp:positionV>
            <wp:extent cx="6035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-939800</wp:posOffset>
            </wp:positionV>
            <wp:extent cx="6035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-1205865</wp:posOffset>
            </wp:positionV>
            <wp:extent cx="6035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-1471295</wp:posOffset>
            </wp:positionV>
            <wp:extent cx="6035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-1737360</wp:posOffset>
            </wp:positionV>
            <wp:extent cx="6035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-2002790</wp:posOffset>
            </wp:positionV>
            <wp:extent cx="6035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-2268855</wp:posOffset>
            </wp:positionV>
            <wp:extent cx="6035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-2534285</wp:posOffset>
            </wp:positionV>
            <wp:extent cx="6035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-2800350</wp:posOffset>
            </wp:positionV>
            <wp:extent cx="60350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-3065780</wp:posOffset>
            </wp:positionV>
            <wp:extent cx="6035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Oversight of Risk</w:t>
      </w:r>
    </w:p>
    <w:p>
      <w:pPr>
        <w:spacing w:after="0" w:line="19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Our Board of Directors is responsible for overseeing our risk management process. The Board focuses on our general risk management strategy, the most significant risks facing us, and oversees the implementation of risk mitigation strategies by management. The Board administers its oversight function directly as a whole and through its standing committees that address risks inherent in their respective areas of oversight. For example, the full Board is generally responsible for overseeing the Company’s legal, regulatory and ethical compliance, including the procedures in place to enforce the Code of Conduct, as well as risks relating to data privacy, technology and information security, including cyber security. Our Audit Committee is responsible for overseeing risks relating to financial reporting, accounting, and auditing matters. Our Compensation Committee is responsible for overseeing risks relating to our compensation plans, policies, and practices. Our Nominating and ESG Committee is responsible for overseeing risks related to certain corporate governance practices and overseeing our ESG strategy and progress.</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Independence</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Our Board of Directors assesses the independence of each director at least annually and has determined that, other than Jennifer Hyman, all current directors and director nominees are independent in accordance with Nasdaq listing standards and the applicable rules and regulations of the SEC. Ms. Hyman is not considered independent because she is an employee.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In addition, our Board has determined that each member of our Audit Committee, Compensation Committee, and Nominating and ESG Committee is independent and, in the case of the Audit Committee and Compensation Committee, meets the heightened independence requirements applicable to each such Committee in accordance with the listing standards of Nasdaq and the applicable rules and regulations of the SEC. In addition, our former directors, Melanie Harris, Dan Nova, Carley Roney and Dan Rosensweig, were also determined to be independent while they served on our Board of Directors.</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Meetings</w:t>
      </w:r>
    </w:p>
    <w:p>
      <w:pPr>
        <w:spacing w:after="0" w:line="212"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Our Board met eight times during fiscal year 2023. Each current director attended at least 75% of the total number of fiscal year 2023 meetings of the Board and of each Committee on which he or she served, which were held during the period in which that director served, except for Ms. Paltrow. We encourage all directors and director nominees to attend the Annual Meeting; however, attendance is not mandatory. All but two of our directors then serving attended our 2023 Annual Meeting of Stockholders.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Committees</w:t>
      </w:r>
    </w:p>
    <w:p>
      <w:pPr>
        <w:spacing w:after="0" w:line="199" w:lineRule="exact"/>
        <w:rPr>
          <w:sz w:val="20"/>
          <w:szCs w:val="20"/>
          <w:color w:val="auto"/>
        </w:rPr>
      </w:pPr>
    </w:p>
    <w:p>
      <w:pPr>
        <w:ind w:left="20" w:right="400"/>
        <w:spacing w:after="0"/>
        <w:rPr>
          <w:sz w:val="20"/>
          <w:szCs w:val="20"/>
          <w:color w:val="auto"/>
        </w:rPr>
      </w:pPr>
      <w:r>
        <w:rPr>
          <w:rFonts w:ascii="Arial" w:cs="Arial" w:eastAsia="Arial" w:hAnsi="Arial"/>
          <w:sz w:val="18"/>
          <w:szCs w:val="18"/>
          <w:color w:val="auto"/>
        </w:rPr>
        <w:t>Our Board has the following standing committees: the Audit Committee, the Compensation Committee, and the Nominating and ESG Committee. The composition and responsibilities of each committee are described below. In addition, in 2024 the Board formed a Finance Committee, consisting of independent directors, Scott Friend, Beth Kaplan and Emil Michael, to review, direct and oversee potential financing and strategic transactions. Members of these committees serve until their resignation or until otherwise determined by our Board. The charter of the Audit, Compensation and Nominating and ESG Committees, our Corporate Governance Guidelines, and our Code of Conduct are available on our investor website (investors.renttherunway.com) under “Governance-Governance Documents” or by writing to our offices at 10 Jay Street, Brooklyn, New York 11201.</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Audit Committee consists of the following members: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Tim Bixby - </w:t>
      </w:r>
      <w:r>
        <w:rPr>
          <w:rFonts w:ascii="Arial" w:cs="Arial" w:eastAsia="Arial" w:hAnsi="Arial"/>
          <w:sz w:val="18"/>
          <w:szCs w:val="18"/>
          <w:i w:val="1"/>
          <w:iCs w:val="1"/>
          <w:color w:val="auto"/>
        </w:rPr>
        <w:t>Chair</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Beth Kaplan</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Emil Michael</w:t>
      </w:r>
    </w:p>
    <w:p>
      <w:pPr>
        <w:spacing w:after="0" w:line="171"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We have adopted an Audit Committee charter that outlines the principal functions of the Audit Committee, which include:</w:t>
      </w:r>
    </w:p>
    <w:p>
      <w:pPr>
        <w:spacing w:after="0" w:line="127" w:lineRule="exact"/>
        <w:rPr>
          <w:sz w:val="20"/>
          <w:szCs w:val="20"/>
          <w:color w:val="auto"/>
        </w:rPr>
      </w:pPr>
    </w:p>
    <w:p>
      <w:pPr>
        <w:ind w:left="740" w:hanging="35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w:t>
      </w:r>
    </w:p>
    <w:p>
      <w:pPr>
        <w:spacing w:after="0" w:line="13" w:lineRule="exact"/>
        <w:rPr>
          <w:rFonts w:ascii="Arial" w:cs="Arial" w:eastAsia="Arial" w:hAnsi="Arial"/>
          <w:sz w:val="18"/>
          <w:szCs w:val="18"/>
          <w:color w:val="auto"/>
        </w:rPr>
      </w:pPr>
    </w:p>
    <w:p>
      <w:pPr>
        <w:ind w:left="740" w:right="36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2" w:lineRule="exact"/>
        <w:rPr>
          <w:rFonts w:ascii="Arial" w:cs="Arial" w:eastAsia="Arial" w:hAnsi="Arial"/>
          <w:sz w:val="18"/>
          <w:szCs w:val="18"/>
          <w:color w:val="auto"/>
        </w:rPr>
      </w:pPr>
    </w:p>
    <w:p>
      <w:pPr>
        <w:ind w:left="740" w:right="12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w:t>
      </w:r>
    </w:p>
    <w:p>
      <w:pPr>
        <w:ind w:left="740" w:right="12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Our Board of Directors has determined that Tim Bixby is an “audit committee financial expert” within the meaning of SEC regulations. Each member of our Audit Committee can read and understand fundamental financial statements in accordance with applicable requirements. In fiscal year 2023, our Audit Committee met five times.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Committee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Compensation Committee consists of the following members: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Beth Kaplan - </w:t>
      </w:r>
      <w:r>
        <w:rPr>
          <w:rFonts w:ascii="Arial" w:cs="Arial" w:eastAsia="Arial" w:hAnsi="Arial"/>
          <w:sz w:val="18"/>
          <w:szCs w:val="18"/>
          <w:i w:val="1"/>
          <w:iCs w:val="1"/>
          <w:color w:val="auto"/>
        </w:rPr>
        <w:t>Chair</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Scott Friend</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Mike Roth</w:t>
      </w:r>
    </w:p>
    <w:p>
      <w:pPr>
        <w:spacing w:after="0" w:line="171" w:lineRule="exact"/>
        <w:rPr>
          <w:sz w:val="20"/>
          <w:szCs w:val="20"/>
          <w:color w:val="auto"/>
        </w:rPr>
      </w:pPr>
    </w:p>
    <w:p>
      <w:pPr>
        <w:ind w:left="20" w:right="660"/>
        <w:spacing w:after="0" w:line="271" w:lineRule="auto"/>
        <w:rPr>
          <w:sz w:val="20"/>
          <w:szCs w:val="20"/>
          <w:color w:val="auto"/>
        </w:rPr>
      </w:pPr>
      <w:r>
        <w:rPr>
          <w:rFonts w:ascii="Arial" w:cs="Arial" w:eastAsia="Arial" w:hAnsi="Arial"/>
          <w:sz w:val="18"/>
          <w:szCs w:val="18"/>
          <w:color w:val="auto"/>
        </w:rPr>
        <w:t>We have adopted a Compensation Committee charter that outlines the principal functions of the Compensation Committee, which include:</w:t>
      </w:r>
    </w:p>
    <w:p>
      <w:pPr>
        <w:spacing w:after="0" w:line="113" w:lineRule="exact"/>
        <w:rPr>
          <w:sz w:val="20"/>
          <w:szCs w:val="20"/>
          <w:color w:val="auto"/>
        </w:rPr>
      </w:pPr>
    </w:p>
    <w:p>
      <w:pPr>
        <w:ind w:left="740" w:right="300" w:hanging="359"/>
        <w:spacing w:after="0" w:line="24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severance arrangements for our executive officers;</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administering our compensation recovery policy; and</w:t>
      </w:r>
    </w:p>
    <w:p>
      <w:pPr>
        <w:ind w:left="740" w:right="300" w:hanging="359"/>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talent and employee development programs and our strategy, efforts, and results regarding diversity, equity, and inclusion.</w:t>
      </w:r>
    </w:p>
    <w:p>
      <w:pPr>
        <w:spacing w:after="0" w:line="145" w:lineRule="exact"/>
        <w:rPr>
          <w:sz w:val="20"/>
          <w:szCs w:val="20"/>
          <w:color w:val="auto"/>
        </w:rPr>
      </w:pPr>
    </w:p>
    <w:p>
      <w:pPr>
        <w:jc w:val="both"/>
        <w:ind w:left="20" w:right="20"/>
        <w:spacing w:after="0" w:line="301" w:lineRule="auto"/>
        <w:rPr>
          <w:sz w:val="20"/>
          <w:szCs w:val="20"/>
          <w:color w:val="auto"/>
        </w:rPr>
      </w:pPr>
      <w:r>
        <w:rPr>
          <w:rFonts w:ascii="Arial" w:cs="Arial" w:eastAsia="Arial" w:hAnsi="Arial"/>
          <w:sz w:val="17"/>
          <w:szCs w:val="17"/>
          <w:color w:val="auto"/>
        </w:rPr>
        <w:t>Our Board has determined that each member of our Compensation Committee is a “non-employee director” as defined in Rule 16b-3 promulgated under the Exchange Act. In fiscal year 2023, our Compensation Committee met eight times.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Compensation Committee generally considers our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 In 2023, the Compensation Committee engaged Compensia, a compensation consulting firm, to advise on the option exchange and on executive and director compensation. The Compensation Committee has considered the adviser independence factors required under SEC rules as they relate to Compensia and has determined that Compensia’s work does not raise a conflict of interest.</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Nominating and ESG Committee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Nominating and ESG Committee consists of the following members:</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Jennifer Fleiss - </w:t>
      </w:r>
      <w:r>
        <w:rPr>
          <w:rFonts w:ascii="Arial" w:cs="Arial" w:eastAsia="Arial" w:hAnsi="Arial"/>
          <w:sz w:val="18"/>
          <w:szCs w:val="18"/>
          <w:i w:val="1"/>
          <w:iCs w:val="1"/>
          <w:color w:val="auto"/>
        </w:rPr>
        <w:t>Chair</w:t>
      </w:r>
    </w:p>
    <w:p>
      <w:pPr>
        <w:spacing w:after="0" w:line="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Emil Michael</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Gwyneth Paltrow</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adopted a Nominating and ESG Committee charter that outlines the principal functions of the Nominating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ESG Committee, which include:</w:t>
      </w:r>
    </w:p>
    <w:p>
      <w:pPr>
        <w:spacing w:after="0" w:line="167" w:lineRule="exact"/>
        <w:rPr>
          <w:sz w:val="20"/>
          <w:szCs w:val="20"/>
          <w:color w:val="auto"/>
        </w:rPr>
      </w:pPr>
    </w:p>
    <w:p>
      <w:pPr>
        <w:ind w:left="740" w:right="52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ind w:left="740" w:right="90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 w:lineRule="exact"/>
        <w:rPr>
          <w:rFonts w:ascii="Arial" w:cs="Arial" w:eastAsia="Arial" w:hAnsi="Arial"/>
          <w:sz w:val="18"/>
          <w:szCs w:val="18"/>
          <w:color w:val="auto"/>
        </w:rPr>
      </w:pPr>
    </w:p>
    <w:p>
      <w:pPr>
        <w:ind w:left="740" w:right="82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corporate governance matters;</w:t>
      </w:r>
    </w:p>
    <w:p>
      <w:pPr>
        <w:spacing w:after="0" w:line="1" w:lineRule="exact"/>
        <w:rPr>
          <w:rFonts w:ascii="Arial" w:cs="Arial" w:eastAsia="Arial" w:hAnsi="Arial"/>
          <w:sz w:val="18"/>
          <w:szCs w:val="18"/>
          <w:color w:val="auto"/>
        </w:rPr>
      </w:pPr>
    </w:p>
    <w:p>
      <w:pPr>
        <w:ind w:left="740" w:right="1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strategy, initiatives, policies, and risks concerning environmental and social matters.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fiscal year 2023, our Nominating and ESG Committee met two times.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Code of Conduct</w:t>
      </w:r>
    </w:p>
    <w:p>
      <w:pPr>
        <w:spacing w:after="0" w:line="19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Our Code of Conduct describes the standards of conduct expected of everyone at RTR. The code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308" w:lineRule="exact"/>
        <w:rPr>
          <w:sz w:val="20"/>
          <w:szCs w:val="20"/>
          <w:color w:val="auto"/>
        </w:rPr>
      </w:pPr>
    </w:p>
    <w:p>
      <w:pPr>
        <w:ind w:left="20" w:right="1180"/>
        <w:spacing w:after="0" w:line="290" w:lineRule="auto"/>
        <w:rPr>
          <w:sz w:val="20"/>
          <w:szCs w:val="20"/>
          <w:color w:val="auto"/>
        </w:rPr>
      </w:pPr>
      <w:r>
        <w:rPr>
          <w:rFonts w:ascii="Arial" w:cs="Arial" w:eastAsia="Arial" w:hAnsi="Arial"/>
          <w:sz w:val="36"/>
          <w:szCs w:val="36"/>
          <w:b w:val="1"/>
          <w:bCs w:val="1"/>
          <w:color w:val="auto"/>
        </w:rPr>
        <w:t>Compensation Committee Interlocks and Insider Participation</w:t>
      </w:r>
    </w:p>
    <w:p>
      <w:pPr>
        <w:spacing w:after="0" w:line="35" w:lineRule="exact"/>
        <w:rPr>
          <w:sz w:val="20"/>
          <w:szCs w:val="20"/>
          <w:color w:val="auto"/>
        </w:rPr>
      </w:pPr>
    </w:p>
    <w:p>
      <w:pPr>
        <w:ind w:left="20" w:right="300"/>
        <w:spacing w:after="0" w:line="224" w:lineRule="auto"/>
        <w:rPr>
          <w:sz w:val="20"/>
          <w:szCs w:val="20"/>
          <w:color w:val="auto"/>
        </w:rPr>
      </w:pPr>
      <w:r>
        <w:rPr>
          <w:rFonts w:ascii="Arial" w:cs="Arial" w:eastAsia="Arial" w:hAnsi="Arial"/>
          <w:sz w:val="18"/>
          <w:szCs w:val="18"/>
          <w:color w:val="auto"/>
        </w:rPr>
        <w:t>Beth Kaplan, Scott Friend, Mike Roth, Dan Nova and Dan Rosensweig</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served on our Compensation Committee during fiscal year 2023. None of these individuals is currently, or has been within the past three years, one of our officers or an employee.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Nomination Process</w:t>
      </w:r>
    </w:p>
    <w:p>
      <w:pPr>
        <w:spacing w:after="0" w:line="199"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The Nominating and ESG Committee and/or the Board is responsible for identifying and reviewing the qualifications of potential director candidates and recommending to the Board those candidates to be nominated for election to the Board, subject to any obligations and procedures governing the designation of directors to the Board that are included in the Stockholders Agreement.</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Identifying and Evaluating Nominees</w:t>
      </w:r>
    </w:p>
    <w:p>
      <w:pPr>
        <w:spacing w:after="0" w:line="171"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When identifying and evaluating potential director nominees, including current members of the Board who are eligible for re-election, the Nominating and ESG Committee seeks a balance of knowledge, experience, and capability on the Board and may consider the following:</w:t>
      </w:r>
    </w:p>
    <w:p>
      <w:pPr>
        <w:spacing w:after="0" w:line="128" w:lineRule="exact"/>
        <w:rPr>
          <w:sz w:val="20"/>
          <w:szCs w:val="20"/>
          <w:color w:val="auto"/>
        </w:rPr>
      </w:pPr>
    </w:p>
    <w:p>
      <w:pPr>
        <w:ind w:left="740" w:right="680" w:hanging="359"/>
        <w:spacing w:after="0" w:line="24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and academic experience relevant to our industry, operations, and target markets;</w:t>
      </w:r>
    </w:p>
    <w:p>
      <w:pPr>
        <w:ind w:left="740" w:right="38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exercise mature business judgment, including, but not limited to, the ability to make independent analytical inquiries;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leadership skills;</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finance and accounting and/or executive compensation practices;</w:t>
      </w:r>
    </w:p>
    <w:p>
      <w:pPr>
        <w:ind w:left="740" w:right="12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time for preparation, participation, and attendance at Board meetings and committee meetings; and</w:t>
      </w:r>
    </w:p>
    <w:p>
      <w:pPr>
        <w:spacing w:after="0" w:line="1" w:lineRule="exact"/>
        <w:rPr>
          <w:rFonts w:ascii="Arial" w:cs="Arial" w:eastAsia="Arial" w:hAnsi="Arial"/>
          <w:sz w:val="18"/>
          <w:szCs w:val="18"/>
          <w:color w:val="auto"/>
        </w:rPr>
      </w:pPr>
    </w:p>
    <w:p>
      <w:pPr>
        <w:ind w:left="740" w:right="80" w:hanging="359"/>
        <w:spacing w:after="0" w:line="24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with respect to age, gender, race, and geographic background as well as diversity of expertise and experience in substantive matters pertaining to our business relative to other Board members.</w:t>
      </w:r>
    </w:p>
    <w:p>
      <w:pPr>
        <w:spacing w:after="0" w:line="152"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To facilitate the search process for director candidates, the Nominating and ESG Committee may solicit our current directors and executives for the names of potentially qualified candidates or may ask directors and executives to pursue their own business contacts for the names of potentially qualified candidates. The Nominating and ESG Committee may also consult with outside advisors or retain search firms to assist in the search for qualified candidates, or consider director candidates recommended by our stockholders.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20955</wp:posOffset>
            </wp:positionV>
            <wp:extent cx="16459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 w:lineRule="exact"/>
        <w:rPr>
          <w:sz w:val="20"/>
          <w:szCs w:val="20"/>
          <w:color w:val="auto"/>
        </w:rPr>
      </w:pPr>
    </w:p>
    <w:p>
      <w:pPr>
        <w:ind w:left="200" w:hanging="179"/>
        <w:spacing w:after="0"/>
        <w:tabs>
          <w:tab w:leader="none" w:pos="20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Dan Nova and Dan Rosensweig resigned on April 15, 2024 and April 1, 2023, respectively.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8"/>
          <w:szCs w:val="18"/>
          <w:color w:val="auto"/>
        </w:rPr>
        <w:t>potential candidates are identified, the Nominating and ESG Committee reviews the backgrounds of those candidates, evaluates candidates’ independence from us and potential conflicts of interest, and determines if candidates meet the qualifications desired by the Nominating and ESG Committee of candidates for election as director.</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Stockholder Recommendations and Nominees</w:t>
      </w:r>
    </w:p>
    <w:p>
      <w:pPr>
        <w:spacing w:after="0" w:line="166"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The Nominating and ESG Committee and/or the Board will consider stockholder recommendations, so long as they comply with applicable law, our Bylaws, and the procedures described below. Stockholder recommendations for candidates to the Board must be received in writing and emailed to corporatesecretary@renttherunway.com or sent to our headquarters, Rent the Runway, Inc., 10 Jay Street, Brooklyn, NY 11201, to the attention of our Chief Legal &amp; Administrative Officer and Secretary. The recommendation must be received sufficiently in advance of our consideration of our director nominees for the next annual meeting and must include the candidate’s name, home and business contact information, detailed biographical data and qualifications, information regarding any relationships between the candidate and RTR within the last three years, and evidence of the recommending person’s ownership of RTR stock. Recommendations must also include a statement from the recommending stockholder in support of the candidate that addresses the criteria for Board membership, personal references, and the consent of the candidate to serve.</w:t>
      </w:r>
    </w:p>
    <w:p>
      <w:pPr>
        <w:spacing w:after="0" w:line="145"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Nominating and ESG Committee and/or the Board will review the qualifications of any candidate recommended by stockholders in accordance with the criteria described above. In addition, in the Nominating and ESG Committee’s and/or the Board’s discretion, its review may include interviewing references, performing background checks, direct interviews with the candidate, or other actions it deems necessary or proper.</w:t>
      </w:r>
    </w:p>
    <w:p>
      <w:pPr>
        <w:spacing w:after="0" w:line="147" w:lineRule="exact"/>
        <w:rPr>
          <w:sz w:val="20"/>
          <w:szCs w:val="20"/>
          <w:color w:val="auto"/>
        </w:rPr>
      </w:pPr>
    </w:p>
    <w:p>
      <w:pPr>
        <w:ind w:left="20" w:right="740"/>
        <w:spacing w:after="0" w:line="271" w:lineRule="auto"/>
        <w:rPr>
          <w:sz w:val="20"/>
          <w:szCs w:val="20"/>
          <w:color w:val="auto"/>
        </w:rPr>
      </w:pPr>
      <w:r>
        <w:rPr>
          <w:rFonts w:ascii="Arial" w:cs="Arial" w:eastAsia="Arial" w:hAnsi="Arial"/>
          <w:sz w:val="18"/>
          <w:szCs w:val="18"/>
          <w:color w:val="auto"/>
        </w:rPr>
        <w:t>Stockholders may also nominate candidates for election to our Board by following the procedures described in “Additional Information – Stockholder Proposals” below.</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Stockholders Agreement</w:t>
      </w:r>
    </w:p>
    <w:p>
      <w:pPr>
        <w:spacing w:after="0" w:line="19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In connection with our IPO, we entered into a Stockholders Agreement (the “Stockholders Agreement”) between the (i) Company, (ii) Jennifer Y. Hyman, the Trust under Article Second UA dtd 9/19/2012 (the “2012 Trust”), the BS 2021 Family Trust (the “Family Trust”), the JYH 2021 Children’s Trust (the “Children’s Trust”, and, together with Jennifer Y. Hyman, the 2012 Trust and the Family Trust, the “Founder”), (iii) Bain Capital Venture Fund 2009, L.P. (“BCV Fund 2009”), BCIP Venture Associates (“BCIP Venture”) and BCIP Venture Associates-B (“BCIP Venture-B”, and, together with BCV Fund 2009 and BCIP Venture, the “Bain Capital Ventures Entities”), and (iv) Highland Capital Partners VIII Limited Partnership (“Highland Capital 8”), Highland Capital Partners VIII-B Limited Partnership (“Highland Capital 8-B”) and Highland Capital Partners VIII-C Limited Partnership (“Highland Capital 8-C” and, together with Highland Capital 8 and Highland Capital 8-B, the “Highland Entities”).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Stockholders Agreement provides that:</w:t>
      </w:r>
    </w:p>
    <w:p>
      <w:pPr>
        <w:spacing w:after="0" w:line="171" w:lineRule="exact"/>
        <w:rPr>
          <w:sz w:val="20"/>
          <w:szCs w:val="20"/>
          <w:color w:val="auto"/>
        </w:rPr>
      </w:pPr>
    </w:p>
    <w:p>
      <w:pPr>
        <w:jc w:val="both"/>
        <w:ind w:left="740" w:right="20" w:hanging="359"/>
        <w:spacing w:after="0" w:line="25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Bain Capital Ventures Entities are entitled to designate for nomination one director for so long as the Bain Capital Ventures Entities beneficially own, directly or indirectly, in the aggregate at least five percent (5%) of all issued and outstanding shares of Class A common stock;</w:t>
      </w:r>
    </w:p>
    <w:p>
      <w:pPr>
        <w:spacing w:after="0" w:line="128" w:lineRule="exact"/>
        <w:rPr>
          <w:rFonts w:ascii="Arial" w:cs="Arial" w:eastAsia="Arial" w:hAnsi="Arial"/>
          <w:sz w:val="18"/>
          <w:szCs w:val="18"/>
          <w:color w:val="auto"/>
        </w:rPr>
      </w:pPr>
    </w:p>
    <w:p>
      <w:pPr>
        <w:jc w:val="both"/>
        <w:ind w:left="740" w:right="80" w:hanging="359"/>
        <w:spacing w:after="0" w:line="25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Highland Entities are entitled to designate for nomination one director for so long as the Highland Entities beneficially own, directly or indirectly, in the aggregate at least five percent (5%) of all issued and outstanding shares of Class A common stock;</w:t>
      </w:r>
    </w:p>
    <w:p>
      <w:pPr>
        <w:spacing w:after="0" w:line="141" w:lineRule="exact"/>
        <w:rPr>
          <w:rFonts w:ascii="Arial" w:cs="Arial" w:eastAsia="Arial" w:hAnsi="Arial"/>
          <w:sz w:val="18"/>
          <w:szCs w:val="18"/>
          <w:color w:val="auto"/>
        </w:rPr>
      </w:pPr>
    </w:p>
    <w:p>
      <w:pPr>
        <w:ind w:left="740" w:right="300" w:hanging="359"/>
        <w:spacing w:after="0" w:line="24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Founder is entitled to designate for nomination (i) nine directors for so long as the Founder beneficially owns, directly or indirectly, in the aggregate shares of Class A common stock and Class B common stock representing fifteen percent (15%) or more of the total voting power of all issued and outstanding shares of Class A common stock and Class B common stock and (ii) five directors for so long</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40" w:right="100"/>
        <w:spacing w:after="0" w:line="247" w:lineRule="auto"/>
        <w:rPr>
          <w:sz w:val="20"/>
          <w:szCs w:val="20"/>
          <w:color w:val="auto"/>
        </w:rPr>
      </w:pPr>
      <w:r>
        <w:rPr>
          <w:rFonts w:ascii="Arial" w:cs="Arial" w:eastAsia="Arial" w:hAnsi="Arial"/>
          <w:sz w:val="18"/>
          <w:szCs w:val="18"/>
          <w:color w:val="auto"/>
        </w:rPr>
        <w:t>as the Founder beneficially owns, directly or indirectly, in the aggregate shares of Class A common stock and Class B common stock representing less than fifteen percent (15%) but at least five percent (5%) or more of the total voting power of all issued and outstanding shares of Class A common stock and Class B common stock; and</w:t>
      </w:r>
    </w:p>
    <w:p>
      <w:pPr>
        <w:spacing w:after="0" w:line="147" w:lineRule="exact"/>
        <w:rPr>
          <w:sz w:val="20"/>
          <w:szCs w:val="20"/>
          <w:color w:val="auto"/>
        </w:rPr>
      </w:pPr>
    </w:p>
    <w:p>
      <w:pPr>
        <w:ind w:left="740" w:hanging="35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Jennifer Hyman shall be nominated by the Board as a director for so long as she serves as the</w:t>
      </w:r>
    </w:p>
    <w:p>
      <w:pPr>
        <w:spacing w:after="0" w:line="1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Chief Executive Officer of the Company (and she shall serve as one of the Founder’s director designees).</w:t>
      </w:r>
    </w:p>
    <w:p>
      <w:pPr>
        <w:spacing w:after="0" w:line="261" w:lineRule="exact"/>
        <w:rPr>
          <w:sz w:val="20"/>
          <w:szCs w:val="20"/>
          <w:color w:val="auto"/>
        </w:rPr>
      </w:pPr>
    </w:p>
    <w:p>
      <w:pPr>
        <w:ind w:left="20" w:right="260"/>
        <w:spacing w:after="0" w:line="242" w:lineRule="auto"/>
        <w:rPr>
          <w:sz w:val="20"/>
          <w:szCs w:val="20"/>
          <w:color w:val="auto"/>
        </w:rPr>
      </w:pPr>
      <w:r>
        <w:rPr>
          <w:rFonts w:ascii="Arial" w:cs="Arial" w:eastAsia="Arial" w:hAnsi="Arial"/>
          <w:sz w:val="18"/>
          <w:szCs w:val="18"/>
          <w:color w:val="auto"/>
        </w:rPr>
        <w:t>Each of the Bain Capital Ventures Entities, Highland Entities, and Founder has agreed, severally and not jointly, with the Company (and only with the Company), and the Company has agreed with each of the Bain Capital Ventures Entities, Highland Entities, and Founder, to vote, or cause to be voted, all of their outstanding shares of Class A common stock and/or Class B common stock, as applicable, at any annual or special meeting of stockholders of the Company at which directors are to be elected or removed in order to cause the election or removal of each of the designated directors.</w:t>
      </w:r>
    </w:p>
    <w:p>
      <w:pPr>
        <w:spacing w:after="0" w:line="138" w:lineRule="exact"/>
        <w:rPr>
          <w:sz w:val="20"/>
          <w:szCs w:val="20"/>
          <w:color w:val="auto"/>
        </w:rPr>
      </w:pPr>
    </w:p>
    <w:p>
      <w:pPr>
        <w:ind w:left="20" w:right="740"/>
        <w:spacing w:after="0" w:line="245" w:lineRule="auto"/>
        <w:rPr>
          <w:sz w:val="20"/>
          <w:szCs w:val="20"/>
          <w:color w:val="auto"/>
        </w:rPr>
      </w:pPr>
      <w:r>
        <w:rPr>
          <w:rFonts w:ascii="Arial" w:cs="Arial" w:eastAsia="Arial" w:hAnsi="Arial"/>
          <w:sz w:val="18"/>
          <w:szCs w:val="18"/>
          <w:color w:val="auto"/>
        </w:rPr>
        <w:t>Tim Bixby and Jennifer Fleiss have been designated by the Founder as Class I Directors; Mike Roth has been designated by the Founder as a Class II Director; and Jennifer Hyman, Beth Kaplan, Emil Michael and</w:t>
      </w:r>
    </w:p>
    <w:p>
      <w:pPr>
        <w:ind w:left="20" w:right="300"/>
        <w:spacing w:after="0" w:line="239" w:lineRule="auto"/>
        <w:rPr>
          <w:sz w:val="20"/>
          <w:szCs w:val="20"/>
          <w:color w:val="auto"/>
        </w:rPr>
      </w:pPr>
      <w:r>
        <w:rPr>
          <w:rFonts w:ascii="Arial" w:cs="Arial" w:eastAsia="Arial" w:hAnsi="Arial"/>
          <w:sz w:val="18"/>
          <w:szCs w:val="18"/>
          <w:color w:val="auto"/>
        </w:rPr>
        <w:t>Gwyneth Paltrow have been designated by the Founder as Class III Directors, respectively. In addition, Scott Friend has been designated by the Bain Capital Ventures Entities as a Class II director. The Highland Entities have not designated a director following Dan Nova’s resignation from the Board in April 2024. As a result of the Stockholders Agreement and the aggregate voting power of the parties to the agreement, we expect that the parties to the agreement will control the election of directors at RTR.</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Communications with the Board</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or other interested parties may contact the Board or one or more of our directors with issues or questions about RTR, by emailing corporatesecretary@renttherunway.com or mailing correspondence to our Chief Legal &amp; Administrative Officer and Secretary at our Brooklyn headquarters, Rent the Runway, Inc., 10 Jay Street, Brooklyn, NY 11201. Our legal team will review incoming communications directed to the Board and, if appropriate, will forward such communications to the appropriate member(s) of the Board or, if none is specified, to the chair of the Board. For example, we will generally not forward a communication that is primarily commercial in nature, is improper or irrelevant, or is a request for general information about RTR.</w:t>
      </w:r>
    </w:p>
    <w:p>
      <w:pPr>
        <w:spacing w:after="0" w:line="314" w:lineRule="exact"/>
        <w:rPr>
          <w:sz w:val="20"/>
          <w:szCs w:val="20"/>
          <w:color w:val="auto"/>
        </w:rPr>
      </w:pPr>
    </w:p>
    <w:p>
      <w:pPr>
        <w:ind w:left="20" w:right="1860"/>
        <w:spacing w:after="0" w:line="290" w:lineRule="auto"/>
        <w:rPr>
          <w:sz w:val="20"/>
          <w:szCs w:val="20"/>
          <w:color w:val="auto"/>
        </w:rPr>
      </w:pPr>
      <w:r>
        <w:rPr>
          <w:rFonts w:ascii="Arial" w:cs="Arial" w:eastAsia="Arial" w:hAnsi="Arial"/>
          <w:sz w:val="36"/>
          <w:szCs w:val="36"/>
          <w:b w:val="1"/>
          <w:bCs w:val="1"/>
          <w:color w:val="auto"/>
        </w:rPr>
        <w:t>Policy for Recovery of Erroneously Awarded Compensation</w:t>
      </w:r>
    </w:p>
    <w:p>
      <w:pPr>
        <w:spacing w:after="0" w:line="31" w:lineRule="exact"/>
        <w:rPr>
          <w:sz w:val="20"/>
          <w:szCs w:val="20"/>
          <w:color w:val="auto"/>
        </w:rPr>
      </w:pPr>
    </w:p>
    <w:p>
      <w:pPr>
        <w:ind w:left="20" w:right="300"/>
        <w:spacing w:after="0" w:line="242" w:lineRule="auto"/>
        <w:rPr>
          <w:sz w:val="20"/>
          <w:szCs w:val="20"/>
          <w:color w:val="auto"/>
        </w:rPr>
      </w:pPr>
      <w:r>
        <w:rPr>
          <w:rFonts w:ascii="Arial" w:cs="Arial" w:eastAsia="Arial" w:hAnsi="Arial"/>
          <w:sz w:val="18"/>
          <w:szCs w:val="18"/>
          <w:color w:val="auto"/>
        </w:rPr>
        <w:t>Our Policy for Recovery of Erroneously Awarded Compensation (the “Clawback Policy”) is intended to comply with SEC and Nasdaq listing standards and maintain a culture of focused, diligent, and responsible management that discourages conduct detrimental to the growth of the Company. Accordingly, as set forth in the Clawback Policy, the Company is required to recover certain erroneously paid incentive-based compensation, including cash incentive or performance-vesting equity compensation, of its current and former executive officers in the event the Company is required to prepare a qualifying accounting restatement.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Director Compensation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discloses compensation received by our non-employee directors during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103505</wp:posOffset>
            </wp:positionV>
            <wp:extent cx="603504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5040" cy="377190"/>
                    </a:xfrm>
                    <a:prstGeom prst="rect">
                      <a:avLst/>
                    </a:prstGeom>
                    <a:noFill/>
                  </pic:spPr>
                </pic:pic>
              </a:graphicData>
            </a:graphic>
          </wp:anchor>
        </w:drawing>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338"/>
        </w:trPr>
        <w:tc>
          <w:tcPr>
            <w:tcW w:w="2580" w:type="dxa"/>
            <w:vAlign w:val="bottom"/>
          </w:tcPr>
          <w:p>
            <w:pPr>
              <w:ind w:left="140"/>
              <w:spacing w:after="0"/>
              <w:rPr>
                <w:sz w:val="20"/>
                <w:szCs w:val="20"/>
                <w:color w:val="auto"/>
              </w:rPr>
            </w:pPr>
            <w:r>
              <w:rPr>
                <w:rFonts w:ascii="Arial" w:cs="Arial" w:eastAsia="Arial" w:hAnsi="Arial"/>
                <w:sz w:val="14"/>
                <w:szCs w:val="14"/>
                <w:b w:val="1"/>
                <w:bCs w:val="1"/>
                <w:color w:val="auto"/>
              </w:rPr>
              <w:t>Director</w:t>
            </w:r>
          </w:p>
        </w:tc>
        <w:tc>
          <w:tcPr>
            <w:tcW w:w="156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 xml:space="preserve">Fees Earned or </w:t>
            </w:r>
            <w:r>
              <w:rPr>
                <w:rFonts w:ascii="Times New Roman" w:cs="Times New Roman" w:eastAsia="Times New Roman" w:hAnsi="Times New Roman"/>
                <w:sz w:val="7"/>
                <w:szCs w:val="7"/>
                <w:color w:val="auto"/>
                <w:vertAlign w:val="subscript"/>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Stock</w:t>
            </w:r>
          </w:p>
        </w:tc>
        <w:tc>
          <w:tcPr>
            <w:tcW w:w="460" w:type="dxa"/>
            <w:vAlign w:val="bottom"/>
          </w:tcPr>
          <w:p>
            <w:pPr>
              <w:spacing w:after="0"/>
              <w:rPr>
                <w:sz w:val="24"/>
                <w:szCs w:val="24"/>
                <w:color w:val="auto"/>
              </w:rPr>
            </w:pPr>
          </w:p>
        </w:tc>
        <w:tc>
          <w:tcPr>
            <w:tcW w:w="200" w:type="dxa"/>
            <w:vAlign w:val="bottom"/>
          </w:tcPr>
          <w:p>
            <w:pPr>
              <w:jc w:val="right"/>
              <w:ind w:right="171"/>
              <w:spacing w:after="0"/>
              <w:rPr>
                <w:sz w:val="20"/>
                <w:szCs w:val="20"/>
                <w:color w:val="auto"/>
              </w:rPr>
            </w:pPr>
            <w:r>
              <w:rPr>
                <w:rFonts w:ascii="Times New Roman" w:cs="Times New Roman" w:eastAsia="Times New Roman" w:hAnsi="Times New Roman"/>
                <w:sz w:val="2"/>
                <w:szCs w:val="2"/>
                <w:color w:val="auto"/>
                <w:w w:val="4294942296"/>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4"/>
                <w:szCs w:val="4"/>
                <w:color w:val="auto"/>
              </w:rPr>
              <w:t>​</w:t>
            </w:r>
          </w:p>
        </w:tc>
      </w:tr>
      <w:tr>
        <w:trPr>
          <w:trHeight w:val="257"/>
        </w:trPr>
        <w:tc>
          <w:tcPr>
            <w:tcW w:w="25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Paid in Cash ($)</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80"/>
              <w:spacing w:after="0" w:line="256" w:lineRule="exact"/>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23"/>
                <w:szCs w:val="23"/>
                <w:b w:val="1"/>
                <w:bCs w:val="1"/>
                <w:color w:val="auto"/>
                <w:w w:val="95"/>
                <w:vertAlign w:val="superscript"/>
              </w:rPr>
              <w:t>(1)</w:t>
            </w: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Compensation ($)</w:t>
            </w:r>
          </w:p>
        </w:tc>
      </w:tr>
      <w:tr>
        <w:trPr>
          <w:trHeight w:val="438"/>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Tim Bixby</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60,000</w:t>
            </w:r>
            <w:r>
              <w:rPr>
                <w:rFonts w:ascii="Arial" w:cs="Arial" w:eastAsia="Arial" w:hAnsi="Arial"/>
                <w:sz w:val="23"/>
                <w:szCs w:val="23"/>
                <w:color w:val="auto"/>
                <w:vertAlign w:val="superscript"/>
              </w:rPr>
              <w:t>(2)</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116,966</w:t>
            </w:r>
            <w:r>
              <w:rPr>
                <w:rFonts w:ascii="Times New Roman" w:cs="Times New Roman" w:eastAsia="Times New Roman" w:hAnsi="Times New Roman"/>
                <w:sz w:val="3"/>
                <w:szCs w:val="3"/>
                <w:color w:val="auto"/>
              </w:rPr>
              <w:t>​</w:t>
            </w:r>
          </w:p>
        </w:tc>
      </w:tr>
      <w:tr>
        <w:trPr>
          <w:trHeight w:val="297"/>
        </w:trPr>
        <w:tc>
          <w:tcPr>
            <w:tcW w:w="2580" w:type="dxa"/>
            <w:vAlign w:val="bottom"/>
          </w:tcPr>
          <w:p>
            <w:pPr>
              <w:ind w:left="140"/>
              <w:spacing w:after="0"/>
              <w:rPr>
                <w:sz w:val="20"/>
                <w:szCs w:val="20"/>
                <w:color w:val="auto"/>
              </w:rPr>
            </w:pPr>
            <w:r>
              <w:rPr>
                <w:rFonts w:ascii="Arial" w:cs="Arial" w:eastAsia="Arial" w:hAnsi="Arial"/>
                <w:sz w:val="14"/>
                <w:szCs w:val="14"/>
                <w:color w:val="auto"/>
              </w:rPr>
              <w:t>Jennifer Fleiss</w:t>
            </w:r>
          </w:p>
        </w:tc>
        <w:tc>
          <w:tcPr>
            <w:tcW w:w="156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40,000</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24"/>
                <w:szCs w:val="24"/>
                <w:color w:val="auto"/>
              </w:rPr>
            </w:pPr>
          </w:p>
        </w:tc>
        <w:tc>
          <w:tcPr>
            <w:tcW w:w="660" w:type="dxa"/>
            <w:vAlign w:val="bottom"/>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96,966</w:t>
            </w:r>
            <w:r>
              <w:rPr>
                <w:rFonts w:ascii="Times New Roman" w:cs="Times New Roman" w:eastAsia="Times New Roman" w:hAnsi="Times New Roman"/>
                <w:sz w:val="3"/>
                <w:szCs w:val="3"/>
                <w:color w:val="auto"/>
              </w:rPr>
              <w:t>​</w:t>
            </w:r>
          </w:p>
        </w:tc>
      </w:tr>
      <w:tr>
        <w:trPr>
          <w:trHeight w:val="103"/>
        </w:trPr>
        <w:tc>
          <w:tcPr>
            <w:tcW w:w="25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425"/>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(3)</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425"/>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(4)</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40,000</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96,966</w:t>
            </w:r>
            <w:r>
              <w:rPr>
                <w:rFonts w:ascii="Times New Roman" w:cs="Times New Roman" w:eastAsia="Times New Roman" w:hAnsi="Times New Roman"/>
                <w:sz w:val="3"/>
                <w:szCs w:val="3"/>
                <w:color w:val="auto"/>
              </w:rPr>
              <w:t>​</w:t>
            </w:r>
          </w:p>
        </w:tc>
      </w:tr>
      <w:tr>
        <w:trPr>
          <w:trHeight w:val="426"/>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Beth Kaplan</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53,000</w:t>
            </w:r>
            <w:r>
              <w:rPr>
                <w:rFonts w:ascii="Arial" w:cs="Arial" w:eastAsia="Arial" w:hAnsi="Arial"/>
                <w:sz w:val="23"/>
                <w:szCs w:val="23"/>
                <w:color w:val="auto"/>
                <w:vertAlign w:val="superscript"/>
              </w:rPr>
              <w:t>(2)</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84,769</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137,769</w:t>
            </w:r>
            <w:r>
              <w:rPr>
                <w:rFonts w:ascii="Times New Roman" w:cs="Times New Roman" w:eastAsia="Times New Roman" w:hAnsi="Times New Roman"/>
                <w:sz w:val="3"/>
                <w:szCs w:val="3"/>
                <w:color w:val="auto"/>
              </w:rPr>
              <w:t>​</w:t>
            </w:r>
          </w:p>
        </w:tc>
      </w:tr>
      <w:tr>
        <w:trPr>
          <w:trHeight w:val="425"/>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Emil Michael</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30,000</w:t>
            </w:r>
            <w:r>
              <w:rPr>
                <w:rFonts w:ascii="Arial" w:cs="Arial" w:eastAsia="Arial" w:hAnsi="Arial"/>
                <w:sz w:val="23"/>
                <w:szCs w:val="23"/>
                <w:color w:val="auto"/>
                <w:vertAlign w:val="superscript"/>
              </w:rPr>
              <w:t>(2)</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86,966</w:t>
            </w:r>
            <w:r>
              <w:rPr>
                <w:rFonts w:ascii="Times New Roman" w:cs="Times New Roman" w:eastAsia="Times New Roman" w:hAnsi="Times New Roman"/>
                <w:sz w:val="3"/>
                <w:szCs w:val="3"/>
                <w:color w:val="auto"/>
              </w:rPr>
              <w:t>​</w:t>
            </w:r>
          </w:p>
        </w:tc>
      </w:tr>
      <w:tr>
        <w:trPr>
          <w:trHeight w:val="426"/>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Dan Nova</w:t>
            </w:r>
            <w:r>
              <w:rPr>
                <w:rFonts w:ascii="Arial" w:cs="Arial" w:eastAsia="Arial" w:hAnsi="Arial"/>
                <w:sz w:val="23"/>
                <w:szCs w:val="23"/>
                <w:color w:val="auto"/>
                <w:vertAlign w:val="superscript"/>
              </w:rPr>
              <w:t>(3)(4)</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297"/>
        </w:trPr>
        <w:tc>
          <w:tcPr>
            <w:tcW w:w="2580" w:type="dxa"/>
            <w:vAlign w:val="bottom"/>
          </w:tcPr>
          <w:p>
            <w:pPr>
              <w:ind w:left="140"/>
              <w:spacing w:after="0"/>
              <w:rPr>
                <w:sz w:val="20"/>
                <w:szCs w:val="20"/>
                <w:color w:val="auto"/>
              </w:rPr>
            </w:pPr>
            <w:r>
              <w:rPr>
                <w:rFonts w:ascii="Arial" w:cs="Arial" w:eastAsia="Arial" w:hAnsi="Arial"/>
                <w:sz w:val="14"/>
                <w:szCs w:val="14"/>
                <w:color w:val="auto"/>
              </w:rPr>
              <w:t>Gwyneth Paltrow</w:t>
            </w:r>
          </w:p>
        </w:tc>
        <w:tc>
          <w:tcPr>
            <w:tcW w:w="156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40,000</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spacing w:after="0"/>
              <w:rPr>
                <w:sz w:val="24"/>
                <w:szCs w:val="24"/>
                <w:color w:val="auto"/>
              </w:rPr>
            </w:pPr>
          </w:p>
        </w:tc>
        <w:tc>
          <w:tcPr>
            <w:tcW w:w="660" w:type="dxa"/>
            <w:vAlign w:val="bottom"/>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96,966</w:t>
            </w:r>
            <w:r>
              <w:rPr>
                <w:rFonts w:ascii="Times New Roman" w:cs="Times New Roman" w:eastAsia="Times New Roman" w:hAnsi="Times New Roman"/>
                <w:sz w:val="3"/>
                <w:szCs w:val="3"/>
                <w:color w:val="auto"/>
              </w:rPr>
              <w:t>​</w:t>
            </w:r>
          </w:p>
        </w:tc>
      </w:tr>
      <w:tr>
        <w:trPr>
          <w:trHeight w:val="103"/>
        </w:trPr>
        <w:tc>
          <w:tcPr>
            <w:tcW w:w="25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425"/>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(4)</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45,634</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102,600</w:t>
            </w:r>
            <w:r>
              <w:rPr>
                <w:rFonts w:ascii="Times New Roman" w:cs="Times New Roman" w:eastAsia="Times New Roman" w:hAnsi="Times New Roman"/>
                <w:sz w:val="3"/>
                <w:szCs w:val="3"/>
                <w:color w:val="auto"/>
              </w:rPr>
              <w:t>​</w:t>
            </w:r>
          </w:p>
        </w:tc>
      </w:tr>
      <w:tr>
        <w:trPr>
          <w:trHeight w:val="359"/>
        </w:trPr>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Mike Roth</w:t>
            </w:r>
          </w:p>
        </w:tc>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40,000</w:t>
            </w:r>
            <w:r>
              <w:rPr>
                <w:rFonts w:ascii="Arial" w:cs="Arial" w:eastAsia="Arial" w:hAnsi="Arial"/>
                <w:sz w:val="23"/>
                <w:szCs w:val="23"/>
                <w:color w:val="auto"/>
                <w:vertAlign w:val="superscript"/>
              </w:rPr>
              <w:t>(2)</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4"/>
                <w:szCs w:val="14"/>
                <w:color w:val="auto"/>
              </w:rPr>
              <w:t>56,966</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96,966</w:t>
            </w:r>
            <w:r>
              <w:rPr>
                <w:rFonts w:ascii="Times New Roman" w:cs="Times New Roman" w:eastAsia="Times New Roman" w:hAnsi="Times New Roman"/>
                <w:sz w:val="3"/>
                <w:szCs w:val="3"/>
                <w:color w:val="auto"/>
              </w:rPr>
              <w:t>​</w:t>
            </w:r>
          </w:p>
        </w:tc>
      </w:tr>
    </w:tbl>
    <w:p>
      <w:pPr>
        <w:spacing w:after="0" w:line="166" w:lineRule="exact"/>
        <w:rPr>
          <w:sz w:val="20"/>
          <w:szCs w:val="20"/>
          <w:color w:val="auto"/>
        </w:rPr>
      </w:pPr>
    </w:p>
    <w:p>
      <w:pPr>
        <w:ind w:left="380" w:right="80" w:hanging="359"/>
        <w:spacing w:after="0" w:line="252"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value disclosed is the aggregate grant date fair value of restricted stock units (“RSUs”) granted to the directors, computed in accordance with FASB ASC Topic 718, rather than the amounts paid to or realized by the named individual. Such restricted stock units were subject to a service-based vesting condition. Assumptions used in the calculation of the grant date fair value are set forth in Note 13—Share-based Compensation Plans in our Annual Report on Form 10-K for the fiscal year ended January 31, 2024 that accompanies this proxy statement. The value disclosed for Ms. Kaplan also includes the aggregate grant date fair value of RSUs granted in connection with the Option Exchange.</w:t>
      </w:r>
    </w:p>
    <w:p>
      <w:pPr>
        <w:spacing w:after="0" w:line="18" w:lineRule="exact"/>
        <w:rPr>
          <w:rFonts w:ascii="Arial" w:cs="Arial" w:eastAsia="Arial" w:hAnsi="Arial"/>
          <w:sz w:val="14"/>
          <w:szCs w:val="14"/>
          <w:color w:val="auto"/>
        </w:rPr>
      </w:pPr>
    </w:p>
    <w:p>
      <w:pPr>
        <w:ind w:left="380" w:right="120" w:hanging="359"/>
        <w:spacing w:after="0" w:line="281"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Each of these directors elected to receive RSUs in lieu of all or a portion of their cash compensation for fiscal year 2023, which resulted in 945 RSUs granted to Mr. Bixby and Mr. Roth, 473 RSUs granted to Ms. Kaplan, and 709 RSUs granted Mr. Michael, respectively.</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fiscal year 2023, Mr. Friend and Mr. Nova waived their director compensation fees.</w:t>
      </w:r>
    </w:p>
    <w:p>
      <w:pPr>
        <w:spacing w:after="0" w:line="55" w:lineRule="exact"/>
        <w:rPr>
          <w:rFonts w:ascii="Arial" w:cs="Arial" w:eastAsia="Arial" w:hAnsi="Arial"/>
          <w:sz w:val="14"/>
          <w:szCs w:val="14"/>
          <w:color w:val="auto"/>
        </w:rPr>
      </w:pPr>
    </w:p>
    <w:p>
      <w:pPr>
        <w:ind w:left="380" w:right="980" w:hanging="359"/>
        <w:spacing w:after="0" w:line="285"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Ms. Harris, Mr. Nova and Ms. Roney resigned from the Board effective April 15, 2024 (which did not impact their fiscal year 2023 compensation).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2024, the aggregate number of Class A restricted stock unit awards held by each such non-employee director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76200</wp:posOffset>
            </wp:positionV>
            <wp:extent cx="603504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96" w:lineRule="exact"/>
        <w:rPr>
          <w:sz w:val="20"/>
          <w:szCs w:val="20"/>
          <w:color w:val="auto"/>
        </w:rPr>
      </w:pPr>
    </w:p>
    <w:p>
      <w:pPr>
        <w:ind w:left="20"/>
        <w:spacing w:after="0"/>
        <w:tabs>
          <w:tab w:leader="none" w:pos="140" w:val="left"/>
          <w:tab w:leader="none" w:pos="4180" w:val="left"/>
          <w:tab w:leader="none" w:pos="6420" w:val="left"/>
          <w:tab w:leader="none" w:pos="86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Director</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3"/>
          <w:szCs w:val="13"/>
          <w:b w:val="1"/>
          <w:bCs w:val="1"/>
          <w:color w:val="auto"/>
        </w:rPr>
        <w:t>RSUs (#)</w:t>
      </w:r>
      <w:r>
        <w:rPr>
          <w:rFonts w:ascii="Arial" w:cs="Arial" w:eastAsia="Arial" w:hAnsi="Arial"/>
          <w:sz w:val="21"/>
          <w:szCs w:val="21"/>
          <w:b w:val="1"/>
          <w:bCs w:val="1"/>
          <w:color w:val="auto"/>
          <w:vertAlign w:val="superscript"/>
        </w:rPr>
        <w:t>(1)</w:t>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43180</wp:posOffset>
            </wp:positionV>
            <wp:extent cx="6035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18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Tim Bixby</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Jennifer Fleiss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Scott Friend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Melanie Harris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Beth Kaplan</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Emil Michael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Dan Nova</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Gwyneth Paltrow</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Carley Roney</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Mike Roth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3,480</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1,475</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2,679</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2,913</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2,184</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2,507</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1,475</w:t>
            </w:r>
            <w:r>
              <w:rPr>
                <w:rFonts w:ascii="Times New Roman" w:cs="Times New Roman" w:eastAsia="Times New Roman" w:hAnsi="Times New Roman"/>
                <w:sz w:val="3"/>
                <w:szCs w:val="3"/>
                <w:color w:val="auto"/>
              </w:rPr>
              <w:t>​</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2,592</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22225</wp:posOffset>
            </wp:positionV>
            <wp:extent cx="6035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-191770</wp:posOffset>
            </wp:positionV>
            <wp:extent cx="6035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-440055</wp:posOffset>
            </wp:positionV>
            <wp:extent cx="6035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-688340</wp:posOffset>
            </wp:positionV>
            <wp:extent cx="6035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-937260</wp:posOffset>
            </wp:positionV>
            <wp:extent cx="6035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-1185545</wp:posOffset>
            </wp:positionV>
            <wp:extent cx="6035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-1434465</wp:posOffset>
            </wp:positionV>
            <wp:extent cx="6035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-1682750</wp:posOffset>
            </wp:positionV>
            <wp:extent cx="6035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-1931670</wp:posOffset>
            </wp:positionV>
            <wp:extent cx="6035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-2179955</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5320"/>
          </w:cols>
          <w:pgMar w:left="1180" w:top="263" w:right="1199" w:bottom="1440" w:gutter="0" w:footer="0" w:header="0"/>
          <w:type w:val="continuous"/>
        </w:sectPr>
      </w:pPr>
    </w:p>
    <w:p>
      <w:pPr>
        <w:spacing w:after="0" w:line="15" w:lineRule="exact"/>
        <w:rPr>
          <w:sz w:val="20"/>
          <w:szCs w:val="20"/>
          <w:color w:val="auto"/>
        </w:rPr>
      </w:pPr>
    </w:p>
    <w:p>
      <w:pPr>
        <w:ind w:left="380" w:right="560" w:hanging="359"/>
        <w:spacing w:after="0" w:line="285"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2023 Non-Employee Director Compensation</w:t>
      </w:r>
    </w:p>
    <w:p>
      <w:pPr>
        <w:spacing w:after="0" w:line="185"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In October 2021, we adopted a formal non-employee director compensation program upon the completion of our IPO, which was further updated on March 14, 2023 as described below. Pursuant to this program, each non-employee director receives a mixture of equity and cash compensation. For fiscal year 2023, Mr. Friend and Mr. Nova waived their compensation.</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71" w:lineRule="exact"/>
        <w:rPr>
          <w:sz w:val="20"/>
          <w:szCs w:val="20"/>
          <w:color w:val="auto"/>
        </w:rPr>
      </w:pPr>
    </w:p>
    <w:p>
      <w:pPr>
        <w:ind w:left="20" w:right="200"/>
        <w:spacing w:after="0" w:line="244" w:lineRule="auto"/>
        <w:rPr>
          <w:sz w:val="20"/>
          <w:szCs w:val="20"/>
          <w:color w:val="auto"/>
        </w:rPr>
      </w:pPr>
      <w:r>
        <w:rPr>
          <w:rFonts w:ascii="Arial" w:cs="Arial" w:eastAsia="Arial" w:hAnsi="Arial"/>
          <w:sz w:val="18"/>
          <w:szCs w:val="18"/>
          <w:color w:val="auto"/>
        </w:rPr>
        <w:t>The board of directors determined that each director (other than Mr. Friend and Mr. Nova) would be granted 1,475 RSUs on the 2023 Annual Meeting of Stockholders (as adjusted to reflect the Reverse Stock Split). These awards vest in full on the earlier of (i) the next occurring Annual Meeting of Stockholders or (ii) the first anniversary of the grant date, subject to the non-employee director’s continued service through the applicable vesting date. Upon a change in control, all outstanding equity awards granted under the program will vest in full.</w:t>
      </w:r>
    </w:p>
    <w:p>
      <w:pPr>
        <w:spacing w:after="0" w:line="149"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Pursuant to the non-employee director compensation program, directors were permitted to elect to receive RSUs in lieu of cash compensation for fiscal 2023. Each such award of RSUs received covers a number of shares calculated by dividing (i) the amount of the annual cash retainer that is expected to be paid to such Non-Employee Director from the date of the 2023 Annual Meeting of Stockholders through the date of the next annual meeting by (ii) the average per share closing trading price of our Class A common stock over the most recent 30 trading days as of and including the grant date. Each such RSU award will vest in full on the earlier of (i) the first anniversary of the date of grant or (ii) the date of the next annual meeting following the date of grant, subject to the director continuing in service on the Board through such vesting date.</w:t>
      </w:r>
    </w:p>
    <w:p>
      <w:pPr>
        <w:spacing w:after="0" w:line="140"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In July 2023, we implemented an option exchange designed to incentivize and retain employees, directors and other service providers (the “Option Exchange”). Eligible participants could exchange outstanding stock options for RSUs at a ratio of 2.5-for-1. Ms. Kaplan, the only Board member who participated in the Option Exchange, exchanged 2,758 stock options for 1,103 RSUs (as adjusted to reflect the 1-for-20 Reverse Stock Split). The RSUs granted pursuant to the Option Exchange vest quarterly in eight equal installments over two years beginning on November 1, 2023, subject to Ms. Kaplan’s continued service with us through the applicable vesting dates.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85" w:lineRule="exact"/>
        <w:rPr>
          <w:sz w:val="20"/>
          <w:szCs w:val="20"/>
          <w:color w:val="auto"/>
        </w:rPr>
      </w:pPr>
    </w:p>
    <w:p>
      <w:pPr>
        <w:ind w:left="20"/>
        <w:spacing w:after="0" w:line="301" w:lineRule="auto"/>
        <w:rPr>
          <w:sz w:val="20"/>
          <w:szCs w:val="20"/>
          <w:color w:val="auto"/>
        </w:rPr>
      </w:pPr>
      <w:r>
        <w:rPr>
          <w:rFonts w:ascii="Arial" w:cs="Arial" w:eastAsia="Arial" w:hAnsi="Arial"/>
          <w:sz w:val="17"/>
          <w:szCs w:val="17"/>
          <w:color w:val="auto"/>
        </w:rPr>
        <w:t>In fiscal year 2023, each non-employee director was eligible to receive an annual cash retainer of $40,000 paid quarterly in arrears. Non-employee directors could elect to receive all or a portion of their annual cash retainer in equity.</w:t>
      </w:r>
    </w:p>
    <w:p>
      <w:pPr>
        <w:spacing w:after="0" w:line="90"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Non-employee directors also were entitled to receive the following cash compensation for chairing a committee (there were no fees payable for regular committee service in fiscal year 2023):</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85090</wp:posOffset>
            </wp:positionV>
            <wp:extent cx="356616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257175"/>
                    </a:xfrm>
                    <a:prstGeom prst="rect">
                      <a:avLst/>
                    </a:prstGeom>
                    <a:noFill/>
                  </pic:spPr>
                </pic:pic>
              </a:graphicData>
            </a:graphic>
          </wp:anchor>
        </w:drawing>
      </w:r>
    </w:p>
    <w:p>
      <w:pPr>
        <w:spacing w:after="0" w:line="114" w:lineRule="exact"/>
        <w:rPr>
          <w:sz w:val="20"/>
          <w:szCs w:val="20"/>
          <w:color w:val="auto"/>
        </w:rPr>
      </w:pPr>
    </w:p>
    <w:tbl>
      <w:tblPr>
        <w:tblLayout w:type="fixed"/>
        <w:tblInd w:w="1960" w:type="dxa"/>
        <w:tblCellMar>
          <w:top w:w="0" w:type="dxa"/>
          <w:left w:w="0" w:type="dxa"/>
          <w:bottom w:w="0" w:type="dxa"/>
          <w:right w:w="0" w:type="dxa"/>
        </w:tblCellMar>
      </w:tblP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Retainer</w:t>
            </w:r>
            <w:r>
              <w:rPr>
                <w:rFonts w:ascii="Times New Roman" w:cs="Times New Roman" w:eastAsia="Times New Roman" w:hAnsi="Times New Roman"/>
                <w:sz w:val="3"/>
                <w:szCs w:val="3"/>
                <w:color w:val="auto"/>
              </w:rPr>
              <w:t>​</w:t>
            </w:r>
          </w:p>
        </w:tc>
      </w:tr>
      <w:tr>
        <w:trPr>
          <w:trHeight w:val="110"/>
        </w:trPr>
        <w:tc>
          <w:tcPr>
            <w:tcW w:w="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309"/>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Audit Committee Chair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Compensation Committee Chair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Nominating &amp; ESG Committee Chair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$8,000</w:t>
            </w:r>
            <w:r>
              <w:rPr>
                <w:rFonts w:ascii="Times New Roman" w:cs="Times New Roman" w:eastAsia="Times New Roman" w:hAnsi="Times New Roman"/>
                <w:sz w:val="3"/>
                <w:szCs w:val="3"/>
                <w:color w:val="auto"/>
              </w:rPr>
              <w:t>​</w:t>
            </w:r>
          </w:p>
        </w:tc>
      </w:tr>
      <w:tr>
        <w:trPr>
          <w:trHeight w:val="35"/>
        </w:trPr>
        <w:tc>
          <w:tcPr>
            <w:tcW w:w="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2024 Compensation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adopted a non-employee director compensation program for fiscal 2024 (the “2024 Program”), pursuant to which each non-employee director will continue to receive a mixture of equity and cash compensation. The 2024 Program cancels any previous elections under the prior non-employee director compensation program to receive RSUs in lieu of cash compensation for fiscal 2023. The 2024 Program provides that each non-employee director will be granted 1,685 RSUs on the 2024 Annual Meeting of Stockholders, which awards will vest in full on the earlier of (i) the next occurring Annual Meeting of Stockholders or (ii) the first anniversary of the grant date, subject to the non-employee director’s continued service through the applicable vesting date. Upon a change in control, all outstanding equity awards granted under the program will vest in full.</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Non-employee directors will be eligible to receive the following cash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103505</wp:posOffset>
            </wp:positionV>
            <wp:extent cx="3566160"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257175"/>
                    </a:xfrm>
                    <a:prstGeom prst="rect">
                      <a:avLst/>
                    </a:prstGeom>
                    <a:noFill/>
                  </pic:spPr>
                </pic:pic>
              </a:graphicData>
            </a:graphic>
          </wp:anchor>
        </w:drawing>
      </w:r>
    </w:p>
    <w:p>
      <w:pPr>
        <w:spacing w:after="0" w:line="143" w:lineRule="exact"/>
        <w:rPr>
          <w:sz w:val="20"/>
          <w:szCs w:val="20"/>
          <w:color w:val="auto"/>
        </w:rPr>
      </w:pPr>
    </w:p>
    <w:tbl>
      <w:tblPr>
        <w:tblLayout w:type="fixed"/>
        <w:tblInd w:w="1960" w:type="dxa"/>
        <w:tblCellMar>
          <w:top w:w="0" w:type="dxa"/>
          <w:left w:w="0" w:type="dxa"/>
          <w:bottom w:w="0" w:type="dxa"/>
          <w:right w:w="0" w:type="dxa"/>
        </w:tblCellMar>
      </w:tblP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Retainer</w:t>
            </w:r>
            <w:r>
              <w:rPr>
                <w:rFonts w:ascii="Times New Roman" w:cs="Times New Roman" w:eastAsia="Times New Roman" w:hAnsi="Times New Roman"/>
                <w:sz w:val="3"/>
                <w:szCs w:val="3"/>
                <w:color w:val="auto"/>
              </w:rPr>
              <w:t>​</w:t>
            </w:r>
          </w:p>
        </w:tc>
      </w:tr>
      <w:tr>
        <w:trPr>
          <w:trHeight w:val="110"/>
        </w:trPr>
        <w:tc>
          <w:tcPr>
            <w:tcW w:w="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r>
        <w:trPr>
          <w:trHeight w:val="309"/>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Annual Retainer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Finance Committee</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Audit Committee Chair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Compensation Committee Chair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900" w:type="dxa"/>
            <w:vAlign w:val="bottom"/>
          </w:tcPr>
          <w:p>
            <w:pPr>
              <w:ind w:left="140"/>
              <w:spacing w:after="0"/>
              <w:rPr>
                <w:sz w:val="20"/>
                <w:szCs w:val="20"/>
                <w:color w:val="auto"/>
              </w:rPr>
            </w:pPr>
            <w:r>
              <w:rPr>
                <w:rFonts w:ascii="Arial" w:cs="Arial" w:eastAsia="Arial" w:hAnsi="Arial"/>
                <w:sz w:val="14"/>
                <w:szCs w:val="14"/>
                <w:color w:val="auto"/>
              </w:rPr>
              <w:t>Nominating &amp; ESG Committee Chair</w:t>
            </w:r>
          </w:p>
        </w:tc>
        <w:tc>
          <w:tcPr>
            <w:tcW w:w="82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$5,000</w:t>
            </w:r>
            <w:r>
              <w:rPr>
                <w:rFonts w:ascii="Times New Roman" w:cs="Times New Roman" w:eastAsia="Times New Roman" w:hAnsi="Times New Roman"/>
                <w:sz w:val="3"/>
                <w:szCs w:val="3"/>
                <w:color w:val="auto"/>
              </w:rPr>
              <w:t>​</w:t>
            </w:r>
          </w:p>
        </w:tc>
      </w:tr>
      <w:tr>
        <w:trPr>
          <w:trHeight w:val="35"/>
        </w:trPr>
        <w:tc>
          <w:tcPr>
            <w:tcW w:w="2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Audit Committee Report</w:t>
      </w:r>
    </w:p>
    <w:p>
      <w:pPr>
        <w:spacing w:after="0" w:line="212"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Rent the Runway’s Audit Committee is composed entirely of independent directors who meet the independence requirements of the Listing Rules of the Nasdaq Stock Market and the SEC. The Audit Committee operates pursuant to a charter that is available on our investor website (investors.renttherunway.com).</w:t>
      </w:r>
    </w:p>
    <w:p>
      <w:pPr>
        <w:spacing w:after="0" w:line="128"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As described above in more detail, the principal purpose of the Audit Committee is to assist the Board of Directors in its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49"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Management is responsible for preparing our financial statements and ensuring they are complete and accurate and prepared in accordance with generally accepted accounting principles. PricewaterhouseCoopers LLP (“PwC”),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performing its responsibilities, the Audit Committee has:</w:t>
      </w:r>
    </w:p>
    <w:p>
      <w:pPr>
        <w:spacing w:after="0" w:line="171" w:lineRule="exact"/>
        <w:rPr>
          <w:sz w:val="20"/>
          <w:szCs w:val="20"/>
          <w:color w:val="auto"/>
        </w:rPr>
      </w:pPr>
    </w:p>
    <w:p>
      <w:pPr>
        <w:ind w:left="740" w:right="820" w:hanging="359"/>
        <w:spacing w:after="0" w:line="24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reviewed and discussed with management our audited financial statements for the fiscal year ended January 31, 2024;</w:t>
      </w:r>
    </w:p>
    <w:p>
      <w:pPr>
        <w:ind w:left="740" w:right="120" w:hanging="359"/>
        <w:spacing w:after="0" w:line="248"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discussed with our independent registered public accounting firm, PwC, the matters required to be discussed by the applicable requirements of the Public Company Accounting Oversight Board (the “PCAOB”); and</w:t>
      </w:r>
    </w:p>
    <w:p>
      <w:pPr>
        <w:spacing w:after="0" w:line="1" w:lineRule="exact"/>
        <w:rPr>
          <w:rFonts w:ascii="Arial" w:cs="Arial" w:eastAsia="Arial" w:hAnsi="Arial"/>
          <w:sz w:val="17"/>
          <w:szCs w:val="17"/>
          <w:color w:val="auto"/>
        </w:rPr>
      </w:pPr>
    </w:p>
    <w:p>
      <w:pPr>
        <w:ind w:left="740" w:right="160" w:hanging="359"/>
        <w:spacing w:after="0" w:line="242"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required by the applicable PCAOB requirements for the independent accountant communications with audit committees concerning auditor independence, and has discussed with PwC its independence.</w:t>
      </w:r>
    </w:p>
    <w:p>
      <w:pPr>
        <w:spacing w:after="0" w:line="139"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our Annual Report on Form 10-K for the fiscal year ended January 31, 2024.</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 Bixby (Chair)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Beth Kaplan</w:t>
      </w:r>
    </w:p>
    <w:p>
      <w:pPr>
        <w:ind w:left="20"/>
        <w:spacing w:after="0"/>
        <w:rPr>
          <w:sz w:val="20"/>
          <w:szCs w:val="20"/>
          <w:color w:val="auto"/>
        </w:rPr>
      </w:pPr>
      <w:r>
        <w:rPr>
          <w:rFonts w:ascii="Arial" w:cs="Arial" w:eastAsia="Arial" w:hAnsi="Arial"/>
          <w:sz w:val="18"/>
          <w:szCs w:val="18"/>
          <w:color w:val="auto"/>
        </w:rPr>
        <w:t>Emil Michael</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Ratification of the Appointment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of Independent Registered</w:t>
      </w:r>
    </w:p>
    <w:p>
      <w:pPr>
        <w:ind w:left="20"/>
        <w:spacing w:after="0"/>
        <w:rPr>
          <w:sz w:val="20"/>
          <w:szCs w:val="20"/>
          <w:color w:val="auto"/>
        </w:rPr>
      </w:pPr>
      <w:r>
        <w:rPr>
          <w:rFonts w:ascii="Arial" w:cs="Arial" w:eastAsia="Arial" w:hAnsi="Arial"/>
          <w:sz w:val="65"/>
          <w:szCs w:val="65"/>
          <w:b w:val="1"/>
          <w:bCs w:val="1"/>
          <w:color w:val="auto"/>
        </w:rPr>
        <w:t>Public Accounting Firm</w:t>
      </w:r>
    </w:p>
    <w:p>
      <w:pPr>
        <w:spacing w:after="0" w:line="144" w:lineRule="exact"/>
        <w:rPr>
          <w:sz w:val="20"/>
          <w:szCs w:val="20"/>
          <w:color w:val="auto"/>
        </w:rPr>
      </w:pPr>
    </w:p>
    <w:p>
      <w:pPr>
        <w:ind w:left="20" w:right="180"/>
        <w:spacing w:after="0" w:line="242" w:lineRule="auto"/>
        <w:rPr>
          <w:sz w:val="20"/>
          <w:szCs w:val="20"/>
          <w:color w:val="auto"/>
        </w:rPr>
      </w:pPr>
      <w:r>
        <w:rPr>
          <w:rFonts w:ascii="Arial" w:cs="Arial" w:eastAsia="Arial" w:hAnsi="Arial"/>
          <w:sz w:val="18"/>
          <w:szCs w:val="18"/>
          <w:color w:val="auto"/>
        </w:rPr>
        <w:t>The Audit Committee has appointed PwC as our independent registered public accounting firm for fiscal year 2024 and recommends that stockholders vote to ratify the appointment. Although we are not required by law to obtain such ratification from our stockholders, we believe it is good practice to do so. If our stockholders do not ratify the appointment of PwC, the Audit Committee may reconsider its appointment. The Audit Committee, in its discretion, may appoint a new independent registered public accounting firm at any time during the year if the Audit Committee believes that such a change would be in the best interests of RTR and our stockholders.</w:t>
      </w:r>
    </w:p>
    <w:p>
      <w:pPr>
        <w:spacing w:after="0" w:line="138" w:lineRule="exact"/>
        <w:rPr>
          <w:sz w:val="20"/>
          <w:szCs w:val="20"/>
          <w:color w:val="auto"/>
        </w:rPr>
      </w:pPr>
    </w:p>
    <w:p>
      <w:pPr>
        <w:ind w:left="20" w:right="600"/>
        <w:spacing w:after="0" w:line="271" w:lineRule="auto"/>
        <w:rPr>
          <w:sz w:val="20"/>
          <w:szCs w:val="20"/>
          <w:color w:val="auto"/>
        </w:rPr>
      </w:pPr>
      <w:r>
        <w:rPr>
          <w:rFonts w:ascii="Arial" w:cs="Arial" w:eastAsia="Arial" w:hAnsi="Arial"/>
          <w:sz w:val="18"/>
          <w:szCs w:val="18"/>
          <w:color w:val="auto"/>
        </w:rPr>
        <w:t>PwC has audited our consolidated financial statements since 2020. A representative of PwC will be present at our Annual Meeting to respond to appropriate questions and to make a statement if they so desire.</w:t>
      </w:r>
    </w:p>
    <w:p>
      <w:pPr>
        <w:spacing w:after="0" w:line="127"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This proposal is decided by a majority of the votes cast. This proposal will be approved if the number of votes cast “FOR” the proposal exceeds the number of votes cast “AGAINST” the proposal.</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Fees and Services</w:t>
      </w:r>
    </w:p>
    <w:p>
      <w:pPr>
        <w:spacing w:after="0" w:line="199"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PwC for the fiscal years ended January 31, 2024 and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15240</wp:posOffset>
            </wp:positionV>
            <wp:extent cx="603504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060" w:type="dxa"/>
            <w:vAlign w:val="bottom"/>
          </w:tcPr>
          <w:p>
            <w:pPr>
              <w:ind w:left="160"/>
              <w:spacing w:after="0"/>
              <w:rPr>
                <w:sz w:val="20"/>
                <w:szCs w:val="20"/>
                <w:color w:val="auto"/>
              </w:rPr>
            </w:pPr>
            <w:r>
              <w:rPr>
                <w:rFonts w:ascii="Arial" w:cs="Arial" w:eastAsia="Arial" w:hAnsi="Arial"/>
                <w:sz w:val="14"/>
                <w:szCs w:val="14"/>
                <w:b w:val="1"/>
                <w:bCs w:val="1"/>
                <w:color w:val="auto"/>
              </w:rPr>
              <w:t>Fee Categories</w:t>
            </w:r>
          </w:p>
        </w:tc>
        <w:tc>
          <w:tcPr>
            <w:tcW w:w="2900" w:type="dxa"/>
            <w:vAlign w:val="bottom"/>
          </w:tcPr>
          <w:p>
            <w:pPr>
              <w:ind w:left="27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 xml:space="preserve">FY23 Fees </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 xml:space="preserve">FY22 Fees </w:t>
            </w:r>
            <w:r>
              <w:rPr>
                <w:rFonts w:ascii="Times New Roman" w:cs="Times New Roman" w:eastAsia="Times New Roman" w:hAnsi="Times New Roman"/>
                <w:sz w:val="3"/>
                <w:szCs w:val="3"/>
                <w:color w:val="auto"/>
              </w:rPr>
              <w:t>​</w:t>
            </w:r>
          </w:p>
        </w:tc>
      </w:tr>
      <w:tr>
        <w:trPr>
          <w:trHeight w:val="110"/>
        </w:trPr>
        <w:tc>
          <w:tcPr>
            <w:tcW w:w="40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309"/>
        </w:trPr>
        <w:tc>
          <w:tcPr>
            <w:tcW w:w="4060" w:type="dxa"/>
            <w:vAlign w:val="bottom"/>
          </w:tcPr>
          <w:p>
            <w:pPr>
              <w:ind w:left="160"/>
              <w:spacing w:after="0"/>
              <w:rPr>
                <w:sz w:val="20"/>
                <w:szCs w:val="20"/>
                <w:color w:val="auto"/>
              </w:rPr>
            </w:pPr>
            <w:r>
              <w:rPr>
                <w:rFonts w:ascii="Arial" w:cs="Arial" w:eastAsia="Arial" w:hAnsi="Arial"/>
                <w:sz w:val="14"/>
                <w:szCs w:val="14"/>
                <w:color w:val="auto"/>
              </w:rPr>
              <w:t>Audit fees</w:t>
            </w:r>
          </w:p>
        </w:tc>
        <w:tc>
          <w:tcPr>
            <w:tcW w:w="2900" w:type="dxa"/>
            <w:vAlign w:val="bottom"/>
          </w:tcPr>
          <w:p>
            <w:pPr>
              <w:ind w:left="27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$1,612,500</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$1,602,200</w:t>
            </w:r>
            <w:r>
              <w:rPr>
                <w:rFonts w:ascii="Times New Roman" w:cs="Times New Roman" w:eastAsia="Times New Roman" w:hAnsi="Times New Roman"/>
                <w:sz w:val="3"/>
                <w:szCs w:val="3"/>
                <w:color w:val="auto"/>
              </w:rPr>
              <w:t>​</w:t>
            </w:r>
          </w:p>
        </w:tc>
      </w:tr>
      <w:tr>
        <w:trPr>
          <w:trHeight w:val="103"/>
        </w:trPr>
        <w:tc>
          <w:tcPr>
            <w:tcW w:w="40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96"/>
        </w:trPr>
        <w:tc>
          <w:tcPr>
            <w:tcW w:w="4060" w:type="dxa"/>
            <w:vAlign w:val="bottom"/>
          </w:tcPr>
          <w:p>
            <w:pPr>
              <w:ind w:left="160"/>
              <w:spacing w:after="0"/>
              <w:rPr>
                <w:sz w:val="20"/>
                <w:szCs w:val="20"/>
                <w:color w:val="auto"/>
              </w:rPr>
            </w:pPr>
            <w:r>
              <w:rPr>
                <w:rFonts w:ascii="Arial" w:cs="Arial" w:eastAsia="Arial" w:hAnsi="Arial"/>
                <w:sz w:val="14"/>
                <w:szCs w:val="14"/>
                <w:color w:val="auto"/>
              </w:rPr>
              <w:t>Audit related fees</w:t>
            </w:r>
          </w:p>
        </w:tc>
        <w:tc>
          <w:tcPr>
            <w:tcW w:w="2900" w:type="dxa"/>
            <w:vAlign w:val="bottom"/>
          </w:tcPr>
          <w:p>
            <w:pPr>
              <w:ind w:left="27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$20,000</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$79,901</w:t>
            </w:r>
            <w:r>
              <w:rPr>
                <w:rFonts w:ascii="Times New Roman" w:cs="Times New Roman" w:eastAsia="Times New Roman" w:hAnsi="Times New Roman"/>
                <w:sz w:val="3"/>
                <w:szCs w:val="3"/>
                <w:color w:val="auto"/>
              </w:rPr>
              <w:t>​</w:t>
            </w:r>
          </w:p>
        </w:tc>
      </w:tr>
      <w:tr>
        <w:trPr>
          <w:trHeight w:val="103"/>
        </w:trPr>
        <w:tc>
          <w:tcPr>
            <w:tcW w:w="40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96"/>
        </w:trPr>
        <w:tc>
          <w:tcPr>
            <w:tcW w:w="4060" w:type="dxa"/>
            <w:vAlign w:val="bottom"/>
          </w:tcPr>
          <w:p>
            <w:pPr>
              <w:ind w:left="160"/>
              <w:spacing w:after="0"/>
              <w:rPr>
                <w:sz w:val="20"/>
                <w:szCs w:val="20"/>
                <w:color w:val="auto"/>
              </w:rPr>
            </w:pPr>
            <w:r>
              <w:rPr>
                <w:rFonts w:ascii="Arial" w:cs="Arial" w:eastAsia="Arial" w:hAnsi="Arial"/>
                <w:sz w:val="14"/>
                <w:szCs w:val="14"/>
                <w:color w:val="auto"/>
              </w:rPr>
              <w:t>Tax fees</w:t>
            </w:r>
          </w:p>
        </w:tc>
        <w:tc>
          <w:tcPr>
            <w:tcW w:w="2900" w:type="dxa"/>
            <w:vAlign w:val="bottom"/>
          </w:tcPr>
          <w:p>
            <w:pPr>
              <w:ind w:left="27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$114,855</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$77,645</w:t>
            </w:r>
            <w:r>
              <w:rPr>
                <w:rFonts w:ascii="Times New Roman" w:cs="Times New Roman" w:eastAsia="Times New Roman" w:hAnsi="Times New Roman"/>
                <w:sz w:val="3"/>
                <w:szCs w:val="3"/>
                <w:color w:val="auto"/>
              </w:rPr>
              <w:t>​</w:t>
            </w:r>
          </w:p>
        </w:tc>
      </w:tr>
      <w:tr>
        <w:trPr>
          <w:trHeight w:val="103"/>
        </w:trPr>
        <w:tc>
          <w:tcPr>
            <w:tcW w:w="40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96"/>
        </w:trPr>
        <w:tc>
          <w:tcPr>
            <w:tcW w:w="4060" w:type="dxa"/>
            <w:vAlign w:val="bottom"/>
          </w:tcPr>
          <w:p>
            <w:pPr>
              <w:ind w:left="160"/>
              <w:spacing w:after="0"/>
              <w:rPr>
                <w:sz w:val="20"/>
                <w:szCs w:val="20"/>
                <w:color w:val="auto"/>
              </w:rPr>
            </w:pPr>
            <w:r>
              <w:rPr>
                <w:rFonts w:ascii="Arial" w:cs="Arial" w:eastAsia="Arial" w:hAnsi="Arial"/>
                <w:sz w:val="14"/>
                <w:szCs w:val="14"/>
                <w:color w:val="auto"/>
              </w:rPr>
              <w:t>All other fees</w:t>
            </w:r>
          </w:p>
        </w:tc>
        <w:tc>
          <w:tcPr>
            <w:tcW w:w="2900" w:type="dxa"/>
            <w:vAlign w:val="bottom"/>
          </w:tcPr>
          <w:p>
            <w:pPr>
              <w:ind w:left="27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$2,900</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$2,900</w:t>
            </w:r>
            <w:r>
              <w:rPr>
                <w:rFonts w:ascii="Times New Roman" w:cs="Times New Roman" w:eastAsia="Times New Roman" w:hAnsi="Times New Roman"/>
                <w:sz w:val="3"/>
                <w:szCs w:val="3"/>
                <w:color w:val="auto"/>
              </w:rPr>
              <w:t>​</w:t>
            </w:r>
          </w:p>
        </w:tc>
      </w:tr>
      <w:tr>
        <w:trPr>
          <w:trHeight w:val="103"/>
        </w:trPr>
        <w:tc>
          <w:tcPr>
            <w:tcW w:w="406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96"/>
        </w:trPr>
        <w:tc>
          <w:tcPr>
            <w:tcW w:w="4060" w:type="dxa"/>
            <w:vAlign w:val="bottom"/>
          </w:tcPr>
          <w:p>
            <w:pPr>
              <w:ind w:left="160"/>
              <w:spacing w:after="0"/>
              <w:rPr>
                <w:sz w:val="20"/>
                <w:szCs w:val="20"/>
                <w:color w:val="auto"/>
              </w:rPr>
            </w:pPr>
            <w:r>
              <w:rPr>
                <w:rFonts w:ascii="Arial" w:cs="Arial" w:eastAsia="Arial" w:hAnsi="Arial"/>
                <w:sz w:val="14"/>
                <w:szCs w:val="14"/>
                <w:color w:val="auto"/>
              </w:rPr>
              <w:t>Total fees</w:t>
            </w:r>
          </w:p>
        </w:tc>
        <w:tc>
          <w:tcPr>
            <w:tcW w:w="2900" w:type="dxa"/>
            <w:vAlign w:val="bottom"/>
          </w:tcPr>
          <w:p>
            <w:pPr>
              <w:ind w:left="278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$1,750,255</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$1,762,646</w:t>
            </w:r>
            <w:r>
              <w:rPr>
                <w:rFonts w:ascii="Times New Roman" w:cs="Times New Roman" w:eastAsia="Times New Roman" w:hAnsi="Times New Roman"/>
                <w:sz w:val="3"/>
                <w:szCs w:val="3"/>
                <w:color w:val="auto"/>
              </w:rPr>
              <w:t>​</w:t>
            </w:r>
          </w:p>
        </w:tc>
      </w:tr>
      <w:tr>
        <w:trPr>
          <w:trHeight w:val="35"/>
        </w:trPr>
        <w:tc>
          <w:tcPr>
            <w:tcW w:w="40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pacing w:after="0" w:line="278" w:lineRule="exact"/>
        <w:rPr>
          <w:sz w:val="20"/>
          <w:szCs w:val="20"/>
          <w:color w:val="auto"/>
        </w:rPr>
      </w:pPr>
    </w:p>
    <w:p>
      <w:pPr>
        <w:ind w:left="20" w:right="420"/>
        <w:spacing w:after="0" w:line="244"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These amounts consist of fees and expenses for professional services necessary to perform an audit 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in accordance with the standards of the PCAOB, including services rendered for the audit of RTR’s annual financial statements and review of quarterly financial statements starting in fiscal year 2022. These amounts also include fees for services that are normally incurred in connection with regulatory filings, such as comfort letters, consents, and review of documents filed with the SEC, and service fees related to specific transactions and events.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related fees</w:t>
      </w:r>
      <w:r>
        <w:rPr>
          <w:rFonts w:ascii="Arial" w:cs="Arial" w:eastAsia="Arial" w:hAnsi="Arial"/>
          <w:sz w:val="18"/>
          <w:szCs w:val="18"/>
          <w:color w:val="auto"/>
        </w:rPr>
        <w:t>. These amounts consist of fees to review management's material weakness remediation plans.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These amounts consist of fees for tax compliance, tax planning, and tax advice.</w:t>
      </w:r>
    </w:p>
    <w:p>
      <w:pPr>
        <w:spacing w:after="0" w:line="171"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These amounts consist of the aggregate fees for access to disclosure requirements software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provided by PwC.</w:t>
      </w: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180" w:top="263" w:right="10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Pre-Approval Policies and Procedures</w:t>
      </w:r>
    </w:p>
    <w:p>
      <w:pPr>
        <w:spacing w:after="0" w:line="199"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The Audit Committee is required to pre-approve all audit and non-audit services performed by PwC to ensure that the provision of such services does not impair the public accounting firm’s independence. The Audit Committee pre-approved all of the services described above.</w:t>
      </w:r>
    </w:p>
    <w:p>
      <w:pPr>
        <w:spacing w:after="0" w:line="119" w:lineRule="exact"/>
        <w:rPr>
          <w:sz w:val="20"/>
          <w:szCs w:val="20"/>
          <w:color w:val="auto"/>
        </w:rPr>
      </w:pPr>
    </w:p>
    <w:p>
      <w:pPr>
        <w:jc w:val="both"/>
        <w:ind w:left="20"/>
        <w:spacing w:after="0" w:line="251" w:lineRule="auto"/>
        <w:rPr>
          <w:sz w:val="20"/>
          <w:szCs w:val="20"/>
          <w:color w:val="auto"/>
        </w:rPr>
      </w:pPr>
      <w:r>
        <w:rPr>
          <w:rFonts w:ascii="Arial" w:cs="Arial" w:eastAsia="Arial" w:hAnsi="Arial"/>
          <w:sz w:val="22"/>
          <w:szCs w:val="22"/>
          <w:b w:val="1"/>
          <w:bCs w:val="1"/>
          <w:color w:val="auto"/>
        </w:rPr>
        <w:t>The Board of Directors recommends that you vote “FOR” the ratification of the appointment of PricewaterhouseCoopers LLP as independent registered public accounting firm for fiscal year 2024.</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Officers</w:t>
      </w:r>
    </w:p>
    <w:p>
      <w:pPr>
        <w:spacing w:after="0" w:line="212"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Below is information regarding each of our current executive officers. Our executive officers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220" w:type="dxa"/>
            <w:vAlign w:val="bottom"/>
          </w:tcPr>
          <w:p>
            <w:pPr>
              <w:ind w:left="180"/>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b w:val="1"/>
                <w:bCs w:val="1"/>
                <w:color w:val="auto"/>
              </w:rPr>
              <w:t>Age</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Position</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2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r>
        <w:trPr>
          <w:trHeight w:val="310"/>
        </w:trPr>
        <w:tc>
          <w:tcPr>
            <w:tcW w:w="2220" w:type="dxa"/>
            <w:vAlign w:val="bottom"/>
          </w:tcPr>
          <w:p>
            <w:pPr>
              <w:ind w:left="180"/>
              <w:spacing w:after="0"/>
              <w:rPr>
                <w:sz w:val="20"/>
                <w:szCs w:val="20"/>
                <w:color w:val="auto"/>
              </w:rPr>
            </w:pPr>
            <w:r>
              <w:rPr>
                <w:rFonts w:ascii="Arial" w:cs="Arial" w:eastAsia="Arial" w:hAnsi="Arial"/>
                <w:sz w:val="14"/>
                <w:szCs w:val="14"/>
                <w:color w:val="auto"/>
              </w:rPr>
              <w:t>Jennifer Y. Hyman</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43</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Co-Founder, Chief Executive Officer &amp; President; Chair</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Sid Thacker</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47</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Chief Financial Officer</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Becky Case</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41</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Senior Vice President, Engineering</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Natalie McGrath</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40</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Chief Marketing Officer</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Zach Phillips</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37</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Senior Vice President, Product</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Drew Rau</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46</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Chief Supply Chain Officer</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Cara Schembri</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47</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Chief Legal &amp; Administrative Officer; Secretary</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103"/>
        </w:trPr>
        <w:tc>
          <w:tcPr>
            <w:tcW w:w="2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96"/>
        </w:trPr>
        <w:tc>
          <w:tcPr>
            <w:tcW w:w="2220" w:type="dxa"/>
            <w:vAlign w:val="bottom"/>
          </w:tcPr>
          <w:p>
            <w:pPr>
              <w:ind w:left="180"/>
              <w:spacing w:after="0"/>
              <w:rPr>
                <w:sz w:val="20"/>
                <w:szCs w:val="20"/>
                <w:color w:val="auto"/>
              </w:rPr>
            </w:pPr>
            <w:r>
              <w:rPr>
                <w:rFonts w:ascii="Arial" w:cs="Arial" w:eastAsia="Arial" w:hAnsi="Arial"/>
                <w:sz w:val="14"/>
                <w:szCs w:val="14"/>
                <w:color w:val="auto"/>
              </w:rPr>
              <w:t>Sarah Tam</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ind w:left="60"/>
              <w:spacing w:after="0"/>
              <w:rPr>
                <w:sz w:val="20"/>
                <w:szCs w:val="20"/>
                <w:color w:val="auto"/>
              </w:rPr>
            </w:pPr>
            <w:r>
              <w:rPr>
                <w:rFonts w:ascii="Arial" w:cs="Arial" w:eastAsia="Arial" w:hAnsi="Arial"/>
                <w:sz w:val="14"/>
                <w:szCs w:val="14"/>
                <w:color w:val="auto"/>
              </w:rPr>
              <w:t>50</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720" w:type="dxa"/>
            <w:vAlign w:val="bottom"/>
          </w:tcPr>
          <w:p>
            <w:pPr>
              <w:ind w:left="40"/>
              <w:spacing w:after="0"/>
              <w:rPr>
                <w:sz w:val="20"/>
                <w:szCs w:val="20"/>
                <w:color w:val="auto"/>
              </w:rPr>
            </w:pPr>
            <w:r>
              <w:rPr>
                <w:rFonts w:ascii="Arial" w:cs="Arial" w:eastAsia="Arial" w:hAnsi="Arial"/>
                <w:sz w:val="14"/>
                <w:szCs w:val="14"/>
                <w:color w:val="auto"/>
              </w:rPr>
              <w:t>Chief Merchant Officer</w:t>
            </w:r>
          </w:p>
        </w:tc>
        <w:tc>
          <w:tcPr>
            <w:tcW w:w="2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r>
      <w:tr>
        <w:trPr>
          <w:trHeight w:val="35"/>
        </w:trPr>
        <w:tc>
          <w:tcPr>
            <w:tcW w:w="2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b w:val="1"/>
          <w:bCs w:val="1"/>
          <w:color w:val="auto"/>
        </w:rPr>
        <w:t xml:space="preserve">Jennifer Y. Hyman </w:t>
      </w:r>
      <w:r>
        <w:rPr>
          <w:rFonts w:ascii="Arial" w:cs="Arial" w:eastAsia="Arial" w:hAnsi="Arial"/>
          <w:sz w:val="18"/>
          <w:szCs w:val="18"/>
          <w:color w:val="auto"/>
        </w:rPr>
        <w:t>has served as our Co-Founder since November 2008, our Chief Executive Officer and the Chair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since March 2009 and our President since February 2024. Please see the “Information About Board Nominees and Continuing Directors” section for additional biographical information.</w:t>
      </w:r>
    </w:p>
    <w:p>
      <w:pPr>
        <w:spacing w:after="0" w:line="12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b w:val="1"/>
          <w:bCs w:val="1"/>
          <w:color w:val="auto"/>
        </w:rPr>
        <w:t xml:space="preserve">Sid Thacker </w:t>
      </w:r>
      <w:r>
        <w:rPr>
          <w:rFonts w:ascii="Arial" w:cs="Arial" w:eastAsia="Arial" w:hAnsi="Arial"/>
          <w:sz w:val="18"/>
          <w:szCs w:val="18"/>
          <w:color w:val="auto"/>
        </w:rPr>
        <w:t>has served as our Chief Financial Officer since May 2023. Prior to that, he served as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FP&amp;A from July 2022 to May 2023. Prior to joining RTR, from January 2020 to March 2022, Mr. Thacker served as an Investment Partner at Coalition Investment Partners, an alternative asset manager. From June 2018 to January 2020, Mr. Thacker served as CEO of SAR Capital Advisors, LP, an investment advisory firm, and from August 2011 to December 2017, he served as Founder, CEO and CIO of Signpost Capital Advisors, LP, an investment advisory firm. Mr. Thacker holds a B.A. from Oberlin College and an M.B.A. from Harvard Business School.</w:t>
      </w:r>
    </w:p>
    <w:p>
      <w:pPr>
        <w:spacing w:after="0" w:line="152" w:lineRule="exact"/>
        <w:rPr>
          <w:sz w:val="20"/>
          <w:szCs w:val="20"/>
          <w:color w:val="auto"/>
        </w:rPr>
      </w:pPr>
    </w:p>
    <w:p>
      <w:pPr>
        <w:ind w:left="20" w:right="80"/>
        <w:spacing w:after="0"/>
        <w:rPr>
          <w:sz w:val="20"/>
          <w:szCs w:val="20"/>
          <w:color w:val="auto"/>
        </w:rPr>
      </w:pPr>
      <w:r>
        <w:rPr>
          <w:rFonts w:ascii="Arial" w:cs="Arial" w:eastAsia="Arial" w:hAnsi="Arial"/>
          <w:sz w:val="18"/>
          <w:szCs w:val="18"/>
          <w:b w:val="1"/>
          <w:bCs w:val="1"/>
          <w:color w:val="auto"/>
        </w:rPr>
        <w:t xml:space="preserve">Becky Case </w:t>
      </w:r>
      <w:r>
        <w:rPr>
          <w:rFonts w:ascii="Arial" w:cs="Arial" w:eastAsia="Arial" w:hAnsi="Arial"/>
          <w:sz w:val="18"/>
          <w:szCs w:val="18"/>
          <w:color w:val="auto"/>
        </w:rPr>
        <w:t>joined us in 2018 as VP of Engineering and was promoted to SVP, Engineering in 2022 and leads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team. She has nearly twenty years of technical experience in e-commerce and consumer retail. From 2012 to 2018, Ms. Cases he held various roles at Birchbox, an international beauty box subscription service, with the most recent as the VP of Engineering. Prior to that, she was a senior engineer for Opensky, a celebrity and influencer e-commerce platform, and before that, the lead software engineer at Bonobos, a menswear clothing retailer. From 2007 to 2009 she worked for Zappos.com, an online shoe retailer. Ms. Case holds a B.S in Computer Science from Georgia Southern University.</w:t>
      </w:r>
    </w:p>
    <w:p>
      <w:pPr>
        <w:spacing w:after="0" w:line="144"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b w:val="1"/>
          <w:bCs w:val="1"/>
          <w:color w:val="auto"/>
        </w:rPr>
        <w:t xml:space="preserve">Natalie McGrath </w:t>
      </w:r>
      <w:r>
        <w:rPr>
          <w:rFonts w:ascii="Arial" w:cs="Arial" w:eastAsia="Arial" w:hAnsi="Arial"/>
          <w:sz w:val="18"/>
          <w:szCs w:val="18"/>
          <w:color w:val="auto"/>
        </w:rPr>
        <w:t>has served as our Chief Marketing Officer since March 2024. Prior to joining us, she served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Marketing US/EMEA at Afterpay, a buy now, pay later platform, from October 2020 to February 2024, and as Chief Marketing Officer at fashion ecommerce retailer, Bandier, from January 2020 to October 2020. Ms. McGrath also served as Vice President, Marketing North America/Head of US at BooHoo Group PLC from December 2014 to January 2020. Prior to that, she held senior roles at top fashion brands, including Coach and Alexander Wang. Ms McGrath holds a B.A. in Business and Law from Kingston University of London.</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Zach Phillips </w:t>
      </w:r>
      <w:r>
        <w:rPr>
          <w:rFonts w:ascii="Arial" w:cs="Arial" w:eastAsia="Arial" w:hAnsi="Arial"/>
          <w:sz w:val="18"/>
          <w:szCs w:val="18"/>
          <w:color w:val="auto"/>
        </w:rPr>
        <w:t>has served as our SVP of Product Management &amp; Design since January 2024, after joining Rent the</w:t>
      </w:r>
      <w:r>
        <w:rPr>
          <w:rFonts w:ascii="Arial" w:cs="Arial" w:eastAsia="Arial" w:hAnsi="Arial"/>
          <w:sz w:val="18"/>
          <w:szCs w:val="18"/>
          <w:b w:val="1"/>
          <w:bCs w:val="1"/>
          <w:color w:val="auto"/>
        </w:rPr>
        <w:t xml:space="preserve"> </w:t>
      </w:r>
      <w:r>
        <w:rPr>
          <w:rFonts w:ascii="Arial" w:cs="Arial" w:eastAsia="Arial" w:hAnsi="Arial"/>
          <w:sz w:val="18"/>
          <w:szCs w:val="18"/>
          <w:color w:val="auto"/>
        </w:rPr>
        <w:t>Runway in October 2021 as VP of Product. Mr. Phillips leads the Product Management &amp; Design teams across RTR’s Consumer and Operations organizations. Prior to RTR, Mr. Phillips served in various Product leadership roles at Amazon from July 2014 to October 2021, including as the senior manager leading the product and UI teams for the Buy with Prime merchant management experience, as Head of Product for Shopbop, and in Seller Services for Amazon’s global marketplaces. Mr. Phillips holds a B.A. in Economics from Columbia University and an M.B.A. from Yale University.</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b w:val="1"/>
          <w:bCs w:val="1"/>
          <w:color w:val="auto"/>
        </w:rPr>
        <w:t xml:space="preserve">Drew Rau </w:t>
      </w:r>
      <w:r>
        <w:rPr>
          <w:rFonts w:ascii="Arial" w:cs="Arial" w:eastAsia="Arial" w:hAnsi="Arial"/>
          <w:sz w:val="18"/>
          <w:szCs w:val="18"/>
          <w:color w:val="auto"/>
        </w:rPr>
        <w:t>has served as our Chief Supply Officer since September 2023. Prior to that, he served as our SVP,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and Inventory from January 2023 to August 2023, after joining us in November 2021 as VP, Inventory Performance, Capacity Management and Planning, Transportation, and Loss Prevention. Prior to that, Mr. Rau served as VP Global Supply Chain at Overstock.com, an e-commerce marketplace, from November 2020 to November 2021 and as VP of Operations, Agricultural Operations and People Safety at Bowery Farming, an indoor agriculture startup, from February 2019 to November 2020. Mr. Rau also held several roles of increasing seniority at Amazon from November 2014 to February 2019, including Director of Fulfillment where he oversaw the Prime Pantry and Sub Same Day fulfillment network. Mr. Rau holds a B.S. in Business Management and Computer Information Systems from the Metropolitan State University of Denver and an M.B.A. from the University of Denver.</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Cara Schembri </w:t>
      </w:r>
      <w:r>
        <w:rPr>
          <w:rFonts w:ascii="Arial" w:cs="Arial" w:eastAsia="Arial" w:hAnsi="Arial"/>
          <w:sz w:val="18"/>
          <w:szCs w:val="18"/>
          <w:color w:val="auto"/>
        </w:rPr>
        <w:t>has served as our Chief Legal &amp; Administrative Officer since December 2023, after serving as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Corporate Secretary since December 2019 and also serving as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She began her career in private practice at Norton Rose Fulbright LLP and Sidley Austin LLP. Ms. Schembri holds a B.A. in Philosophy from Binghamton University and a J.D. from The George Washington University Law School.</w:t>
      </w:r>
    </w:p>
    <w:p>
      <w:pPr>
        <w:spacing w:after="0" w:line="140" w:lineRule="exact"/>
        <w:rPr>
          <w:sz w:val="20"/>
          <w:szCs w:val="20"/>
          <w:color w:val="auto"/>
        </w:rPr>
      </w:pPr>
    </w:p>
    <w:p>
      <w:pPr>
        <w:ind w:left="20" w:right="140"/>
        <w:spacing w:after="0" w:line="255" w:lineRule="auto"/>
        <w:rPr>
          <w:sz w:val="20"/>
          <w:szCs w:val="20"/>
          <w:color w:val="auto"/>
        </w:rPr>
      </w:pPr>
      <w:r>
        <w:rPr>
          <w:rFonts w:ascii="Arial" w:cs="Arial" w:eastAsia="Arial" w:hAnsi="Arial"/>
          <w:sz w:val="17"/>
          <w:szCs w:val="17"/>
          <w:b w:val="1"/>
          <w:bCs w:val="1"/>
          <w:color w:val="auto"/>
        </w:rPr>
        <w:t xml:space="preserve">Sarah Tam </w:t>
      </w:r>
      <w:r>
        <w:rPr>
          <w:rFonts w:ascii="Arial" w:cs="Arial" w:eastAsia="Arial" w:hAnsi="Arial"/>
          <w:sz w:val="17"/>
          <w:szCs w:val="17"/>
          <w:color w:val="auto"/>
        </w:rPr>
        <w:t>has served as our Chief Merchant Officer since August 2017. Prior to that, she served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Merchandising and Planning from February 2015 to August 2017. Before joining us, Ms. Tam spent 19 years at Saks Fifth Avenue, where she most recently served as VP DMM, heading up Women's Designer RTW, Bridal</w:t>
      </w:r>
    </w:p>
    <w:p>
      <w:pPr>
        <w:spacing w:after="0" w:line="2" w:lineRule="exact"/>
        <w:rPr>
          <w:sz w:val="20"/>
          <w:szCs w:val="20"/>
          <w:color w:val="auto"/>
        </w:rPr>
      </w:pPr>
    </w:p>
    <w:p>
      <w:pPr>
        <w:ind w:left="20" w:firstLine="1"/>
        <w:spacing w:after="0" w:line="239"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Compensation</w:t>
      </w:r>
    </w:p>
    <w:p>
      <w:pPr>
        <w:spacing w:after="0" w:line="21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2023, which ended on January 31, 2024, our “named executive officers” and their positions were as follows:</w:t>
      </w:r>
    </w:p>
    <w:p>
      <w:pPr>
        <w:spacing w:after="0" w:line="128" w:lineRule="exact"/>
        <w:rPr>
          <w:sz w:val="20"/>
          <w:szCs w:val="20"/>
          <w:color w:val="auto"/>
        </w:rPr>
      </w:pPr>
    </w:p>
    <w:p>
      <w:pPr>
        <w:ind w:left="740" w:hanging="359"/>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Jennifer Y. Hyman, Co-Founder, Chief Executive Officer, President and Chair;</w:t>
      </w:r>
    </w:p>
    <w:p>
      <w:pPr>
        <w:spacing w:after="0" w:line="13" w:lineRule="exact"/>
        <w:rPr>
          <w:rFonts w:ascii="Arial" w:cs="Arial" w:eastAsia="Arial" w:hAnsi="Arial"/>
          <w:sz w:val="18"/>
          <w:szCs w:val="18"/>
          <w:color w:val="auto"/>
        </w:rPr>
      </w:pPr>
    </w:p>
    <w:p>
      <w:pPr>
        <w:ind w:left="740" w:right="1480" w:hanging="359"/>
        <w:spacing w:after="0" w:line="23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Sid Thacker, Chief Financial Officer (appointed effective May 25, 2023, previously served as Senior Vice President, FP&amp;A);</w:t>
      </w:r>
    </w:p>
    <w:p>
      <w:pPr>
        <w:spacing w:after="0" w:line="1" w:lineRule="exact"/>
        <w:rPr>
          <w:rFonts w:ascii="Arial" w:cs="Arial" w:eastAsia="Arial" w:hAnsi="Arial"/>
          <w:sz w:val="18"/>
          <w:szCs w:val="18"/>
          <w:color w:val="auto"/>
        </w:rPr>
      </w:pPr>
    </w:p>
    <w:p>
      <w:pPr>
        <w:ind w:left="740" w:right="400" w:hanging="359"/>
        <w:spacing w:after="0" w:line="23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Anushka Salinas, President and Chief Operating Officer (resigned from employment effective January 31, 2024);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Scarlett O’Sullivan, former Chief Financial Officer (resigned from employment effective May 25, 2023).</w:t>
      </w:r>
    </w:p>
    <w:p>
      <w:pPr>
        <w:spacing w:after="0" w:line="167" w:lineRule="exact"/>
        <w:rPr>
          <w:sz w:val="20"/>
          <w:szCs w:val="20"/>
          <w:color w:val="auto"/>
        </w:rPr>
      </w:pPr>
    </w:p>
    <w:p>
      <w:pPr>
        <w:ind w:left="20" w:right="440"/>
        <w:spacing w:after="0" w:line="253"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fiscal years ended January 31, 2024 and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5040" cy="58293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22"/>
                <w:szCs w:val="2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2"/>
                <w:szCs w:val="22"/>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22"/>
                <w:szCs w:val="22"/>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restart"/>
          </w:tcPr>
          <w:p>
            <w:pPr>
              <w:ind w:left="40"/>
              <w:spacing w:after="0"/>
              <w:rPr>
                <w:sz w:val="20"/>
                <w:szCs w:val="20"/>
                <w:color w:val="auto"/>
              </w:rPr>
            </w:pPr>
            <w:r>
              <w:rPr>
                <w:rFonts w:ascii="Times New Roman" w:cs="Times New Roman" w:eastAsia="Times New Roman" w:hAnsi="Times New Roman"/>
                <w:sz w:val="7"/>
                <w:szCs w:val="7"/>
                <w:color w:val="auto"/>
                <w:w w:val="88"/>
                <w:vertAlign w:val="subscript"/>
              </w:rPr>
              <w:t>​</w:t>
            </w:r>
            <w:r>
              <w:rPr>
                <w:rFonts w:ascii="Arial" w:cs="Arial" w:eastAsia="Arial" w:hAnsi="Arial"/>
                <w:sz w:val="14"/>
                <w:szCs w:val="14"/>
                <w:b w:val="1"/>
                <w:bCs w:val="1"/>
                <w:color w:val="auto"/>
                <w:w w:val="88"/>
              </w:rPr>
              <w:t xml:space="preserve">      Fiscal</w:t>
            </w:r>
            <w:r>
              <w:rPr>
                <w:rFonts w:ascii="Times New Roman" w:cs="Times New Roman" w:eastAsia="Times New Roman" w:hAnsi="Times New Roman"/>
                <w:sz w:val="7"/>
                <w:szCs w:val="7"/>
                <w:color w:val="auto"/>
                <w:w w:val="88"/>
                <w:vertAlign w:val="subscript"/>
              </w:rPr>
              <w:t>​</w:t>
            </w:r>
          </w:p>
        </w:tc>
        <w:tc>
          <w:tcPr>
            <w:tcW w:w="120" w:type="dxa"/>
            <w:vAlign w:val="bottom"/>
          </w:tcPr>
          <w:p>
            <w:pPr>
              <w:spacing w:after="0"/>
              <w:rPr>
                <w:sz w:val="7"/>
                <w:szCs w:val="7"/>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Bonus</w:t>
            </w:r>
            <w:r>
              <w:rPr>
                <w:rFonts w:ascii="Times New Roman" w:cs="Times New Roman" w:eastAsia="Times New Roman" w:hAnsi="Times New Roman"/>
                <w:sz w:val="7"/>
                <w:szCs w:val="7"/>
                <w:color w:val="auto"/>
                <w:vertAlign w:val="subscript"/>
              </w:rPr>
              <w:t>​</w:t>
            </w: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Incentive Plan </w:t>
            </w:r>
            <w:r>
              <w:rPr>
                <w:rFonts w:ascii="Times New Roman" w:cs="Times New Roman" w:eastAsia="Times New Roman" w:hAnsi="Times New Roman"/>
                <w:sz w:val="7"/>
                <w:szCs w:val="7"/>
                <w:color w:val="auto"/>
                <w:vertAlign w:val="subscript"/>
              </w:rPr>
              <w:t>​</w:t>
            </w: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gridSpan w:val="3"/>
            <w:vMerge w:val="continue"/>
          </w:tcPr>
          <w:p>
            <w:pPr>
              <w:spacing w:after="0"/>
              <w:rPr>
                <w:sz w:val="13"/>
                <w:szCs w:val="13"/>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gridSpan w:val="2"/>
            <w:vMerge w:val="continue"/>
          </w:tcPr>
          <w:p>
            <w:pPr>
              <w:spacing w:after="0"/>
              <w:rPr>
                <w:sz w:val="13"/>
                <w:szCs w:val="13"/>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tcPr>
          <w:p>
            <w:pPr>
              <w:spacing w:after="0"/>
              <w:rPr>
                <w:sz w:val="13"/>
                <w:szCs w:val="13"/>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vMerge w:val="continue"/>
          </w:tcPr>
          <w:p>
            <w:pPr>
              <w:spacing w:after="0"/>
              <w:rPr>
                <w:sz w:val="13"/>
                <w:szCs w:val="13"/>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Compensation</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tcPr>
          <w:p>
            <w:pPr>
              <w:spacing w:after="0"/>
              <w:rPr>
                <w:sz w:val="13"/>
                <w:szCs w:val="13"/>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Year</w:t>
            </w:r>
          </w:p>
        </w:tc>
        <w:tc>
          <w:tcPr>
            <w:tcW w:w="120" w:type="dxa"/>
            <w:vAlign w:val="bottom"/>
          </w:tcPr>
          <w:p>
            <w:pPr>
              <w:spacing w:after="0"/>
              <w:rPr>
                <w:sz w:val="7"/>
                <w:szCs w:val="7"/>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jc w:val="right"/>
              <w:ind w:right="158"/>
              <w:spacing w:after="0" w:line="82" w:lineRule="exact"/>
              <w:rPr>
                <w:sz w:val="20"/>
                <w:szCs w:val="20"/>
                <w:color w:val="auto"/>
              </w:rPr>
            </w:pPr>
            <w:r>
              <w:rPr>
                <w:rFonts w:ascii="Arial" w:cs="Arial" w:eastAsia="Arial" w:hAnsi="Arial"/>
                <w:sz w:val="8"/>
                <w:szCs w:val="8"/>
                <w:b w:val="1"/>
                <w:bCs w:val="1"/>
                <w:color w:val="auto"/>
              </w:rPr>
              <w:t>(1)</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278"/>
              <w:spacing w:after="0" w:line="82"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780" w:type="dxa"/>
            <w:vAlign w:val="bottom"/>
            <w:vMerge w:val="restart"/>
          </w:tcPr>
          <w:p>
            <w:pPr>
              <w:ind w:left="60"/>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20" w:type="dxa"/>
            <w:vAlign w:val="bottom"/>
          </w:tcPr>
          <w:p>
            <w:pPr>
              <w:spacing w:after="0"/>
              <w:rPr>
                <w:sz w:val="7"/>
                <w:szCs w:val="7"/>
                <w:color w:val="auto"/>
              </w:rPr>
            </w:pPr>
          </w:p>
        </w:tc>
        <w:tc>
          <w:tcPr>
            <w:tcW w:w="760" w:type="dxa"/>
            <w:vAlign w:val="bottom"/>
            <w:vMerge w:val="restart"/>
          </w:tcPr>
          <w:p>
            <w:pPr>
              <w:ind w:left="40"/>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00" w:type="dxa"/>
            <w:vAlign w:val="bottom"/>
          </w:tcPr>
          <w:p>
            <w:pPr>
              <w:spacing w:after="0"/>
              <w:rPr>
                <w:sz w:val="7"/>
                <w:szCs w:val="7"/>
                <w:color w:val="auto"/>
              </w:rPr>
            </w:pPr>
          </w:p>
        </w:tc>
        <w:tc>
          <w:tcPr>
            <w:tcW w:w="112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Compensation</w:t>
            </w:r>
          </w:p>
        </w:tc>
        <w:tc>
          <w:tcPr>
            <w:tcW w:w="120" w:type="dxa"/>
            <w:vAlign w:val="bottom"/>
          </w:tcPr>
          <w:p>
            <w:pPr>
              <w:spacing w:after="0"/>
              <w:rPr>
                <w:sz w:val="7"/>
                <w:szCs w:val="7"/>
                <w:color w:val="auto"/>
              </w:rPr>
            </w:pPr>
          </w:p>
        </w:tc>
        <w:tc>
          <w:tcPr>
            <w:tcW w:w="1120" w:type="dxa"/>
            <w:vAlign w:val="bottom"/>
            <w:vMerge w:val="restart"/>
          </w:tcPr>
          <w:p>
            <w:pPr>
              <w:ind w:left="40"/>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(4)(5)</w:t>
            </w:r>
          </w:p>
        </w:tc>
        <w:tc>
          <w:tcPr>
            <w:tcW w:w="100" w:type="dxa"/>
            <w:vAlign w:val="bottom"/>
          </w:tcPr>
          <w:p>
            <w:pPr>
              <w:spacing w:after="0"/>
              <w:rPr>
                <w:sz w:val="7"/>
                <w:szCs w:val="7"/>
                <w:color w:val="auto"/>
              </w:rPr>
            </w:pPr>
          </w:p>
        </w:tc>
        <w:tc>
          <w:tcPr>
            <w:tcW w:w="560" w:type="dxa"/>
            <w:vAlign w:val="bottom"/>
          </w:tcPr>
          <w:p>
            <w:pPr>
              <w:ind w:left="40"/>
              <w:spacing w:after="0" w:line="82"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right"/>
              <w:ind w:right="671"/>
              <w:spacing w:after="0" w:line="121" w:lineRule="exact"/>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Jennifer Hyman</w:t>
            </w:r>
          </w:p>
        </w:tc>
        <w:tc>
          <w:tcPr>
            <w:tcW w:w="10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3"/>
          </w:tcPr>
          <w:p>
            <w:pPr>
              <w:jc w:val="right"/>
              <w:ind w:right="22"/>
              <w:spacing w:after="0"/>
              <w:rPr>
                <w:sz w:val="20"/>
                <w:szCs w:val="20"/>
                <w:color w:val="auto"/>
              </w:rPr>
            </w:pPr>
            <w:r>
              <w:rPr>
                <w:rFonts w:ascii="Arial" w:cs="Arial" w:eastAsia="Arial" w:hAnsi="Arial"/>
                <w:sz w:val="14"/>
                <w:szCs w:val="14"/>
                <w:color w:val="auto"/>
              </w:rPr>
              <w:t>650,000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5,377,303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20,249</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6,047,552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90"/>
        </w:trPr>
        <w:tc>
          <w:tcPr>
            <w:tcW w:w="8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2160" w:type="dxa"/>
            <w:vAlign w:val="bottom"/>
            <w:gridSpan w:val="2"/>
            <w:vMerge w:val="restart"/>
          </w:tcPr>
          <w:p>
            <w:pPr>
              <w:ind w:left="240"/>
              <w:spacing w:after="0"/>
              <w:rPr>
                <w:sz w:val="20"/>
                <w:szCs w:val="20"/>
                <w:color w:val="auto"/>
              </w:rPr>
            </w:pPr>
            <w:r>
              <w:rPr>
                <w:rFonts w:ascii="Arial" w:cs="Arial" w:eastAsia="Arial" w:hAnsi="Arial"/>
                <w:sz w:val="14"/>
                <w:szCs w:val="14"/>
                <w:color w:val="auto"/>
              </w:rPr>
              <w:t xml:space="preserve">Co-founder, Chief Executive </w:t>
            </w:r>
            <w:r>
              <w:rPr>
                <w:rFonts w:ascii="Times New Roman" w:cs="Times New Roman" w:eastAsia="Times New Roman" w:hAnsi="Times New Roman"/>
                <w:sz w:val="3"/>
                <w:szCs w:val="3"/>
                <w:color w:val="auto"/>
              </w:rPr>
              <w:t>​</w:t>
            </w:r>
          </w:p>
        </w:tc>
        <w:tc>
          <w:tcPr>
            <w:tcW w:w="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0" w:type="dxa"/>
            <w:vAlign w:val="bottom"/>
            <w:vMerge w:val="continue"/>
          </w:tcPr>
          <w:p>
            <w:pPr>
              <w:spacing w:after="0"/>
              <w:rPr>
                <w:sz w:val="4"/>
                <w:szCs w:val="4"/>
                <w:color w:val="auto"/>
              </w:rPr>
            </w:pPr>
          </w:p>
        </w:tc>
        <w:tc>
          <w:tcPr>
            <w:tcW w:w="21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60" w:type="dxa"/>
            <w:vAlign w:val="bottom"/>
          </w:tcPr>
          <w:p>
            <w:pPr>
              <w:ind w:left="240"/>
              <w:spacing w:after="0"/>
              <w:rPr>
                <w:sz w:val="20"/>
                <w:szCs w:val="20"/>
                <w:color w:val="auto"/>
              </w:rPr>
            </w:pPr>
            <w:r>
              <w:rPr>
                <w:rFonts w:ascii="Arial" w:cs="Arial" w:eastAsia="Arial" w:hAnsi="Arial"/>
                <w:sz w:val="14"/>
                <w:szCs w:val="14"/>
                <w:color w:val="auto"/>
              </w:rPr>
              <w:t>Officer, President and Chair</w:t>
            </w:r>
          </w:p>
        </w:tc>
        <w:tc>
          <w:tcPr>
            <w:tcW w:w="100" w:type="dxa"/>
            <w:vAlign w:val="bottom"/>
          </w:tcPr>
          <w:p>
            <w:pPr>
              <w:spacing w:after="0"/>
              <w:rPr>
                <w:sz w:val="21"/>
                <w:szCs w:val="2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3"/>
          </w:tcPr>
          <w:p>
            <w:pPr>
              <w:jc w:val="right"/>
              <w:ind w:right="22"/>
              <w:spacing w:after="0"/>
              <w:rPr>
                <w:sz w:val="20"/>
                <w:szCs w:val="20"/>
                <w:color w:val="auto"/>
              </w:rPr>
            </w:pPr>
            <w:r>
              <w:rPr>
                <w:rFonts w:ascii="Arial" w:cs="Arial" w:eastAsia="Arial" w:hAnsi="Arial"/>
                <w:sz w:val="14"/>
                <w:szCs w:val="14"/>
                <w:color w:val="auto"/>
              </w:rPr>
              <w:t>650,000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3,766,083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821,438</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16,493</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5,254,014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3"/>
        </w:trPr>
        <w:tc>
          <w:tcPr>
            <w:tcW w:w="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Sid Thacker</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3"/>
          </w:tcPr>
          <w:p>
            <w:pPr>
              <w:jc w:val="right"/>
              <w:ind w:right="22"/>
              <w:spacing w:after="0"/>
              <w:rPr>
                <w:sz w:val="20"/>
                <w:szCs w:val="20"/>
                <w:color w:val="auto"/>
              </w:rPr>
            </w:pPr>
            <w:r>
              <w:rPr>
                <w:rFonts w:ascii="Arial" w:cs="Arial" w:eastAsia="Arial" w:hAnsi="Arial"/>
                <w:sz w:val="14"/>
                <w:szCs w:val="14"/>
                <w:color w:val="auto"/>
              </w:rPr>
              <w:t>448,958</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1,425,125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13,625</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1,887,708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3"/>
        </w:trPr>
        <w:tc>
          <w:tcPr>
            <w:tcW w:w="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ind w:left="240"/>
              <w:spacing w:after="0" w:line="243" w:lineRule="exact"/>
              <w:rPr>
                <w:sz w:val="20"/>
                <w:szCs w:val="20"/>
                <w:color w:val="auto"/>
              </w:rPr>
            </w:pPr>
            <w:r>
              <w:rPr>
                <w:rFonts w:ascii="Arial" w:cs="Arial" w:eastAsia="Arial" w:hAnsi="Arial"/>
                <w:sz w:val="14"/>
                <w:szCs w:val="14"/>
                <w:color w:val="auto"/>
              </w:rPr>
              <w:t>Chief Financial Officer</w:t>
            </w:r>
            <w:r>
              <w:rPr>
                <w:rFonts w:ascii="Arial" w:cs="Arial" w:eastAsia="Arial" w:hAnsi="Arial"/>
                <w:sz w:val="23"/>
                <w:szCs w:val="23"/>
                <w:color w:val="auto"/>
                <w:vertAlign w:val="superscript"/>
              </w:rPr>
              <w:t>(6)</w:t>
            </w: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80" w:type="dxa"/>
            <w:vAlign w:val="bottom"/>
          </w:tcPr>
          <w:p>
            <w:pPr>
              <w:spacing w:after="0"/>
              <w:rPr>
                <w:sz w:val="24"/>
                <w:szCs w:val="24"/>
                <w:color w:val="auto"/>
              </w:rPr>
            </w:pP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Anushka Salinas</w:t>
            </w:r>
          </w:p>
        </w:tc>
        <w:tc>
          <w:tcPr>
            <w:tcW w:w="10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3"/>
          </w:tcPr>
          <w:p>
            <w:pPr>
              <w:jc w:val="right"/>
              <w:ind w:right="22"/>
              <w:spacing w:after="0"/>
              <w:rPr>
                <w:sz w:val="20"/>
                <w:szCs w:val="20"/>
                <w:color w:val="auto"/>
              </w:rPr>
            </w:pPr>
            <w:r>
              <w:rPr>
                <w:rFonts w:ascii="Arial" w:cs="Arial" w:eastAsia="Arial" w:hAnsi="Arial"/>
                <w:sz w:val="14"/>
                <w:szCs w:val="14"/>
                <w:color w:val="auto"/>
              </w:rPr>
              <w:t>600,000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3,476,754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968,615</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5,045.369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4"/>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240"/>
              <w:spacing w:after="0" w:line="104" w:lineRule="exact"/>
              <w:rPr>
                <w:sz w:val="20"/>
                <w:szCs w:val="20"/>
                <w:color w:val="auto"/>
              </w:rPr>
            </w:pPr>
            <w:r>
              <w:rPr>
                <w:rFonts w:ascii="Arial" w:cs="Arial" w:eastAsia="Arial" w:hAnsi="Arial"/>
                <w:sz w:val="12"/>
                <w:szCs w:val="12"/>
                <w:color w:val="auto"/>
              </w:rPr>
              <w:t>former President and</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Chief Operating Officer</w:t>
            </w:r>
            <w:r>
              <w:rPr>
                <w:rFonts w:ascii="Arial" w:cs="Arial" w:eastAsia="Arial" w:hAnsi="Arial"/>
                <w:sz w:val="23"/>
                <w:szCs w:val="23"/>
                <w:color w:val="auto"/>
                <w:vertAlign w:val="superscript"/>
              </w:rPr>
              <w:t>(5)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color w:val="auto"/>
              </w:rPr>
              <w:t>600,000</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2,101,071</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303,300</w:t>
            </w:r>
            <w:r>
              <w:rPr>
                <w:rFonts w:ascii="Times New Roman" w:cs="Times New Roman" w:eastAsia="Times New Roman" w:hAnsi="Times New Roman"/>
                <w:sz w:val="3"/>
                <w:szCs w:val="3"/>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17,963</w:t>
            </w:r>
            <w:r>
              <w:rPr>
                <w:rFonts w:ascii="Times New Roman" w:cs="Times New Roman" w:eastAsia="Times New Roman" w:hAnsi="Times New Roman"/>
                <w:sz w:val="3"/>
                <w:szCs w:val="3"/>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3,022,334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Scarlett O’Sullivan</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240"/>
              <w:spacing w:after="0" w:line="159" w:lineRule="exact"/>
              <w:rPr>
                <w:sz w:val="20"/>
                <w:szCs w:val="20"/>
                <w:color w:val="auto"/>
              </w:rPr>
            </w:pPr>
            <w:r>
              <w:rPr>
                <w:rFonts w:ascii="Arial" w:cs="Arial" w:eastAsia="Arial" w:hAnsi="Arial"/>
                <w:sz w:val="14"/>
                <w:szCs w:val="14"/>
                <w:color w:val="auto"/>
              </w:rPr>
              <w:t>former Chief Financial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40"/>
              <w:spacing w:after="0" w:line="159" w:lineRule="exact"/>
              <w:rPr>
                <w:sz w:val="20"/>
                <w:szCs w:val="20"/>
                <w:color w:val="auto"/>
              </w:rPr>
            </w:pPr>
            <w:r>
              <w:rPr>
                <w:rFonts w:ascii="Arial" w:cs="Arial" w:eastAsia="Arial" w:hAnsi="Arial"/>
                <w:sz w:val="14"/>
                <w:szCs w:val="14"/>
                <w:color w:val="auto"/>
              </w:rPr>
              <w:t>2023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3"/>
          </w:tcPr>
          <w:p>
            <w:pPr>
              <w:jc w:val="right"/>
              <w:ind w:right="22"/>
              <w:spacing w:after="0" w:line="159" w:lineRule="exact"/>
              <w:rPr>
                <w:sz w:val="20"/>
                <w:szCs w:val="20"/>
                <w:color w:val="auto"/>
              </w:rPr>
            </w:pPr>
            <w:r>
              <w:rPr>
                <w:rFonts w:ascii="Arial" w:cs="Arial" w:eastAsia="Arial" w:hAnsi="Arial"/>
                <w:sz w:val="14"/>
                <w:szCs w:val="14"/>
                <w:color w:val="auto"/>
              </w:rPr>
              <w:t>191,667</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642,506</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1,790,574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448,886</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line="159" w:lineRule="exact"/>
              <w:rPr>
                <w:sz w:val="20"/>
                <w:szCs w:val="20"/>
                <w:color w:val="auto"/>
              </w:rPr>
            </w:pPr>
            <w:r>
              <w:rPr>
                <w:rFonts w:ascii="Arial" w:cs="Arial" w:eastAsia="Arial" w:hAnsi="Arial"/>
                <w:sz w:val="14"/>
                <w:szCs w:val="14"/>
                <w:color w:val="auto"/>
              </w:rPr>
              <w:t>3,073,633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55"/>
        </w:trPr>
        <w:tc>
          <w:tcPr>
            <w:tcW w:w="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ind w:left="240"/>
              <w:spacing w:after="0" w:line="255" w:lineRule="exact"/>
              <w:rPr>
                <w:sz w:val="20"/>
                <w:szCs w:val="20"/>
                <w:color w:val="auto"/>
              </w:rPr>
            </w:pPr>
            <w:r>
              <w:rPr>
                <w:rFonts w:ascii="Arial" w:cs="Arial" w:eastAsia="Arial" w:hAnsi="Arial"/>
                <w:sz w:val="14"/>
                <w:szCs w:val="14"/>
                <w:color w:val="auto"/>
              </w:rPr>
              <w:t>Officer</w:t>
            </w:r>
            <w:r>
              <w:rPr>
                <w:rFonts w:ascii="Arial" w:cs="Arial" w:eastAsia="Arial" w:hAnsi="Arial"/>
                <w:sz w:val="23"/>
                <w:szCs w:val="23"/>
                <w:color w:val="auto"/>
                <w:vertAlign w:val="superscript"/>
              </w:rPr>
              <w:t>(6)</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For additional information, see “Base Salaries” below.</w:t>
      </w:r>
    </w:p>
    <w:p>
      <w:pPr>
        <w:spacing w:after="0" w:line="55" w:lineRule="exact"/>
        <w:rPr>
          <w:rFonts w:ascii="Arial" w:cs="Arial" w:eastAsia="Arial" w:hAnsi="Arial"/>
          <w:sz w:val="14"/>
          <w:szCs w:val="14"/>
          <w:color w:val="auto"/>
        </w:rPr>
      </w:pPr>
    </w:p>
    <w:p>
      <w:pPr>
        <w:ind w:left="380" w:right="20" w:hanging="359"/>
        <w:spacing w:after="0" w:line="245"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and stock options granted and/or modified during fiscal years 2023 and 2022 to each of our named executive officers, computed in accordance with ASC Topic 718, rather than the amounts paid to or realized by the named individual. The valuation assumptions used in the calculation of such amounts are set forth in Note 14—Share-based Compensation Plans in our Annual Report on Form 10-K for the fiscal year ended January 31, 2024 that accompanies this proxy statement. Amounts have been adjusted to reflect the Reverse Stock Split (See “Important Note Regarding the 2024 Reverse Stock Split'' for more information). Amounts reflect: (i) the grant-date fair value of the grants of RSUs granted to Ms. Hyman, Mr. Thacker and Ms. Salinas; (ii) the incremental fair value of RSUs modified pursuant to the Salinas Transition Agreement (as defined in “Executive Severance Plan-Former Named Executive Officers”); (iii) the incremental fair value of RSUs and stock options modified pursuant to the O’Sullivan Transition Agreement (as defined in “Executive Severance Plan-Former Named Executive Officers”); and (iv) the grant date fair value of RSUs granted in connection with the Stock Option Exchange for Ms. Hyman, Ms. Salinas, and Ms. O’Sullivan (See “Executive Severance Plan-Former Named Executive Officers” and “Stock Option for RSU Exchange” below for more information”).</w:t>
      </w:r>
    </w:p>
    <w:p>
      <w:pPr>
        <w:spacing w:after="0" w:line="28"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reflect the annual incentive bonuses earned with respect to each applicable fiscal year. No annual incentive bonus for fiscal year 2023 was earned by our named executive officers due to the implementation of our Retention Bonus Program. For additional information, see “Annual Cash Incentive Bonus Compensation” below.</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hanging="359"/>
        <w:spacing w:after="0" w:line="246"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fiscal year 2023, the amount for Ms. Hyman reflects: $4,293 for a free Rent the Runway monthly subscription and Reserve rentals; $13,200 in matching contributions made by us to her 401(k) plan account; $2,156 for meals; and $600 in long-term disability insurance premiums paid by us. For fiscal year 2023, the amount for Mr. Thacker reflects $13,200 in matching contributions made by us to his 401(k) plan account and $425 in long-term disability insurance premiums paid by us. For fiscal year 2023, the amount for Ms. Salinas reflects: a $950,000 payment pursuant to the Salinas Transition Agreement; $4,815 for a free Rent the Runway monthly subscription; $13,200 in matching contributions made by us to her 401(k) plan account; and $600 in long-term disability insurance premiums paid by us. For fiscal year 2023, the amount for Ms. O’Sullivan reflects: $408,333 in base salary continuation payments pursuant to the O’Sullivan Transition Agreement; $27,103 of COBRA premium payments made by us pursuant to the O’Sullivan Transition Agreement; $13,200 in matching contributions made by us to her 401(k) plan account; and $250 in long-term disability insurance premiums paid by us.</w:t>
      </w:r>
    </w:p>
    <w:p>
      <w:pPr>
        <w:spacing w:after="0" w:line="26" w:lineRule="exact"/>
        <w:rPr>
          <w:rFonts w:ascii="Arial" w:cs="Arial" w:eastAsia="Arial" w:hAnsi="Arial"/>
          <w:sz w:val="14"/>
          <w:szCs w:val="14"/>
          <w:color w:val="auto"/>
        </w:rPr>
      </w:pPr>
    </w:p>
    <w:p>
      <w:pPr>
        <w:ind w:left="380" w:hanging="359"/>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Salinas resigned from employment effective January 31, 2024.</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O’Sullivan resigned from employment effective May 25, 2023, following which Mr. Thacker was appointed as Chief Financial Officer.</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85" w:lineRule="exact"/>
        <w:rPr>
          <w:sz w:val="20"/>
          <w:szCs w:val="20"/>
          <w:color w:val="auto"/>
        </w:rPr>
      </w:pPr>
    </w:p>
    <w:p>
      <w:pPr>
        <w:jc w:val="both"/>
        <w:ind w:left="20"/>
        <w:spacing w:after="0" w:line="266" w:lineRule="auto"/>
        <w:rPr>
          <w:sz w:val="20"/>
          <w:szCs w:val="20"/>
          <w:color w:val="auto"/>
        </w:rPr>
      </w:pPr>
      <w:r>
        <w:rPr>
          <w:rFonts w:ascii="Arial" w:cs="Arial" w:eastAsia="Arial" w:hAnsi="Arial"/>
          <w:sz w:val="17"/>
          <w:szCs w:val="17"/>
          <w:color w:val="auto"/>
        </w:rPr>
        <w:t>For the fiscal year ended January 31, 2024, the compensation for our named executive officers generally consisted of a base salary, annual cash incentive bonuses, and long-term equity incentive compensation in the form of restricted stock units. These elements (and the amounts of compensation and benefits under each element) were selected because we believe they are necessary to help us attract and retain executive talent which is fundamental to our success.</w:t>
      </w:r>
    </w:p>
    <w:p>
      <w:pPr>
        <w:spacing w:after="0" w:line="119" w:lineRule="exact"/>
        <w:rPr>
          <w:sz w:val="20"/>
          <w:szCs w:val="20"/>
          <w:color w:val="auto"/>
        </w:rPr>
      </w:pPr>
    </w:p>
    <w:p>
      <w:pPr>
        <w:ind w:left="20" w:right="640"/>
        <w:spacing w:after="0" w:line="271" w:lineRule="auto"/>
        <w:rPr>
          <w:sz w:val="20"/>
          <w:szCs w:val="20"/>
          <w:color w:val="auto"/>
        </w:rPr>
      </w:pPr>
      <w:r>
        <w:rPr>
          <w:rFonts w:ascii="Arial" w:cs="Arial" w:eastAsia="Arial" w:hAnsi="Arial"/>
          <w:sz w:val="18"/>
          <w:szCs w:val="18"/>
          <w:color w:val="auto"/>
        </w:rPr>
        <w:t>Below is a more detailed summary of our executive compensation program as it relates to our named executive officers.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Salaries</w:t>
      </w:r>
    </w:p>
    <w:p>
      <w:pPr>
        <w:spacing w:after="0" w:line="169"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42" w:lineRule="exact"/>
        <w:rPr>
          <w:sz w:val="20"/>
          <w:szCs w:val="20"/>
          <w:color w:val="auto"/>
        </w:rPr>
      </w:pPr>
    </w:p>
    <w:p>
      <w:pPr>
        <w:ind w:left="20" w:right="120"/>
        <w:spacing w:after="0" w:line="244" w:lineRule="auto"/>
        <w:rPr>
          <w:sz w:val="20"/>
          <w:szCs w:val="20"/>
          <w:color w:val="auto"/>
        </w:rPr>
      </w:pPr>
      <w:r>
        <w:rPr>
          <w:rFonts w:ascii="Arial" w:cs="Arial" w:eastAsia="Arial" w:hAnsi="Arial"/>
          <w:sz w:val="18"/>
          <w:szCs w:val="18"/>
          <w:color w:val="auto"/>
        </w:rPr>
        <w:t>Ms. Hyman’s base salary is $650,000 and Mr. Thacker’s base salary is $475,000, which was increased from $350,000 when he was appointed to Chief Financial Officer on April 15, 2023. Prior to their resignations that were effective January 31, 2024, and May 25, 2023, respectively, Ms. Salinas’ base salary was $600,000 and Ms. O’Sullivan’s base salary was $600,000. The actual salaries paid to each named executive officer are set forth in the “Summary Compensation Table” above, in the column titled “Salary.”</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Annual Cash Incentive Bonus Compensation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2023 Bonus Program</w:t>
      </w:r>
    </w:p>
    <w:p>
      <w:pPr>
        <w:spacing w:after="0" w:line="169" w:lineRule="exact"/>
        <w:rPr>
          <w:sz w:val="20"/>
          <w:szCs w:val="20"/>
          <w:color w:val="auto"/>
        </w:rPr>
      </w:pPr>
    </w:p>
    <w:p>
      <w:pPr>
        <w:ind w:left="20" w:right="160"/>
        <w:spacing w:after="0" w:line="253" w:lineRule="auto"/>
        <w:rPr>
          <w:sz w:val="20"/>
          <w:szCs w:val="20"/>
          <w:color w:val="auto"/>
        </w:rPr>
      </w:pPr>
      <w:r>
        <w:rPr>
          <w:rFonts w:ascii="Arial" w:cs="Arial" w:eastAsia="Arial" w:hAnsi="Arial"/>
          <w:sz w:val="18"/>
          <w:szCs w:val="18"/>
          <w:color w:val="auto"/>
        </w:rPr>
        <w:t>No annual incentive bonus for fiscal year 2023 was earned by our named executive officers as a result of the implementation of our Retention Bonus Program (described further below), which was in lieu of the original fiscal year 2023 bonus program (the “2023 Bonus Program”).</w:t>
      </w:r>
    </w:p>
    <w:p>
      <w:pPr>
        <w:spacing w:after="0" w:line="142" w:lineRule="exact"/>
        <w:rPr>
          <w:sz w:val="20"/>
          <w:szCs w:val="20"/>
          <w:color w:val="auto"/>
        </w:rPr>
      </w:pPr>
    </w:p>
    <w:p>
      <w:pPr>
        <w:ind w:left="20" w:right="20"/>
        <w:spacing w:after="0" w:line="241" w:lineRule="auto"/>
        <w:rPr>
          <w:sz w:val="20"/>
          <w:szCs w:val="20"/>
          <w:color w:val="auto"/>
        </w:rPr>
      </w:pPr>
      <w:r>
        <w:rPr>
          <w:rFonts w:ascii="Arial" w:cs="Arial" w:eastAsia="Arial" w:hAnsi="Arial"/>
          <w:sz w:val="18"/>
          <w:szCs w:val="18"/>
          <w:color w:val="auto"/>
        </w:rPr>
        <w:t>As originally determined by the Compensation Committee, pursuant to the 2023 Bonus Program, each of our named executive officers was eligible to receive a cash performance bonus with the following payout opportunities: Ms. Hyman had a target opportunity of 100% of her base salary and a maximum opportunity of 175% of her base salary;</w:t>
      </w:r>
    </w:p>
    <w:p>
      <w:pPr>
        <w:ind w:left="20"/>
        <w:spacing w:after="0" w:line="237" w:lineRule="auto"/>
        <w:rPr>
          <w:sz w:val="20"/>
          <w:szCs w:val="20"/>
          <w:color w:val="auto"/>
        </w:rPr>
      </w:pPr>
      <w:r>
        <w:rPr>
          <w:rFonts w:ascii="Arial" w:cs="Arial" w:eastAsia="Arial" w:hAnsi="Arial"/>
          <w:sz w:val="18"/>
          <w:szCs w:val="18"/>
          <w:color w:val="auto"/>
        </w:rPr>
        <w:t>Mr. Thacker had a target opportunity of 38% of his base salary and a maximum opportunity of 175% of his base salary;</w:t>
      </w:r>
    </w:p>
    <w:p>
      <w:pPr>
        <w:ind w:left="20"/>
        <w:spacing w:after="0" w:line="234" w:lineRule="auto"/>
        <w:rPr>
          <w:sz w:val="20"/>
          <w:szCs w:val="20"/>
          <w:color w:val="auto"/>
        </w:rPr>
      </w:pPr>
      <w:r>
        <w:rPr>
          <w:rFonts w:ascii="Arial" w:cs="Arial" w:eastAsia="Arial" w:hAnsi="Arial"/>
          <w:sz w:val="18"/>
          <w:szCs w:val="18"/>
          <w:color w:val="auto"/>
        </w:rPr>
        <w:t>Ms. Salinas had a target opportunity of 40% of her base salary and a maximum opportunity of 175% of target; and</w:t>
      </w:r>
    </w:p>
    <w:p>
      <w:pPr>
        <w:ind w:left="20"/>
        <w:spacing w:after="0" w:line="235" w:lineRule="auto"/>
        <w:rPr>
          <w:sz w:val="20"/>
          <w:szCs w:val="20"/>
          <w:color w:val="auto"/>
        </w:rPr>
      </w:pPr>
      <w:r>
        <w:rPr>
          <w:rFonts w:ascii="Arial" w:cs="Arial" w:eastAsia="Arial" w:hAnsi="Arial"/>
          <w:sz w:val="18"/>
          <w:szCs w:val="18"/>
          <w:color w:val="auto"/>
        </w:rPr>
        <w:t>Ms. O’Sullivan had a target opportunity of 40% of her base salary and a maximum opportunity of 175% of target. Bonus</w:t>
      </w:r>
    </w:p>
    <w:p>
      <w:pPr>
        <w:ind w:left="20"/>
        <w:spacing w:after="0" w:line="235" w:lineRule="auto"/>
        <w:rPr>
          <w:sz w:val="20"/>
          <w:szCs w:val="20"/>
          <w:color w:val="auto"/>
        </w:rPr>
      </w:pPr>
      <w:r>
        <w:rPr>
          <w:rFonts w:ascii="Arial" w:cs="Arial" w:eastAsia="Arial" w:hAnsi="Arial"/>
          <w:sz w:val="18"/>
          <w:szCs w:val="18"/>
          <w:color w:val="auto"/>
        </w:rPr>
        <w:t>payouts for each named executive officer under the 2023 Bonus Program were based upon the satisfaction of</w:t>
      </w:r>
    </w:p>
    <w:p>
      <w:pPr>
        <w:ind w:left="20"/>
        <w:spacing w:after="0"/>
        <w:rPr>
          <w:sz w:val="20"/>
          <w:szCs w:val="20"/>
          <w:color w:val="auto"/>
        </w:rPr>
      </w:pPr>
      <w:r>
        <w:rPr>
          <w:rFonts w:ascii="Arial" w:cs="Arial" w:eastAsia="Arial" w:hAnsi="Arial"/>
          <w:sz w:val="18"/>
          <w:szCs w:val="18"/>
          <w:color w:val="auto"/>
        </w:rPr>
        <w:t>company-wide financial performance goals.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Retention Bonus Program</w:t>
      </w:r>
    </w:p>
    <w:p>
      <w:pPr>
        <w:spacing w:after="0" w:line="169" w:lineRule="exact"/>
        <w:rPr>
          <w:sz w:val="20"/>
          <w:szCs w:val="20"/>
          <w:color w:val="auto"/>
        </w:rPr>
      </w:pPr>
    </w:p>
    <w:p>
      <w:pPr>
        <w:ind w:left="20" w:right="200"/>
        <w:spacing w:after="0" w:line="242" w:lineRule="auto"/>
        <w:rPr>
          <w:sz w:val="20"/>
          <w:szCs w:val="20"/>
          <w:color w:val="auto"/>
        </w:rPr>
      </w:pPr>
      <w:r>
        <w:rPr>
          <w:rFonts w:ascii="Arial" w:cs="Arial" w:eastAsia="Arial" w:hAnsi="Arial"/>
          <w:sz w:val="18"/>
          <w:szCs w:val="18"/>
          <w:color w:val="auto"/>
        </w:rPr>
        <w:t>On October 16, 2023, the Compensation Committee approved the payment to its executive officers, including the named executive officers other than Ms. O’Sullivan, of the bonuses payable under the 2023 Bonus Program at the target achievement level, subject to the conditions described below. In addition, certain employees, including Ms. Hyman, Mr. Thacker and Ms. Salinas, were eligible to receive an additional incremental amount for retention purposes (the “Incremental Retention Amount” and, together with the applicable target bonus amount under the 2023 Bonus Program, the “Retention Bonuses”). Ms. Hyman, Mr. Thacker, and Ms. Salinas were eligible to</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receive Incremental Retention Amounts of $ 360,000, $250,000, and $360,000, respectively; however, Ms. Salinas is no longer eligible for a Retention Bonus in light of her resignation. The Retention Bonuses are payable in lieu of any bonus otherwise payable under the 2023 Bonus Program.</w:t>
      </w:r>
    </w:p>
    <w:p>
      <w:pPr>
        <w:spacing w:after="0" w:line="14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Ms. Hyman and Mr. Thacker received one-third of the Retention Bonus on each of February 1, 2024, April 15, 2024, with the final payment to be made on July 15, 2024 (each, a “Retention Date”), provided that they remain actively employed through each such Retention Date (and has not provided notice of his or her intent to terminate his or her employment with us on or prior to such Retention Date (“Notice”)). Notwithstanding the foregoing, in the event of a Change in Control (as defined in the Amended &amp; Restated 2021 Incentive Award Plan), Ms. Hyman and Mr. Thacker will be paid any portion of the Retention Bonus not paid previously upon such Change in Control, provided that they remain actively employed through the date of such Change in Control and has not provided Notice. In addition, in the event Ms. Hyman or Mr. Thacker’s employment is terminated by us for any reason other than for Cause (as defined in the Amended and Restated Executive Severance Plan) or for performance-related reasons (as determined by the Company in its sole discretion), and a Change in Control is consummated within three months of such termination date, she or he will be paid any portion of the Retention Bonus not paid previously upon such Change in Control.</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169"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Equity compensation is a key component of our executive compensation program and, in fiscal year 2023, equity compensation was provided in the form of RSUs. In March 2023, we granted an annual equity award of 2,500 RSUs to Mr. Thacker, which vest quarterly in eight equal installments beginning on February 1, 2023, subject to his continued service with us through the applicable vesting dates. In April 2023, we granted annual equity awards of 58,750 RSUs to Ms. Hyman, 40,000 RSUs to Ms. Salinas and 21,250 RSUs to Mr. Thacker (which additional RSUs were granted to Mr. Thacker in connection with his promotion to Chief Financial Officer). These RSUs vest quarterly in 12 equal installments over three years beginning on March 15, 2023, subject to the named executive officer’s continued service with us through the applicable vesting dates, except pursuant to the Salinas Transition Agreement described below.</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Stock Option for RSU Exchange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July 2023, we implemented an option exchange designed to incentivize and retain employees, directors and other service providers (the “Option Exchange”). Eligible participants could exchange outstanding stock options for RSUs at a ratio of 2.5-for-1. Ms. Hyman exchanged 152,846 stock options for 61,140 RSUs, Ms. Salinas exchanged 39,670 stock options for 15,869 RSUs, and Ms. O’Sullivan exchanged 46,568 stock options for 18,628 RSUs. The RSUs granted pursuant to the Option Exchange vest quarterly in eight equal installments over two years beginning on November 1, 2023, subject to each named executive officer’s continued service with us through the applicable vesting dates, except pursuant to the Salinas Transition Agreement and the O’Sullivan Transition Agreement described below. Mr. Thacker was not eligible to participate in the Option Exchange as he did not hold any stock options.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3" w:lineRule="exact"/>
        <w:rPr>
          <w:sz w:val="20"/>
          <w:szCs w:val="20"/>
          <w:color w:val="auto"/>
        </w:rPr>
      </w:pPr>
    </w:p>
    <w:p>
      <w:pPr>
        <w:jc w:val="both"/>
        <w:ind w:left="20" w:right="460"/>
        <w:spacing w:after="0" w:line="253" w:lineRule="auto"/>
        <w:rPr>
          <w:sz w:val="20"/>
          <w:szCs w:val="20"/>
          <w:color w:val="auto"/>
        </w:rPr>
      </w:pPr>
      <w:r>
        <w:rPr>
          <w:rFonts w:ascii="Arial" w:cs="Arial" w:eastAsia="Arial" w:hAnsi="Arial"/>
          <w:sz w:val="18"/>
          <w:szCs w:val="18"/>
          <w:color w:val="auto"/>
        </w:rPr>
        <w:t>The 1-for-20 Reverse Stock Split became effective on April 2, 2024, and the share amount (and exercise price, as applicable) for each award in this Executive Compensation section reflect the Reverse Stock Split. For additional information, see “Important Note Regarding the 2024 Reverse Stock Split.”</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83" w:lineRule="exact"/>
        <w:rPr>
          <w:sz w:val="20"/>
          <w:szCs w:val="20"/>
          <w:color w:val="auto"/>
        </w:rPr>
      </w:pPr>
    </w:p>
    <w:p>
      <w:pPr>
        <w:ind w:left="20"/>
        <w:spacing w:after="0" w:line="242"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38"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current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our health and welfare plans, including:</w:t>
      </w:r>
    </w:p>
    <w:p>
      <w:pPr>
        <w:spacing w:after="0" w:line="113" w:lineRule="exact"/>
        <w:rPr>
          <w:sz w:val="20"/>
          <w:szCs w:val="20"/>
          <w:color w:val="auto"/>
        </w:rPr>
      </w:pP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180" w:top="263"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83"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2024. The table reflects the Reverse Stock Split. Ms. Hyman holds equity awards with respect to shares of our Class A and Class B common stock and our other named executive officers hold equity awards with respect to shares of our Class A common stock. All equity awards in the table below vest into shares of our Class A common stock unless otherwise noted. There were no option awards held by the named executive officers as of 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31115</wp:posOffset>
            </wp:positionV>
            <wp:extent cx="6035040" cy="960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5040" cy="9601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spacing w:after="0"/>
              <w:rPr>
                <w:sz w:val="22"/>
                <w:szCs w:val="22"/>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spacing w:after="0"/>
              <w:rPr>
                <w:sz w:val="22"/>
                <w:szCs w:val="22"/>
                <w:color w:val="auto"/>
              </w:rPr>
            </w:pPr>
          </w:p>
        </w:tc>
        <w:tc>
          <w:tcPr>
            <w:tcW w:w="1260" w:type="dxa"/>
            <w:vAlign w:val="bottom"/>
          </w:tcPr>
          <w:p>
            <w:pPr>
              <w:ind w:left="120"/>
              <w:spacing w:after="0" w:line="252" w:lineRule="exact"/>
              <w:rPr>
                <w:sz w:val="20"/>
                <w:szCs w:val="20"/>
                <w:color w:val="auto"/>
              </w:rPr>
            </w:pPr>
            <w:r>
              <w:rPr>
                <w:rFonts w:ascii="Arial" w:cs="Arial" w:eastAsia="Arial" w:hAnsi="Arial"/>
                <w:sz w:val="14"/>
                <w:szCs w:val="14"/>
                <w:b w:val="1"/>
                <w:bCs w:val="1"/>
                <w:color w:val="auto"/>
                <w:w w:val="97"/>
              </w:rPr>
              <w:t xml:space="preserve">Stock Awards </w:t>
            </w:r>
            <w:r>
              <w:rPr>
                <w:rFonts w:ascii="Arial" w:cs="Arial" w:eastAsia="Arial" w:hAnsi="Arial"/>
                <w:sz w:val="23"/>
                <w:szCs w:val="23"/>
                <w:b w:val="1"/>
                <w:bCs w:val="1"/>
                <w:color w:val="auto"/>
                <w:w w:val="97"/>
                <w:vertAlign w:val="superscript"/>
              </w:rPr>
              <w:t>(1)</w:t>
            </w:r>
          </w:p>
        </w:tc>
        <w:tc>
          <w:tcPr>
            <w:tcW w:w="1320" w:type="dxa"/>
            <w:vAlign w:val="bottom"/>
          </w:tcPr>
          <w:p>
            <w:pPr>
              <w:spacing w:after="0"/>
              <w:rPr>
                <w:sz w:val="22"/>
                <w:szCs w:val="22"/>
                <w:color w:val="auto"/>
              </w:rPr>
            </w:pPr>
          </w:p>
        </w:tc>
        <w:tc>
          <w:tcPr>
            <w:tcW w:w="18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460" w:type="dxa"/>
            <w:vAlign w:val="bottom"/>
            <w:tcBorders>
              <w:bottom w:val="single" w:sz="8" w:color="E4C0D9"/>
            </w:tcBorders>
          </w:tcPr>
          <w:p>
            <w:pPr>
              <w:spacing w:after="0"/>
              <w:rPr>
                <w:sz w:val="17"/>
                <w:szCs w:val="17"/>
                <w:color w:val="auto"/>
              </w:rPr>
            </w:pPr>
          </w:p>
        </w:tc>
        <w:tc>
          <w:tcPr>
            <w:tcW w:w="600" w:type="dxa"/>
            <w:vAlign w:val="bottom"/>
            <w:tcBorders>
              <w:bottom w:val="single" w:sz="8" w:color="E4C0D9"/>
            </w:tcBorders>
          </w:tcPr>
          <w:p>
            <w:pPr>
              <w:spacing w:after="0"/>
              <w:rPr>
                <w:sz w:val="17"/>
                <w:szCs w:val="17"/>
                <w:color w:val="auto"/>
              </w:rPr>
            </w:pPr>
          </w:p>
        </w:tc>
        <w:tc>
          <w:tcPr>
            <w:tcW w:w="340" w:type="dxa"/>
            <w:vAlign w:val="bottom"/>
            <w:tcBorders>
              <w:bottom w:val="single" w:sz="8" w:color="E4C0D9"/>
            </w:tcBorders>
          </w:tcPr>
          <w:p>
            <w:pPr>
              <w:spacing w:after="0"/>
              <w:rPr>
                <w:sz w:val="17"/>
                <w:szCs w:val="17"/>
                <w:color w:val="auto"/>
              </w:rPr>
            </w:pPr>
          </w:p>
        </w:tc>
        <w:tc>
          <w:tcPr>
            <w:tcW w:w="20" w:type="dxa"/>
            <w:vAlign w:val="bottom"/>
            <w:tcBorders>
              <w:bottom w:val="single" w:sz="8" w:color="E4C0D9"/>
            </w:tcBorders>
          </w:tcPr>
          <w:p>
            <w:pPr>
              <w:spacing w:after="0"/>
              <w:rPr>
                <w:sz w:val="17"/>
                <w:szCs w:val="17"/>
                <w:color w:val="auto"/>
              </w:rPr>
            </w:pPr>
          </w:p>
        </w:tc>
        <w:tc>
          <w:tcPr>
            <w:tcW w:w="1880" w:type="dxa"/>
            <w:vAlign w:val="bottom"/>
            <w:tcBorders>
              <w:bottom w:val="single" w:sz="8" w:color="E4C0D9"/>
            </w:tcBorders>
          </w:tcPr>
          <w:p>
            <w:pPr>
              <w:spacing w:after="0"/>
              <w:rPr>
                <w:sz w:val="17"/>
                <w:szCs w:val="17"/>
                <w:color w:val="auto"/>
              </w:rPr>
            </w:pPr>
          </w:p>
        </w:tc>
        <w:tc>
          <w:tcPr>
            <w:tcW w:w="340" w:type="dxa"/>
            <w:vAlign w:val="bottom"/>
            <w:tcBorders>
              <w:bottom w:val="single" w:sz="8" w:color="E4C0D9"/>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460" w:type="dxa"/>
            <w:vAlign w:val="bottom"/>
            <w:shd w:val="clear" w:color="auto" w:fill="E4C0D9"/>
          </w:tcPr>
          <w:p>
            <w:pPr>
              <w:spacing w:after="0"/>
              <w:rPr>
                <w:sz w:val="23"/>
                <w:szCs w:val="23"/>
                <w:color w:val="auto"/>
              </w:rPr>
            </w:pPr>
          </w:p>
        </w:tc>
        <w:tc>
          <w:tcPr>
            <w:tcW w:w="600" w:type="dxa"/>
            <w:vAlign w:val="bottom"/>
            <w:shd w:val="clear" w:color="auto" w:fill="E4C0D9"/>
          </w:tcPr>
          <w:p>
            <w:pPr>
              <w:spacing w:after="0"/>
              <w:rPr>
                <w:sz w:val="23"/>
                <w:szCs w:val="23"/>
                <w:color w:val="auto"/>
              </w:rPr>
            </w:pPr>
          </w:p>
        </w:tc>
        <w:tc>
          <w:tcPr>
            <w:tcW w:w="340" w:type="dxa"/>
            <w:vAlign w:val="bottom"/>
            <w:shd w:val="clear" w:color="auto" w:fill="E4C0D9"/>
          </w:tcPr>
          <w:p>
            <w:pPr>
              <w:spacing w:after="0"/>
              <w:rPr>
                <w:sz w:val="23"/>
                <w:szCs w:val="23"/>
                <w:color w:val="auto"/>
              </w:rPr>
            </w:pPr>
          </w:p>
        </w:tc>
        <w:tc>
          <w:tcPr>
            <w:tcW w:w="20" w:type="dxa"/>
            <w:vAlign w:val="bottom"/>
            <w:shd w:val="clear" w:color="auto" w:fill="E4C0D9"/>
          </w:tcPr>
          <w:p>
            <w:pPr>
              <w:spacing w:after="0"/>
              <w:rPr>
                <w:sz w:val="23"/>
                <w:szCs w:val="23"/>
                <w:color w:val="auto"/>
              </w:rPr>
            </w:pPr>
          </w:p>
        </w:tc>
        <w:tc>
          <w:tcPr>
            <w:tcW w:w="1880" w:type="dxa"/>
            <w:vAlign w:val="bottom"/>
            <w:shd w:val="clear" w:color="auto" w:fill="E4C0D9"/>
          </w:tcPr>
          <w:p>
            <w:pPr>
              <w:spacing w:after="0"/>
              <w:rPr>
                <w:sz w:val="23"/>
                <w:szCs w:val="23"/>
                <w:color w:val="auto"/>
              </w:rPr>
            </w:pPr>
          </w:p>
        </w:tc>
        <w:tc>
          <w:tcPr>
            <w:tcW w:w="340" w:type="dxa"/>
            <w:vAlign w:val="bottom"/>
            <w:shd w:val="clear" w:color="auto" w:fill="E4C0D9"/>
          </w:tcPr>
          <w:p>
            <w:pPr>
              <w:spacing w:after="0"/>
              <w:rPr>
                <w:sz w:val="23"/>
                <w:szCs w:val="23"/>
                <w:color w:val="auto"/>
              </w:rPr>
            </w:pPr>
          </w:p>
        </w:tc>
        <w:tc>
          <w:tcPr>
            <w:tcW w:w="340" w:type="dxa"/>
            <w:vAlign w:val="bottom"/>
            <w:shd w:val="clear" w:color="auto" w:fill="E4C0D9"/>
          </w:tcPr>
          <w:p>
            <w:pPr>
              <w:spacing w:after="0"/>
              <w:rPr>
                <w:sz w:val="23"/>
                <w:szCs w:val="23"/>
                <w:color w:val="auto"/>
              </w:rPr>
            </w:pPr>
          </w:p>
        </w:tc>
        <w:tc>
          <w:tcPr>
            <w:tcW w:w="1640" w:type="dxa"/>
            <w:vAlign w:val="bottom"/>
            <w:shd w:val="clear" w:color="auto" w:fill="E4C0D9"/>
          </w:tcPr>
          <w:p>
            <w:pPr>
              <w:ind w:left="340"/>
              <w:spacing w:after="0"/>
              <w:rPr>
                <w:sz w:val="20"/>
                <w:szCs w:val="20"/>
                <w:color w:val="auto"/>
              </w:rPr>
            </w:pPr>
            <w:r>
              <w:rPr>
                <w:rFonts w:ascii="Arial" w:cs="Arial" w:eastAsia="Arial" w:hAnsi="Arial"/>
                <w:sz w:val="14"/>
                <w:szCs w:val="14"/>
                <w:b w:val="1"/>
                <w:bCs w:val="1"/>
                <w:color w:val="auto"/>
              </w:rPr>
              <w:t>Number of</w:t>
            </w:r>
          </w:p>
        </w:tc>
        <w:tc>
          <w:tcPr>
            <w:tcW w:w="1260" w:type="dxa"/>
            <w:vAlign w:val="bottom"/>
            <w:shd w:val="clear" w:color="auto" w:fill="E4C0D9"/>
          </w:tcPr>
          <w:p>
            <w:pPr>
              <w:spacing w:after="0"/>
              <w:rPr>
                <w:sz w:val="23"/>
                <w:szCs w:val="23"/>
                <w:color w:val="auto"/>
              </w:rPr>
            </w:pPr>
          </w:p>
        </w:tc>
        <w:tc>
          <w:tcPr>
            <w:tcW w:w="1320" w:type="dxa"/>
            <w:vAlign w:val="bottom"/>
            <w:shd w:val="clear" w:color="auto" w:fill="E4C0D9"/>
          </w:tcPr>
          <w:p>
            <w:pPr>
              <w:ind w:left="20"/>
              <w:spacing w:after="0"/>
              <w:rPr>
                <w:sz w:val="20"/>
                <w:szCs w:val="20"/>
                <w:color w:val="auto"/>
              </w:rPr>
            </w:pPr>
            <w:r>
              <w:rPr>
                <w:rFonts w:ascii="Arial" w:cs="Arial" w:eastAsia="Arial" w:hAnsi="Arial"/>
                <w:sz w:val="14"/>
                <w:szCs w:val="14"/>
                <w:b w:val="1"/>
                <w:bCs w:val="1"/>
                <w:color w:val="auto"/>
              </w:rPr>
              <w:t>Market Value of</w:t>
            </w:r>
          </w:p>
        </w:tc>
        <w:tc>
          <w:tcPr>
            <w:tcW w:w="180" w:type="dxa"/>
            <w:vAlign w:val="bottom"/>
            <w:shd w:val="clear" w:color="auto" w:fill="E4C0D9"/>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460" w:type="dxa"/>
            <w:vAlign w:val="bottom"/>
            <w:shd w:val="clear" w:color="auto" w:fill="E4C0D9"/>
          </w:tcPr>
          <w:p>
            <w:pPr>
              <w:spacing w:after="0"/>
              <w:rPr>
                <w:sz w:val="14"/>
                <w:szCs w:val="14"/>
                <w:color w:val="auto"/>
              </w:rPr>
            </w:pPr>
          </w:p>
        </w:tc>
        <w:tc>
          <w:tcPr>
            <w:tcW w:w="600" w:type="dxa"/>
            <w:vAlign w:val="bottom"/>
            <w:shd w:val="clear" w:color="auto" w:fill="E4C0D9"/>
          </w:tcPr>
          <w:p>
            <w:pPr>
              <w:spacing w:after="0"/>
              <w:rPr>
                <w:sz w:val="14"/>
                <w:szCs w:val="14"/>
                <w:color w:val="auto"/>
              </w:rPr>
            </w:pPr>
          </w:p>
        </w:tc>
        <w:tc>
          <w:tcPr>
            <w:tcW w:w="340" w:type="dxa"/>
            <w:vAlign w:val="bottom"/>
            <w:shd w:val="clear" w:color="auto" w:fill="E4C0D9"/>
          </w:tcPr>
          <w:p>
            <w:pPr>
              <w:spacing w:after="0"/>
              <w:rPr>
                <w:sz w:val="14"/>
                <w:szCs w:val="14"/>
                <w:color w:val="auto"/>
              </w:rPr>
            </w:pPr>
          </w:p>
        </w:tc>
        <w:tc>
          <w:tcPr>
            <w:tcW w:w="20" w:type="dxa"/>
            <w:vAlign w:val="bottom"/>
            <w:shd w:val="clear" w:color="auto" w:fill="E4C0D9"/>
          </w:tcPr>
          <w:p>
            <w:pPr>
              <w:spacing w:after="0"/>
              <w:rPr>
                <w:sz w:val="14"/>
                <w:szCs w:val="14"/>
                <w:color w:val="auto"/>
              </w:rPr>
            </w:pPr>
          </w:p>
        </w:tc>
        <w:tc>
          <w:tcPr>
            <w:tcW w:w="1880" w:type="dxa"/>
            <w:vAlign w:val="bottom"/>
            <w:shd w:val="clear" w:color="auto" w:fill="E4C0D9"/>
          </w:tcPr>
          <w:p>
            <w:pPr>
              <w:spacing w:after="0"/>
              <w:rPr>
                <w:sz w:val="14"/>
                <w:szCs w:val="14"/>
                <w:color w:val="auto"/>
              </w:rPr>
            </w:pPr>
          </w:p>
        </w:tc>
        <w:tc>
          <w:tcPr>
            <w:tcW w:w="340" w:type="dxa"/>
            <w:vAlign w:val="bottom"/>
            <w:shd w:val="clear" w:color="auto" w:fill="E4C0D9"/>
          </w:tcPr>
          <w:p>
            <w:pPr>
              <w:spacing w:after="0"/>
              <w:rPr>
                <w:sz w:val="14"/>
                <w:szCs w:val="14"/>
                <w:color w:val="auto"/>
              </w:rPr>
            </w:pPr>
          </w:p>
        </w:tc>
        <w:tc>
          <w:tcPr>
            <w:tcW w:w="340" w:type="dxa"/>
            <w:vAlign w:val="bottom"/>
            <w:shd w:val="clear" w:color="auto" w:fill="E4C0D9"/>
          </w:tcPr>
          <w:p>
            <w:pPr>
              <w:spacing w:after="0"/>
              <w:rPr>
                <w:sz w:val="14"/>
                <w:szCs w:val="14"/>
                <w:color w:val="auto"/>
              </w:rPr>
            </w:pPr>
          </w:p>
        </w:tc>
        <w:tc>
          <w:tcPr>
            <w:tcW w:w="1640" w:type="dxa"/>
            <w:vAlign w:val="bottom"/>
            <w:shd w:val="clear" w:color="auto" w:fill="E4C0D9"/>
          </w:tcPr>
          <w:p>
            <w:pPr>
              <w:ind w:left="340"/>
              <w:spacing w:after="0"/>
              <w:rPr>
                <w:sz w:val="20"/>
                <w:szCs w:val="20"/>
                <w:color w:val="auto"/>
              </w:rPr>
            </w:pPr>
            <w:r>
              <w:rPr>
                <w:rFonts w:ascii="Arial" w:cs="Arial" w:eastAsia="Arial" w:hAnsi="Arial"/>
                <w:sz w:val="14"/>
                <w:szCs w:val="14"/>
                <w:b w:val="1"/>
                <w:bCs w:val="1"/>
                <w:color w:val="auto"/>
              </w:rPr>
              <w:t>Shares</w:t>
            </w:r>
          </w:p>
        </w:tc>
        <w:tc>
          <w:tcPr>
            <w:tcW w:w="1260" w:type="dxa"/>
            <w:vAlign w:val="bottom"/>
            <w:shd w:val="clear" w:color="auto" w:fill="E4C0D9"/>
          </w:tcPr>
          <w:p>
            <w:pPr>
              <w:spacing w:after="0"/>
              <w:rPr>
                <w:sz w:val="14"/>
                <w:szCs w:val="14"/>
                <w:color w:val="auto"/>
              </w:rPr>
            </w:pPr>
          </w:p>
        </w:tc>
        <w:tc>
          <w:tcPr>
            <w:tcW w:w="1320" w:type="dxa"/>
            <w:vAlign w:val="bottom"/>
            <w:shd w:val="clear" w:color="auto" w:fill="E4C0D9"/>
          </w:tcPr>
          <w:p>
            <w:pPr>
              <w:ind w:left="20"/>
              <w:spacing w:after="0"/>
              <w:rPr>
                <w:sz w:val="20"/>
                <w:szCs w:val="20"/>
                <w:color w:val="auto"/>
              </w:rPr>
            </w:pPr>
            <w:r>
              <w:rPr>
                <w:rFonts w:ascii="Arial" w:cs="Arial" w:eastAsia="Arial" w:hAnsi="Arial"/>
                <w:sz w:val="14"/>
                <w:szCs w:val="14"/>
                <w:b w:val="1"/>
                <w:bCs w:val="1"/>
                <w:color w:val="auto"/>
              </w:rPr>
              <w:t>Shares or Units of</w:t>
            </w:r>
          </w:p>
        </w:tc>
        <w:tc>
          <w:tcPr>
            <w:tcW w:w="180" w:type="dxa"/>
            <w:vAlign w:val="bottom"/>
            <w:shd w:val="clear" w:color="auto" w:fill="E4C0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shd w:val="clear" w:color="auto" w:fill="E4C0D9"/>
          </w:tcPr>
          <w:p>
            <w:pPr>
              <w:ind w:left="60"/>
              <w:spacing w:after="0"/>
              <w:rPr>
                <w:sz w:val="20"/>
                <w:szCs w:val="20"/>
                <w:color w:val="auto"/>
              </w:rPr>
            </w:pPr>
            <w:r>
              <w:rPr>
                <w:rFonts w:ascii="Arial" w:cs="Arial" w:eastAsia="Arial" w:hAnsi="Arial"/>
                <w:sz w:val="14"/>
                <w:szCs w:val="14"/>
                <w:b w:val="1"/>
                <w:bCs w:val="1"/>
                <w:color w:val="auto"/>
              </w:rPr>
              <w:t>Name</w:t>
            </w:r>
          </w:p>
        </w:tc>
        <w:tc>
          <w:tcPr>
            <w:tcW w:w="600" w:type="dxa"/>
            <w:vAlign w:val="bottom"/>
            <w:shd w:val="clear" w:color="auto" w:fill="E4C0D9"/>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shd w:val="clear" w:color="auto" w:fill="E4C0D9"/>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shd w:val="clear" w:color="auto" w:fill="E4C0D9"/>
          </w:tcPr>
          <w:p>
            <w:pPr>
              <w:jc w:val="right"/>
              <w:ind w:right="271"/>
              <w:spacing w:after="0"/>
              <w:rPr>
                <w:sz w:val="20"/>
                <w:szCs w:val="20"/>
                <w:color w:val="auto"/>
              </w:rPr>
            </w:pPr>
            <w:r>
              <w:rPr>
                <w:rFonts w:ascii="Arial" w:cs="Arial" w:eastAsia="Arial" w:hAnsi="Arial"/>
                <w:sz w:val="14"/>
                <w:szCs w:val="14"/>
                <w:b w:val="1"/>
                <w:bCs w:val="1"/>
                <w:color w:val="auto"/>
              </w:rPr>
              <w:t xml:space="preserve">Grant Date  </w:t>
            </w:r>
            <w:r>
              <w:rPr>
                <w:rFonts w:ascii="Times New Roman" w:cs="Times New Roman" w:eastAsia="Times New Roman" w:hAnsi="Times New Roman"/>
                <w:sz w:val="3"/>
                <w:szCs w:val="3"/>
                <w:color w:val="auto"/>
              </w:rPr>
              <w:t>​</w:t>
            </w:r>
          </w:p>
        </w:tc>
        <w:tc>
          <w:tcPr>
            <w:tcW w:w="680" w:type="dxa"/>
            <w:vAlign w:val="bottom"/>
            <w:gridSpan w:val="2"/>
            <w:shd w:val="clear" w:color="auto" w:fill="E4C0D9"/>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shd w:val="clear" w:color="auto" w:fill="E4C0D9"/>
          </w:tcPr>
          <w:p>
            <w:pPr>
              <w:ind w:left="340"/>
              <w:spacing w:after="0"/>
              <w:rPr>
                <w:sz w:val="20"/>
                <w:szCs w:val="20"/>
                <w:color w:val="auto"/>
              </w:rPr>
            </w:pPr>
            <w:r>
              <w:rPr>
                <w:rFonts w:ascii="Arial" w:cs="Arial" w:eastAsia="Arial" w:hAnsi="Arial"/>
                <w:sz w:val="14"/>
                <w:szCs w:val="14"/>
                <w:b w:val="1"/>
                <w:bCs w:val="1"/>
                <w:color w:val="auto"/>
              </w:rPr>
              <w:t xml:space="preserve">or Units of Stock </w:t>
            </w:r>
            <w:r>
              <w:rPr>
                <w:rFonts w:ascii="Times New Roman" w:cs="Times New Roman" w:eastAsia="Times New Roman" w:hAnsi="Times New Roman"/>
                <w:sz w:val="3"/>
                <w:szCs w:val="3"/>
                <w:color w:val="auto"/>
              </w:rPr>
              <w:t>​</w:t>
            </w:r>
          </w:p>
        </w:tc>
        <w:tc>
          <w:tcPr>
            <w:tcW w:w="1260" w:type="dxa"/>
            <w:vAlign w:val="bottom"/>
            <w:shd w:val="clear" w:color="auto" w:fill="E4C0D9"/>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shd w:val="clear" w:color="auto" w:fill="E4C0D9"/>
          </w:tcPr>
          <w:p>
            <w:pPr>
              <w:ind w:left="20"/>
              <w:spacing w:after="0"/>
              <w:rPr>
                <w:sz w:val="20"/>
                <w:szCs w:val="20"/>
                <w:color w:val="auto"/>
              </w:rPr>
            </w:pPr>
            <w:r>
              <w:rPr>
                <w:rFonts w:ascii="Arial" w:cs="Arial" w:eastAsia="Arial" w:hAnsi="Arial"/>
                <w:sz w:val="14"/>
                <w:szCs w:val="14"/>
                <w:b w:val="1"/>
                <w:bCs w:val="1"/>
                <w:color w:val="auto"/>
              </w:rPr>
              <w:t>Stock That Have</w:t>
            </w:r>
          </w:p>
        </w:tc>
        <w:tc>
          <w:tcPr>
            <w:tcW w:w="180" w:type="dxa"/>
            <w:vAlign w:val="bottom"/>
            <w:shd w:val="clear" w:color="auto" w:fill="E4C0D9"/>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1460" w:type="dxa"/>
            <w:vAlign w:val="bottom"/>
            <w:shd w:val="clear" w:color="auto" w:fill="E4C0D9"/>
          </w:tcPr>
          <w:p>
            <w:pPr>
              <w:spacing w:after="0"/>
              <w:rPr>
                <w:sz w:val="13"/>
                <w:szCs w:val="13"/>
                <w:color w:val="auto"/>
              </w:rPr>
            </w:pPr>
          </w:p>
        </w:tc>
        <w:tc>
          <w:tcPr>
            <w:tcW w:w="600" w:type="dxa"/>
            <w:vAlign w:val="bottom"/>
            <w:shd w:val="clear" w:color="auto" w:fill="E4C0D9"/>
          </w:tcPr>
          <w:p>
            <w:pPr>
              <w:spacing w:after="0"/>
              <w:rPr>
                <w:sz w:val="13"/>
                <w:szCs w:val="13"/>
                <w:color w:val="auto"/>
              </w:rPr>
            </w:pPr>
          </w:p>
        </w:tc>
        <w:tc>
          <w:tcPr>
            <w:tcW w:w="340" w:type="dxa"/>
            <w:vAlign w:val="bottom"/>
            <w:shd w:val="clear" w:color="auto" w:fill="E4C0D9"/>
          </w:tcPr>
          <w:p>
            <w:pPr>
              <w:spacing w:after="0"/>
              <w:rPr>
                <w:sz w:val="13"/>
                <w:szCs w:val="13"/>
                <w:color w:val="auto"/>
              </w:rPr>
            </w:pPr>
          </w:p>
        </w:tc>
        <w:tc>
          <w:tcPr>
            <w:tcW w:w="20" w:type="dxa"/>
            <w:vAlign w:val="bottom"/>
            <w:shd w:val="clear" w:color="auto" w:fill="E4C0D9"/>
          </w:tcPr>
          <w:p>
            <w:pPr>
              <w:spacing w:after="0"/>
              <w:rPr>
                <w:sz w:val="13"/>
                <w:szCs w:val="13"/>
                <w:color w:val="auto"/>
              </w:rPr>
            </w:pPr>
          </w:p>
        </w:tc>
        <w:tc>
          <w:tcPr>
            <w:tcW w:w="1880" w:type="dxa"/>
            <w:vAlign w:val="bottom"/>
            <w:shd w:val="clear" w:color="auto" w:fill="E4C0D9"/>
          </w:tcPr>
          <w:p>
            <w:pPr>
              <w:spacing w:after="0"/>
              <w:rPr>
                <w:sz w:val="13"/>
                <w:szCs w:val="13"/>
                <w:color w:val="auto"/>
              </w:rPr>
            </w:pPr>
          </w:p>
        </w:tc>
        <w:tc>
          <w:tcPr>
            <w:tcW w:w="340" w:type="dxa"/>
            <w:vAlign w:val="bottom"/>
            <w:shd w:val="clear" w:color="auto" w:fill="E4C0D9"/>
          </w:tcPr>
          <w:p>
            <w:pPr>
              <w:spacing w:after="0"/>
              <w:rPr>
                <w:sz w:val="13"/>
                <w:szCs w:val="13"/>
                <w:color w:val="auto"/>
              </w:rPr>
            </w:pPr>
          </w:p>
        </w:tc>
        <w:tc>
          <w:tcPr>
            <w:tcW w:w="340" w:type="dxa"/>
            <w:vAlign w:val="bottom"/>
            <w:shd w:val="clear" w:color="auto" w:fill="E4C0D9"/>
          </w:tcPr>
          <w:p>
            <w:pPr>
              <w:spacing w:after="0"/>
              <w:rPr>
                <w:sz w:val="13"/>
                <w:szCs w:val="13"/>
                <w:color w:val="auto"/>
              </w:rPr>
            </w:pPr>
          </w:p>
        </w:tc>
        <w:tc>
          <w:tcPr>
            <w:tcW w:w="1640" w:type="dxa"/>
            <w:vAlign w:val="bottom"/>
            <w:shd w:val="clear" w:color="auto" w:fill="E4C0D9"/>
          </w:tcPr>
          <w:p>
            <w:pPr>
              <w:ind w:left="340"/>
              <w:spacing w:after="0" w:line="159" w:lineRule="exact"/>
              <w:rPr>
                <w:sz w:val="20"/>
                <w:szCs w:val="20"/>
                <w:color w:val="auto"/>
              </w:rPr>
            </w:pPr>
            <w:r>
              <w:rPr>
                <w:rFonts w:ascii="Arial" w:cs="Arial" w:eastAsia="Arial" w:hAnsi="Arial"/>
                <w:sz w:val="14"/>
                <w:szCs w:val="14"/>
                <w:b w:val="1"/>
                <w:bCs w:val="1"/>
                <w:color w:val="auto"/>
              </w:rPr>
              <w:t>That Have Not</w:t>
            </w:r>
          </w:p>
        </w:tc>
        <w:tc>
          <w:tcPr>
            <w:tcW w:w="1260" w:type="dxa"/>
            <w:vAlign w:val="bottom"/>
            <w:shd w:val="clear" w:color="auto" w:fill="E4C0D9"/>
          </w:tcPr>
          <w:p>
            <w:pPr>
              <w:spacing w:after="0"/>
              <w:rPr>
                <w:sz w:val="13"/>
                <w:szCs w:val="13"/>
                <w:color w:val="auto"/>
              </w:rPr>
            </w:pPr>
          </w:p>
        </w:tc>
        <w:tc>
          <w:tcPr>
            <w:tcW w:w="1320" w:type="dxa"/>
            <w:vAlign w:val="bottom"/>
            <w:shd w:val="clear" w:color="auto" w:fill="E4C0D9"/>
          </w:tcPr>
          <w:p>
            <w:pPr>
              <w:ind w:left="20"/>
              <w:spacing w:after="0" w:line="159" w:lineRule="exact"/>
              <w:rPr>
                <w:sz w:val="20"/>
                <w:szCs w:val="20"/>
                <w:color w:val="auto"/>
              </w:rPr>
            </w:pPr>
            <w:r>
              <w:rPr>
                <w:rFonts w:ascii="Arial" w:cs="Arial" w:eastAsia="Arial" w:hAnsi="Arial"/>
                <w:sz w:val="14"/>
                <w:szCs w:val="14"/>
                <w:b w:val="1"/>
                <w:bCs w:val="1"/>
                <w:color w:val="auto"/>
              </w:rPr>
              <w:t>Not</w:t>
            </w:r>
          </w:p>
        </w:tc>
        <w:tc>
          <w:tcPr>
            <w:tcW w:w="180" w:type="dxa"/>
            <w:vAlign w:val="bottom"/>
            <w:shd w:val="clear" w:color="auto" w:fill="E4C0D9"/>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shd w:val="clear" w:color="auto" w:fill="E4C0D9"/>
          </w:tcPr>
          <w:p>
            <w:pPr>
              <w:spacing w:after="0"/>
              <w:rPr>
                <w:sz w:val="24"/>
                <w:szCs w:val="24"/>
                <w:color w:val="auto"/>
              </w:rPr>
            </w:pPr>
          </w:p>
        </w:tc>
        <w:tc>
          <w:tcPr>
            <w:tcW w:w="600" w:type="dxa"/>
            <w:vAlign w:val="bottom"/>
            <w:tcBorders>
              <w:bottom w:val="single" w:sz="8" w:color="auto"/>
            </w:tcBorders>
            <w:shd w:val="clear" w:color="auto" w:fill="E4C0D9"/>
          </w:tcPr>
          <w:p>
            <w:pPr>
              <w:spacing w:after="0"/>
              <w:rPr>
                <w:sz w:val="24"/>
                <w:szCs w:val="24"/>
                <w:color w:val="auto"/>
              </w:rPr>
            </w:pPr>
          </w:p>
        </w:tc>
        <w:tc>
          <w:tcPr>
            <w:tcW w:w="340" w:type="dxa"/>
            <w:vAlign w:val="bottom"/>
            <w:tcBorders>
              <w:bottom w:val="single" w:sz="8" w:color="auto"/>
            </w:tcBorders>
            <w:shd w:val="clear" w:color="auto" w:fill="E4C0D9"/>
          </w:tcPr>
          <w:p>
            <w:pPr>
              <w:spacing w:after="0"/>
              <w:rPr>
                <w:sz w:val="24"/>
                <w:szCs w:val="24"/>
                <w:color w:val="auto"/>
              </w:rPr>
            </w:pPr>
          </w:p>
        </w:tc>
        <w:tc>
          <w:tcPr>
            <w:tcW w:w="20" w:type="dxa"/>
            <w:vAlign w:val="bottom"/>
            <w:tcBorders>
              <w:bottom w:val="single" w:sz="8" w:color="auto"/>
            </w:tcBorders>
            <w:shd w:val="clear" w:color="auto" w:fill="E4C0D9"/>
          </w:tcPr>
          <w:p>
            <w:pPr>
              <w:spacing w:after="0"/>
              <w:rPr>
                <w:sz w:val="24"/>
                <w:szCs w:val="24"/>
                <w:color w:val="auto"/>
              </w:rPr>
            </w:pPr>
          </w:p>
        </w:tc>
        <w:tc>
          <w:tcPr>
            <w:tcW w:w="1880" w:type="dxa"/>
            <w:vAlign w:val="bottom"/>
            <w:tcBorders>
              <w:bottom w:val="single" w:sz="8" w:color="auto"/>
            </w:tcBorders>
            <w:shd w:val="clear" w:color="auto" w:fill="E4C0D9"/>
          </w:tcPr>
          <w:p>
            <w:pPr>
              <w:spacing w:after="0"/>
              <w:rPr>
                <w:sz w:val="24"/>
                <w:szCs w:val="24"/>
                <w:color w:val="auto"/>
              </w:rPr>
            </w:pPr>
          </w:p>
        </w:tc>
        <w:tc>
          <w:tcPr>
            <w:tcW w:w="340" w:type="dxa"/>
            <w:vAlign w:val="bottom"/>
            <w:tcBorders>
              <w:bottom w:val="single" w:sz="8" w:color="auto"/>
            </w:tcBorders>
            <w:shd w:val="clear" w:color="auto" w:fill="E4C0D9"/>
          </w:tcPr>
          <w:p>
            <w:pPr>
              <w:spacing w:after="0"/>
              <w:rPr>
                <w:sz w:val="24"/>
                <w:szCs w:val="24"/>
                <w:color w:val="auto"/>
              </w:rPr>
            </w:pPr>
          </w:p>
        </w:tc>
        <w:tc>
          <w:tcPr>
            <w:tcW w:w="340" w:type="dxa"/>
            <w:vAlign w:val="bottom"/>
            <w:tcBorders>
              <w:bottom w:val="single" w:sz="8" w:color="auto"/>
            </w:tcBorders>
            <w:shd w:val="clear" w:color="auto" w:fill="E4C0D9"/>
          </w:tcPr>
          <w:p>
            <w:pPr>
              <w:spacing w:after="0"/>
              <w:rPr>
                <w:sz w:val="24"/>
                <w:szCs w:val="24"/>
                <w:color w:val="auto"/>
              </w:rPr>
            </w:pPr>
          </w:p>
        </w:tc>
        <w:tc>
          <w:tcPr>
            <w:tcW w:w="1640" w:type="dxa"/>
            <w:vAlign w:val="bottom"/>
            <w:tcBorders>
              <w:bottom w:val="single" w:sz="8" w:color="auto"/>
            </w:tcBorders>
            <w:shd w:val="clear" w:color="auto" w:fill="E4C0D9"/>
          </w:tcPr>
          <w:p>
            <w:pPr>
              <w:ind w:left="340"/>
              <w:spacing w:after="0"/>
              <w:rPr>
                <w:sz w:val="20"/>
                <w:szCs w:val="20"/>
                <w:color w:val="auto"/>
              </w:rPr>
            </w:pPr>
            <w:r>
              <w:rPr>
                <w:rFonts w:ascii="Arial" w:cs="Arial" w:eastAsia="Arial" w:hAnsi="Arial"/>
                <w:sz w:val="14"/>
                <w:szCs w:val="14"/>
                <w:b w:val="1"/>
                <w:bCs w:val="1"/>
                <w:color w:val="auto"/>
              </w:rPr>
              <w:t>Vested (#)</w:t>
            </w:r>
          </w:p>
        </w:tc>
        <w:tc>
          <w:tcPr>
            <w:tcW w:w="1260" w:type="dxa"/>
            <w:vAlign w:val="bottom"/>
            <w:tcBorders>
              <w:bottom w:val="single" w:sz="8" w:color="auto"/>
            </w:tcBorders>
            <w:shd w:val="clear" w:color="auto" w:fill="E4C0D9"/>
          </w:tcPr>
          <w:p>
            <w:pPr>
              <w:spacing w:after="0"/>
              <w:rPr>
                <w:sz w:val="24"/>
                <w:szCs w:val="24"/>
                <w:color w:val="auto"/>
              </w:rPr>
            </w:pPr>
          </w:p>
        </w:tc>
        <w:tc>
          <w:tcPr>
            <w:tcW w:w="1320" w:type="dxa"/>
            <w:vAlign w:val="bottom"/>
            <w:tcBorders>
              <w:bottom w:val="single" w:sz="8" w:color="auto"/>
            </w:tcBorders>
            <w:shd w:val="clear" w:color="auto" w:fill="E4C0D9"/>
          </w:tcPr>
          <w:p>
            <w:pPr>
              <w:ind w:left="20"/>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(3)</w:t>
            </w:r>
          </w:p>
        </w:tc>
        <w:tc>
          <w:tcPr>
            <w:tcW w:w="180" w:type="dxa"/>
            <w:vAlign w:val="bottom"/>
            <w:tcBorders>
              <w:bottom w:val="single" w:sz="8" w:color="auto"/>
            </w:tcBorders>
            <w:shd w:val="clear" w:color="auto" w:fill="E4C0D9"/>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04/01/2020</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28"/>
                <w:szCs w:val="28"/>
                <w:color w:val="auto"/>
                <w:vertAlign w:val="subscript"/>
              </w:rPr>
              <w:t>646</w:t>
            </w:r>
            <w:r>
              <w:rPr>
                <w:rFonts w:ascii="Arial" w:cs="Arial" w:eastAsia="Arial" w:hAnsi="Arial"/>
                <w:sz w:val="12"/>
                <w:szCs w:val="12"/>
                <w:color w:val="auto"/>
              </w:rPr>
              <w:t>(2)(12)</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7,933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10/29/2021</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28"/>
                <w:szCs w:val="28"/>
                <w:color w:val="auto"/>
                <w:vertAlign w:val="subscript"/>
              </w:rPr>
              <w:t>1,272</w:t>
            </w:r>
            <w:r>
              <w:rPr>
                <w:rFonts w:ascii="Arial" w:cs="Arial" w:eastAsia="Arial" w:hAnsi="Arial"/>
                <w:sz w:val="12"/>
                <w:szCs w:val="12"/>
                <w:color w:val="auto"/>
              </w:rPr>
              <w:t>(4)(12)</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15,620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403"/>
        </w:trPr>
        <w:tc>
          <w:tcPr>
            <w:tcW w:w="12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color w:val="auto"/>
              </w:rPr>
              <w:t>Jennifer Y. Hyman</w:t>
            </w: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03/15/2022</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14"/>
                <w:szCs w:val="14"/>
                <w:color w:val="auto"/>
              </w:rPr>
              <w:t>13,416</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164,748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
        </w:trPr>
        <w:tc>
          <w:tcPr>
            <w:tcW w:w="120" w:type="dxa"/>
            <w:vAlign w:val="bottom"/>
          </w:tcPr>
          <w:p>
            <w:pPr>
              <w:spacing w:after="0" w:line="16" w:lineRule="exact"/>
              <w:rPr>
                <w:sz w:val="20"/>
                <w:szCs w:val="20"/>
                <w:color w:val="auto"/>
              </w:rPr>
            </w:pPr>
            <w:r>
              <w:rPr>
                <w:rFonts w:ascii="Times New Roman" w:cs="Times New Roman" w:eastAsia="Times New Roman" w:hAnsi="Times New Roman"/>
                <w:sz w:val="2"/>
                <w:szCs w:val="2"/>
                <w:color w:val="auto"/>
              </w:rPr>
              <w:t>​</w:t>
            </w:r>
          </w:p>
        </w:tc>
        <w:tc>
          <w:tcPr>
            <w:tcW w:w="1460" w:type="dxa"/>
            <w:vAlign w:val="bottom"/>
            <w:vMerge w:val="continue"/>
          </w:tcPr>
          <w:p>
            <w:pPr>
              <w:spacing w:after="0" w:line="20" w:lineRule="exact"/>
              <w:rPr>
                <w:sz w:val="1"/>
                <w:szCs w:val="1"/>
                <w:color w:val="auto"/>
              </w:rPr>
            </w:pPr>
          </w:p>
        </w:tc>
        <w:tc>
          <w:tcPr>
            <w:tcW w:w="600" w:type="dxa"/>
            <w:vAlign w:val="bottom"/>
          </w:tcPr>
          <w:p>
            <w:pPr>
              <w:ind w:left="260"/>
              <w:spacing w:after="0" w:line="16" w:lineRule="exact"/>
              <w:rPr>
                <w:sz w:val="20"/>
                <w:szCs w:val="20"/>
                <w:color w:val="auto"/>
              </w:rPr>
            </w:pPr>
            <w:r>
              <w:rPr>
                <w:rFonts w:ascii="Times New Roman" w:cs="Times New Roman" w:eastAsia="Times New Roman" w:hAnsi="Times New Roman"/>
                <w:sz w:val="2"/>
                <w:szCs w:val="2"/>
                <w:color w:val="auto"/>
              </w:rPr>
              <w:t>​</w:t>
            </w: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01/03/2023</w:t>
            </w:r>
            <w:r>
              <w:rPr>
                <w:rFonts w:ascii="Times New Roman" w:cs="Times New Roman" w:eastAsia="Times New Roman" w:hAnsi="Times New Roman"/>
                <w:sz w:val="3"/>
                <w:szCs w:val="3"/>
                <w:color w:val="auto"/>
              </w:rPr>
              <w:t>​</w:t>
            </w:r>
          </w:p>
        </w:tc>
        <w:tc>
          <w:tcPr>
            <w:tcW w:w="6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8,175</w:t>
            </w:r>
            <w:r>
              <w:rPr>
                <w:rFonts w:ascii="Arial" w:cs="Arial" w:eastAsia="Arial" w:hAnsi="Arial"/>
                <w:sz w:val="23"/>
                <w:szCs w:val="23"/>
                <w:color w:val="auto"/>
                <w:vertAlign w:val="superscript"/>
              </w:rPr>
              <w:t>(6)</w:t>
            </w:r>
            <w:r>
              <w:rPr>
                <w:rFonts w:ascii="Times New Roman" w:cs="Times New Roman" w:eastAsia="Times New Roman" w:hAnsi="Times New Roman"/>
                <w:sz w:val="3"/>
                <w:szCs w:val="3"/>
                <w:color w:val="auto"/>
              </w:rPr>
              <w:t>​</w:t>
            </w: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100,389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04/13/2023</w:t>
            </w:r>
            <w:r>
              <w:rPr>
                <w:rFonts w:ascii="Times New Roman" w:cs="Times New Roman" w:eastAsia="Times New Roman" w:hAnsi="Times New Roman"/>
                <w:sz w:val="3"/>
                <w:szCs w:val="3"/>
                <w:color w:val="auto"/>
              </w:rPr>
              <w:t>​</w:t>
            </w:r>
          </w:p>
        </w:tc>
        <w:tc>
          <w:tcPr>
            <w:tcW w:w="6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44,061</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541,069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07/11/2023</w:t>
            </w:r>
            <w:r>
              <w:rPr>
                <w:rFonts w:ascii="Times New Roman" w:cs="Times New Roman" w:eastAsia="Times New Roman" w:hAnsi="Times New Roman"/>
                <w:sz w:val="3"/>
                <w:szCs w:val="3"/>
                <w:color w:val="auto"/>
              </w:rPr>
              <w:t>​</w:t>
            </w:r>
          </w:p>
        </w:tc>
        <w:tc>
          <w:tcPr>
            <w:tcW w:w="6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53,497</w:t>
            </w:r>
            <w:r>
              <w:rPr>
                <w:rFonts w:ascii="Arial" w:cs="Arial" w:eastAsia="Arial" w:hAnsi="Arial"/>
                <w:sz w:val="23"/>
                <w:szCs w:val="23"/>
                <w:color w:val="auto"/>
                <w:vertAlign w:val="superscript"/>
              </w:rPr>
              <w:t>(8)</w:t>
            </w:r>
            <w:r>
              <w:rPr>
                <w:rFonts w:ascii="Times New Roman" w:cs="Times New Roman" w:eastAsia="Times New Roman" w:hAnsi="Times New Roman"/>
                <w:sz w:val="3"/>
                <w:szCs w:val="3"/>
                <w:color w:val="auto"/>
              </w:rPr>
              <w:t>​</w:t>
            </w: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656,943</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08/01/2022</w:t>
            </w:r>
            <w:r>
              <w:rPr>
                <w:rFonts w:ascii="Times New Roman" w:cs="Times New Roman" w:eastAsia="Times New Roman" w:hAnsi="Times New Roman"/>
                <w:sz w:val="3"/>
                <w:szCs w:val="3"/>
                <w:color w:val="auto"/>
              </w:rPr>
              <w:t>​</w:t>
            </w:r>
          </w:p>
        </w:tc>
        <w:tc>
          <w:tcPr>
            <w:tcW w:w="6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10,313</w:t>
            </w:r>
            <w:r>
              <w:rPr>
                <w:rFonts w:ascii="Arial" w:cs="Arial" w:eastAsia="Arial" w:hAnsi="Arial"/>
                <w:sz w:val="23"/>
                <w:szCs w:val="23"/>
                <w:color w:val="auto"/>
                <w:vertAlign w:val="superscript"/>
              </w:rPr>
              <w:t>(9)</w:t>
            </w:r>
            <w:r>
              <w:rPr>
                <w:rFonts w:ascii="Times New Roman" w:cs="Times New Roman" w:eastAsia="Times New Roman" w:hAnsi="Times New Roman"/>
                <w:sz w:val="3"/>
                <w:szCs w:val="3"/>
                <w:color w:val="auto"/>
              </w:rPr>
              <w:t>​</w:t>
            </w: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126,644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0"/>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tcPr>
          <w:p>
            <w:pPr>
              <w:ind w:left="60"/>
              <w:spacing w:after="0"/>
              <w:rPr>
                <w:sz w:val="20"/>
                <w:szCs w:val="20"/>
                <w:color w:val="auto"/>
              </w:rPr>
            </w:pPr>
            <w:r>
              <w:rPr>
                <w:rFonts w:ascii="Arial" w:cs="Arial" w:eastAsia="Arial" w:hAnsi="Arial"/>
                <w:sz w:val="14"/>
                <w:szCs w:val="14"/>
                <w:color w:val="auto"/>
              </w:rPr>
              <w:t>Sid Thacker</w:t>
            </w:r>
          </w:p>
        </w:tc>
        <w:tc>
          <w:tcPr>
            <w:tcW w:w="60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03/15/2023</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28"/>
                <w:szCs w:val="28"/>
                <w:color w:val="auto"/>
                <w:vertAlign w:val="subscript"/>
              </w:rPr>
              <w:t>1,562</w:t>
            </w:r>
            <w:r>
              <w:rPr>
                <w:rFonts w:ascii="Arial" w:cs="Arial" w:eastAsia="Arial" w:hAnsi="Arial"/>
                <w:sz w:val="12"/>
                <w:szCs w:val="12"/>
                <w:color w:val="auto"/>
              </w:rPr>
              <w:t>(10)</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19,181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04/13/2023</w:t>
            </w:r>
            <w:r>
              <w:rPr>
                <w:rFonts w:ascii="Times New Roman" w:cs="Times New Roman" w:eastAsia="Times New Roman" w:hAnsi="Times New Roman"/>
                <w:sz w:val="3"/>
                <w:szCs w:val="3"/>
                <w:color w:val="auto"/>
              </w:rPr>
              <w:t>​</w:t>
            </w:r>
          </w:p>
        </w:tc>
        <w:tc>
          <w:tcPr>
            <w:tcW w:w="6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15,936</w:t>
            </w:r>
            <w:r>
              <w:rPr>
                <w:rFonts w:ascii="Arial" w:cs="Arial" w:eastAsia="Arial" w:hAnsi="Arial"/>
                <w:sz w:val="23"/>
                <w:szCs w:val="23"/>
                <w:color w:val="auto"/>
                <w:vertAlign w:val="superscript"/>
              </w:rPr>
              <w:t>(11)</w:t>
            </w:r>
            <w:r>
              <w:rPr>
                <w:rFonts w:ascii="Times New Roman" w:cs="Times New Roman" w:eastAsia="Times New Roman" w:hAnsi="Times New Roman"/>
                <w:sz w:val="3"/>
                <w:szCs w:val="3"/>
                <w:color w:val="auto"/>
              </w:rPr>
              <w:t>​</w:t>
            </w: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195,694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04/01/2020</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28"/>
                <w:szCs w:val="28"/>
                <w:color w:val="auto"/>
                <w:vertAlign w:val="subscript"/>
              </w:rPr>
              <w:t>5,672</w:t>
            </w:r>
            <w:r>
              <w:rPr>
                <w:rFonts w:ascii="Arial" w:cs="Arial" w:eastAsia="Arial" w:hAnsi="Arial"/>
                <w:sz w:val="12"/>
                <w:szCs w:val="12"/>
                <w:color w:val="auto"/>
              </w:rPr>
              <w:t>(13)</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69,652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10/29/2021</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28"/>
                <w:szCs w:val="28"/>
                <w:color w:val="auto"/>
                <w:vertAlign w:val="subscript"/>
              </w:rPr>
              <w:t>2,120</w:t>
            </w:r>
            <w:r>
              <w:rPr>
                <w:rFonts w:ascii="Arial" w:cs="Arial" w:eastAsia="Arial" w:hAnsi="Arial"/>
                <w:sz w:val="12"/>
                <w:szCs w:val="12"/>
                <w:color w:val="auto"/>
              </w:rPr>
              <w:t>(13)</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26,034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460" w:type="dxa"/>
            <w:vAlign w:val="bottom"/>
            <w:vMerge w:val="restart"/>
          </w:tcPr>
          <w:p>
            <w:pPr>
              <w:ind w:left="60"/>
              <w:spacing w:after="0"/>
              <w:rPr>
                <w:sz w:val="20"/>
                <w:szCs w:val="20"/>
                <w:color w:val="auto"/>
              </w:rPr>
            </w:pPr>
            <w:r>
              <w:rPr>
                <w:rFonts w:ascii="Arial" w:cs="Arial" w:eastAsia="Arial" w:hAnsi="Arial"/>
                <w:sz w:val="14"/>
                <w:szCs w:val="14"/>
                <w:color w:val="auto"/>
              </w:rPr>
              <w:t>Anushka Salinas</w:t>
            </w:r>
          </w:p>
        </w:tc>
        <w:tc>
          <w:tcPr>
            <w:tcW w:w="60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vMerge w:val="continue"/>
          </w:tcPr>
          <w:p>
            <w:pPr>
              <w:spacing w:after="0"/>
              <w:rPr>
                <w:sz w:val="16"/>
                <w:szCs w:val="16"/>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03/15/2022</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line="189" w:lineRule="exact"/>
              <w:rPr>
                <w:sz w:val="20"/>
                <w:szCs w:val="20"/>
                <w:color w:val="auto"/>
              </w:rPr>
            </w:pPr>
            <w:r>
              <w:rPr>
                <w:rFonts w:ascii="Arial" w:cs="Arial" w:eastAsia="Arial" w:hAnsi="Arial"/>
                <w:sz w:val="13"/>
                <w:szCs w:val="13"/>
                <w:color w:val="auto"/>
              </w:rPr>
              <w:t>10,063</w:t>
            </w:r>
            <w:r>
              <w:rPr>
                <w:rFonts w:ascii="Arial" w:cs="Arial" w:eastAsia="Arial" w:hAnsi="Arial"/>
                <w:sz w:val="21"/>
                <w:szCs w:val="21"/>
                <w:color w:val="auto"/>
                <w:vertAlign w:val="superscript"/>
              </w:rPr>
              <w:t>(13)</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123,574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Pr>
          <w:p>
            <w:pPr>
              <w:jc w:val="right"/>
              <w:ind w:right="271"/>
              <w:spacing w:after="0"/>
              <w:rPr>
                <w:sz w:val="20"/>
                <w:szCs w:val="20"/>
                <w:color w:val="auto"/>
              </w:rPr>
            </w:pPr>
            <w:r>
              <w:rPr>
                <w:rFonts w:ascii="Arial" w:cs="Arial" w:eastAsia="Arial" w:hAnsi="Arial"/>
                <w:sz w:val="14"/>
                <w:szCs w:val="14"/>
                <w:color w:val="auto"/>
              </w:rPr>
              <w:t>04/13/2023</w:t>
            </w:r>
            <w:r>
              <w:rPr>
                <w:rFonts w:ascii="Times New Roman" w:cs="Times New Roman" w:eastAsia="Times New Roman" w:hAnsi="Times New Roman"/>
                <w:sz w:val="3"/>
                <w:szCs w:val="3"/>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jc w:val="right"/>
              <w:ind w:right="33"/>
              <w:spacing w:after="0"/>
              <w:rPr>
                <w:sz w:val="20"/>
                <w:szCs w:val="20"/>
                <w:color w:val="auto"/>
              </w:rPr>
            </w:pPr>
            <w:r>
              <w:rPr>
                <w:rFonts w:ascii="Arial" w:cs="Arial" w:eastAsia="Arial" w:hAnsi="Arial"/>
                <w:sz w:val="28"/>
                <w:szCs w:val="28"/>
                <w:color w:val="auto"/>
                <w:vertAlign w:val="subscript"/>
              </w:rPr>
              <w:t>9,999</w:t>
            </w:r>
            <w:r>
              <w:rPr>
                <w:rFonts w:ascii="Arial" w:cs="Arial" w:eastAsia="Arial" w:hAnsi="Arial"/>
                <w:sz w:val="12"/>
                <w:szCs w:val="12"/>
                <w:color w:val="auto"/>
              </w:rPr>
              <w:t>(13)</w:t>
            </w:r>
            <w:r>
              <w:rPr>
                <w:rFonts w:ascii="Times New Roman" w:cs="Times New Roman" w:eastAsia="Times New Roman" w:hAnsi="Times New Roman"/>
                <w:sz w:val="3"/>
                <w:szCs w:val="3"/>
                <w:color w:val="auto"/>
              </w:rPr>
              <w:t>​</w:t>
            </w:r>
          </w:p>
        </w:tc>
        <w:tc>
          <w:tcPr>
            <w:tcW w:w="1260" w:type="dxa"/>
            <w:vAlign w:val="bottom"/>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gridSpan w:val="2"/>
          </w:tcPr>
          <w:p>
            <w:pPr>
              <w:jc w:val="right"/>
              <w:ind w:right="82"/>
              <w:spacing w:after="0"/>
              <w:rPr>
                <w:sz w:val="20"/>
                <w:szCs w:val="20"/>
                <w:color w:val="auto"/>
              </w:rPr>
            </w:pPr>
            <w:r>
              <w:rPr>
                <w:rFonts w:ascii="Arial" w:cs="Arial" w:eastAsia="Arial" w:hAnsi="Arial"/>
                <w:sz w:val="14"/>
                <w:szCs w:val="14"/>
                <w:color w:val="auto"/>
              </w:rPr>
              <w:t>122,788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2"/>
                <w:szCs w:val="2"/>
                <w:color w:val="auto"/>
                <w:w w:val="4294942296"/>
              </w:rPr>
              <w:t>​</w:t>
            </w:r>
          </w:p>
        </w:tc>
        <w:tc>
          <w:tcPr>
            <w:tcW w:w="1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07/11/2023</w:t>
            </w:r>
            <w:r>
              <w:rPr>
                <w:rFonts w:ascii="Times New Roman" w:cs="Times New Roman" w:eastAsia="Times New Roman" w:hAnsi="Times New Roman"/>
                <w:sz w:val="3"/>
                <w:szCs w:val="3"/>
                <w:color w:val="auto"/>
              </w:rPr>
              <w:t>​</w:t>
            </w:r>
          </w:p>
        </w:tc>
        <w:tc>
          <w:tcPr>
            <w:tcW w:w="6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28"/>
                <w:szCs w:val="28"/>
                <w:color w:val="auto"/>
                <w:vertAlign w:val="subscript"/>
              </w:rPr>
              <w:t>1,984</w:t>
            </w:r>
            <w:r>
              <w:rPr>
                <w:rFonts w:ascii="Arial" w:cs="Arial" w:eastAsia="Arial" w:hAnsi="Arial"/>
                <w:sz w:val="12"/>
                <w:szCs w:val="12"/>
                <w:color w:val="auto"/>
              </w:rPr>
              <w:t>(13)</w:t>
            </w:r>
            <w:r>
              <w:rPr>
                <w:rFonts w:ascii="Times New Roman" w:cs="Times New Roman" w:eastAsia="Times New Roman" w:hAnsi="Times New Roman"/>
                <w:sz w:val="3"/>
                <w:szCs w:val="3"/>
                <w:color w:val="auto"/>
              </w:rPr>
              <w:t>​</w:t>
            </w: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4"/>
                <w:szCs w:val="4"/>
                <w:color w:val="auto"/>
              </w:rPr>
              <w:t>​</w:t>
            </w:r>
          </w:p>
        </w:tc>
        <w:tc>
          <w:tcPr>
            <w:tcW w:w="15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24,364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w:t>
      </w:r>
    </w:p>
    <w:p>
      <w:pPr>
        <w:spacing w:after="0" w:line="55" w:lineRule="exact"/>
        <w:rPr>
          <w:rFonts w:ascii="Arial" w:cs="Arial" w:eastAsia="Arial" w:hAnsi="Arial"/>
          <w:sz w:val="14"/>
          <w:szCs w:val="14"/>
          <w:color w:val="auto"/>
        </w:rPr>
      </w:pPr>
    </w:p>
    <w:p>
      <w:pPr>
        <w:ind w:left="380" w:right="60" w:hanging="359"/>
        <w:spacing w:after="0" w:line="256"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RSUs vest based on the satisfaction of both service-based and liquidity-based vesting conditions. The service-based vesting period for these RSU awards is scheduled over four years in ratable installments on each quarterly anniversary of February 1, 2020, in each case subject to continued service. The liquidity-based vesting condition was deemed satisfied in connection with our IPO and the RSUs that had met the service-based vesting condition settled into shares of common stock on March 15, 2022.</w:t>
      </w:r>
    </w:p>
    <w:p>
      <w:pPr>
        <w:spacing w:after="0" w:line="15" w:lineRule="exact"/>
        <w:rPr>
          <w:rFonts w:ascii="Arial" w:cs="Arial" w:eastAsia="Arial" w:hAnsi="Arial"/>
          <w:sz w:val="14"/>
          <w:szCs w:val="14"/>
          <w:color w:val="auto"/>
        </w:rPr>
      </w:pPr>
    </w:p>
    <w:p>
      <w:pPr>
        <w:ind w:left="380" w:right="6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$12.28, the closing stock price of our Class A common stock on January 31, 2024, which has been adjusted to reflect the Reverse Stock Split.</w:t>
      </w:r>
    </w:p>
    <w:p>
      <w:pPr>
        <w:spacing w:after="0" w:line="1" w:lineRule="exact"/>
        <w:rPr>
          <w:rFonts w:ascii="Arial" w:cs="Arial" w:eastAsia="Arial" w:hAnsi="Arial"/>
          <w:sz w:val="14"/>
          <w:szCs w:val="14"/>
          <w:color w:val="auto"/>
        </w:rPr>
      </w:pPr>
    </w:p>
    <w:p>
      <w:pPr>
        <w:ind w:left="380" w:right="120" w:hanging="359"/>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50% on the first anniversary of the grant date and 50% on the second anniversary of the grant date,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20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50% on December 15, 2023 and 50% on December 15, 2024,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100" w:hanging="359"/>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12 quarterly installments on the quarterly anniversary of March 15, 2023, such that the award will be fully vested on approximately the third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eight quarterly installments on the quarterly anniversary of August 1, 2023,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26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first anniversary of the grant date and in 12 quarterly installments on the quarterly anniversary of the grant date,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320" w:hanging="359"/>
        <w:spacing w:after="0" w:line="285"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eight quarterly installments on the quarterly anniversary of February 1, 2023, subject to the named executive officer’s continued service with us through the applicable vesting dates.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40" w:hanging="359"/>
        <w:spacing w:after="0" w:line="281"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RSUs that vest in 12 quarterly installments on the quarterly anniversary of March 15, 2023,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RSUs vest into shares of Class B common stock.</w:t>
      </w:r>
    </w:p>
    <w:p>
      <w:pPr>
        <w:spacing w:after="0" w:line="55" w:lineRule="exact"/>
        <w:rPr>
          <w:rFonts w:ascii="Arial" w:cs="Arial" w:eastAsia="Arial" w:hAnsi="Arial"/>
          <w:sz w:val="14"/>
          <w:szCs w:val="14"/>
          <w:color w:val="auto"/>
        </w:rPr>
      </w:pPr>
    </w:p>
    <w:p>
      <w:pPr>
        <w:ind w:left="380" w:right="440" w:hanging="359"/>
        <w:spacing w:after="0" w:line="285"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RSUs outstanding immediately prior to their acceleration which occurred on January 31, 2024 in accordance with the Salinas Transition Agreement (See “Executive Severance Plan-Former Named Executive Officers” for more information).</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85"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69"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We entered into an employment agreement (the “CEO Agreement”), with Ms. Hyman in October 2021, which provides for her continued employment with us as Co-Founder and Chief Executive Officer. The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CEO Agreement or enter into a new Executive Chair Agreement with Ms. Hyman.</w:t>
      </w:r>
    </w:p>
    <w:p>
      <w:pPr>
        <w:spacing w:after="0" w:line="143"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Pursuant to the CEO Agreement, Ms. Hyman is entitled to an initial annual base salary of $650,000. With respect to fiscal year 2022, Ms. Hyman’s target annual bonus was 100% of her base salary, with a minimum opportunity of 0% and maximum opportunity of 150% of her annual base salary. In addition, pursuant to the CEO Agreement, Ms. Hyman is eligible to receive data security consulting benefits, including an assessment of Ms. Hyman’s personal security considerations in connection with her position with us (following which the Compensation Committee will determine any reasonable security enhancements to be adopted after its review of such assessment). In May 2022, the CEO Agreement was amended to provide that, with respect to fiscal year 2022 and thereafter, Ms. Hyman is eligible to receive an annual performance-based cash bonus with a target bonus opportunity of 100% of her base salary.</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(z) the date of Ms. Hyman’s termination of employment by the Company without “cause,” by Ms. Hyman for “good reason,” or due to Ms. Hyman’s death or “disability” (each as defined in the CEO Agreement).</w:t>
      </w:r>
    </w:p>
    <w:p>
      <w:pPr>
        <w:spacing w:after="0" w:line="144" w:lineRule="exact"/>
        <w:rPr>
          <w:sz w:val="20"/>
          <w:szCs w:val="20"/>
          <w:color w:val="auto"/>
        </w:rPr>
      </w:pPr>
    </w:p>
    <w:p>
      <w:pPr>
        <w:ind w:left="20" w:right="100"/>
        <w:spacing w:after="0" w:line="237" w:lineRule="auto"/>
        <w:rPr>
          <w:sz w:val="20"/>
          <w:szCs w:val="20"/>
          <w:color w:val="auto"/>
        </w:rPr>
      </w:pPr>
      <w:r>
        <w:rPr>
          <w:rFonts w:ascii="Arial" w:cs="Arial" w:eastAsia="Arial" w:hAnsi="Arial"/>
          <w:sz w:val="18"/>
          <w:szCs w:val="18"/>
          <w:color w:val="auto"/>
        </w:rPr>
        <w:t>Pursuant to the CEO Agreement, if Ms. Hyman’s employment is terminated by us without “cause” or by Ms. Hyman for “good reason” (each as defined in the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(ii) continued group health coverage for a period of up to 18 months following termination, and (iii) an extended post-termination option exercise period in accordance with the terms of the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 The restrictive covenants described above will continue to apply under the CEO Agreement. The CEO Agreement also provides for a Section 280G “best net” cutback.</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83" w:lineRule="exact"/>
        <w:rPr>
          <w:sz w:val="20"/>
          <w:szCs w:val="20"/>
          <w:color w:val="auto"/>
        </w:rPr>
      </w:pPr>
    </w:p>
    <w:p>
      <w:pPr>
        <w:ind w:left="20" w:right="140"/>
        <w:spacing w:after="0"/>
        <w:rPr>
          <w:sz w:val="20"/>
          <w:szCs w:val="20"/>
          <w:color w:val="auto"/>
        </w:rPr>
      </w:pPr>
      <w:r>
        <w:rPr>
          <w:rFonts w:ascii="Arial" w:cs="Arial" w:eastAsia="Arial" w:hAnsi="Arial"/>
          <w:sz w:val="18"/>
          <w:szCs w:val="18"/>
          <w:color w:val="auto"/>
        </w:rPr>
        <w:t>On April 11, 2023, the Company’s Board of Directors appointed Sid Thacker as the Company’s new Chief Financial Officer, effective on May 25, 2023. In connection with his appointment, the Company entered into an offer letter amendment with Mr. Thacker, dated April 11, 2023 (the “Thacker Agreement”). The Thacker Agreement provides that, effective as of April 15, 2023, Mr. Thacker’s annual base salary was increased from $350,000 to $475,000; he was eligible to participate in the fiscal year 2023 executive bonus program with a target bonus opportunity of 38% of his base salary; and notwithstanding anything to the contrary in the Company’s Amended and Restated Executive Severance Plan (the “Severance Plan”) or his previous participation letter, Mr. Thacker is eligible to participate in the Severance Plan at the level of “Executive Officer Group” for purposes of any severance benefits payable thereunder.</w:t>
      </w:r>
    </w:p>
    <w:p>
      <w:pPr>
        <w:spacing w:after="0" w:line="140"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In addition, Mr. Thacker was granted 21,250 RSUs in connection with his promotion, which vest in 12 quarterly installments on the quarterly anniversary of March 15, 2023 such that the RSUs will be fully vested on March 15, 2026, subject to his continued service through the applicable vesting dates.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Anushka Salinas</w:t>
      </w:r>
    </w:p>
    <w:p>
      <w:pPr>
        <w:spacing w:after="0" w:line="169" w:lineRule="exact"/>
        <w:rPr>
          <w:sz w:val="20"/>
          <w:szCs w:val="20"/>
          <w:color w:val="auto"/>
        </w:rPr>
      </w:pPr>
    </w:p>
    <w:p>
      <w:pPr>
        <w:ind w:left="20" w:right="680"/>
        <w:spacing w:after="0" w:line="247" w:lineRule="auto"/>
        <w:rPr>
          <w:sz w:val="20"/>
          <w:szCs w:val="20"/>
          <w:color w:val="auto"/>
        </w:rPr>
      </w:pPr>
      <w:r>
        <w:rPr>
          <w:rFonts w:ascii="Arial" w:cs="Arial" w:eastAsia="Arial" w:hAnsi="Arial"/>
          <w:sz w:val="18"/>
          <w:szCs w:val="18"/>
          <w:color w:val="auto"/>
        </w:rPr>
        <w:t>On January 20, 2017, we entered into an offer letter with Ms. Salinas to employ her as our General Manager of Subscription, though during fiscal year 2023 she served as our President and Chief Operating Officer through January 31, 2024. The COO Offer Letter provided for an initial annual base salary of $400,000, which was subsequently increased to $600,000.</w:t>
      </w:r>
    </w:p>
    <w:p>
      <w:pPr>
        <w:spacing w:after="0" w:line="147"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In addition to the offer letter, Ms. Salinas entered into the Company’s Invention and Non-Disclosure Agreement as well as Non-Competition and Non-Solicitation Agreement in connection with her employment, which provides that she is subject to 12-month post-termination non-competition and non-solicitation of customers and employees covenants, as well as perpetual non-disparagement covenants.</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Severance Plan</w:t>
      </w:r>
    </w:p>
    <w:p>
      <w:pPr>
        <w:spacing w:after="0" w:line="171"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We have adopted an Executive Severance Plan, or the Severance Plan, pursuant to which senior employees (including our named executive officers other than Ms. Hyman) are eligible to participate. Ms. Hyman does not participate in the Severance Plan. The Severance Plan provides for the payment of certain severance and other benefits to participants in the event of a qualifying termination of employment with us.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83"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Under the Severance Plan, in the event of a termination of Mr. Thacker’s employment by us without “cause” (as defined in the Severance Plan) or by him for “good reason” (as defined in the Severance Plan), he will be eligible to receive the following benefits:</w:t>
      </w:r>
    </w:p>
    <w:p>
      <w:pPr>
        <w:spacing w:after="0" w:line="128" w:lineRule="exact"/>
        <w:rPr>
          <w:sz w:val="20"/>
          <w:szCs w:val="20"/>
          <w:color w:val="auto"/>
        </w:rPr>
      </w:pPr>
    </w:p>
    <w:p>
      <w:pPr>
        <w:ind w:left="740" w:right="80" w:hanging="359"/>
        <w:spacing w:after="0" w:line="241"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cash payment equal to 0.5x Mr. Thacker’s then-current base salary because he has been employed with us for less than five years, payable in installments over a period of years or partial years equal to his severance multiple;</w:t>
      </w:r>
    </w:p>
    <w:p>
      <w:pPr>
        <w:spacing w:after="0" w:line="1" w:lineRule="exact"/>
        <w:rPr>
          <w:rFonts w:ascii="Arial" w:cs="Arial" w:eastAsia="Arial" w:hAnsi="Arial"/>
          <w:sz w:val="18"/>
          <w:szCs w:val="18"/>
          <w:color w:val="auto"/>
        </w:rPr>
      </w:pPr>
    </w:p>
    <w:p>
      <w:pPr>
        <w:ind w:left="740" w:right="440" w:hanging="359"/>
        <w:spacing w:after="0" w:line="24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7"/>
          <w:szCs w:val="17"/>
          <w:color w:val="auto"/>
        </w:rPr>
      </w:pPr>
    </w:p>
    <w:p>
      <w:pPr>
        <w:ind w:left="740" w:hanging="359"/>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company-paid COBRA premium payments for up to six months.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In the event of a termination of Mr. Thacker’s employment by us without “cause” or by him for “good reason” during the period beginning three months before and ending on the 12-month anniversary of a “change in control” (as defined in the Severance Plan), he will be eligible to receive the following benefits:</w:t>
      </w:r>
    </w:p>
    <w:p>
      <w:pPr>
        <w:spacing w:after="0" w:line="142" w:lineRule="exact"/>
        <w:rPr>
          <w:sz w:val="20"/>
          <w:szCs w:val="20"/>
          <w:color w:val="auto"/>
        </w:rPr>
      </w:pPr>
    </w:p>
    <w:p>
      <w:pPr>
        <w:ind w:left="740" w:hanging="359"/>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cash payment equal to 1.0x Mr. Thacker’s then-current annual base salary;</w:t>
      </w:r>
    </w:p>
    <w:p>
      <w:pPr>
        <w:spacing w:after="0" w:line="13" w:lineRule="exact"/>
        <w:rPr>
          <w:rFonts w:ascii="Arial" w:cs="Arial" w:eastAsia="Arial" w:hAnsi="Arial"/>
          <w:sz w:val="18"/>
          <w:szCs w:val="18"/>
          <w:color w:val="auto"/>
        </w:rPr>
      </w:pPr>
    </w:p>
    <w:p>
      <w:pPr>
        <w:ind w:left="740" w:right="400" w:hanging="359"/>
        <w:spacing w:after="0" w:line="23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cash payment equal to 1.0x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 and</w:t>
      </w:r>
    </w:p>
    <w:p>
      <w:pPr>
        <w:ind w:left="740" w:right="400" w:hanging="359"/>
        <w:spacing w:after="0" w:line="24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his continued service with us or the passage of time, with awards that vest based on the achievement of performance objectives or conditions eligible to vest based on the applicable award agreement.</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Anushka Salinas and Scarlett O’Sullivan</w:t>
      </w:r>
    </w:p>
    <w:p>
      <w:pPr>
        <w:spacing w:after="0" w:line="16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Under the Severance Plan, in the event of a termination of Ms. Salinas or Ms. O’Sullivan’s employment by us without “cause” (as defined in each of their offer letters) or by Ms. Salinas or Ms. O’Sullivan for “good reason” (as defined in the Severance Plan) during fiscal year 2023, Ms. Salinas or Ms. O’Sullivan would have been eligible to receive (i) 1.25x their then-current base salary, (ii) a prorated cash bonus with respect to the fiscal year in which the termination of employment occurs based on actual achievement of performance goals (the “Actual Bonus”), and (iii) company-paid COBRA premium for up to 15 months; provided, that if such termination occurred during the period beginning three months before and ending on the twelve-month anniversary of a “change in control” (as defined in the Severance Plan), instead of the Actual Bonus, Ms. Salinas or Ms. O’Sullivan would have been eligible to receive 1.25x the greater of (1) the Actual Bonus and (2) the target annual bonus for the fiscal year in which the date of termination occurs and would have also been eligible to receive accelerated vesting of all service-based or time-based equity awards with performance-based equity awards eligible to vest based on the applicable award agreement.</w:t>
      </w:r>
    </w:p>
    <w:p>
      <w:pPr>
        <w:spacing w:after="0" w:line="145" w:lineRule="exact"/>
        <w:rPr>
          <w:sz w:val="20"/>
          <w:szCs w:val="20"/>
          <w:color w:val="auto"/>
        </w:rPr>
      </w:pPr>
    </w:p>
    <w:p>
      <w:pPr>
        <w:ind w:left="20" w:right="440"/>
        <w:spacing w:after="0" w:line="253" w:lineRule="auto"/>
        <w:rPr>
          <w:sz w:val="20"/>
          <w:szCs w:val="20"/>
          <w:color w:val="auto"/>
        </w:rPr>
      </w:pPr>
      <w:r>
        <w:rPr>
          <w:rFonts w:ascii="Arial" w:cs="Arial" w:eastAsia="Arial" w:hAnsi="Arial"/>
          <w:sz w:val="18"/>
          <w:szCs w:val="18"/>
          <w:color w:val="auto"/>
        </w:rPr>
        <w:t>In the event that the executive provides at least three months’ advance notice of their intent to resign without good reason, he or she would be entitled to an additional fiscal quarter of acceleration of the named executive officer’s outstanding equity awards subject to the passage of time.</w:t>
      </w:r>
    </w:p>
    <w:p>
      <w:pPr>
        <w:spacing w:after="0" w:line="142"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right to receive the severance payments and benefits described above is subject to the executive’s delivery and, as applicable, non-revocation of a general release of claims in our favor, and their continued compliance with any applicable restrictive covenants.</w:t>
      </w:r>
    </w:p>
    <w:p>
      <w:pPr>
        <w:spacing w:after="0" w:line="128" w:lineRule="exact"/>
        <w:rPr>
          <w:sz w:val="20"/>
          <w:szCs w:val="20"/>
          <w:color w:val="auto"/>
        </w:rPr>
      </w:pPr>
    </w:p>
    <w:p>
      <w:pPr>
        <w:ind w:left="20" w:right="320"/>
        <w:spacing w:after="0" w:line="247" w:lineRule="auto"/>
        <w:rPr>
          <w:sz w:val="20"/>
          <w:szCs w:val="20"/>
          <w:color w:val="auto"/>
        </w:rPr>
      </w:pPr>
      <w:r>
        <w:rPr>
          <w:rFonts w:ascii="Arial" w:cs="Arial" w:eastAsia="Arial" w:hAnsi="Arial"/>
          <w:sz w:val="18"/>
          <w:szCs w:val="18"/>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13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In January 2024, we amended the Severance Plan to remove the level of “CFO/COO Group” for purposes of any severance benefits payable thereunder and provide that the “Senior Leadership Team Group” would include the Vice President-level and above employees of the Company designated as part of the “Senior Leadership Team” (other than Ms. Hyman and employees already designated part of the “Executive Officer Group”).</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Former Named Executive Officers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Anushka Salinas</w:t>
      </w:r>
    </w:p>
    <w:p>
      <w:pPr>
        <w:spacing w:after="0" w:line="183" w:lineRule="exact"/>
        <w:rPr>
          <w:sz w:val="20"/>
          <w:szCs w:val="20"/>
          <w:color w:val="auto"/>
        </w:rPr>
      </w:pPr>
    </w:p>
    <w:p>
      <w:pPr>
        <w:ind w:left="20" w:right="380"/>
        <w:spacing w:after="0" w:line="242" w:lineRule="auto"/>
        <w:rPr>
          <w:sz w:val="20"/>
          <w:szCs w:val="20"/>
          <w:color w:val="auto"/>
        </w:rPr>
      </w:pPr>
      <w:r>
        <w:rPr>
          <w:rFonts w:ascii="Arial" w:cs="Arial" w:eastAsia="Arial" w:hAnsi="Arial"/>
          <w:sz w:val="18"/>
          <w:szCs w:val="18"/>
          <w:color w:val="auto"/>
        </w:rPr>
        <w:t>On January 8, 2024, Anushka Salinas resigned as our Chief Operating Officer and President, effective January 31, 2024 (the “Salinas Transition Date”). In connection with Ms. Salinas’s resignation, we entered into a Transition Agreement with Ms. Salinas, dated January 8, 2024 (the “Salinas Transition Agreement”). Pursuant to the Salinas Transition Agreement, Ms. Salinas served as a consultant advisor to the Company through February 29, 2024. As consideration for the advisory services, her execution and non-revocation of a release of claims and continued compliance with any applicable restrictive covenant obligations, Ms. Salinas was entitled to: (i) a lump sum</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$950,000, less applicable taxes and withholding deductions, payable on the Salinas Transition Date, and</w:t>
      </w:r>
    </w:p>
    <w:p>
      <w:pPr>
        <w:spacing w:after="0" w:line="14" w:lineRule="exact"/>
        <w:rPr>
          <w:sz w:val="20"/>
          <w:szCs w:val="20"/>
          <w:color w:val="auto"/>
        </w:rPr>
      </w:pPr>
    </w:p>
    <w:p>
      <w:pPr>
        <w:ind w:left="20" w:right="80" w:firstLine="1"/>
        <w:spacing w:after="0" w:line="250"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the costs of COBRA premiums for her and her covered dependents through April 30, 2025 (or, if earlier, the date upon which Ms. Salinas is no longer eligible for COBRA continuation coverage).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addition, the Salinas Transition Agreement provided that 100% of the restricted stock unit award granted to</w:t>
      </w:r>
    </w:p>
    <w:p>
      <w:pPr>
        <w:spacing w:after="0" w:line="14" w:lineRule="exact"/>
        <w:rPr>
          <w:sz w:val="20"/>
          <w:szCs w:val="20"/>
          <w:color w:val="auto"/>
        </w:rPr>
      </w:pPr>
    </w:p>
    <w:p>
      <w:pPr>
        <w:ind w:left="20" w:right="240"/>
        <w:spacing w:after="0"/>
        <w:rPr>
          <w:sz w:val="20"/>
          <w:szCs w:val="20"/>
          <w:color w:val="auto"/>
        </w:rPr>
      </w:pPr>
      <w:r>
        <w:rPr>
          <w:rFonts w:ascii="Arial" w:cs="Arial" w:eastAsia="Arial" w:hAnsi="Arial"/>
          <w:sz w:val="18"/>
          <w:szCs w:val="18"/>
          <w:color w:val="auto"/>
        </w:rPr>
        <w:t>Ms. Salinas on July 11, 2023 and any other outstanding time-vesting equity awards granted to Ms. Salinas that were unvested as of the Salinas Transition Date and that would have become vested on or prior to April 30, 2025 had Ms. Salinas remained a service provider through such date were accelerated and vested as of the Salinas Transition Date.</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Scarlett O’Sullivan</w:t>
      </w:r>
    </w:p>
    <w:p>
      <w:pPr>
        <w:spacing w:after="0" w:line="169" w:lineRule="exact"/>
        <w:rPr>
          <w:sz w:val="20"/>
          <w:szCs w:val="20"/>
          <w:color w:val="auto"/>
        </w:rPr>
      </w:pPr>
    </w:p>
    <w:p>
      <w:pPr>
        <w:ind w:left="20" w:right="260"/>
        <w:spacing w:after="0" w:line="259" w:lineRule="auto"/>
        <w:rPr>
          <w:sz w:val="20"/>
          <w:szCs w:val="20"/>
          <w:color w:val="auto"/>
        </w:rPr>
      </w:pPr>
      <w:r>
        <w:rPr>
          <w:rFonts w:ascii="Arial" w:cs="Arial" w:eastAsia="Arial" w:hAnsi="Arial"/>
          <w:sz w:val="17"/>
          <w:szCs w:val="17"/>
          <w:color w:val="auto"/>
        </w:rPr>
        <w:t>On April 11, 2023, Scarlett O’Sullivan resigned as our Chief Financial Officer, effective May 25, 2023 (the “O’Sullivan Transition Date”). In connection with Ms. O’Sullivan’s transition, we entered into a Transition Agreement with</w:t>
      </w:r>
    </w:p>
    <w:p>
      <w:pPr>
        <w:spacing w:after="0" w:line="1"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Ms. O’Sullivan, dated April 11, 2023 (the “O’Sullivan Transition Agreement”). Pursuant to the O’Sullivan Transition Agreement, Ms. O’Sullivan served as a consultant advisor to the Company through August 25, 2023. As consideration for the advisory services, her execution and non-revocation of a release of claims and continued compliance with any applicable restrictive covenant obligations, Ms. O’Sullivan was entitled to: (i) continued base salary payments for twelve months following the O’Sullivan Transition Date, payable in accordance with our regular payroll practices, (ii) her annual bonus for fiscal year 2023, determined based on actual performance achievement and prorated for the portion of the fiscal year Ms. O’Sullivan served through the O’Sullivan Transition Date, payable when fiscal year 2023 bonuses are payable to other executives of the Company (determined to be $0 for fiscal year 2023), and (iii) payment of the costs of COBRA premiums for her and her covered dependents through May 31, 2024 (or, if earlier, the date upon which Ms. O’Sullivan is no longer eligible for COBRA continuation coverage).</w:t>
      </w:r>
    </w:p>
    <w:p>
      <w:pPr>
        <w:spacing w:after="0" w:line="147"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In addition, the O’Sullivan Transition Agreement provided that (i) the post-termination exercise period of all outstanding vested options held by Ms. O’Sullivan as of August 25, 2023 would be extended through the last day of the original term of such options, (ii) any outstanding time-based equity awards that would have become vested on or prior to the O’Sullivan Transition Date had Ms. O’Sullivan remained a service provider through such date would accelerate and vest as of the earlier of (x) August 25, 2023 and (y) immediately prior to the implementation of a stock option exchange program by the Company (such date, the “Accelerated Vesting Date”), and (iii) Ms. O’Sullivan would be permitted to participate in any such Company stock option exchange program, subject to approval of the program by our Board and stockholders, on the same terms as other eligible participants, except that only Ms. O’Sullivan’s outstanding vested stock options held as of the Accelerated Vesting Date may be exchanged and all restricted stock units received by Ms. O’Sullivan in connection with such an exchange to be fully vested as of the grant date.</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280"/>
        <w:spacing w:after="0" w:line="273" w:lineRule="auto"/>
        <w:rPr>
          <w:sz w:val="20"/>
          <w:szCs w:val="20"/>
          <w:color w:val="auto"/>
        </w:rPr>
      </w:pPr>
      <w:r>
        <w:rPr>
          <w:rFonts w:ascii="Arial" w:cs="Arial" w:eastAsia="Arial" w:hAnsi="Arial"/>
          <w:sz w:val="65"/>
          <w:szCs w:val="65"/>
          <w:b w:val="1"/>
          <w:bCs w:val="1"/>
          <w:color w:val="auto"/>
        </w:rPr>
        <w:t>Equity Compensation Plan Information</w:t>
      </w:r>
    </w:p>
    <w:p>
      <w:pPr>
        <w:spacing w:after="0" w:line="2"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provides information as of January 31, 2024, with respect to the shares of the Company’s common stock that may be issued under the Company’s existing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10972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5040" cy="1097280"/>
                    </a:xfrm>
                    <a:prstGeom prst="rect">
                      <a:avLst/>
                    </a:prstGeom>
                    <a:noFill/>
                  </pic:spPr>
                </pic:pic>
              </a:graphicData>
            </a:graphic>
          </wp:anchor>
        </w:drawing>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4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 be Issued</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08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Plan Category</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Upon</w:t>
            </w:r>
          </w:p>
        </w:tc>
        <w:tc>
          <w:tcPr>
            <w:tcW w:w="18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vMerge w:val="continue"/>
          </w:tcPr>
          <w:p>
            <w:pPr>
              <w:spacing w:after="0"/>
              <w:rPr>
                <w:sz w:val="13"/>
                <w:szCs w:val="13"/>
                <w:color w:val="auto"/>
              </w:rPr>
            </w:pP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for Future</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5"/>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Exercise of</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ind w:left="180"/>
              <w:spacing w:after="0" w:line="85" w:lineRule="exact"/>
              <w:rPr>
                <w:sz w:val="20"/>
                <w:szCs w:val="20"/>
                <w:color w:val="auto"/>
              </w:rPr>
            </w:pPr>
            <w:r>
              <w:rPr>
                <w:rFonts w:ascii="Arial" w:cs="Arial" w:eastAsia="Arial" w:hAnsi="Arial"/>
                <w:sz w:val="9"/>
                <w:szCs w:val="9"/>
                <w:b w:val="1"/>
                <w:bCs w:val="1"/>
                <w:color w:val="auto"/>
              </w:rPr>
              <w:t>Price of</w:t>
            </w: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vMerge w:val="restart"/>
          </w:tcPr>
          <w:p>
            <w:pPr>
              <w:ind w:left="180"/>
              <w:spacing w:after="0" w:line="159" w:lineRule="exact"/>
              <w:rPr>
                <w:sz w:val="20"/>
                <w:szCs w:val="20"/>
                <w:color w:val="auto"/>
              </w:rPr>
            </w:pPr>
            <w:r>
              <w:rPr>
                <w:rFonts w:ascii="Arial" w:cs="Arial" w:eastAsia="Arial" w:hAnsi="Arial"/>
                <w:sz w:val="14"/>
                <w:szCs w:val="14"/>
                <w:b w:val="1"/>
                <w:bCs w:val="1"/>
                <w:color w:val="auto"/>
              </w:rPr>
              <w:t>Outstanding</w:t>
            </w: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restart"/>
          </w:tcPr>
          <w:p>
            <w:pPr>
              <w:ind w:left="160"/>
              <w:spacing w:after="0" w:line="159" w:lineRule="exact"/>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vMerge w:val="restart"/>
          </w:tcPr>
          <w:p>
            <w:pPr>
              <w:ind w:left="180"/>
              <w:spacing w:after="0" w:line="159" w:lineRule="exact"/>
              <w:rPr>
                <w:sz w:val="20"/>
                <w:szCs w:val="20"/>
                <w:color w:val="auto"/>
              </w:rPr>
            </w:pPr>
            <w:r>
              <w:rPr>
                <w:rFonts w:ascii="Arial" w:cs="Arial" w:eastAsia="Arial" w:hAnsi="Arial"/>
                <w:sz w:val="14"/>
                <w:szCs w:val="14"/>
                <w:b w:val="1"/>
                <w:bCs w:val="1"/>
                <w:color w:val="auto"/>
              </w:rPr>
              <w:t>Under Equity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gridSpan w:val="2"/>
            <w:vMerge w:val="restart"/>
          </w:tcPr>
          <w:p>
            <w:pPr>
              <w:ind w:left="180"/>
              <w:spacing w:after="0" w:line="255" w:lineRule="exact"/>
              <w:rPr>
                <w:sz w:val="20"/>
                <w:szCs w:val="20"/>
                <w:color w:val="auto"/>
              </w:rPr>
            </w:pPr>
            <w:r>
              <w:rPr>
                <w:rFonts w:ascii="Arial" w:cs="Arial" w:eastAsia="Arial" w:hAnsi="Arial"/>
                <w:sz w:val="14"/>
                <w:szCs w:val="14"/>
                <w:b w:val="1"/>
                <w:bCs w:val="1"/>
                <w:color w:val="auto"/>
              </w:rPr>
              <w:t>Options ($)</w:t>
            </w:r>
            <w:r>
              <w:rPr>
                <w:rFonts w:ascii="Arial" w:cs="Arial" w:eastAsia="Arial" w:hAnsi="Arial"/>
                <w:sz w:val="23"/>
                <w:szCs w:val="23"/>
                <w:b w:val="1"/>
                <w:bCs w:val="1"/>
                <w:color w:val="auto"/>
                <w:vertAlign w:val="superscript"/>
              </w:rPr>
              <w:t>(1)(3)</w:t>
            </w: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160"/>
              <w:spacing w:after="0" w:line="175" w:lineRule="exact"/>
              <w:rPr>
                <w:sz w:val="20"/>
                <w:szCs w:val="20"/>
                <w:color w:val="auto"/>
              </w:rPr>
            </w:pPr>
            <w:r>
              <w:rPr>
                <w:rFonts w:ascii="Arial" w:cs="Arial" w:eastAsia="Arial" w:hAnsi="Arial"/>
                <w:sz w:val="13"/>
                <w:szCs w:val="13"/>
                <w:b w:val="1"/>
                <w:bCs w:val="1"/>
                <w:color w:val="auto"/>
              </w:rPr>
              <w:t>Securities</w:t>
            </w:r>
            <w:r>
              <w:rPr>
                <w:rFonts w:ascii="Arial" w:cs="Arial" w:eastAsia="Arial" w:hAnsi="Arial"/>
                <w:sz w:val="20"/>
                <w:szCs w:val="20"/>
                <w:b w:val="1"/>
                <w:bCs w:val="1"/>
                <w:color w:val="auto"/>
                <w:vertAlign w:val="superscript"/>
              </w:rPr>
              <w:t>(1)(2)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28"/>
                <w:szCs w:val="28"/>
                <w:b w:val="1"/>
                <w:bCs w:val="1"/>
                <w:color w:val="auto"/>
                <w:vertAlign w:val="subscript"/>
              </w:rPr>
              <w:t>Plans</w:t>
            </w:r>
            <w:r>
              <w:rPr>
                <w:rFonts w:ascii="Arial" w:cs="Arial" w:eastAsia="Arial" w:hAnsi="Arial"/>
                <w:sz w:val="12"/>
                <w:szCs w:val="12"/>
                <w:b w:val="1"/>
                <w:bCs w:val="1"/>
                <w:color w:val="auto"/>
              </w:rPr>
              <w:t>(1)(4)</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(5)</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color w:val="auto"/>
              </w:rPr>
              <w:t>447,578</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4"/>
                <w:szCs w:val="14"/>
                <w:color w:val="auto"/>
              </w:rPr>
              <w:t>157.80</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533,946</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97"/>
        </w:trPr>
        <w:tc>
          <w:tcPr>
            <w:tcW w:w="4080" w:type="dxa"/>
            <w:vAlign w:val="bottom"/>
          </w:tcPr>
          <w:p>
            <w:pPr>
              <w:ind w:left="140"/>
              <w:spacing w:after="0"/>
              <w:rPr>
                <w:sz w:val="20"/>
                <w:szCs w:val="20"/>
                <w:color w:val="auto"/>
              </w:rPr>
            </w:pPr>
            <w:r>
              <w:rPr>
                <w:rFonts w:ascii="Arial" w:cs="Arial" w:eastAsia="Arial" w:hAnsi="Arial"/>
                <w:sz w:val="14"/>
                <w:szCs w:val="14"/>
                <w:color w:val="auto"/>
              </w:rPr>
              <w:t>Equity compensation plans not approved by security holders</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1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spacing w:after="0"/>
              <w:rPr>
                <w:sz w:val="24"/>
                <w:szCs w:val="24"/>
                <w:color w:val="auto"/>
              </w:rPr>
            </w:pPr>
          </w:p>
        </w:tc>
        <w:tc>
          <w:tcPr>
            <w:tcW w:w="360" w:type="dxa"/>
            <w:vAlign w:val="bottom"/>
          </w:tcPr>
          <w:p>
            <w:pPr>
              <w:jc w:val="right"/>
              <w:ind w:right="144"/>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8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3"/>
        </w:trPr>
        <w:tc>
          <w:tcPr>
            <w:tcW w:w="40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4080" w:type="dxa"/>
            <w:vAlign w:val="bottom"/>
          </w:tcPr>
          <w:p>
            <w:pPr>
              <w:ind w:left="140"/>
              <w:spacing w:after="0"/>
              <w:rPr>
                <w:sz w:val="20"/>
                <w:szCs w:val="20"/>
                <w:color w:val="auto"/>
              </w:rPr>
            </w:pPr>
            <w:r>
              <w:rPr>
                <w:rFonts w:ascii="Arial" w:cs="Arial" w:eastAsia="Arial" w:hAnsi="Arial"/>
                <w:sz w:val="14"/>
                <w:szCs w:val="14"/>
                <w:color w:val="auto"/>
              </w:rPr>
              <w:t>Totals</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162"/>
              <w:spacing w:after="0"/>
              <w:rPr>
                <w:sz w:val="20"/>
                <w:szCs w:val="20"/>
                <w:color w:val="auto"/>
              </w:rPr>
            </w:pPr>
            <w:r>
              <w:rPr>
                <w:rFonts w:ascii="Arial" w:cs="Arial" w:eastAsia="Arial" w:hAnsi="Arial"/>
                <w:sz w:val="14"/>
                <w:szCs w:val="14"/>
                <w:color w:val="auto"/>
              </w:rPr>
              <w:t>447,578</w:t>
            </w:r>
            <w:r>
              <w:rPr>
                <w:rFonts w:ascii="Times New Roman" w:cs="Times New Roman" w:eastAsia="Times New Roman" w:hAnsi="Times New Roman"/>
                <w:sz w:val="3"/>
                <w:szCs w:val="3"/>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spacing w:after="0"/>
              <w:rPr>
                <w:sz w:val="24"/>
                <w:szCs w:val="24"/>
                <w:color w:val="auto"/>
              </w:rPr>
            </w:pPr>
          </w:p>
        </w:tc>
        <w:tc>
          <w:tcPr>
            <w:tcW w:w="360" w:type="dxa"/>
            <w:vAlign w:val="bottom"/>
          </w:tcPr>
          <w:p>
            <w:pPr>
              <w:jc w:val="right"/>
              <w:ind w:right="144"/>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82"/>
              <w:spacing w:after="0"/>
              <w:rPr>
                <w:sz w:val="20"/>
                <w:szCs w:val="20"/>
                <w:color w:val="auto"/>
              </w:rPr>
            </w:pPr>
            <w:r>
              <w:rPr>
                <w:rFonts w:ascii="Arial" w:cs="Arial" w:eastAsia="Arial" w:hAnsi="Arial"/>
                <w:sz w:val="14"/>
                <w:szCs w:val="14"/>
                <w:color w:val="auto"/>
              </w:rPr>
              <w:t>533,946</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5"/>
        </w:trPr>
        <w:tc>
          <w:tcPr>
            <w:tcW w:w="4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560" w:hanging="359"/>
        <w:spacing w:after="0" w:line="281"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1" w:lineRule="exact"/>
        <w:rPr>
          <w:rFonts w:ascii="Arial" w:cs="Arial" w:eastAsia="Arial" w:hAnsi="Arial"/>
          <w:sz w:val="14"/>
          <w:szCs w:val="14"/>
          <w:color w:val="auto"/>
        </w:rPr>
      </w:pPr>
    </w:p>
    <w:p>
      <w:pPr>
        <w:ind w:left="380" w:right="220" w:hanging="359"/>
        <w:spacing w:after="0" w:line="263"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42,613 shares of Class A common stock are subject to outstanding options, 403,047 shares of Class A common stock are subject to outstanding RSUs, and 1,918 shares of Class B common stock are subject to outstanding RSUs.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 w:lineRule="exact"/>
        <w:rPr>
          <w:rFonts w:ascii="Arial" w:cs="Arial" w:eastAsia="Arial" w:hAnsi="Arial"/>
          <w:sz w:val="14"/>
          <w:szCs w:val="14"/>
          <w:color w:val="auto"/>
        </w:rPr>
      </w:pPr>
    </w:p>
    <w:p>
      <w:pPr>
        <w:ind w:left="380" w:right="80" w:hanging="359"/>
        <w:spacing w:after="0" w:line="256"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2021 Plan and the 2021 Employee Stock Purchase Plan (the “ESPP”). As of January 31, 2024, 490,431 shares of Class A common stock and 1,918 shares of Class B common stock were available for issuance under the 2021 Plan, and 43,515 shares of Class A common stock were available for issuance under the ESPP. There was no ESPP purchase period in effect as of January 31, 2024 and as a result there were no rights to purchase shares under the ESPP outstanding as of January 31, 2024.</w:t>
      </w:r>
    </w:p>
    <w:p>
      <w:pPr>
        <w:spacing w:after="0" w:line="15" w:lineRule="exact"/>
        <w:rPr>
          <w:sz w:val="20"/>
          <w:szCs w:val="20"/>
          <w:color w:val="auto"/>
        </w:rPr>
      </w:pPr>
    </w:p>
    <w:p>
      <w:pPr>
        <w:ind w:left="380" w:right="80" w:hanging="359"/>
        <w:spacing w:after="0" w:line="250"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2021 Plan and ESPP each contain an “evergreen” provision, which allows for an annual increase in the number of shares of Class A common stock available for issuance under the respective plan on the first day of each year commencing on January 1, 2022 and ending on and including January 1, 2031. The number of shares under the 2021 Plan shall be increased by 5% of the number of shares of Class A common stock issued and outstanding on the immediately preceding December 31, or such lesser number of shares determined by our Board. The number of shares under the ESPP shall be increased by 1% of the number of shares of Class A common stock issued and outstanding on the immediately preceding December 31, or such lesser number of shares determined by our Board.</w:t>
      </w:r>
    </w:p>
    <w:p>
      <w:pPr>
        <w:spacing w:after="0" w:line="19" w:lineRule="exact"/>
        <w:rPr>
          <w:rFonts w:ascii="Arial" w:cs="Arial" w:eastAsia="Arial" w:hAnsi="Arial"/>
          <w:sz w:val="14"/>
          <w:szCs w:val="14"/>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 further shares are available for issuance under the 2019 or 2009 Plans.</w:t>
      </w:r>
    </w:p>
    <w:p>
      <w:pPr>
        <w:spacing w:after="0" w:line="55" w:lineRule="exact"/>
        <w:rPr>
          <w:sz w:val="20"/>
          <w:szCs w:val="20"/>
          <w:color w:val="auto"/>
        </w:rPr>
      </w:pPr>
    </w:p>
    <w:p>
      <w:pPr>
        <w:ind w:left="380" w:hanging="359"/>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the 2021 Plan, ESPP, 2019 Plan, and 2009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600"/>
        <w:spacing w:after="0" w:line="277" w:lineRule="auto"/>
        <w:rPr>
          <w:sz w:val="20"/>
          <w:szCs w:val="20"/>
          <w:color w:val="auto"/>
        </w:rPr>
      </w:pPr>
      <w:r>
        <w:rPr>
          <w:rFonts w:ascii="Arial" w:cs="Arial" w:eastAsia="Arial" w:hAnsi="Arial"/>
          <w:sz w:val="64"/>
          <w:szCs w:val="64"/>
          <w:b w:val="1"/>
          <w:bCs w:val="1"/>
          <w:color w:val="auto"/>
        </w:rPr>
        <w:t>Certain Relationships and Related Person Transactions</w:t>
      </w:r>
    </w:p>
    <w:p>
      <w:pPr>
        <w:spacing w:after="0" w:line="3"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proxy statement, below we describe transactions since February 1, 2023 and each currently proposed transaction, in which:</w:t>
      </w:r>
    </w:p>
    <w:p>
      <w:pPr>
        <w:spacing w:after="0" w:line="128" w:lineRule="exact"/>
        <w:rPr>
          <w:sz w:val="20"/>
          <w:szCs w:val="20"/>
          <w:color w:val="auto"/>
        </w:rPr>
      </w:pPr>
    </w:p>
    <w:p>
      <w:pPr>
        <w:ind w:left="740" w:hanging="35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ind w:left="740" w:right="60" w:hanging="359"/>
        <w:spacing w:after="0" w:line="242"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52" w:lineRule="exact"/>
        <w:rPr>
          <w:sz w:val="20"/>
          <w:szCs w:val="20"/>
          <w:color w:val="auto"/>
        </w:rPr>
      </w:pPr>
    </w:p>
    <w:p>
      <w:pPr>
        <w:ind w:left="20" w:right="300"/>
        <w:spacing w:after="0" w:line="253"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Following our IPO, certain holders of our common stock are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 stock and affiliate of our director, Scott Friend; entities affiliated with Highland Capital Partners, a holder of greater than 5% of our outstanding capital stock and affiliate of our former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Stockholders Agreement</w:t>
      </w:r>
    </w:p>
    <w:p>
      <w:pPr>
        <w:spacing w:after="0" w:line="171" w:lineRule="exact"/>
        <w:rPr>
          <w:sz w:val="20"/>
          <w:szCs w:val="20"/>
          <w:color w:val="auto"/>
        </w:rPr>
      </w:pPr>
    </w:p>
    <w:p>
      <w:pPr>
        <w:ind w:left="20" w:right="820"/>
        <w:spacing w:after="0" w:line="271" w:lineRule="auto"/>
        <w:rPr>
          <w:sz w:val="20"/>
          <w:szCs w:val="20"/>
          <w:color w:val="auto"/>
        </w:rPr>
      </w:pPr>
      <w:r>
        <w:rPr>
          <w:rFonts w:ascii="Arial" w:cs="Arial" w:eastAsia="Arial" w:hAnsi="Arial"/>
          <w:sz w:val="18"/>
          <w:szCs w:val="18"/>
          <w:color w:val="auto"/>
        </w:rPr>
        <w:t>For a description of our Stockholders Agreement, see “The Board and Corporate Governance – Stockholders Agreement” above.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Transactions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Vice President of Customer Experience, or VP CX, is the sister of Jennifer Y. Hyman, our Co-Founder,</w:t>
      </w:r>
    </w:p>
    <w:p>
      <w:pPr>
        <w:spacing w:after="0" w:line="14" w:lineRule="exact"/>
        <w:rPr>
          <w:sz w:val="20"/>
          <w:szCs w:val="20"/>
          <w:color w:val="auto"/>
        </w:rPr>
      </w:pPr>
    </w:p>
    <w:p>
      <w:pPr>
        <w:ind w:left="20" w:right="40"/>
        <w:spacing w:after="0" w:line="234" w:lineRule="auto"/>
        <w:rPr>
          <w:sz w:val="20"/>
          <w:szCs w:val="20"/>
          <w:color w:val="auto"/>
        </w:rPr>
      </w:pPr>
      <w:r>
        <w:rPr>
          <w:rFonts w:ascii="Arial" w:cs="Arial" w:eastAsia="Arial" w:hAnsi="Arial"/>
          <w:sz w:val="18"/>
          <w:szCs w:val="18"/>
          <w:color w:val="auto"/>
        </w:rPr>
        <w:t>Chief Executive Officer, President and Chair and is currently employed by us. She does not share a household with Ms. Hyman and is not one of our executive officers. During fiscal years 2022 and 2023 (as of May 23, 2024), the VP CX had a base salary of $310,000. On April 1, 2024, the VP CX received a base salary increase to $341,000. The VP CX was granted 5,232 RSUs in fiscal year 2023, 2,732 of which were pursuant to the Stock Option Exchange, and was</w:t>
      </w:r>
    </w:p>
    <w:p>
      <w:pPr>
        <w:spacing w:after="0" w:line="3" w:lineRule="exact"/>
        <w:rPr>
          <w:sz w:val="20"/>
          <w:szCs w:val="20"/>
          <w:color w:val="auto"/>
        </w:rPr>
      </w:pPr>
    </w:p>
    <w:p>
      <w:pPr>
        <w:jc w:val="both"/>
        <w:ind w:left="20" w:right="420"/>
        <w:spacing w:after="0" w:line="213" w:lineRule="auto"/>
        <w:rPr>
          <w:sz w:val="20"/>
          <w:szCs w:val="20"/>
          <w:color w:val="auto"/>
        </w:rPr>
      </w:pPr>
      <w:r>
        <w:rPr>
          <w:rFonts w:ascii="Arial" w:cs="Arial" w:eastAsia="Arial" w:hAnsi="Arial"/>
          <w:sz w:val="18"/>
          <w:szCs w:val="18"/>
          <w:color w:val="auto"/>
        </w:rPr>
        <w:t>granted 7,500 RSUs in March 2024</w:t>
      </w:r>
      <w:r>
        <w:rPr>
          <w:rFonts w:ascii="Arial" w:cs="Arial" w:eastAsia="Arial" w:hAnsi="Arial"/>
          <w:sz w:val="29"/>
          <w:szCs w:val="29"/>
          <w:color w:val="auto"/>
          <w:vertAlign w:val="superscript"/>
        </w:rPr>
        <w:t>2</w:t>
      </w:r>
      <w:r>
        <w:rPr>
          <w:rFonts w:ascii="Arial" w:cs="Arial" w:eastAsia="Arial" w:hAnsi="Arial"/>
          <w:sz w:val="18"/>
          <w:szCs w:val="18"/>
          <w:color w:val="auto"/>
        </w:rPr>
        <w:t>. The VP CX is eligible to receive an incentive cash bonus for fiscal year 2024 based upon the achievement of certain company and individual metrics. The compensation described above was based on reference to external market practice of similar positions or internal pay equity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24765</wp:posOffset>
            </wp:positionV>
            <wp:extent cx="1645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8" w:lineRule="exact"/>
        <w:rPr>
          <w:sz w:val="20"/>
          <w:szCs w:val="20"/>
          <w:color w:val="auto"/>
        </w:rPr>
      </w:pPr>
    </w:p>
    <w:p>
      <w:pPr>
        <w:ind w:left="200" w:right="720" w:hanging="179"/>
        <w:spacing w:after="0" w:line="204" w:lineRule="auto"/>
        <w:tabs>
          <w:tab w:leader="none" w:pos="20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right="260"/>
        <w:spacing w:after="0" w:line="247" w:lineRule="auto"/>
        <w:rPr>
          <w:sz w:val="20"/>
          <w:szCs w:val="20"/>
          <w:color w:val="auto"/>
        </w:rPr>
      </w:pPr>
      <w:r>
        <w:rPr>
          <w:rFonts w:ascii="Arial" w:cs="Arial" w:eastAsia="Arial" w:hAnsi="Arial"/>
          <w:sz w:val="18"/>
          <w:szCs w:val="18"/>
          <w:color w:val="auto"/>
        </w:rPr>
        <w:t>compared to the compensation paid to employees in similar positions that were not related to our executive officers. The VP CX is also eligible to participate in employee benefit plans and receive future incentive equity awards on the same general terms and conditions as applicable to other employees in similar positions who were not related to our executive officers.</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Indemnification Agreements</w:t>
      </w:r>
    </w:p>
    <w:p>
      <w:pPr>
        <w:spacing w:after="0" w:line="171" w:lineRule="exact"/>
        <w:rPr>
          <w:sz w:val="20"/>
          <w:szCs w:val="20"/>
          <w:color w:val="auto"/>
        </w:rPr>
      </w:pPr>
    </w:p>
    <w:p>
      <w:pPr>
        <w:ind w:left="20" w:right="200"/>
        <w:spacing w:after="0"/>
        <w:rPr>
          <w:sz w:val="20"/>
          <w:szCs w:val="20"/>
          <w:color w:val="auto"/>
        </w:rPr>
      </w:pPr>
      <w:r>
        <w:rPr>
          <w:rFonts w:ascii="Arial" w:cs="Arial" w:eastAsia="Arial" w:hAnsi="Arial"/>
          <w:sz w:val="18"/>
          <w:szCs w:val="18"/>
          <w:color w:val="auto"/>
        </w:rPr>
        <w:t>Our Amended and Restated Certificate of Incorporation, as amended (the “Amended Charter”), contains provisions limiting the liability of directors to the fullest extent permitted under Delaware law, and our Amended and Restated Bylaws (the “Amended Bylaws”) provide that we will indemnify each of our directors and officers to the fullest extent permitted under Delaware law. Our Amended Charter and Amended Bylaws also provide our Board with discretion to indemnify our employees and other agents when determined appropriate by the Board. In addition, we have entered into an indemnification agreement with each of our directors and executive officers, which requires us to indemnify them in certain circumstances.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1"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Our Audit Committee has the primary responsibility for the review, approval, and oversight of “related person transactions,” as defined under the rules and regulations of the Securities Exchange Act of 1934, as amended. The Audit Committee has adopted a written related person transaction policy, which requires that any related person transaction (as defined in the policy) must be presented to our Audit Committee for review, consideration, and approval. When considering proposed related person transactions, the Audit Committee will take into account the relevant facts and circumstances, including, among other things, the material terms and conditions, the basis for which the individual or entity is a related person, the related person’s interest in the transaction, the approximate dollar value of the transaction, whether the transaction is in the ordinary course, the business purpose for entering into the transaction with a related person versus an unrelated third party, whether the transaction is proposed to be or was entered into on terms no less favorable to RTR than terms that could have been reached with an unrelated third party, and any other material information. The Audit Committee will then approve or disapprove such transaction. In the event a related person transaction relates to compensation of employees, such transaction shall be reviewed, approved and/or ratified by the Compensation Committee of the Board.</w:t>
      </w:r>
    </w:p>
    <w:p>
      <w:pPr>
        <w:spacing w:after="0" w:line="153" w:lineRule="exact"/>
        <w:rPr>
          <w:sz w:val="20"/>
          <w:szCs w:val="20"/>
          <w:color w:val="auto"/>
        </w:rPr>
      </w:pPr>
    </w:p>
    <w:p>
      <w:pPr>
        <w:ind w:left="20" w:right="400"/>
        <w:spacing w:after="0" w:line="247" w:lineRule="auto"/>
        <w:rPr>
          <w:sz w:val="20"/>
          <w:szCs w:val="20"/>
          <w:color w:val="auto"/>
        </w:rPr>
      </w:pPr>
      <w:r>
        <w:rPr>
          <w:rFonts w:ascii="Arial" w:cs="Arial" w:eastAsia="Arial" w:hAnsi="Arial"/>
          <w:sz w:val="18"/>
          <w:szCs w:val="18"/>
          <w:color w:val="auto"/>
        </w:rPr>
        <w:t>In addition, our Code of Conduct (available on our website at investors.renttherunway.com) provides that directors, executive officers, and employees should avoid conflicts of interest or even the appearance of a conflict of interest. Under the Code of Conduct, a conflict of interest occurs when personal interests, activities, investments, or associations interfere in any way, or even appear to interfere, with our interests as a company.</w:t>
      </w:r>
    </w:p>
    <w:p>
      <w:pPr>
        <w:spacing w:after="0" w:line="133"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We have multiple processes for identifying related person transactions and conflicts of interest. Under our Related Person Transaction Policy, each director, director nominee, and executive officer is responsible for identifying potential related person transactions and conflicts of interest. We also annually distribute a questionnaire to directors and executive officers requesting certain information regarding, among other things, their immediate family members and employment and beneficial ownership interests in Rent the Runway. We then review this information for any related person transactions and conflicts of interest.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20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 as of May 10, 2024, for:</w:t>
      </w:r>
    </w:p>
    <w:p>
      <w:pPr>
        <w:spacing w:after="0" w:line="153" w:lineRule="exact"/>
        <w:rPr>
          <w:sz w:val="20"/>
          <w:szCs w:val="20"/>
          <w:color w:val="auto"/>
        </w:rPr>
      </w:pPr>
    </w:p>
    <w:p>
      <w:pPr>
        <w:ind w:left="740" w:right="480" w:hanging="359"/>
        <w:spacing w:after="0" w:line="245"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current directors;</w:t>
      </w:r>
    </w:p>
    <w:p>
      <w:pPr>
        <w:ind w:left="740" w:hanging="359"/>
        <w:spacing w:after="0" w:line="234"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7" w:lineRule="exact"/>
        <w:rPr>
          <w:sz w:val="20"/>
          <w:szCs w:val="20"/>
          <w:color w:val="auto"/>
        </w:rPr>
      </w:pPr>
    </w:p>
    <w:p>
      <w:pPr>
        <w:jc w:val="both"/>
        <w:ind w:left="20" w:right="3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Applicable percentage ownership is based on 3,566,441 shares of Class A common stock and 155,333 shares of Class B common stock outstanding on May 10, 2024.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May 10, 2024 and shares of RSUs that are vested or will become vested within 60 days of May 10, 2024, are considered outstanding, although these shares are not considered outstanding for purposes of computing the percentage ownership of any other person.</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otherwise indicated, the address of all listed stockholders is 10 Jay Street, Brooklyn, New York 11201.</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140" w:type="dxa"/>
            <w:vAlign w:val="bottom"/>
          </w:tcPr>
          <w:p>
            <w:pPr>
              <w:spacing w:after="0"/>
              <w:rPr>
                <w:sz w:val="23"/>
                <w:szCs w:val="23"/>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gridSpan w:val="7"/>
          </w:tcPr>
          <w:p>
            <w:pPr>
              <w:ind w:left="220"/>
              <w:spacing w:after="0"/>
              <w:rPr>
                <w:sz w:val="20"/>
                <w:szCs w:val="20"/>
                <w:color w:val="auto"/>
              </w:rPr>
            </w:pPr>
            <w:r>
              <w:rPr>
                <w:rFonts w:ascii="Arial" w:cs="Arial" w:eastAsia="Arial" w:hAnsi="Arial"/>
                <w:sz w:val="14"/>
                <w:szCs w:val="14"/>
                <w:color w:val="auto"/>
              </w:rPr>
              <w:t>Shares Beneficially Owned</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9"/>
        </w:trPr>
        <w:tc>
          <w:tcPr>
            <w:tcW w:w="4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gridSpan w:val="3"/>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19"/>
                <w:szCs w:val="19"/>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9"/>
                <w:szCs w:val="19"/>
                <w:color w:val="auto"/>
              </w:rPr>
            </w:pPr>
          </w:p>
        </w:tc>
        <w:tc>
          <w:tcPr>
            <w:tcW w:w="1060" w:type="dxa"/>
            <w:vAlign w:val="bottom"/>
            <w:gridSpan w:val="3"/>
          </w:tcPr>
          <w:p>
            <w:pPr>
              <w:ind w:left="520"/>
              <w:spacing w:after="0"/>
              <w:rPr>
                <w:sz w:val="20"/>
                <w:szCs w:val="20"/>
                <w:color w:val="auto"/>
              </w:rPr>
            </w:pPr>
            <w:r>
              <w:rPr>
                <w:rFonts w:ascii="Arial" w:cs="Arial" w:eastAsia="Arial" w:hAnsi="Arial"/>
                <w:sz w:val="14"/>
                <w:szCs w:val="14"/>
                <w:color w:val="auto"/>
              </w:rPr>
              <w:t>Class A</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Arial" w:cs="Arial" w:eastAsia="Arial" w:hAnsi="Arial"/>
                <w:sz w:val="14"/>
                <w:szCs w:val="14"/>
                <w:color w:val="auto"/>
                <w:w w:val="99"/>
              </w:rPr>
              <w:t>Class B</w:t>
            </w:r>
          </w:p>
        </w:tc>
        <w:tc>
          <w:tcPr>
            <w:tcW w:w="22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 xml:space="preserve">Total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93"/>
        </w:trPr>
        <w:tc>
          <w:tcPr>
            <w:tcW w:w="4140" w:type="dxa"/>
            <w:vAlign w:val="bottom"/>
          </w:tcPr>
          <w:p>
            <w:pPr>
              <w:spacing w:after="0"/>
              <w:rPr>
                <w:sz w:val="8"/>
                <w:szCs w:val="8"/>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color w:val="auto"/>
              </w:rPr>
              <w:t>Shares</w:t>
            </w:r>
          </w:p>
        </w:tc>
        <w:tc>
          <w:tcPr>
            <w:tcW w:w="140" w:type="dxa"/>
            <w:vAlign w:val="bottom"/>
            <w:vMerge w:val="restart"/>
          </w:tcPr>
          <w:p>
            <w:pPr>
              <w:jc w:val="right"/>
              <w:ind w:right="111"/>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 xml:space="preserve">(2)  </w:t>
            </w:r>
            <w:r>
              <w:rPr>
                <w:rFonts w:ascii="Times New Roman" w:cs="Times New Roman" w:eastAsia="Times New Roman" w:hAnsi="Times New Roman"/>
                <w:sz w:val="3"/>
                <w:szCs w:val="3"/>
                <w:color w:val="auto"/>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gridSpan w:val="2"/>
            <w:vMerge w:val="restart"/>
          </w:tcPr>
          <w:p>
            <w:pPr>
              <w:jc w:val="right"/>
              <w:ind w:right="92"/>
              <w:spacing w:after="0"/>
              <w:rPr>
                <w:sz w:val="20"/>
                <w:szCs w:val="20"/>
                <w:color w:val="auto"/>
              </w:rPr>
            </w:pPr>
            <w:r>
              <w:rPr>
                <w:rFonts w:ascii="Arial" w:cs="Arial" w:eastAsia="Arial" w:hAnsi="Arial"/>
                <w:sz w:val="14"/>
                <w:szCs w:val="14"/>
                <w:color w:val="auto"/>
              </w:rPr>
              <w:t xml:space="preserve">Shares </w:t>
            </w:r>
            <w:r>
              <w:rPr>
                <w:rFonts w:ascii="Times New Roman" w:cs="Times New Roman" w:eastAsia="Times New Roman" w:hAnsi="Times New Roman"/>
                <w:sz w:val="3"/>
                <w:szCs w:val="3"/>
                <w:color w:val="auto"/>
              </w:rPr>
              <w:t>​</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 xml:space="preserve">(2)   </w:t>
            </w:r>
            <w:r>
              <w:rPr>
                <w:rFonts w:ascii="Times New Roman" w:cs="Times New Roman" w:eastAsia="Times New Roman" w:hAnsi="Times New Roman"/>
                <w:sz w:val="3"/>
                <w:szCs w:val="3"/>
                <w:color w:val="auto"/>
              </w:rPr>
              <w:t>​</w:t>
            </w:r>
          </w:p>
        </w:tc>
        <w:tc>
          <w:tcPr>
            <w:tcW w:w="24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414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4140" w:type="dxa"/>
            <w:vAlign w:val="bottom"/>
          </w:tcPr>
          <w:p>
            <w:pPr>
              <w:ind w:left="180"/>
              <w:spacing w:after="0"/>
              <w:rPr>
                <w:sz w:val="20"/>
                <w:szCs w:val="20"/>
                <w:color w:val="auto"/>
              </w:rPr>
            </w:pPr>
            <w:r>
              <w:rPr>
                <w:rFonts w:ascii="Arial" w:cs="Arial" w:eastAsia="Arial" w:hAnsi="Arial"/>
                <w:sz w:val="14"/>
                <w:szCs w:val="14"/>
                <w:b w:val="1"/>
                <w:bCs w:val="1"/>
                <w:color w:val="auto"/>
              </w:rPr>
              <w:t>Named Executive Officers and Directors:</w:t>
            </w: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jc w:val="right"/>
              <w:ind w:right="111"/>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3"/>
        </w:trPr>
        <w:tc>
          <w:tcPr>
            <w:tcW w:w="4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(3)</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44,947</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1.3%</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63,695</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89"/>
              </w:rPr>
              <w:t>41​</w:t>
            </w: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0"/>
              </w:rPr>
              <w:t>.0%</w:t>
            </w:r>
            <w:r>
              <w:rPr>
                <w:rFonts w:ascii="Times New Roman" w:cs="Times New Roman" w:eastAsia="Times New Roman" w:hAnsi="Times New Roman"/>
                <w:sz w:val="3"/>
                <w:szCs w:val="3"/>
                <w:color w:val="auto"/>
                <w:w w:val="90"/>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Sid Thacker</w:t>
            </w:r>
            <w:r>
              <w:rPr>
                <w:rFonts w:ascii="Arial" w:cs="Arial" w:eastAsia="Arial" w:hAnsi="Arial"/>
                <w:sz w:val="23"/>
                <w:szCs w:val="23"/>
                <w:color w:val="auto"/>
                <w:vertAlign w:val="superscript"/>
              </w:rPr>
              <w:t>(4)</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13,247</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Anushka Salinas</w:t>
            </w:r>
            <w:r>
              <w:rPr>
                <w:rFonts w:ascii="Arial" w:cs="Arial" w:eastAsia="Arial" w:hAnsi="Arial"/>
                <w:sz w:val="23"/>
                <w:szCs w:val="23"/>
                <w:color w:val="auto"/>
                <w:vertAlign w:val="superscript"/>
              </w:rPr>
              <w:t>(5)</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1,163</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Scarlett O’Sullivan</w:t>
            </w:r>
            <w:r>
              <w:rPr>
                <w:rFonts w:ascii="Arial" w:cs="Arial" w:eastAsia="Arial" w:hAnsi="Arial"/>
                <w:sz w:val="23"/>
                <w:szCs w:val="23"/>
                <w:color w:val="auto"/>
                <w:vertAlign w:val="superscript"/>
              </w:rPr>
              <w:t>(6)</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24,546</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(7)</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3,742</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(8)</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737</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31,314</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89"/>
              </w:rPr>
              <w:t>20​</w:t>
            </w: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0"/>
              </w:rPr>
              <w:t>.2%</w:t>
            </w:r>
            <w:r>
              <w:rPr>
                <w:rFonts w:ascii="Times New Roman" w:cs="Times New Roman" w:eastAsia="Times New Roman" w:hAnsi="Times New Roman"/>
                <w:sz w:val="3"/>
                <w:szCs w:val="3"/>
                <w:color w:val="auto"/>
                <w:w w:val="90"/>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(9)</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737</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(10)</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28,176</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97"/>
        </w:trPr>
        <w:tc>
          <w:tcPr>
            <w:tcW w:w="4140" w:type="dxa"/>
            <w:vAlign w:val="bottom"/>
          </w:tcPr>
          <w:p>
            <w:pPr>
              <w:ind w:left="180"/>
              <w:spacing w:after="0"/>
              <w:rPr>
                <w:sz w:val="20"/>
                <w:szCs w:val="20"/>
                <w:color w:val="auto"/>
              </w:rPr>
            </w:pPr>
            <w:r>
              <w:rPr>
                <w:rFonts w:ascii="Arial" w:cs="Arial" w:eastAsia="Arial" w:hAnsi="Arial"/>
                <w:sz w:val="14"/>
                <w:szCs w:val="14"/>
                <w:color w:val="auto"/>
              </w:rPr>
              <w:t>Emil Michael</w:t>
            </w: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11"/>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3"/>
        </w:trPr>
        <w:tc>
          <w:tcPr>
            <w:tcW w:w="4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(11)</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2,801</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(12)</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6,880</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0" w:type="dxa"/>
            <w:vAlign w:val="bottom"/>
          </w:tcPr>
          <w:p>
            <w:pPr>
              <w:spacing w:after="0"/>
              <w:rPr>
                <w:sz w:val="1"/>
                <w:szCs w:val="1"/>
                <w:color w:val="auto"/>
              </w:rPr>
            </w:pPr>
          </w:p>
        </w:tc>
      </w:tr>
      <w:tr>
        <w:trPr>
          <w:trHeight w:val="345"/>
        </w:trPr>
        <w:tc>
          <w:tcPr>
            <w:tcW w:w="4140" w:type="dxa"/>
            <w:vAlign w:val="bottom"/>
          </w:tcPr>
          <w:p>
            <w:pPr>
              <w:ind w:left="180"/>
              <w:spacing w:after="0"/>
              <w:rPr>
                <w:sz w:val="20"/>
                <w:szCs w:val="20"/>
                <w:color w:val="auto"/>
              </w:rPr>
            </w:pPr>
            <w:r>
              <w:rPr>
                <w:rFonts w:ascii="Arial" w:cs="Arial" w:eastAsia="Arial" w:hAnsi="Arial"/>
                <w:sz w:val="14"/>
                <w:szCs w:val="14"/>
                <w:color w:val="auto"/>
              </w:rPr>
              <w:t>All​ current executive officers and directors as a group, 15</w:t>
            </w: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11"/>
              <w:spacing w:after="0"/>
              <w:rPr>
                <w:sz w:val="20"/>
                <w:szCs w:val="20"/>
                <w:color w:val="auto"/>
              </w:rPr>
            </w:pPr>
            <w:r>
              <w:rPr>
                <w:rFonts w:ascii="Arial" w:cs="Arial" w:eastAsia="Arial" w:hAnsi="Arial"/>
                <w:sz w:val="14"/>
                <w:szCs w:val="14"/>
                <w:color w:val="auto"/>
              </w:rPr>
              <w:t>151,986</w:t>
            </w:r>
            <w:r>
              <w:rPr>
                <w:rFonts w:ascii="Times New Roman" w:cs="Times New Roman" w:eastAsia="Times New Roman" w:hAnsi="Times New Roman"/>
                <w:sz w:val="3"/>
                <w:szCs w:val="3"/>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color w:val="auto"/>
              </w:rPr>
              <w:t>95,009</w:t>
            </w:r>
            <w:r>
              <w:rPr>
                <w:rFonts w:ascii="Times New Roman" w:cs="Times New Roman" w:eastAsia="Times New Roman" w:hAnsi="Times New Roman"/>
                <w:sz w:val="3"/>
                <w:szCs w:val="3"/>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61.2%</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6.6%</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auto"/>
            </w:tcBorders>
          </w:tcPr>
          <w:p>
            <w:pPr>
              <w:ind w:left="360"/>
              <w:spacing w:after="0" w:line="243" w:lineRule="exact"/>
              <w:rPr>
                <w:sz w:val="20"/>
                <w:szCs w:val="20"/>
                <w:color w:val="auto"/>
              </w:rPr>
            </w:pPr>
            <w:r>
              <w:rPr>
                <w:rFonts w:ascii="Arial" w:cs="Arial" w:eastAsia="Arial" w:hAnsi="Arial"/>
                <w:sz w:val="14"/>
                <w:szCs w:val="14"/>
                <w:color w:val="auto"/>
              </w:rPr>
              <w:t>persons</w:t>
            </w:r>
            <w:r>
              <w:rPr>
                <w:rFonts w:ascii="Arial" w:cs="Arial" w:eastAsia="Arial" w:hAnsi="Arial"/>
                <w:sz w:val="23"/>
                <w:szCs w:val="23"/>
                <w:color w:val="auto"/>
                <w:vertAlign w:val="superscript"/>
              </w:rPr>
              <w:t>(13)</w:t>
            </w:r>
          </w:p>
        </w:tc>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jc w:val="right"/>
              <w:ind w:right="111"/>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3"/>
                <w:szCs w:val="13"/>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4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180"/>
              <w:spacing w:after="0"/>
              <w:rPr>
                <w:sz w:val="20"/>
                <w:szCs w:val="20"/>
                <w:color w:val="auto"/>
              </w:rPr>
            </w:pPr>
            <w:r>
              <w:rPr>
                <w:rFonts w:ascii="Arial" w:cs="Arial" w:eastAsia="Arial" w:hAnsi="Arial"/>
                <w:sz w:val="14"/>
                <w:szCs w:val="14"/>
                <w:b w:val="1"/>
                <w:bCs w:val="1"/>
                <w:color w:val="auto"/>
              </w:rPr>
              <w:t>Over 5% Stockholders</w:t>
            </w:r>
          </w:p>
        </w:tc>
        <w:tc>
          <w:tcPr>
            <w:tcW w:w="44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jc w:val="right"/>
              <w:ind w:right="111"/>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7"/>
                <w:szCs w:val="17"/>
                <w:color w:val="auto"/>
              </w:rPr>
            </w:pP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3"/>
        </w:trPr>
        <w:tc>
          <w:tcPr>
            <w:tcW w:w="4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(14)</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408,820</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11.5%</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Yisroel Mordechai Goldstone</w:t>
            </w:r>
            <w:r>
              <w:rPr>
                <w:rFonts w:ascii="Arial" w:cs="Arial" w:eastAsia="Arial" w:hAnsi="Arial"/>
                <w:sz w:val="23"/>
                <w:szCs w:val="23"/>
                <w:color w:val="auto"/>
                <w:vertAlign w:val="superscript"/>
              </w:rPr>
              <w:t>(15)</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336,082</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9.4%</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9.4%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6"/>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Entities and Individuals affiliated with Highland Capital</w:t>
            </w:r>
            <w:r>
              <w:rPr>
                <w:rFonts w:ascii="Arial" w:cs="Arial" w:eastAsia="Arial" w:hAnsi="Arial"/>
                <w:sz w:val="23"/>
                <w:szCs w:val="23"/>
                <w:color w:val="auto"/>
                <w:vertAlign w:val="superscript"/>
              </w:rPr>
              <w:t>(16)</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8"/>
              </w:rPr>
              <w:t>255,955​</w:t>
            </w:r>
          </w:p>
        </w:tc>
        <w:tc>
          <w:tcPr>
            <w:tcW w:w="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2"/>
                <w:szCs w:val="2"/>
                <w:color w:val="auto"/>
                <w:w w:val="4294942296"/>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7​.2%</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7​.2 %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25"/>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 Rowe Price Investment Management, Inc.</w:t>
            </w:r>
            <w:r>
              <w:rPr>
                <w:rFonts w:ascii="Arial" w:cs="Arial" w:eastAsia="Arial" w:hAnsi="Arial"/>
                <w:sz w:val="23"/>
                <w:szCs w:val="23"/>
                <w:color w:val="auto"/>
                <w:vertAlign w:val="superscript"/>
              </w:rPr>
              <w:t>(17)</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210,637</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5.9%</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59"/>
        </w:trPr>
        <w:tc>
          <w:tcPr>
            <w:tcW w:w="4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(18)</w:t>
            </w:r>
          </w:p>
        </w:tc>
        <w:tc>
          <w:tcPr>
            <w:tcW w:w="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197,482</w:t>
            </w:r>
            <w:r>
              <w:rPr>
                <w:rFonts w:ascii="Times New Roman" w:cs="Times New Roman" w:eastAsia="Times New Roman" w:hAnsi="Times New Roman"/>
                <w:sz w:val="3"/>
                <w:szCs w:val="3"/>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5.5%</w:t>
            </w:r>
            <w:r>
              <w:rPr>
                <w:rFonts w:ascii="Times New Roman" w:cs="Times New Roman" w:eastAsia="Times New Roman" w:hAnsi="Times New Roman"/>
                <w:sz w:val="3"/>
                <w:szCs w:val="3"/>
                <w:color w:val="auto"/>
              </w:rPr>
              <w:t>​</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-5588635</wp:posOffset>
            </wp:positionV>
            <wp:extent cx="603504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5040" cy="27432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-1645285</wp:posOffset>
            </wp:positionV>
            <wp:extent cx="6035040" cy="266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5040" cy="266065"/>
                    </a:xfrm>
                    <a:prstGeom prst="rect">
                      <a:avLst/>
                    </a:prstGeom>
                    <a:noFill/>
                  </pic:spPr>
                </pic:pic>
              </a:graphicData>
            </a:graphic>
          </wp:anchor>
        </w:drawing>
      </w:r>
    </w:p>
    <w:p>
      <w:pPr>
        <w:spacing w:after="0" w:line="160" w:lineRule="exact"/>
        <w:rPr>
          <w:sz w:val="20"/>
          <w:szCs w:val="20"/>
          <w:color w:val="auto"/>
        </w:rPr>
      </w:pPr>
    </w:p>
    <w:p>
      <w:pPr>
        <w:ind w:left="380" w:hanging="359"/>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560" w:hanging="359"/>
        <w:spacing w:after="0" w:line="281"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Calculated as % of Class A or Class B common stock as of May 10, 2024 plus any RSUs that will vest within 60 days of May 10, 2024.</w:t>
      </w:r>
    </w:p>
    <w:p>
      <w:pPr>
        <w:spacing w:after="0" w:line="55" w:lineRule="exact"/>
        <w:rPr>
          <w:rFonts w:ascii="Arial" w:cs="Arial" w:eastAsia="Arial" w:hAnsi="Arial"/>
          <w:sz w:val="14"/>
          <w:szCs w:val="14"/>
          <w:color w:val="auto"/>
        </w:rPr>
      </w:pPr>
    </w:p>
    <w:p>
      <w:pPr>
        <w:ind w:left="380" w:right="280" w:hanging="359"/>
        <w:spacing w:after="0" w:line="263"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(i) 34,426 shares of Class A common stock held by Ms. Hyman; (ii) 10,521 RSUs relating to Class A common stock that will vest within 60 days of May 10, 2024; (iii) 57,540 shares of Class B common stock held by Ms. Hyman; and (iv) 6,155 shares of Class B common stock held by Ms. Hyman’s spouse.</w:t>
      </w:r>
    </w:p>
    <w:p>
      <w:pPr>
        <w:spacing w:after="0" w:line="10" w:lineRule="exact"/>
        <w:rPr>
          <w:rFonts w:ascii="Arial" w:cs="Arial" w:eastAsia="Arial" w:hAnsi="Arial"/>
          <w:sz w:val="14"/>
          <w:szCs w:val="14"/>
          <w:color w:val="auto"/>
        </w:rPr>
      </w:pPr>
    </w:p>
    <w:p>
      <w:pPr>
        <w:ind w:left="380" w:right="80" w:hanging="359"/>
        <w:spacing w:after="0" w:line="281"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8,663 shares of Class A common stock held by Mr. Thacker and (iii) 4,584 RSUs relating to Class A common stock that will vest within 60 days of May 10, 2024.</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1,163 shares of Class A common stock held by Ms. Salinas, based on information known to the Company.</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24,546 shares of Class A common stock held by Ms. O’Sullivan, based on information known to the Company.</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3,742 shares of Class A common stock held by Mr. Bixby.</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737 shares of Class A common stock held by Ms. Fleiss and (ii) 31,314 shares of Class B common stock held by Ms. Fleiss.</w:t>
      </w:r>
    </w:p>
    <w:p>
      <w:pPr>
        <w:spacing w:after="0" w:line="55" w:lineRule="exact"/>
        <w:rPr>
          <w:rFonts w:ascii="Arial" w:cs="Arial" w:eastAsia="Arial" w:hAnsi="Arial"/>
          <w:sz w:val="14"/>
          <w:szCs w:val="14"/>
          <w:color w:val="auto"/>
        </w:rPr>
      </w:pPr>
    </w:p>
    <w:p>
      <w:pPr>
        <w:ind w:left="380" w:right="240" w:hanging="359"/>
        <w:spacing w:after="0" w:line="248"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737 shares of Class A common stock held by Mr. Friend. Does not include the shares of Class A common stock held by the Bain Capital Ventures Entities. Mr. Friend is a Managing Director of BCVI. As a result, by virtue of the relationships described in footnote (14), Mr. Friend may be deemed to share beneficial ownership of such securities held by the Bain Capital Ventures Entities. The address of</w:t>
      </w:r>
    </w:p>
    <w:p>
      <w:pPr>
        <w:ind w:left="380"/>
        <w:spacing w:after="0"/>
        <w:rPr>
          <w:rFonts w:ascii="Arial" w:cs="Arial" w:eastAsia="Arial" w:hAnsi="Arial"/>
          <w:sz w:val="14"/>
          <w:szCs w:val="14"/>
          <w:color w:val="auto"/>
        </w:rPr>
      </w:pPr>
      <w:r>
        <w:rPr>
          <w:rFonts w:ascii="Arial" w:cs="Arial" w:eastAsia="Arial" w:hAnsi="Arial"/>
          <w:sz w:val="14"/>
          <w:szCs w:val="14"/>
          <w:color w:val="auto"/>
        </w:rPr>
        <w:t>Mr. Friend is c/o Bain Capital Ventures, 200 Clarendon Street, Boston, MA 02116.</w:t>
      </w:r>
    </w:p>
    <w:p>
      <w:pPr>
        <w:spacing w:after="0" w:line="41" w:lineRule="exact"/>
        <w:rPr>
          <w:rFonts w:ascii="Arial" w:cs="Arial" w:eastAsia="Arial" w:hAnsi="Arial"/>
          <w:sz w:val="14"/>
          <w:szCs w:val="14"/>
          <w:color w:val="auto"/>
        </w:rPr>
      </w:pPr>
    </w:p>
    <w:p>
      <w:pPr>
        <w:ind w:left="380" w:right="80" w:hanging="359"/>
        <w:spacing w:after="0" w:line="285"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27,553 shares of Class A common stock held by Ms. Kaplan and (ii) 623 shares of Class A common stock held by Axcel Limited Partnership over which Ms. Kaplan may be deemed to have voting and dispositive power.</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hanging="359"/>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2,801 shares of Class A common stock held by Ms. Paltrow.</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6,880 shares of Class A common stock held by Mr. Roth.</w:t>
      </w:r>
    </w:p>
    <w:p>
      <w:pPr>
        <w:spacing w:after="0" w:line="55" w:lineRule="exact"/>
        <w:rPr>
          <w:rFonts w:ascii="Arial" w:cs="Arial" w:eastAsia="Arial" w:hAnsi="Arial"/>
          <w:sz w:val="14"/>
          <w:szCs w:val="14"/>
          <w:color w:val="auto"/>
        </w:rPr>
      </w:pPr>
    </w:p>
    <w:p>
      <w:pPr>
        <w:ind w:left="380" w:right="220" w:hanging="359"/>
        <w:spacing w:after="0" w:line="26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121,222 shares of Class A common stock; (ii) 30,764 RSUs relating to Class A common stock that will vest within 60 days of May 10, 2024; and (iii) 95,009 shares of Class B common stock. “All current executive officers and directors as a group” does not include the beneficial ownership of Anushka Salinas, our former Chief Operating Officer, or Scarlett O’Sullivan, our former Chief Financial Officer.</w:t>
      </w:r>
    </w:p>
    <w:p>
      <w:pPr>
        <w:spacing w:after="0" w:line="10" w:lineRule="exact"/>
        <w:rPr>
          <w:rFonts w:ascii="Arial" w:cs="Arial" w:eastAsia="Arial" w:hAnsi="Arial"/>
          <w:sz w:val="14"/>
          <w:szCs w:val="14"/>
          <w:color w:val="auto"/>
        </w:rPr>
      </w:pPr>
    </w:p>
    <w:p>
      <w:pPr>
        <w:ind w:left="380" w:right="40" w:hanging="359"/>
        <w:spacing w:after="0" w:line="246"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382,231 shares of Class A common stock over which Bain Capital Venture Fund 2009, L.P. (“BCV Fund 2009”) has shared voting and dispositive power; (ii) 23,337 shares of Class A common stock over which BCIP Venture Associates (“BCIP Venture”) has shared voting and dispositive power; and (iii) 3,252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p>
      <w:pPr>
        <w:spacing w:after="0" w:line="23"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a Schedule 13D/A filed with the SEC on March 6, 2024. Consists of 336,082 shares of Class A common stock over which Yisroel Mordechai Goldstone (“Mr. Goldstone”) has sole voting and dispositive power. The principal business address for Mr. Goldstone is 6400 Av. Isla Verde #12A, Carolina, PR 00979.</w:t>
      </w:r>
    </w:p>
    <w:p>
      <w:pPr>
        <w:spacing w:after="0" w:line="10" w:lineRule="exact"/>
        <w:rPr>
          <w:rFonts w:ascii="Arial" w:cs="Arial" w:eastAsia="Arial" w:hAnsi="Arial"/>
          <w:sz w:val="14"/>
          <w:szCs w:val="14"/>
          <w:color w:val="auto"/>
        </w:rPr>
      </w:pPr>
    </w:p>
    <w:p>
      <w:pPr>
        <w:ind w:left="380" w:right="40" w:hanging="359"/>
        <w:spacing w:after="0" w:line="24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9, 2024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and information known to the Company. Consists of (i) 154,428 shares of Class A common stock over which Highland VIII has shared voting and dispositive power; (ii) 2,394 shares of Class A common stock over which VIII-B has shared voting and dispositive power; (iii) 55,998 shares of Class A common stock over which Highland VIII-C has shared voting and dispositive power; (iv) 42,398 shares of Class A common stock over which HLF I has shared voting and dispositive power; and (v) 737 shares of Class A common stock over which Daniel Nova has sole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former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former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34" w:lineRule="exact"/>
        <w:rPr>
          <w:rFonts w:ascii="Arial" w:cs="Arial" w:eastAsia="Arial" w:hAnsi="Arial"/>
          <w:sz w:val="14"/>
          <w:szCs w:val="14"/>
          <w:color w:val="auto"/>
        </w:rPr>
      </w:pPr>
    </w:p>
    <w:p>
      <w:pPr>
        <w:ind w:left="380" w:right="520" w:hanging="359"/>
        <w:spacing w:after="0" w:line="251"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2024. T. Rowe Price Investment Management, Inc. (“Price Investment Management”) has (i) sole voting and dispositive power with respect to 65,998 shares and (ii) sole and dispositive power with respect to</w:t>
      </w:r>
    </w:p>
    <w:p>
      <w:pPr>
        <w:spacing w:after="0" w:line="1" w:lineRule="exact"/>
        <w:rPr>
          <w:rFonts w:ascii="Arial" w:cs="Arial" w:eastAsia="Arial" w:hAnsi="Arial"/>
          <w:sz w:val="14"/>
          <w:szCs w:val="14"/>
          <w:color w:val="auto"/>
        </w:rPr>
      </w:pPr>
    </w:p>
    <w:p>
      <w:pPr>
        <w:ind w:left="380" w:right="180"/>
        <w:spacing w:after="0" w:line="264" w:lineRule="auto"/>
        <w:rPr>
          <w:rFonts w:ascii="Arial" w:cs="Arial" w:eastAsia="Arial" w:hAnsi="Arial"/>
          <w:sz w:val="14"/>
          <w:szCs w:val="14"/>
          <w:color w:val="auto"/>
        </w:rPr>
      </w:pPr>
      <w:r>
        <w:rPr>
          <w:rFonts w:ascii="Arial" w:cs="Arial" w:eastAsia="Arial" w:hAnsi="Arial"/>
          <w:sz w:val="14"/>
          <w:szCs w:val="14"/>
          <w:color w:val="auto"/>
        </w:rPr>
        <w:t>210,636 shares of Class A common stock. The principal business address for Price Investment Management is 101 E Pratt Street, Baltimore, Maryland 21201.</w:t>
      </w:r>
    </w:p>
    <w:p>
      <w:pPr>
        <w:spacing w:after="0" w:line="9" w:lineRule="exact"/>
        <w:rPr>
          <w:rFonts w:ascii="Arial" w:cs="Arial" w:eastAsia="Arial" w:hAnsi="Arial"/>
          <w:sz w:val="14"/>
          <w:szCs w:val="14"/>
          <w:color w:val="auto"/>
        </w:rPr>
      </w:pPr>
    </w:p>
    <w:p>
      <w:pPr>
        <w:ind w:left="380" w:hanging="359"/>
        <w:spacing w:after="0" w:line="245"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8, 2022. Technology Crossover Management VIII, Ltd. (“Management VIII”) has sole voting and dispositive power over 197,482 shares of Class A common stock; Technology Crossover Management VIII, L.P. (“TCM VIII”) has sole voting and dispositive power over 187,456 shares of Class A common stock; TCV VIII, L.P. (“TCV VIII”) has sole voting and dispositive power with respect to 140,756 shares of Class A common stock; TCV VIII (A), L.P. (“TCV VIII (A)”) has sole voting and dispositive power with respect to 37,957 shares of Class A common stock; TCV VIII (B), L.P. (“TCV VIII (B)”) has sole voting and dispositive power with respect to 8,742 shares of Class A common stock; and TCV Member Fund, L.P. (“Member Fund”) has sole voting and dispositive power with respect to 10,027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Delinquent Section 16(a) Reports</w:t>
      </w:r>
    </w:p>
    <w:p>
      <w:pPr>
        <w:spacing w:after="0" w:line="199"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Section 16(a) of the Exchange Act requires our executive officers, directors, and 10% stockholders to file certain reports with respect to beneficial ownership of our equity securities. Such executive officers, directors and stockholders also are required by SEC rules to furnish us with copies of all Section 16(a) forms that they file.</w:t>
      </w:r>
    </w:p>
    <w:p>
      <w:pPr>
        <w:spacing w:after="0" w:line="128"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To our knowledge, based solely on our review of the copies of such reports furnished to us and written representations that no other reports were required to be filed during fiscal 2023, we believe that for fiscal 2023, all required reports were filed on a timely basis under Section 16(a), except for one Form 4 for Jennifer Hyman and one Form 4 for Drew Rau, each reporting one transaction, that were filed late.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right="34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2025 Annual Meeting of Stockholders pursuant to Rule 14a-8 must submit the proposal in writing to our Secretary at Rent the Runway, Inc., 10 Jay Street, Brooklyn, NY 11201, by no later than January 23, 2025 and otherwise comply with the SEC’s requirements for stockholder proposals.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who would like to bring a proposal before our 2025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12, 2025 nor earlier than March 13, 2025 (assuming the meeting is held not more than 30 days before or more than 60 days after July 11, 2025). The notice must comply with the requirements set forth in our Amended Bylaws.</w:t>
      </w:r>
    </w:p>
    <w:p>
      <w:pPr>
        <w:spacing w:after="0" w:line="158"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28"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212"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2024 may also be obtained for free by emailing investors@renttherunway.com. No other information on our website is incorporated by reference in or considered to be part of this Proxy Statement.</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199"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We do not know of any other business that may be presented at the Annual Meeting. If any other matters are properly presented at the Annual Meeting, the persons named on the proxy card will have discretion to vote on the matters in accordance with their best judgment.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our business strategy and objectives and our executive compensation practices.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43"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risks related to the macroeconomic environment; our ability to cost-effectively grow our customer base; any failure to retain customers;;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including our ability to comply with covenants in our credit facility; and risks related to our Class A capital stock and ownership structure; and risks related to future pandemics or public health crises.</w:t>
      </w:r>
    </w:p>
    <w:p>
      <w:pPr>
        <w:spacing w:after="0" w:line="164" w:lineRule="exact"/>
        <w:rPr>
          <w:sz w:val="20"/>
          <w:szCs w:val="20"/>
          <w:color w:val="auto"/>
        </w:rPr>
      </w:pPr>
    </w:p>
    <w:p>
      <w:pPr>
        <w:ind w:left="20" w:right="280"/>
        <w:spacing w:after="0" w:line="244"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Annual Report on Form 10-K for the year ended January 31, 2024, as may be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A</w:t>
      </w:r>
    </w:p>
    <w:p>
      <w:pPr>
        <w:spacing w:after="0" w:line="21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This proxy statement contains the non-GAAP financial measures,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proxy statement.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5" w:lineRule="exact"/>
        <w:rPr>
          <w:sz w:val="20"/>
          <w:szCs w:val="20"/>
          <w:color w:val="auto"/>
        </w:rPr>
      </w:pPr>
    </w:p>
    <w:p>
      <w:pPr>
        <w:ind w:left="20"/>
        <w:spacing w:after="0" w:line="259" w:lineRule="auto"/>
        <w:rPr>
          <w:sz w:val="20"/>
          <w:szCs w:val="20"/>
          <w:color w:val="auto"/>
        </w:rPr>
      </w:pPr>
      <w:r>
        <w:rPr>
          <w:rFonts w:ascii="Arial" w:cs="Arial" w:eastAsia="Arial" w:hAnsi="Arial"/>
          <w:sz w:val="17"/>
          <w:szCs w:val="17"/>
          <w:color w:val="auto"/>
        </w:rPr>
        <w:t>We define Adjusted EBITDA as net loss, adjusted to exclude interest expense, rental product depreciation, other depreciation and amortization, share-based compensation expense, write-off of liquidated rental product assets, certain non-recurring or one-time costs (see below footnotes to reconciliation table), non-ordinary course legal expenses, restructuring charges, loss on asset impairment related to restructuring, income tax (benefit) expense, warrant liability revaluation gains / losses, debt extinguishment gains / losses, other income and expense, and other gains / losses. We define Adjusted EBITDA margin as Adjusted EBITDA as a percentage of total revenue, net for a period.</w:t>
      </w:r>
    </w:p>
    <w:p>
      <w:pPr>
        <w:spacing w:after="0" w:line="138"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40"/>
        <w:spacing w:after="0" w:line="271"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035040" cy="8229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5040" cy="822960"/>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Pr>
          <w:p>
            <w:pPr>
              <w:spacing w:after="0"/>
              <w:rPr>
                <w:sz w:val="17"/>
                <w:szCs w:val="17"/>
                <w:color w:val="auto"/>
              </w:rPr>
            </w:pPr>
          </w:p>
        </w:tc>
        <w:tc>
          <w:tcPr>
            <w:tcW w:w="142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2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Years Ended January 31,</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r>
      <w:tr>
        <w:trPr>
          <w:trHeight w:val="206"/>
        </w:trPr>
        <w:tc>
          <w:tcPr>
            <w:tcW w:w="120" w:type="dxa"/>
            <w:vAlign w:val="bottom"/>
          </w:tcPr>
          <w:p>
            <w:pPr>
              <w:spacing w:after="0"/>
              <w:rPr>
                <w:sz w:val="17"/>
                <w:szCs w:val="17"/>
                <w:color w:val="auto"/>
              </w:rPr>
            </w:pPr>
          </w:p>
        </w:tc>
        <w:tc>
          <w:tcPr>
            <w:tcW w:w="4700" w:type="dxa"/>
            <w:vAlign w:val="bottom"/>
            <w:tcBorders>
              <w:bottom w:val="single" w:sz="8" w:color="E4C0D9"/>
            </w:tcBorders>
          </w:tcPr>
          <w:p>
            <w:pPr>
              <w:spacing w:after="0"/>
              <w:rPr>
                <w:sz w:val="17"/>
                <w:szCs w:val="17"/>
                <w:color w:val="auto"/>
              </w:rPr>
            </w:pPr>
          </w:p>
        </w:tc>
        <w:tc>
          <w:tcPr>
            <w:tcW w:w="1420" w:type="dxa"/>
            <w:vAlign w:val="bottom"/>
            <w:tcBorders>
              <w:bottom w:val="single" w:sz="8" w:color="E4C0D9"/>
            </w:tcBorders>
          </w:tcPr>
          <w:p>
            <w:pPr>
              <w:spacing w:after="0"/>
              <w:rPr>
                <w:sz w:val="17"/>
                <w:szCs w:val="17"/>
                <w:color w:val="auto"/>
              </w:rPr>
            </w:pPr>
          </w:p>
        </w:tc>
        <w:tc>
          <w:tcPr>
            <w:tcW w:w="60" w:type="dxa"/>
            <w:vAlign w:val="bottom"/>
            <w:tcBorders>
              <w:bottom w:val="single" w:sz="8" w:color="E4C0D9"/>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1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shd w:val="clear" w:color="auto" w:fill="E4C0D9"/>
          </w:tcPr>
          <w:p>
            <w:pPr>
              <w:spacing w:after="0"/>
              <w:rPr>
                <w:sz w:val="19"/>
                <w:szCs w:val="19"/>
                <w:color w:val="auto"/>
              </w:rPr>
            </w:pPr>
          </w:p>
        </w:tc>
        <w:tc>
          <w:tcPr>
            <w:tcW w:w="1420" w:type="dxa"/>
            <w:vAlign w:val="bottom"/>
            <w:shd w:val="clear" w:color="auto" w:fill="E4C0D9"/>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shd w:val="clear" w:color="auto" w:fill="E4C0D9"/>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shd w:val="clear" w:color="auto" w:fill="E4C0D9"/>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E4C0D9"/>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shd w:val="clear" w:color="auto" w:fill="E4C0D9"/>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shd w:val="clear" w:color="auto" w:fill="E4C0D9"/>
          </w:tcPr>
          <w:p>
            <w:pPr>
              <w:jc w:val="right"/>
              <w:ind w:right="37"/>
              <w:spacing w:after="0"/>
              <w:rPr>
                <w:sz w:val="20"/>
                <w:szCs w:val="20"/>
                <w:color w:val="auto"/>
              </w:rPr>
            </w:pPr>
            <w:r>
              <w:rPr>
                <w:rFonts w:ascii="Times New Roman" w:cs="Times New Roman" w:eastAsia="Times New Roman" w:hAnsi="Times New Roman"/>
                <w:sz w:val="4"/>
                <w:szCs w:val="4"/>
                <w:color w:val="auto"/>
              </w:rPr>
              <w:t>​</w:t>
            </w:r>
          </w:p>
        </w:tc>
      </w:tr>
      <w:tr>
        <w:trPr>
          <w:trHeight w:val="206"/>
        </w:trPr>
        <w:tc>
          <w:tcPr>
            <w:tcW w:w="120" w:type="dxa"/>
            <w:vAlign w:val="bottom"/>
          </w:tcPr>
          <w:p>
            <w:pPr>
              <w:spacing w:after="0"/>
              <w:rPr>
                <w:sz w:val="17"/>
                <w:szCs w:val="17"/>
                <w:color w:val="auto"/>
              </w:rPr>
            </w:pPr>
          </w:p>
        </w:tc>
        <w:tc>
          <w:tcPr>
            <w:tcW w:w="4700" w:type="dxa"/>
            <w:vAlign w:val="bottom"/>
            <w:shd w:val="clear" w:color="auto" w:fill="E4C0D9"/>
          </w:tcPr>
          <w:p>
            <w:pPr>
              <w:spacing w:after="0"/>
              <w:rPr>
                <w:sz w:val="17"/>
                <w:szCs w:val="17"/>
                <w:color w:val="auto"/>
              </w:rPr>
            </w:pPr>
          </w:p>
        </w:tc>
        <w:tc>
          <w:tcPr>
            <w:tcW w:w="1420" w:type="dxa"/>
            <w:vAlign w:val="bottom"/>
            <w:shd w:val="clear" w:color="auto" w:fill="E4C0D9"/>
          </w:tcPr>
          <w:p>
            <w:pPr>
              <w:spacing w:after="0"/>
              <w:rPr>
                <w:sz w:val="17"/>
                <w:szCs w:val="17"/>
                <w:color w:val="auto"/>
              </w:rPr>
            </w:pPr>
          </w:p>
        </w:tc>
        <w:tc>
          <w:tcPr>
            <w:tcW w:w="60" w:type="dxa"/>
            <w:vAlign w:val="bottom"/>
            <w:shd w:val="clear" w:color="auto" w:fill="E4C0D9"/>
          </w:tcPr>
          <w:p>
            <w:pPr>
              <w:spacing w:after="0"/>
              <w:rPr>
                <w:sz w:val="17"/>
                <w:szCs w:val="17"/>
                <w:color w:val="auto"/>
              </w:rPr>
            </w:pPr>
          </w:p>
        </w:tc>
        <w:tc>
          <w:tcPr>
            <w:tcW w:w="320" w:type="dxa"/>
            <w:vAlign w:val="bottom"/>
            <w:tcBorders>
              <w:bottom w:val="single" w:sz="8" w:color="auto"/>
            </w:tcBorders>
            <w:shd w:val="clear" w:color="auto" w:fill="E4C0D9"/>
          </w:tcPr>
          <w:p>
            <w:pPr>
              <w:spacing w:after="0"/>
              <w:rPr>
                <w:sz w:val="17"/>
                <w:szCs w:val="17"/>
                <w:color w:val="auto"/>
              </w:rPr>
            </w:pPr>
          </w:p>
        </w:tc>
        <w:tc>
          <w:tcPr>
            <w:tcW w:w="640" w:type="dxa"/>
            <w:vAlign w:val="bottom"/>
            <w:tcBorders>
              <w:bottom w:val="single" w:sz="8" w:color="auto"/>
            </w:tcBorders>
            <w:shd w:val="clear" w:color="auto" w:fill="E4C0D9"/>
          </w:tcPr>
          <w:p>
            <w:pPr>
              <w:spacing w:after="0"/>
              <w:rPr>
                <w:sz w:val="17"/>
                <w:szCs w:val="17"/>
                <w:color w:val="auto"/>
              </w:rPr>
            </w:pPr>
          </w:p>
        </w:tc>
        <w:tc>
          <w:tcPr>
            <w:tcW w:w="1160" w:type="dxa"/>
            <w:vAlign w:val="bottom"/>
            <w:tcBorders>
              <w:bottom w:val="single" w:sz="8" w:color="auto"/>
            </w:tcBorders>
            <w:gridSpan w:val="2"/>
            <w:shd w:val="clear" w:color="auto" w:fill="E4C0D9"/>
          </w:tcPr>
          <w:p>
            <w:pPr>
              <w:spacing w:after="0"/>
              <w:rPr>
                <w:sz w:val="17"/>
                <w:szCs w:val="17"/>
                <w:color w:val="auto"/>
              </w:rPr>
            </w:pPr>
          </w:p>
        </w:tc>
        <w:tc>
          <w:tcPr>
            <w:tcW w:w="440" w:type="dxa"/>
            <w:vAlign w:val="bottom"/>
            <w:tcBorders>
              <w:bottom w:val="single" w:sz="8" w:color="auto"/>
            </w:tcBorders>
            <w:shd w:val="clear" w:color="auto" w:fill="E4C0D9"/>
          </w:tcPr>
          <w:p>
            <w:pPr>
              <w:spacing w:after="0"/>
              <w:rPr>
                <w:sz w:val="17"/>
                <w:szCs w:val="17"/>
                <w:color w:val="auto"/>
              </w:rPr>
            </w:pPr>
          </w:p>
        </w:tc>
        <w:tc>
          <w:tcPr>
            <w:tcW w:w="640" w:type="dxa"/>
            <w:vAlign w:val="bottom"/>
            <w:tcBorders>
              <w:bottom w:val="single" w:sz="8" w:color="auto"/>
            </w:tcBorders>
            <w:shd w:val="clear" w:color="auto" w:fill="E4C0D9"/>
          </w:tcPr>
          <w:p>
            <w:pPr>
              <w:spacing w:after="0"/>
              <w:rPr>
                <w:sz w:val="17"/>
                <w:szCs w:val="17"/>
                <w:color w:val="auto"/>
              </w:rPr>
            </w:pPr>
          </w:p>
        </w:tc>
      </w:tr>
      <w:tr>
        <w:trPr>
          <w:trHeight w:val="219"/>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Pr>
          <w:p>
            <w:pPr>
              <w:ind w:left="304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9"/>
                <w:szCs w:val="19"/>
                <w:color w:val="auto"/>
              </w:rPr>
            </w:pPr>
          </w:p>
        </w:tc>
        <w:tc>
          <w:tcPr>
            <w:tcW w:w="116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4"/>
                <w:szCs w:val="4"/>
                <w:color w:val="auto"/>
              </w:rPr>
              <w:t>​</w:t>
            </w:r>
          </w:p>
        </w:tc>
      </w:tr>
      <w:tr>
        <w:trPr>
          <w:trHeight w:val="206"/>
        </w:trPr>
        <w:tc>
          <w:tcPr>
            <w:tcW w:w="1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315"/>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Net loss</w:t>
            </w:r>
          </w:p>
        </w:tc>
        <w:tc>
          <w:tcPr>
            <w:tcW w:w="142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24"/>
                <w:szCs w:val="24"/>
                <w:color w:val="auto"/>
              </w:rPr>
            </w:pPr>
          </w:p>
        </w:tc>
        <w:tc>
          <w:tcPr>
            <w:tcW w:w="1160" w:type="dxa"/>
            <w:vAlign w:val="bottom"/>
            <w:gridSpan w:val="2"/>
          </w:tcPr>
          <w:p>
            <w:pPr>
              <w:jc w:val="right"/>
              <w:ind w:right="502"/>
              <w:spacing w:after="0"/>
              <w:rPr>
                <w:sz w:val="20"/>
                <w:szCs w:val="20"/>
                <w:color w:val="auto"/>
              </w:rPr>
            </w:pPr>
            <w:r>
              <w:rPr>
                <w:rFonts w:ascii="Arial" w:cs="Arial" w:eastAsia="Arial" w:hAnsi="Arial"/>
                <w:sz w:val="14"/>
                <w:szCs w:val="14"/>
                <w:color w:val="auto"/>
              </w:rPr>
              <w:t>$​(113.2)</w:t>
            </w:r>
            <w:r>
              <w:rPr>
                <w:rFonts w:ascii="Times New Roman" w:cs="Times New Roman" w:eastAsia="Times New Roman" w:hAnsi="Times New Roman"/>
                <w:sz w:val="3"/>
                <w:szCs w:val="3"/>
                <w:color w:val="auto"/>
              </w:rPr>
              <w:t>​      ​</w:t>
            </w:r>
          </w:p>
        </w:tc>
        <w:tc>
          <w:tcPr>
            <w:tcW w:w="4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color w:val="auto"/>
                <w:w w:val="99"/>
              </w:rPr>
              <w:t>$(138.7)</w:t>
            </w:r>
            <w:r>
              <w:rPr>
                <w:rFonts w:ascii="Times New Roman" w:cs="Times New Roman" w:eastAsia="Times New Roman" w:hAnsi="Times New Roman"/>
                <w:sz w:val="3"/>
                <w:szCs w:val="3"/>
                <w:color w:val="auto"/>
                <w:w w:val="99"/>
              </w:rPr>
              <w:t>​</w:t>
            </w:r>
          </w:p>
        </w:tc>
      </w:tr>
      <w:tr>
        <w:trPr>
          <w:trHeight w:val="97"/>
        </w:trPr>
        <w:tc>
          <w:tcPr>
            <w:tcW w:w="12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Interest (income) / expense, net</w:t>
            </w:r>
            <w:r>
              <w:rPr>
                <w:rFonts w:ascii="Arial" w:cs="Arial" w:eastAsia="Arial" w:hAnsi="Arial"/>
                <w:sz w:val="23"/>
                <w:szCs w:val="23"/>
                <w:color w:val="auto"/>
                <w:vertAlign w:val="superscript"/>
              </w:rPr>
              <w:t>(1)</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36.8</w:t>
            </w:r>
            <w:r>
              <w:rPr>
                <w:rFonts w:ascii="Times New Roman" w:cs="Times New Roman" w:eastAsia="Times New Roman" w:hAnsi="Times New Roman"/>
                <w:sz w:val="3"/>
                <w:szCs w:val="3"/>
                <w:color w:val="auto"/>
              </w:rPr>
              <w:t>​</w:t>
            </w:r>
          </w:p>
        </w:tc>
      </w:tr>
      <w:tr>
        <w:trPr>
          <w:trHeight w:val="29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Pr>
          <w:p>
            <w:pPr>
              <w:ind w:left="60"/>
              <w:spacing w:after="0"/>
              <w:rPr>
                <w:sz w:val="20"/>
                <w:szCs w:val="20"/>
                <w:color w:val="auto"/>
              </w:rPr>
            </w:pPr>
            <w:r>
              <w:rPr>
                <w:rFonts w:ascii="Arial" w:cs="Arial" w:eastAsia="Arial" w:hAnsi="Arial"/>
                <w:sz w:val="14"/>
                <w:szCs w:val="14"/>
                <w:color w:val="auto"/>
              </w:rPr>
              <w:t>Rental product depreciation</w:t>
            </w:r>
          </w:p>
        </w:tc>
        <w:tc>
          <w:tcPr>
            <w:tcW w:w="142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57.1</w:t>
            </w:r>
            <w:r>
              <w:rPr>
                <w:rFonts w:ascii="Times New Roman" w:cs="Times New Roman" w:eastAsia="Times New Roman" w:hAnsi="Times New Roman"/>
                <w:sz w:val="3"/>
                <w:szCs w:val="3"/>
                <w:color w:val="auto"/>
              </w:rPr>
              <w:t>​</w:t>
            </w:r>
          </w:p>
        </w:tc>
        <w:tc>
          <w:tcPr>
            <w:tcW w:w="580" w:type="dxa"/>
            <w:vAlign w:val="bottom"/>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52.9</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depreciation and amortization</w:t>
            </w:r>
            <w:r>
              <w:rPr>
                <w:rFonts w:ascii="Arial" w:cs="Arial" w:eastAsia="Arial" w:hAnsi="Arial"/>
                <w:sz w:val="23"/>
                <w:szCs w:val="23"/>
                <w:color w:val="auto"/>
                <w:vertAlign w:val="superscript"/>
              </w:rPr>
              <w:t>(2)</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16.4</w:t>
            </w:r>
            <w:r>
              <w:rPr>
                <w:rFonts w:ascii="Times New Roman" w:cs="Times New Roman" w:eastAsia="Times New Roman" w:hAnsi="Times New Roman"/>
                <w:sz w:val="3"/>
                <w:szCs w:val="3"/>
                <w:color w:val="auto"/>
              </w:rPr>
              <w:t>​</w:t>
            </w: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(3)</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25.4</w:t>
            </w:r>
            <w:r>
              <w:rPr>
                <w:rFonts w:ascii="Times New Roman" w:cs="Times New Roman" w:eastAsia="Times New Roman" w:hAnsi="Times New Roman"/>
                <w:sz w:val="3"/>
                <w:szCs w:val="3"/>
                <w:color w:val="auto"/>
              </w:rPr>
              <w:t>​</w:t>
            </w:r>
          </w:p>
        </w:tc>
      </w:tr>
      <w:tr>
        <w:trPr>
          <w:trHeight w:val="42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Write-off of liquidated assets</w:t>
            </w:r>
            <w:r>
              <w:rPr>
                <w:rFonts w:ascii="Arial" w:cs="Arial" w:eastAsia="Arial" w:hAnsi="Arial"/>
                <w:sz w:val="23"/>
                <w:szCs w:val="23"/>
                <w:color w:val="auto"/>
                <w:vertAlign w:val="superscript"/>
              </w:rPr>
              <w:t>(4)</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5.8</w:t>
            </w:r>
            <w:r>
              <w:rPr>
                <w:rFonts w:ascii="Times New Roman" w:cs="Times New Roman" w:eastAsia="Times New Roman" w:hAnsi="Times New Roman"/>
                <w:sz w:val="3"/>
                <w:szCs w:val="3"/>
                <w:color w:val="auto"/>
              </w:rPr>
              <w:t>​</w:t>
            </w: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Non-recurring adjustments</w:t>
            </w:r>
            <w:r>
              <w:rPr>
                <w:rFonts w:ascii="Arial" w:cs="Arial" w:eastAsia="Arial" w:hAnsi="Arial"/>
                <w:sz w:val="23"/>
                <w:szCs w:val="23"/>
                <w:color w:val="auto"/>
                <w:vertAlign w:val="superscript"/>
              </w:rPr>
              <w:t>(5)</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1.3</w:t>
            </w:r>
            <w:r>
              <w:rPr>
                <w:rFonts w:ascii="Times New Roman" w:cs="Times New Roman" w:eastAsia="Times New Roman" w:hAnsi="Times New Roman"/>
                <w:sz w:val="3"/>
                <w:szCs w:val="3"/>
                <w:color w:val="auto"/>
              </w:rPr>
              <w:t>​</w:t>
            </w:r>
          </w:p>
        </w:tc>
      </w:tr>
      <w:tr>
        <w:trPr>
          <w:trHeight w:val="42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Non-ordinary course legal fees</w:t>
            </w:r>
            <w:r>
              <w:rPr>
                <w:rFonts w:ascii="Arial" w:cs="Arial" w:eastAsia="Arial" w:hAnsi="Arial"/>
                <w:sz w:val="23"/>
                <w:szCs w:val="23"/>
                <w:color w:val="auto"/>
                <w:vertAlign w:val="superscript"/>
              </w:rPr>
              <w:t>(6)</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0.1</w:t>
            </w:r>
            <w:r>
              <w:rPr>
                <w:rFonts w:ascii="Times New Roman" w:cs="Times New Roman" w:eastAsia="Times New Roman" w:hAnsi="Times New Roman"/>
                <w:sz w:val="3"/>
                <w:szCs w:val="3"/>
                <w:color w:val="auto"/>
              </w:rPr>
              <w:t>​</w:t>
            </w:r>
          </w:p>
        </w:tc>
      </w:tr>
      <w:tr>
        <w:trPr>
          <w:trHeight w:val="42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3"/>
                <w:szCs w:val="23"/>
                <w:color w:val="auto"/>
                <w:vertAlign w:val="superscript"/>
              </w:rPr>
              <w:t>(7)</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2.4</w:t>
            </w:r>
            <w:r>
              <w:rPr>
                <w:rFonts w:ascii="Times New Roman" w:cs="Times New Roman" w:eastAsia="Times New Roman" w:hAnsi="Times New Roman"/>
                <w:sz w:val="3"/>
                <w:szCs w:val="3"/>
                <w:color w:val="auto"/>
              </w:rPr>
              <w:t>​</w:t>
            </w: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Loss on asset impairment related to restructuring</w:t>
            </w:r>
            <w:r>
              <w:rPr>
                <w:rFonts w:ascii="Arial" w:cs="Arial" w:eastAsia="Arial" w:hAnsi="Arial"/>
                <w:sz w:val="23"/>
                <w:szCs w:val="23"/>
                <w:color w:val="auto"/>
                <w:vertAlign w:val="superscript"/>
              </w:rPr>
              <w:t>(8)</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5.3</w:t>
            </w:r>
            <w:r>
              <w:rPr>
                <w:rFonts w:ascii="Times New Roman" w:cs="Times New Roman" w:eastAsia="Times New Roman" w:hAnsi="Times New Roman"/>
                <w:sz w:val="3"/>
                <w:szCs w:val="3"/>
                <w:color w:val="auto"/>
              </w:rPr>
              <w:t>​</w:t>
            </w:r>
          </w:p>
        </w:tc>
      </w:tr>
      <w:tr>
        <w:trPr>
          <w:trHeight w:val="29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Pr>
          <w:p>
            <w:pPr>
              <w:ind w:left="60"/>
              <w:spacing w:after="0"/>
              <w:rPr>
                <w:sz w:val="20"/>
                <w:szCs w:val="20"/>
                <w:color w:val="auto"/>
              </w:rPr>
            </w:pPr>
            <w:r>
              <w:rPr>
                <w:rFonts w:ascii="Arial" w:cs="Arial" w:eastAsia="Arial" w:hAnsi="Arial"/>
                <w:sz w:val="14"/>
                <w:szCs w:val="14"/>
                <w:color w:val="auto"/>
              </w:rPr>
              <w:t>Income tax (benefit) / expense</w:t>
            </w:r>
          </w:p>
        </w:tc>
        <w:tc>
          <w:tcPr>
            <w:tcW w:w="142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r>
              <w:rPr>
                <w:rFonts w:ascii="Times New Roman" w:cs="Times New Roman" w:eastAsia="Times New Roman" w:hAnsi="Times New Roman"/>
                <w:sz w:val="3"/>
                <w:szCs w:val="3"/>
                <w:color w:val="auto"/>
              </w:rPr>
              <w:t>​</w:t>
            </w:r>
          </w:p>
        </w:tc>
        <w:tc>
          <w:tcPr>
            <w:tcW w:w="580" w:type="dxa"/>
            <w:vAlign w:val="bottom"/>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(0​.2)</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(income) / expense, net</w:t>
            </w:r>
            <w:r>
              <w:rPr>
                <w:rFonts w:ascii="Arial" w:cs="Arial" w:eastAsia="Arial" w:hAnsi="Arial"/>
                <w:sz w:val="23"/>
                <w:szCs w:val="23"/>
                <w:color w:val="auto"/>
                <w:vertAlign w:val="superscript"/>
              </w:rPr>
              <w:t>(9)</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502"/>
              <w:spacing w:after="0"/>
              <w:rPr>
                <w:sz w:val="20"/>
                <w:szCs w:val="20"/>
                <w:color w:val="auto"/>
              </w:rPr>
            </w:pPr>
            <w:r>
              <w:rPr>
                <w:rFonts w:ascii="Arial" w:cs="Arial" w:eastAsia="Arial" w:hAnsi="Arial"/>
                <w:sz w:val="14"/>
                <w:szCs w:val="14"/>
                <w:color w:val="auto"/>
              </w:rPr>
              <w:t>(0​.7)</w:t>
            </w:r>
            <w:r>
              <w:rPr>
                <w:rFonts w:ascii="Times New Roman" w:cs="Times New Roman" w:eastAsia="Times New Roman" w:hAnsi="Times New Roman"/>
                <w:sz w:val="3"/>
                <w:szCs w:val="3"/>
                <w:color w:val="auto"/>
              </w:rPr>
              <w:t>​      ​</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(1.5)</w:t>
            </w:r>
            <w:r>
              <w:rPr>
                <w:rFonts w:ascii="Times New Roman" w:cs="Times New Roman" w:eastAsia="Times New Roman" w:hAnsi="Times New Roman"/>
                <w:sz w:val="3"/>
                <w:szCs w:val="3"/>
                <w:color w:val="auto"/>
              </w:rPr>
              <w:t>​</w:t>
            </w: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(gains) / losses</w:t>
            </w:r>
            <w:r>
              <w:rPr>
                <w:rFonts w:ascii="Arial" w:cs="Arial" w:eastAsia="Arial" w:hAnsi="Arial"/>
                <w:sz w:val="23"/>
                <w:szCs w:val="23"/>
                <w:color w:val="auto"/>
                <w:vertAlign w:val="superscript"/>
              </w:rPr>
              <w:t>(10)</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0.7</w:t>
            </w:r>
            <w:r>
              <w:rPr>
                <w:rFonts w:ascii="Times New Roman" w:cs="Times New Roman" w:eastAsia="Times New Roman" w:hAnsi="Times New Roman"/>
                <w:sz w:val="3"/>
                <w:szCs w:val="3"/>
                <w:color w:val="auto"/>
              </w:rPr>
              <w:t>​</w:t>
            </w:r>
          </w:p>
        </w:tc>
      </w:tr>
      <w:tr>
        <w:trPr>
          <w:trHeight w:val="297"/>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Pr>
          <w:p>
            <w:pPr>
              <w:ind w:left="60"/>
              <w:spacing w:after="0"/>
              <w:rPr>
                <w:sz w:val="20"/>
                <w:szCs w:val="20"/>
                <w:color w:val="auto"/>
              </w:rPr>
            </w:pPr>
            <w:r>
              <w:rPr>
                <w:rFonts w:ascii="Arial" w:cs="Arial" w:eastAsia="Arial" w:hAnsi="Arial"/>
                <w:sz w:val="14"/>
                <w:szCs w:val="14"/>
                <w:color w:val="auto"/>
              </w:rPr>
              <w:t>Adjusted EBITDA</w:t>
            </w:r>
          </w:p>
        </w:tc>
        <w:tc>
          <w:tcPr>
            <w:tcW w:w="1420" w:type="dxa"/>
            <w:vAlign w:val="bottom"/>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w:t>
            </w:r>
            <w:r>
              <w:rPr>
                <w:rFonts w:ascii="Times New Roman" w:cs="Times New Roman" w:eastAsia="Times New Roman" w:hAnsi="Times New Roman"/>
                <w:sz w:val="3"/>
                <w:szCs w:val="3"/>
                <w:color w:val="auto"/>
              </w:rPr>
              <w:t>​</w:t>
            </w:r>
          </w:p>
        </w:tc>
        <w:tc>
          <w:tcPr>
            <w:tcW w:w="580" w:type="dxa"/>
            <w:vAlign w:val="bottom"/>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color w:val="auto"/>
              </w:rPr>
              <w:t>$6.7</w:t>
            </w:r>
            <w:r>
              <w:rPr>
                <w:rFonts w:ascii="Times New Roman" w:cs="Times New Roman" w:eastAsia="Times New Roman" w:hAnsi="Times New Roman"/>
                <w:sz w:val="3"/>
                <w:szCs w:val="3"/>
                <w:color w:val="auto"/>
              </w:rPr>
              <w:t>​</w:t>
            </w:r>
          </w:p>
        </w:tc>
      </w:tr>
      <w:tr>
        <w:trPr>
          <w:trHeight w:val="103"/>
        </w:trPr>
        <w:tc>
          <w:tcPr>
            <w:tcW w:w="120" w:type="dxa"/>
            <w:vAlign w:val="bottom"/>
            <w:tcBorders>
              <w:bottom w:val="single" w:sz="8" w:color="auto"/>
            </w:tcBorders>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358"/>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4"/>
                <w:szCs w:val="4"/>
                <w:color w:val="auto"/>
              </w:rPr>
              <w:t>​</w:t>
            </w:r>
          </w:p>
        </w:tc>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23"/>
                <w:szCs w:val="23"/>
                <w:color w:val="auto"/>
                <w:vertAlign w:val="superscript"/>
              </w:rPr>
              <w:t>(11)</w:t>
            </w:r>
          </w:p>
        </w:tc>
        <w:tc>
          <w:tcPr>
            <w:tcW w:w="1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r>
              <w:rPr>
                <w:rFonts w:ascii="Times New Roman" w:cs="Times New Roman" w:eastAsia="Times New Roman" w:hAnsi="Times New Roman"/>
                <w:sz w:val="3"/>
                <w:szCs w:val="3"/>
                <w:color w:val="auto"/>
              </w:rPr>
              <w:t>​</w:t>
            </w:r>
          </w:p>
        </w:tc>
        <w:tc>
          <w:tcPr>
            <w:tcW w:w="5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2.3%</w:t>
            </w:r>
            <w:r>
              <w:rPr>
                <w:rFonts w:ascii="Times New Roman" w:cs="Times New Roman" w:eastAsia="Times New Roman" w:hAnsi="Times New Roman"/>
                <w:sz w:val="3"/>
                <w:szCs w:val="3"/>
                <w:color w:val="auto"/>
              </w:rPr>
              <w:t>​</w:t>
            </w:r>
          </w:p>
        </w:tc>
      </w:tr>
    </w:tbl>
    <w:p>
      <w:pPr>
        <w:spacing w:after="0" w:line="166" w:lineRule="exact"/>
        <w:rPr>
          <w:sz w:val="20"/>
          <w:szCs w:val="20"/>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debt discount amortization of $11.7 million in the year ended January 31, 2023 and $4.3 million in the year ended January 31, 2023.</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non-rental product depreciation and capitalized software amortization.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non-cash expense for share-based compensation.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55" w:lineRule="exact"/>
        <w:rPr>
          <w:rFonts w:ascii="Arial" w:cs="Arial" w:eastAsia="Arial" w:hAnsi="Arial"/>
          <w:sz w:val="14"/>
          <w:szCs w:val="14"/>
          <w:color w:val="auto"/>
        </w:rPr>
      </w:pPr>
    </w:p>
    <w:p>
      <w:pPr>
        <w:ind w:left="380" w:right="180" w:hanging="359"/>
        <w:spacing w:after="0" w:line="27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Non-recurring adjustments for the year ended January 31, 2024 includes $1.7 million of costs primarily related to debt refinancing and related fees and the Option Exchange and for the year ended January 31, 2023 includes $1.3 million of costs related to public company SOX readiness.</w:t>
      </w:r>
    </w:p>
    <w:p>
      <w:pPr>
        <w:spacing w:after="0" w:line="176" w:lineRule="exact"/>
        <w:rPr>
          <w:rFonts w:ascii="Arial" w:cs="Arial" w:eastAsia="Arial" w:hAnsi="Arial"/>
          <w:sz w:val="14"/>
          <w:szCs w:val="14"/>
          <w:color w:val="auto"/>
        </w:rPr>
      </w:pPr>
    </w:p>
    <w:p>
      <w:pPr>
        <w:ind w:left="380" w:right="400" w:hanging="359"/>
        <w:spacing w:after="0" w:line="281"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Non-ordinary course legal fees for the year ended January 31, 2024 and 2023 includes $0.3 million and $0.1, respectively, million of costs related to a class action lawsuit.</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restructuring charges for severance and related costs in connection with the January 2024 and September 2022 restructuring plans.</w:t>
      </w:r>
    </w:p>
    <w:p>
      <w:pPr>
        <w:spacing w:after="0" w:line="55" w:lineRule="exact"/>
        <w:rPr>
          <w:rFonts w:ascii="Arial" w:cs="Arial" w:eastAsia="Arial" w:hAnsi="Arial"/>
          <w:sz w:val="14"/>
          <w:szCs w:val="14"/>
          <w:color w:val="auto"/>
        </w:rPr>
      </w:pPr>
    </w:p>
    <w:p>
      <w:pPr>
        <w:ind w:left="380" w:right="140" w:hanging="359"/>
        <w:spacing w:after="0" w:line="26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the asset impairment charges related to the discontinuation of a software implementation project in connection with the January 2024 restructuring plan in the year ended January 31, 2024 and the discontinuation of warehouse operations projects in connection with the September 2022 restructuring plan in the year ended January 31, 2023.</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Primarily includes $1.4 million of monetized tax credits for the year ended January 31, 2023.</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gains/losses recognized in relation to foreign exchange operating lease terminations and the related surrender of fixed assets.</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Adjusted EBITDA Margin calculated as Adjusted EBITDA as a percentage of revenue.</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
      <w:numFmt w:val="bullet"/>
      <w:start w:val="1"/>
    </w:lvl>
  </w:abstractNum>
  <w:abstractNum w:abstractNumId="1">
    <w:nsid w:val="436C6125"/>
    <w:multiLevelType w:val="hybridMultilevel"/>
    <w:lvl w:ilvl="0">
      <w:lvlJc w:val="left"/>
      <w:lvlText w:val="☒"/>
      <w:numFmt w:val="bullet"/>
      <w:start w:val="1"/>
    </w:lvl>
    <w:lvl w:ilvl="1">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lowerRoman"/>
      <w:start w:val="3"/>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bullet"/>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4"/>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amp;"/>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4"/>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
      <w:numFmt w:val="bullet"/>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2"/>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2024-05-23T16:33:45Z</dcterms:created>
  <dcterms:modified xsi:type="dcterms:W3CDTF">2024-05-23T16:33:45Z</dcterms:modified>
</cp:coreProperties>
</file>